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DC8045">
      <w:pPr>
        <w:widowControl w:val="0"/>
        <w:shd w:val="clear"/>
        <w:spacing w:before="63" w:line="360" w:lineRule="auto"/>
        <w:jc w:val="center"/>
        <w:outlineLvl w:val="0"/>
        <w:rPr>
          <w:rFonts w:hint="eastAsia" w:ascii="仿宋" w:hAnsi="仿宋" w:eastAsia="仿宋" w:cs="仿宋"/>
          <w:snapToGrid/>
          <w:color w:val="auto"/>
          <w:sz w:val="24"/>
          <w:szCs w:val="24"/>
          <w:highlight w:val="none"/>
          <w:lang w:eastAsia="zh-CN" w:bidi="ar"/>
        </w:rPr>
      </w:pPr>
      <w:bookmarkStart w:id="0" w:name="_Toc29916"/>
      <w:r>
        <w:rPr>
          <w:rFonts w:hint="eastAsia" w:ascii="仿宋" w:hAnsi="仿宋" w:eastAsia="仿宋" w:cs="仿宋"/>
          <w:color w:val="auto"/>
          <w:spacing w:val="8"/>
          <w:sz w:val="30"/>
          <w:szCs w:val="30"/>
          <w:highlight w:val="none"/>
          <w:lang w:eastAsia="zh-CN"/>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143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color w:val="auto"/>
          <w:spacing w:val="8"/>
          <w:sz w:val="30"/>
          <w:szCs w:val="30"/>
          <w:highlight w:val="none"/>
          <w:lang w:eastAsia="zh-CN"/>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hint="eastAsia" w:ascii="仿宋" w:hAnsi="仿宋" w:eastAsia="仿宋" w:cs="仿宋"/>
          <w:color w:val="auto"/>
          <w:spacing w:val="8"/>
          <w:sz w:val="30"/>
          <w:szCs w:val="30"/>
          <w:highlight w:val="none"/>
          <w:lang w:eastAsia="zh-CN"/>
          <w14:textOutline w14:w="5791" w14:cap="sq" w14:cmpd="sng" w14:algn="ctr">
            <w14:solidFill>
              <w14:srgbClr w14:val="000000"/>
            </w14:solidFill>
            <w14:prstDash w14:val="solid"/>
            <w14:bevel/>
          </w14:textOutline>
        </w:rPr>
        <w:t>吉安市公安局交管支队采购中心城区电子警察、信号灯、卡口等前端硬件维保服务项目A标段磋商邀请</w:t>
      </w:r>
      <w:bookmarkEnd w:id="0"/>
    </w:p>
    <w:p w14:paraId="7BF402B1">
      <w:pPr>
        <w:shd w:val="clear"/>
        <w:kinsoku/>
        <w:autoSpaceDE/>
        <w:autoSpaceDN/>
        <w:adjustRightInd/>
        <w:snapToGrid/>
        <w:spacing w:line="360" w:lineRule="auto"/>
        <w:ind w:firstLine="480" w:firstLineChars="200"/>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吉安市公安局交管支队采购中心城区电子警察、信号灯、卡口等前端硬件维保服务项目A标段的潜在供应商应在江西省公共资源交易平台确认并获取磋商文件，并于</w:t>
      </w:r>
      <w:r>
        <w:rPr>
          <w:rFonts w:hint="eastAsia" w:ascii="仿宋" w:hAnsi="仿宋" w:eastAsia="仿宋" w:cs="仿宋"/>
          <w:snapToGrid/>
          <w:color w:val="auto"/>
          <w:sz w:val="24"/>
          <w:szCs w:val="24"/>
          <w:highlight w:val="none"/>
          <w:lang w:val="en-US" w:eastAsia="zh-CN" w:bidi="ar"/>
        </w:rPr>
        <w:t>2026</w:t>
      </w:r>
      <w:r>
        <w:rPr>
          <w:rFonts w:hint="eastAsia" w:ascii="仿宋" w:hAnsi="仿宋" w:eastAsia="仿宋" w:cs="仿宋"/>
          <w:snapToGrid/>
          <w:color w:val="auto"/>
          <w:sz w:val="24"/>
          <w:szCs w:val="24"/>
          <w:highlight w:val="none"/>
          <w:lang w:eastAsia="zh-CN" w:bidi="ar"/>
        </w:rPr>
        <w:t>年</w:t>
      </w:r>
      <w:r>
        <w:rPr>
          <w:rFonts w:hint="eastAsia" w:ascii="仿宋" w:hAnsi="仿宋" w:eastAsia="仿宋" w:cs="仿宋"/>
          <w:snapToGrid/>
          <w:color w:val="auto"/>
          <w:sz w:val="24"/>
          <w:szCs w:val="24"/>
          <w:highlight w:val="none"/>
          <w:lang w:val="en-US" w:eastAsia="zh-CN" w:bidi="ar"/>
        </w:rPr>
        <w:t>05</w:t>
      </w:r>
      <w:r>
        <w:rPr>
          <w:rFonts w:hint="eastAsia" w:ascii="仿宋" w:hAnsi="仿宋" w:eastAsia="仿宋" w:cs="仿宋"/>
          <w:snapToGrid/>
          <w:color w:val="auto"/>
          <w:sz w:val="24"/>
          <w:szCs w:val="24"/>
          <w:highlight w:val="none"/>
          <w:lang w:eastAsia="zh-CN" w:bidi="ar"/>
        </w:rPr>
        <w:t>月</w:t>
      </w:r>
      <w:r>
        <w:rPr>
          <w:rFonts w:hint="eastAsia" w:ascii="仿宋" w:hAnsi="仿宋" w:eastAsia="仿宋" w:cs="仿宋"/>
          <w:snapToGrid/>
          <w:color w:val="auto"/>
          <w:sz w:val="24"/>
          <w:szCs w:val="24"/>
          <w:highlight w:val="none"/>
          <w:lang w:val="en-US" w:eastAsia="zh-CN" w:bidi="ar"/>
        </w:rPr>
        <w:t>21</w:t>
      </w:r>
      <w:r>
        <w:rPr>
          <w:rFonts w:hint="eastAsia" w:ascii="仿宋" w:hAnsi="仿宋" w:eastAsia="仿宋" w:cs="仿宋"/>
          <w:snapToGrid/>
          <w:color w:val="auto"/>
          <w:sz w:val="24"/>
          <w:szCs w:val="24"/>
          <w:highlight w:val="none"/>
          <w:lang w:eastAsia="zh-CN" w:bidi="ar"/>
        </w:rPr>
        <w:t>日</w:t>
      </w:r>
      <w:r>
        <w:rPr>
          <w:rFonts w:hint="eastAsia" w:ascii="仿宋" w:hAnsi="仿宋" w:eastAsia="仿宋" w:cs="仿宋"/>
          <w:snapToGrid/>
          <w:color w:val="auto"/>
          <w:sz w:val="24"/>
          <w:szCs w:val="24"/>
          <w:highlight w:val="none"/>
          <w:lang w:val="en-US" w:eastAsia="zh-CN" w:bidi="ar"/>
        </w:rPr>
        <w:t>09</w:t>
      </w:r>
      <w:r>
        <w:rPr>
          <w:rFonts w:hint="eastAsia" w:ascii="仿宋" w:hAnsi="仿宋" w:eastAsia="仿宋" w:cs="仿宋"/>
          <w:snapToGrid/>
          <w:color w:val="auto"/>
          <w:sz w:val="24"/>
          <w:szCs w:val="24"/>
          <w:highlight w:val="none"/>
          <w:lang w:eastAsia="zh-CN" w:bidi="ar"/>
        </w:rPr>
        <w:t>点</w:t>
      </w:r>
      <w:r>
        <w:rPr>
          <w:rFonts w:hint="eastAsia" w:ascii="仿宋" w:hAnsi="仿宋" w:eastAsia="仿宋" w:cs="仿宋"/>
          <w:snapToGrid/>
          <w:color w:val="auto"/>
          <w:sz w:val="24"/>
          <w:szCs w:val="24"/>
          <w:highlight w:val="none"/>
          <w:lang w:val="en-US" w:eastAsia="zh-CN" w:bidi="ar"/>
        </w:rPr>
        <w:t>00</w:t>
      </w:r>
      <w:r>
        <w:rPr>
          <w:rFonts w:hint="eastAsia" w:ascii="仿宋" w:hAnsi="仿宋" w:eastAsia="仿宋" w:cs="仿宋"/>
          <w:snapToGrid/>
          <w:color w:val="auto"/>
          <w:sz w:val="24"/>
          <w:szCs w:val="24"/>
          <w:highlight w:val="none"/>
          <w:lang w:eastAsia="zh-CN" w:bidi="ar"/>
        </w:rPr>
        <w:t>分（北京时间）前递交响应文件。</w:t>
      </w:r>
    </w:p>
    <w:p w14:paraId="45E89468">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一、项目基本情况</w:t>
      </w:r>
    </w:p>
    <w:p w14:paraId="2A9ABBBC">
      <w:pPr>
        <w:shd w:val="clear"/>
        <w:kinsoku/>
        <w:autoSpaceDE/>
        <w:autoSpaceDN/>
        <w:adjustRightInd/>
        <w:snapToGrid/>
        <w:spacing w:line="360" w:lineRule="auto"/>
        <w:textAlignment w:val="auto"/>
        <w:rPr>
          <w:rFonts w:hint="default"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eastAsia="zh-CN" w:bidi="ar"/>
        </w:rPr>
        <w:t>项目编号：JXSZXZFCG2025</w:t>
      </w:r>
      <w:bookmarkStart w:id="4" w:name="_GoBack"/>
      <w:r>
        <w:rPr>
          <w:rFonts w:hint="eastAsia" w:ascii="仿宋" w:hAnsi="仿宋" w:eastAsia="仿宋" w:cs="仿宋"/>
          <w:snapToGrid/>
          <w:color w:val="auto"/>
          <w:sz w:val="24"/>
          <w:szCs w:val="24"/>
          <w:highlight w:val="none"/>
          <w:lang w:eastAsia="zh-CN" w:bidi="ar"/>
        </w:rPr>
        <w:t>Y63-A</w:t>
      </w:r>
      <w:bookmarkEnd w:id="4"/>
    </w:p>
    <w:p w14:paraId="20C04508">
      <w:pPr>
        <w:shd w:val="clear"/>
        <w:kinsoku/>
        <w:autoSpaceDE/>
        <w:autoSpaceDN/>
        <w:adjustRightInd/>
        <w:snapToGrid/>
        <w:spacing w:line="360" w:lineRule="auto"/>
        <w:textAlignment w:val="auto"/>
        <w:rPr>
          <w:rFonts w:hint="default"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eastAsia="zh-CN" w:bidi="ar"/>
        </w:rPr>
        <w:t>项目名称：吉安市公安局交管支队采购中心城区电子警察、信号灯、卡口等前端硬件维保服务项目A标段</w:t>
      </w:r>
    </w:p>
    <w:p w14:paraId="257DF38C">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采购方式：竞争性磋商</w:t>
      </w:r>
    </w:p>
    <w:p w14:paraId="2F7DB91B">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预算金额：</w:t>
      </w:r>
      <w:r>
        <w:rPr>
          <w:rFonts w:hint="eastAsia" w:ascii="仿宋" w:hAnsi="仿宋" w:eastAsia="仿宋" w:cs="仿宋"/>
          <w:snapToGrid/>
          <w:color w:val="auto"/>
          <w:sz w:val="24"/>
          <w:szCs w:val="24"/>
          <w:highlight w:val="none"/>
          <w:lang w:val="en-US" w:eastAsia="zh-CN" w:bidi="ar"/>
        </w:rPr>
        <w:t>1141765.00</w:t>
      </w:r>
      <w:r>
        <w:rPr>
          <w:rFonts w:hint="eastAsia" w:ascii="仿宋" w:hAnsi="仿宋" w:eastAsia="仿宋" w:cs="仿宋"/>
          <w:snapToGrid/>
          <w:color w:val="auto"/>
          <w:sz w:val="24"/>
          <w:szCs w:val="24"/>
          <w:highlight w:val="none"/>
          <w:lang w:eastAsia="zh-CN" w:bidi="ar"/>
        </w:rPr>
        <w:t>元</w:t>
      </w:r>
    </w:p>
    <w:p w14:paraId="49DBE5F0">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最高限价：</w:t>
      </w:r>
      <w:r>
        <w:rPr>
          <w:rFonts w:hint="eastAsia" w:ascii="仿宋" w:hAnsi="仿宋" w:eastAsia="仿宋" w:cs="仿宋"/>
          <w:snapToGrid/>
          <w:color w:val="auto"/>
          <w:sz w:val="24"/>
          <w:szCs w:val="24"/>
          <w:highlight w:val="none"/>
          <w:lang w:val="en-US" w:eastAsia="zh-CN" w:bidi="ar"/>
        </w:rPr>
        <w:t>1141765.00</w:t>
      </w:r>
      <w:r>
        <w:rPr>
          <w:rFonts w:hint="eastAsia" w:ascii="仿宋" w:hAnsi="仿宋" w:eastAsia="仿宋" w:cs="仿宋"/>
          <w:snapToGrid/>
          <w:color w:val="auto"/>
          <w:sz w:val="24"/>
          <w:szCs w:val="24"/>
          <w:highlight w:val="none"/>
          <w:lang w:eastAsia="zh-CN" w:bidi="ar"/>
        </w:rPr>
        <w:t>元</w:t>
      </w:r>
    </w:p>
    <w:p w14:paraId="7F455519">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采购需求：</w:t>
      </w:r>
    </w:p>
    <w:tbl>
      <w:tblPr>
        <w:tblStyle w:val="4"/>
        <w:tblW w:w="885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96"/>
        <w:gridCol w:w="2510"/>
        <w:gridCol w:w="1140"/>
        <w:gridCol w:w="987"/>
        <w:gridCol w:w="1822"/>
      </w:tblGrid>
      <w:tr w14:paraId="2B135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2396" w:type="dxa"/>
            <w:vAlign w:val="center"/>
          </w:tcPr>
          <w:p w14:paraId="2CC5822F">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采购条目编号</w:t>
            </w:r>
          </w:p>
        </w:tc>
        <w:tc>
          <w:tcPr>
            <w:tcW w:w="2510" w:type="dxa"/>
            <w:vAlign w:val="center"/>
          </w:tcPr>
          <w:p w14:paraId="51AD5CF2">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采购条目名称</w:t>
            </w:r>
          </w:p>
        </w:tc>
        <w:tc>
          <w:tcPr>
            <w:tcW w:w="1140" w:type="dxa"/>
            <w:vAlign w:val="center"/>
          </w:tcPr>
          <w:p w14:paraId="51D549AD">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数量</w:t>
            </w:r>
          </w:p>
        </w:tc>
        <w:tc>
          <w:tcPr>
            <w:tcW w:w="987" w:type="dxa"/>
            <w:vAlign w:val="center"/>
          </w:tcPr>
          <w:p w14:paraId="686A4AB6">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单位</w:t>
            </w:r>
          </w:p>
        </w:tc>
        <w:tc>
          <w:tcPr>
            <w:tcW w:w="1822" w:type="dxa"/>
            <w:vAlign w:val="center"/>
          </w:tcPr>
          <w:p w14:paraId="28A051FE">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采购预算</w:t>
            </w:r>
          </w:p>
          <w:p w14:paraId="40E28954">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（元）</w:t>
            </w:r>
          </w:p>
        </w:tc>
      </w:tr>
      <w:tr w14:paraId="0EE4F8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396" w:type="dxa"/>
            <w:vAlign w:val="center"/>
          </w:tcPr>
          <w:p w14:paraId="2E25982E">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吉购[2026]F10100951</w:t>
            </w:r>
          </w:p>
        </w:tc>
        <w:tc>
          <w:tcPr>
            <w:tcW w:w="2510" w:type="dxa"/>
            <w:vAlign w:val="center"/>
          </w:tcPr>
          <w:p w14:paraId="5C19A62C">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吉安市公安局交管支队采购中心城区电子警察、信号灯、卡口等前端硬件维保服务项目A标段</w:t>
            </w:r>
          </w:p>
        </w:tc>
        <w:tc>
          <w:tcPr>
            <w:tcW w:w="1140" w:type="dxa"/>
            <w:vAlign w:val="center"/>
          </w:tcPr>
          <w:p w14:paraId="705D36EA">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w:t>
            </w:r>
          </w:p>
        </w:tc>
        <w:tc>
          <w:tcPr>
            <w:tcW w:w="987" w:type="dxa"/>
            <w:vAlign w:val="center"/>
          </w:tcPr>
          <w:p w14:paraId="173782F9">
            <w:pPr>
              <w:shd w:val="clear"/>
              <w:kinsoku/>
              <w:autoSpaceDE/>
              <w:autoSpaceDN/>
              <w:adjustRightInd/>
              <w:snapToGrid/>
              <w:spacing w:line="360" w:lineRule="auto"/>
              <w:jc w:val="center"/>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项</w:t>
            </w:r>
          </w:p>
        </w:tc>
        <w:tc>
          <w:tcPr>
            <w:tcW w:w="1822" w:type="dxa"/>
            <w:vAlign w:val="center"/>
          </w:tcPr>
          <w:p w14:paraId="487399CB">
            <w:pPr>
              <w:shd w:val="clear"/>
              <w:kinsoku/>
              <w:autoSpaceDE/>
              <w:autoSpaceDN/>
              <w:adjustRightInd/>
              <w:snapToGrid/>
              <w:spacing w:line="360" w:lineRule="auto"/>
              <w:jc w:val="center"/>
              <w:textAlignment w:val="auto"/>
              <w:rPr>
                <w:rFonts w:hint="default" w:ascii="仿宋" w:hAnsi="仿宋" w:eastAsia="仿宋" w:cs="仿宋"/>
                <w:snapToGrid/>
                <w:color w:val="auto"/>
                <w:sz w:val="24"/>
                <w:szCs w:val="24"/>
                <w:highlight w:val="none"/>
                <w:lang w:val="en-US" w:eastAsia="zh-CN" w:bidi="ar"/>
              </w:rPr>
            </w:pPr>
            <w:r>
              <w:rPr>
                <w:rFonts w:hint="eastAsia" w:ascii="仿宋" w:hAnsi="仿宋" w:eastAsia="仿宋" w:cs="仿宋"/>
                <w:snapToGrid/>
                <w:color w:val="auto"/>
                <w:sz w:val="24"/>
                <w:szCs w:val="24"/>
                <w:highlight w:val="none"/>
                <w:lang w:val="en-US" w:eastAsia="zh-CN" w:bidi="ar"/>
              </w:rPr>
              <w:t>1141765.00</w:t>
            </w:r>
          </w:p>
        </w:tc>
      </w:tr>
      <w:tr w14:paraId="39F652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8855" w:type="dxa"/>
            <w:gridSpan w:val="5"/>
            <w:vAlign w:val="center"/>
          </w:tcPr>
          <w:p w14:paraId="39327862">
            <w:pPr>
              <w:shd w:val="clear"/>
              <w:kinsoku/>
              <w:autoSpaceDE/>
              <w:autoSpaceDN/>
              <w:adjustRightInd/>
              <w:snapToGrid/>
              <w:spacing w:line="360" w:lineRule="auto"/>
              <w:jc w:val="left"/>
              <w:textAlignment w:val="auto"/>
              <w:rPr>
                <w:rFonts w:hint="eastAsia" w:ascii="仿宋" w:hAnsi="仿宋" w:eastAsia="仿宋" w:cs="仿宋"/>
                <w:snapToGrid/>
                <w:color w:val="auto"/>
                <w:sz w:val="24"/>
                <w:szCs w:val="24"/>
                <w:highlight w:val="none"/>
                <w:lang w:val="en-US" w:eastAsia="zh-CN" w:bidi="ar"/>
              </w:rPr>
            </w:pPr>
            <w:r>
              <w:rPr>
                <w:rFonts w:hint="eastAsia" w:ascii="仿宋" w:hAnsi="仿宋" w:eastAsia="仿宋" w:cs="仿宋"/>
                <w:b/>
                <w:bCs/>
                <w:snapToGrid/>
                <w:color w:val="auto"/>
                <w:sz w:val="24"/>
                <w:szCs w:val="24"/>
                <w:highlight w:val="none"/>
                <w:lang w:val="en-US" w:eastAsia="zh-CN" w:bidi="ar"/>
              </w:rPr>
              <w:t>注：</w:t>
            </w:r>
            <w:r>
              <w:rPr>
                <w:rFonts w:hint="eastAsia" w:ascii="仿宋" w:hAnsi="仿宋" w:eastAsia="仿宋" w:cs="仿宋"/>
                <w:b/>
                <w:bCs/>
                <w:snapToGrid/>
                <w:color w:val="auto"/>
                <w:kern w:val="2"/>
                <w:sz w:val="24"/>
                <w:szCs w:val="24"/>
                <w:highlight w:val="none"/>
                <w:lang w:val="en-US" w:eastAsia="zh-CN"/>
              </w:rPr>
              <w:t>本项目分为A、B包，</w:t>
            </w:r>
            <w:r>
              <w:rPr>
                <w:rFonts w:hint="default" w:ascii="仿宋" w:hAnsi="仿宋" w:eastAsia="仿宋" w:cs="仿宋"/>
                <w:b/>
                <w:bCs/>
                <w:snapToGrid/>
                <w:color w:val="auto"/>
                <w:kern w:val="2"/>
                <w:sz w:val="24"/>
                <w:szCs w:val="24"/>
                <w:highlight w:val="none"/>
                <w:lang w:val="en-US" w:eastAsia="zh-CN"/>
              </w:rPr>
              <w:t>投标人可对A、B包同时投标，若同时满足</w:t>
            </w:r>
            <w:r>
              <w:rPr>
                <w:rFonts w:hint="eastAsia" w:ascii="仿宋" w:hAnsi="仿宋" w:eastAsia="仿宋" w:cs="仿宋"/>
                <w:b/>
                <w:bCs/>
                <w:snapToGrid/>
                <w:color w:val="auto"/>
                <w:kern w:val="2"/>
                <w:sz w:val="24"/>
                <w:szCs w:val="24"/>
                <w:highlight w:val="none"/>
                <w:lang w:val="en-US" w:eastAsia="zh-CN"/>
              </w:rPr>
              <w:t>两个</w:t>
            </w:r>
            <w:r>
              <w:rPr>
                <w:rFonts w:hint="default" w:ascii="仿宋" w:hAnsi="仿宋" w:eastAsia="仿宋" w:cs="仿宋"/>
                <w:b/>
                <w:bCs/>
                <w:snapToGrid/>
                <w:color w:val="auto"/>
                <w:kern w:val="2"/>
                <w:sz w:val="24"/>
                <w:szCs w:val="24"/>
                <w:highlight w:val="none"/>
                <w:lang w:val="en-US" w:eastAsia="zh-CN"/>
              </w:rPr>
              <w:t>包的中标条件，可同时中标</w:t>
            </w:r>
            <w:r>
              <w:rPr>
                <w:rFonts w:hint="eastAsia" w:ascii="仿宋" w:hAnsi="仿宋" w:eastAsia="仿宋" w:cs="仿宋"/>
                <w:b/>
                <w:bCs/>
                <w:snapToGrid/>
                <w:color w:val="auto"/>
                <w:kern w:val="2"/>
                <w:sz w:val="24"/>
                <w:szCs w:val="24"/>
                <w:highlight w:val="none"/>
                <w:lang w:val="en-US" w:eastAsia="zh-CN"/>
              </w:rPr>
              <w:t>。</w:t>
            </w:r>
          </w:p>
        </w:tc>
      </w:tr>
    </w:tbl>
    <w:p w14:paraId="7479BB79">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合同履行期限：</w:t>
      </w:r>
      <w:r>
        <w:rPr>
          <w:rFonts w:hint="eastAsia" w:ascii="仿宋" w:hAnsi="仿宋" w:eastAsia="仿宋" w:cs="仿宋"/>
          <w:snapToGrid/>
          <w:color w:val="auto"/>
          <w:sz w:val="24"/>
          <w:szCs w:val="24"/>
          <w:highlight w:val="none"/>
          <w:lang w:val="en-US" w:eastAsia="zh-CN" w:bidi="ar"/>
        </w:rPr>
        <w:t>自合同签订之日起一年。</w:t>
      </w:r>
    </w:p>
    <w:p w14:paraId="7B365742">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本项目是否接受联合体磋商：否</w:t>
      </w:r>
    </w:p>
    <w:p w14:paraId="44662D4D">
      <w:pPr>
        <w:widowControl w:val="0"/>
        <w:shd w:val="clear"/>
        <w:spacing w:before="48" w:beforeLines="20"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二、供应商的资格要求</w:t>
      </w:r>
    </w:p>
    <w:p w14:paraId="58E43B91">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1.满足《中华人民共和国政府采购法》第二十二条规定：</w:t>
      </w:r>
    </w:p>
    <w:p w14:paraId="58779C89">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1.1 具有独立承担民事责任的能力；</w:t>
      </w:r>
    </w:p>
    <w:p w14:paraId="1A19E393">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1.2 具有良好的商业信誉和健全的财务会计制度；</w:t>
      </w:r>
    </w:p>
    <w:p w14:paraId="5415AD40">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1.3 具有履行合同所必需的设备和专业技术能力；</w:t>
      </w:r>
    </w:p>
    <w:p w14:paraId="35EF0393">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1.4 有依法缴纳税收和社会保障资金的良好记录；</w:t>
      </w:r>
    </w:p>
    <w:p w14:paraId="07D853BF">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1.5 参加政府采购活动前三年内，在经营活动中没有重大违法记录；</w:t>
      </w:r>
    </w:p>
    <w:p w14:paraId="77EB82DB">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1.6 法律、行政法规规定的其他条件。</w:t>
      </w:r>
    </w:p>
    <w:p w14:paraId="6F0C61DD">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2.单位负责人为同一人或者存在直接控股、管理关系的不同供应商，不得参加同一合同项下的采购活动。为本采购项目提供整体设计、规范编制或者项目管理、监理、检测等服务的，不得参加本项目的政府采购活动。</w:t>
      </w:r>
    </w:p>
    <w:p w14:paraId="21E2095E">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3.供应商被“信用中国”网站列入失信被执行人或重大税收违法案件当事人名单或被“中国政府采购网”网站列入政府采购严重违法失信行为记录名单（处罚期限尚未届满的）的，不得参加本项目的政府采购活动。</w:t>
      </w:r>
    </w:p>
    <w:p w14:paraId="4ABFF6C9">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4.落实政府采购政策需满足的资格要求：</w:t>
      </w:r>
    </w:p>
    <w:p w14:paraId="2D46A432">
      <w:pPr>
        <w:shd w:val="clear"/>
        <w:kinsoku/>
        <w:wordWrap w:val="0"/>
        <w:autoSpaceDE/>
        <w:autoSpaceDN/>
        <w:adjustRightInd/>
        <w:snapToGrid/>
        <w:spacing w:line="360" w:lineRule="auto"/>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4.1 中小企业政策：</w:t>
      </w:r>
      <w:r>
        <w:rPr>
          <w:rFonts w:hint="eastAsia" w:ascii="仿宋" w:hAnsi="仿宋" w:eastAsia="仿宋" w:cs="仿宋"/>
          <w:snapToGrid w:val="0"/>
          <w:color w:val="auto"/>
          <w:spacing w:val="0"/>
          <w:kern w:val="0"/>
          <w:position w:val="0"/>
          <w:sz w:val="24"/>
          <w:szCs w:val="20"/>
          <w:highlight w:val="none"/>
          <w:lang w:val="en-US" w:eastAsia="zh-CN" w:bidi="ar-SA"/>
        </w:rPr>
        <w:t>本项目专门面</w:t>
      </w:r>
      <w:r>
        <w:rPr>
          <w:rFonts w:hint="eastAsia" w:ascii="仿宋" w:hAnsi="仿宋" w:eastAsia="仿宋" w:cs="仿宋"/>
          <w:b w:val="0"/>
          <w:bCs w:val="0"/>
          <w:color w:val="auto"/>
          <w:spacing w:val="0"/>
          <w:position w:val="0"/>
          <w:sz w:val="24"/>
          <w:szCs w:val="24"/>
          <w:highlight w:val="none"/>
          <w:lang w:val="en-US" w:eastAsia="zh-CN"/>
        </w:rPr>
        <w:t>向</w:t>
      </w:r>
      <w:r>
        <w:rPr>
          <w:rFonts w:hint="eastAsia" w:ascii="仿宋" w:hAnsi="仿宋" w:eastAsia="仿宋" w:cs="仿宋"/>
          <w:b w:val="0"/>
          <w:bCs w:val="0"/>
          <w:color w:val="auto"/>
          <w:spacing w:val="0"/>
          <w:position w:val="0"/>
          <w:sz w:val="24"/>
          <w:szCs w:val="24"/>
          <w:highlight w:val="none"/>
          <w:lang w:eastAsia="zh-CN"/>
        </w:rPr>
        <w:t>中小企业采</w:t>
      </w:r>
      <w:r>
        <w:rPr>
          <w:rFonts w:hint="eastAsia" w:ascii="仿宋" w:hAnsi="仿宋" w:eastAsia="仿宋" w:cs="仿宋"/>
          <w:color w:val="auto"/>
          <w:spacing w:val="0"/>
          <w:position w:val="0"/>
          <w:sz w:val="24"/>
          <w:szCs w:val="24"/>
          <w:highlight w:val="none"/>
          <w:lang w:eastAsia="zh-CN"/>
        </w:rPr>
        <w:t>购。</w:t>
      </w:r>
      <w:r>
        <w:rPr>
          <w:rFonts w:hint="eastAsia" w:ascii="仿宋" w:hAnsi="仿宋" w:eastAsia="仿宋" w:cs="仿宋"/>
          <w:color w:val="auto"/>
          <w:spacing w:val="0"/>
          <w:position w:val="0"/>
          <w:sz w:val="24"/>
          <w:szCs w:val="24"/>
          <w:highlight w:val="none"/>
          <w:lang w:val="en-US" w:eastAsia="zh-CN"/>
        </w:rPr>
        <w:t>承接本项目服务的企业</w:t>
      </w:r>
      <w:r>
        <w:rPr>
          <w:rFonts w:hint="eastAsia" w:ascii="仿宋" w:hAnsi="仿宋" w:eastAsia="仿宋" w:cs="仿宋"/>
          <w:color w:val="auto"/>
          <w:spacing w:val="0"/>
          <w:position w:val="0"/>
          <w:sz w:val="24"/>
          <w:szCs w:val="24"/>
          <w:highlight w:val="none"/>
          <w:lang w:eastAsia="zh-CN"/>
        </w:rPr>
        <w:t>须</w:t>
      </w:r>
      <w:r>
        <w:rPr>
          <w:rFonts w:hint="eastAsia" w:ascii="仿宋" w:hAnsi="仿宋" w:eastAsia="仿宋" w:cs="仿宋"/>
          <w:color w:val="auto"/>
          <w:spacing w:val="0"/>
          <w:position w:val="0"/>
          <w:sz w:val="24"/>
          <w:szCs w:val="24"/>
          <w:highlight w:val="none"/>
          <w:lang w:val="en-US" w:eastAsia="zh-CN"/>
        </w:rPr>
        <w:t>是</w:t>
      </w:r>
      <w:r>
        <w:rPr>
          <w:rFonts w:hint="eastAsia" w:ascii="仿宋" w:hAnsi="仿宋" w:eastAsia="仿宋" w:cs="仿宋"/>
          <w:color w:val="auto"/>
          <w:spacing w:val="0"/>
          <w:position w:val="0"/>
          <w:sz w:val="24"/>
          <w:szCs w:val="24"/>
          <w:highlight w:val="none"/>
          <w:lang w:eastAsia="zh-CN"/>
        </w:rPr>
        <w:t>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w:t>
      </w:r>
      <w:r>
        <w:rPr>
          <w:rFonts w:hint="eastAsia" w:ascii="仿宋" w:hAnsi="仿宋" w:eastAsia="仿宋" w:cs="仿宋"/>
          <w:b w:val="0"/>
          <w:bCs w:val="0"/>
          <w:color w:val="auto"/>
          <w:spacing w:val="0"/>
          <w:position w:val="0"/>
          <w:sz w:val="24"/>
          <w:szCs w:val="24"/>
          <w:highlight w:val="none"/>
          <w:lang w:val="en-US" w:eastAsia="zh-CN"/>
        </w:rPr>
        <w:t>设兵团）出具的属于监狱企业的证明文件或残疾人福利性单位声明函）</w:t>
      </w:r>
      <w:r>
        <w:rPr>
          <w:rFonts w:hint="eastAsia" w:ascii="仿宋" w:hAnsi="仿宋" w:eastAsia="仿宋" w:cs="仿宋"/>
          <w:b/>
          <w:bCs/>
          <w:snapToGrid/>
          <w:color w:val="auto"/>
          <w:sz w:val="24"/>
          <w:szCs w:val="24"/>
          <w:highlight w:val="none"/>
          <w:lang w:eastAsia="zh-CN" w:bidi="ar"/>
        </w:rPr>
        <w:t>【提供中小企业声明函】；</w:t>
      </w:r>
      <w:r>
        <w:rPr>
          <w:rFonts w:hint="eastAsia" w:ascii="仿宋" w:hAnsi="仿宋" w:eastAsia="仿宋" w:cs="仿宋"/>
          <w:snapToGrid/>
          <w:color w:val="auto"/>
          <w:sz w:val="24"/>
          <w:szCs w:val="24"/>
          <w:highlight w:val="none"/>
          <w:lang w:eastAsia="zh-CN" w:bidi="ar"/>
        </w:rPr>
        <w:t>本项目采购标的所属类型：服务类；中小企业划分标准所属行业为： 其他未列明行业 ；</w:t>
      </w:r>
    </w:p>
    <w:p w14:paraId="325C55AB">
      <w:pPr>
        <w:shd w:val="clear"/>
        <w:kinsoku/>
        <w:wordWrap w:val="0"/>
        <w:autoSpaceDE/>
        <w:autoSpaceDN/>
        <w:adjustRightInd/>
        <w:snapToGrid/>
        <w:spacing w:line="360" w:lineRule="auto"/>
        <w:textAlignment w:val="auto"/>
        <w:rPr>
          <w:rFonts w:hint="eastAsia"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4.2 如本项目采购的产品属于政府强制采购节能产品的，投标文件中必须提供《参与实施政府采购节能产品认证机构名录》中的对应产品认证机构出具有效期内的节能产品认证证书或提供国家市场监督管理总局的节能产品查询结果截图；</w:t>
      </w:r>
    </w:p>
    <w:p w14:paraId="2F17B2AB">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5.本项目的特定资格要求：/</w:t>
      </w:r>
    </w:p>
    <w:p w14:paraId="7157060A">
      <w:pPr>
        <w:widowControl w:val="0"/>
        <w:shd w:val="clear"/>
        <w:spacing w:before="120" w:beforeLines="50" w:line="360" w:lineRule="auto"/>
        <w:ind w:left="1"/>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三、获取磋商文件</w:t>
      </w:r>
    </w:p>
    <w:p w14:paraId="7D8E1ED3">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时间：</w:t>
      </w:r>
      <w:r>
        <w:rPr>
          <w:rFonts w:hint="eastAsia" w:ascii="仿宋" w:hAnsi="仿宋" w:eastAsia="仿宋" w:cs="仿宋"/>
          <w:snapToGrid/>
          <w:color w:val="auto"/>
          <w:sz w:val="24"/>
          <w:szCs w:val="24"/>
          <w:highlight w:val="none"/>
          <w:lang w:val="en-US" w:eastAsia="zh-CN" w:bidi="ar"/>
        </w:rPr>
        <w:t>2026</w:t>
      </w:r>
      <w:r>
        <w:rPr>
          <w:rFonts w:hint="eastAsia" w:ascii="仿宋" w:hAnsi="仿宋" w:eastAsia="仿宋" w:cs="仿宋"/>
          <w:snapToGrid/>
          <w:color w:val="auto"/>
          <w:sz w:val="24"/>
          <w:szCs w:val="24"/>
          <w:highlight w:val="none"/>
          <w:lang w:eastAsia="zh-CN" w:bidi="ar"/>
        </w:rPr>
        <w:t>年</w:t>
      </w:r>
      <w:r>
        <w:rPr>
          <w:rFonts w:hint="eastAsia" w:ascii="仿宋" w:hAnsi="仿宋" w:eastAsia="仿宋" w:cs="仿宋"/>
          <w:snapToGrid/>
          <w:color w:val="auto"/>
          <w:sz w:val="24"/>
          <w:szCs w:val="24"/>
          <w:highlight w:val="none"/>
          <w:lang w:val="en-US" w:eastAsia="zh-CN" w:bidi="ar"/>
        </w:rPr>
        <w:t>05</w:t>
      </w:r>
      <w:r>
        <w:rPr>
          <w:rFonts w:hint="eastAsia" w:ascii="仿宋" w:hAnsi="仿宋" w:eastAsia="仿宋" w:cs="仿宋"/>
          <w:snapToGrid/>
          <w:color w:val="auto"/>
          <w:sz w:val="24"/>
          <w:szCs w:val="24"/>
          <w:highlight w:val="none"/>
          <w:lang w:eastAsia="zh-CN" w:bidi="ar"/>
        </w:rPr>
        <w:t>月</w:t>
      </w:r>
      <w:r>
        <w:rPr>
          <w:rFonts w:hint="eastAsia" w:ascii="仿宋" w:hAnsi="仿宋" w:eastAsia="仿宋" w:cs="仿宋"/>
          <w:snapToGrid/>
          <w:color w:val="auto"/>
          <w:sz w:val="24"/>
          <w:szCs w:val="24"/>
          <w:highlight w:val="none"/>
          <w:lang w:val="en-US" w:eastAsia="zh-CN" w:bidi="ar"/>
        </w:rPr>
        <w:t>10</w:t>
      </w:r>
      <w:r>
        <w:rPr>
          <w:rFonts w:hint="eastAsia" w:ascii="仿宋" w:hAnsi="仿宋" w:eastAsia="仿宋" w:cs="仿宋"/>
          <w:snapToGrid/>
          <w:color w:val="auto"/>
          <w:sz w:val="24"/>
          <w:szCs w:val="24"/>
          <w:highlight w:val="none"/>
          <w:lang w:eastAsia="zh-CN" w:bidi="ar"/>
        </w:rPr>
        <w:t>日</w:t>
      </w:r>
      <w:r>
        <w:rPr>
          <w:rFonts w:hint="eastAsia" w:ascii="仿宋" w:hAnsi="仿宋" w:eastAsia="仿宋" w:cs="仿宋"/>
          <w:snapToGrid/>
          <w:color w:val="auto"/>
          <w:sz w:val="24"/>
          <w:szCs w:val="24"/>
          <w:highlight w:val="none"/>
          <w:lang w:val="en-US" w:eastAsia="zh-CN" w:bidi="ar"/>
        </w:rPr>
        <w:t>0:00</w:t>
      </w:r>
      <w:r>
        <w:rPr>
          <w:rFonts w:hint="eastAsia" w:ascii="仿宋" w:hAnsi="仿宋" w:eastAsia="仿宋" w:cs="仿宋"/>
          <w:snapToGrid/>
          <w:color w:val="auto"/>
          <w:sz w:val="24"/>
          <w:szCs w:val="24"/>
          <w:highlight w:val="none"/>
          <w:lang w:eastAsia="zh-CN" w:bidi="ar"/>
        </w:rPr>
        <w:t>至</w:t>
      </w:r>
      <w:r>
        <w:rPr>
          <w:rFonts w:hint="eastAsia" w:ascii="仿宋" w:hAnsi="仿宋" w:eastAsia="仿宋" w:cs="仿宋"/>
          <w:snapToGrid/>
          <w:color w:val="auto"/>
          <w:sz w:val="24"/>
          <w:szCs w:val="24"/>
          <w:highlight w:val="none"/>
          <w:lang w:val="en-US" w:eastAsia="zh-CN" w:bidi="ar"/>
        </w:rPr>
        <w:t>2026</w:t>
      </w:r>
      <w:r>
        <w:rPr>
          <w:rFonts w:hint="eastAsia" w:ascii="仿宋" w:hAnsi="仿宋" w:eastAsia="仿宋" w:cs="仿宋"/>
          <w:snapToGrid/>
          <w:color w:val="auto"/>
          <w:sz w:val="24"/>
          <w:szCs w:val="24"/>
          <w:highlight w:val="none"/>
          <w:lang w:eastAsia="zh-CN" w:bidi="ar"/>
        </w:rPr>
        <w:t>年</w:t>
      </w:r>
      <w:r>
        <w:rPr>
          <w:rFonts w:hint="eastAsia" w:ascii="仿宋" w:hAnsi="仿宋" w:eastAsia="仿宋" w:cs="仿宋"/>
          <w:snapToGrid/>
          <w:color w:val="auto"/>
          <w:sz w:val="24"/>
          <w:szCs w:val="24"/>
          <w:highlight w:val="none"/>
          <w:lang w:val="en-US" w:eastAsia="zh-CN" w:bidi="ar"/>
        </w:rPr>
        <w:t>05</w:t>
      </w:r>
      <w:r>
        <w:rPr>
          <w:rFonts w:hint="eastAsia" w:ascii="仿宋" w:hAnsi="仿宋" w:eastAsia="仿宋" w:cs="仿宋"/>
          <w:snapToGrid/>
          <w:color w:val="auto"/>
          <w:sz w:val="24"/>
          <w:szCs w:val="24"/>
          <w:highlight w:val="none"/>
          <w:lang w:eastAsia="zh-CN" w:bidi="ar"/>
        </w:rPr>
        <w:t>月</w:t>
      </w:r>
      <w:r>
        <w:rPr>
          <w:rFonts w:hint="eastAsia" w:ascii="仿宋" w:hAnsi="仿宋" w:eastAsia="仿宋" w:cs="仿宋"/>
          <w:snapToGrid/>
          <w:color w:val="auto"/>
          <w:sz w:val="24"/>
          <w:szCs w:val="24"/>
          <w:highlight w:val="none"/>
          <w:lang w:val="en-US" w:eastAsia="zh-CN" w:bidi="ar"/>
        </w:rPr>
        <w:t>16</w:t>
      </w:r>
      <w:r>
        <w:rPr>
          <w:rFonts w:hint="eastAsia" w:ascii="仿宋" w:hAnsi="仿宋" w:eastAsia="仿宋" w:cs="仿宋"/>
          <w:snapToGrid/>
          <w:color w:val="auto"/>
          <w:sz w:val="24"/>
          <w:szCs w:val="24"/>
          <w:highlight w:val="none"/>
          <w:lang w:eastAsia="zh-CN" w:bidi="ar"/>
        </w:rPr>
        <w:t>日</w:t>
      </w:r>
      <w:r>
        <w:rPr>
          <w:rFonts w:hint="eastAsia" w:ascii="仿宋" w:hAnsi="仿宋" w:eastAsia="仿宋" w:cs="仿宋"/>
          <w:snapToGrid/>
          <w:color w:val="auto"/>
          <w:sz w:val="24"/>
          <w:szCs w:val="24"/>
          <w:highlight w:val="none"/>
          <w:lang w:val="en-US" w:eastAsia="zh-CN" w:bidi="ar"/>
        </w:rPr>
        <w:t>0:00</w:t>
      </w:r>
      <w:r>
        <w:rPr>
          <w:rFonts w:hint="eastAsia" w:ascii="仿宋" w:hAnsi="仿宋" w:eastAsia="仿宋" w:cs="仿宋"/>
          <w:snapToGrid/>
          <w:color w:val="auto"/>
          <w:sz w:val="24"/>
          <w:szCs w:val="24"/>
          <w:highlight w:val="none"/>
          <w:lang w:eastAsia="zh-CN" w:bidi="ar"/>
        </w:rPr>
        <w:t>（北京时间，法定节假日除外）</w:t>
      </w:r>
    </w:p>
    <w:p w14:paraId="2B4E9A03">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地点：江西省公共资源交易平台（网址：https://www.jxsggzy.cn）</w:t>
      </w:r>
    </w:p>
    <w:p w14:paraId="04C6C4AF">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方式：网上确认和下载磋商文件。（详见其他补充事宜）</w:t>
      </w:r>
    </w:p>
    <w:p w14:paraId="27322C89">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四、提交响应文件截止时间、磋商时间和地点</w:t>
      </w:r>
    </w:p>
    <w:p w14:paraId="75D2AABF">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val="en-US" w:eastAsia="zh-CN" w:bidi="ar"/>
        </w:rPr>
        <w:t>2026</w:t>
      </w:r>
      <w:r>
        <w:rPr>
          <w:rFonts w:hint="eastAsia" w:ascii="仿宋" w:hAnsi="仿宋" w:eastAsia="仿宋" w:cs="仿宋"/>
          <w:snapToGrid/>
          <w:color w:val="auto"/>
          <w:sz w:val="24"/>
          <w:szCs w:val="24"/>
          <w:highlight w:val="none"/>
          <w:lang w:eastAsia="zh-CN" w:bidi="ar"/>
        </w:rPr>
        <w:t>年</w:t>
      </w:r>
      <w:r>
        <w:rPr>
          <w:rFonts w:hint="eastAsia" w:ascii="仿宋" w:hAnsi="仿宋" w:eastAsia="仿宋" w:cs="仿宋"/>
          <w:snapToGrid/>
          <w:color w:val="auto"/>
          <w:sz w:val="24"/>
          <w:szCs w:val="24"/>
          <w:highlight w:val="none"/>
          <w:lang w:val="en-US" w:eastAsia="zh-CN" w:bidi="ar"/>
        </w:rPr>
        <w:t>05</w:t>
      </w:r>
      <w:r>
        <w:rPr>
          <w:rFonts w:hint="eastAsia" w:ascii="仿宋" w:hAnsi="仿宋" w:eastAsia="仿宋" w:cs="仿宋"/>
          <w:snapToGrid/>
          <w:color w:val="auto"/>
          <w:sz w:val="24"/>
          <w:szCs w:val="24"/>
          <w:highlight w:val="none"/>
          <w:lang w:eastAsia="zh-CN" w:bidi="ar"/>
        </w:rPr>
        <w:t>月</w:t>
      </w:r>
      <w:r>
        <w:rPr>
          <w:rFonts w:hint="eastAsia" w:ascii="仿宋" w:hAnsi="仿宋" w:eastAsia="仿宋" w:cs="仿宋"/>
          <w:snapToGrid/>
          <w:color w:val="auto"/>
          <w:sz w:val="24"/>
          <w:szCs w:val="24"/>
          <w:highlight w:val="none"/>
          <w:lang w:val="en-US" w:eastAsia="zh-CN" w:bidi="ar"/>
        </w:rPr>
        <w:t>21</w:t>
      </w:r>
      <w:r>
        <w:rPr>
          <w:rFonts w:hint="eastAsia" w:ascii="仿宋" w:hAnsi="仿宋" w:eastAsia="仿宋" w:cs="仿宋"/>
          <w:snapToGrid/>
          <w:color w:val="auto"/>
          <w:sz w:val="24"/>
          <w:szCs w:val="24"/>
          <w:highlight w:val="none"/>
          <w:lang w:eastAsia="zh-CN" w:bidi="ar"/>
        </w:rPr>
        <w:t>日</w:t>
      </w:r>
      <w:r>
        <w:rPr>
          <w:rFonts w:hint="eastAsia" w:ascii="仿宋" w:hAnsi="仿宋" w:eastAsia="仿宋" w:cs="仿宋"/>
          <w:snapToGrid/>
          <w:color w:val="auto"/>
          <w:sz w:val="24"/>
          <w:szCs w:val="24"/>
          <w:highlight w:val="none"/>
          <w:lang w:val="en-US" w:eastAsia="zh-CN" w:bidi="ar"/>
        </w:rPr>
        <w:t>09</w:t>
      </w:r>
      <w:r>
        <w:rPr>
          <w:rFonts w:hint="eastAsia" w:ascii="仿宋" w:hAnsi="仿宋" w:eastAsia="仿宋" w:cs="仿宋"/>
          <w:snapToGrid/>
          <w:color w:val="auto"/>
          <w:sz w:val="24"/>
          <w:szCs w:val="24"/>
          <w:highlight w:val="none"/>
          <w:lang w:eastAsia="zh-CN" w:bidi="ar"/>
        </w:rPr>
        <w:t>点</w:t>
      </w:r>
      <w:r>
        <w:rPr>
          <w:rFonts w:hint="eastAsia" w:ascii="仿宋" w:hAnsi="仿宋" w:eastAsia="仿宋" w:cs="仿宋"/>
          <w:snapToGrid/>
          <w:color w:val="auto"/>
          <w:sz w:val="24"/>
          <w:szCs w:val="24"/>
          <w:highlight w:val="none"/>
          <w:lang w:val="en-US" w:eastAsia="zh-CN" w:bidi="ar"/>
        </w:rPr>
        <w:t>00</w:t>
      </w:r>
      <w:r>
        <w:rPr>
          <w:rFonts w:hint="eastAsia" w:ascii="仿宋" w:hAnsi="仿宋" w:eastAsia="仿宋" w:cs="仿宋"/>
          <w:snapToGrid/>
          <w:color w:val="auto"/>
          <w:sz w:val="24"/>
          <w:szCs w:val="24"/>
          <w:highlight w:val="none"/>
          <w:lang w:eastAsia="zh-CN" w:bidi="ar"/>
        </w:rPr>
        <w:t>分（北京时间）</w:t>
      </w:r>
    </w:p>
    <w:p w14:paraId="6D8EBDD4">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地点：江西省公共资源交易平台</w:t>
      </w:r>
    </w:p>
    <w:p w14:paraId="4F541FBE">
      <w:pPr>
        <w:widowControl w:val="0"/>
        <w:numPr>
          <w:ilvl w:val="0"/>
          <w:numId w:val="1"/>
        </w:numPr>
        <w:shd w:val="clear"/>
        <w:spacing w:line="360" w:lineRule="auto"/>
        <w:ind w:left="4"/>
        <w:rPr>
          <w:rFonts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公告期限</w:t>
      </w:r>
    </w:p>
    <w:p w14:paraId="00543105">
      <w:pPr>
        <w:shd w:val="clear"/>
        <w:kinsoku/>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自本公告发布之日起3个工作日。</w:t>
      </w:r>
      <w:bookmarkStart w:id="1" w:name="bookmark7"/>
      <w:bookmarkEnd w:id="1"/>
      <w:bookmarkStart w:id="2" w:name="bookmark6"/>
      <w:bookmarkEnd w:id="2"/>
      <w:bookmarkStart w:id="3" w:name="bookmark5"/>
      <w:bookmarkEnd w:id="3"/>
    </w:p>
    <w:p w14:paraId="14EA7113">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六、其他补充事宜</w:t>
      </w:r>
    </w:p>
    <w:p w14:paraId="2B41B643">
      <w:pPr>
        <w:shd w:val="clear"/>
        <w:kinsoku/>
        <w:wordWrap w:val="0"/>
        <w:autoSpaceDE/>
        <w:autoSpaceDN/>
        <w:adjustRightInd/>
        <w:snapToGrid/>
        <w:spacing w:line="360" w:lineRule="auto"/>
        <w:textAlignment w:val="auto"/>
        <w:rPr>
          <w:rFonts w:ascii="仿宋" w:hAnsi="仿宋" w:eastAsia="仿宋" w:cs="仿宋"/>
          <w:snapToGrid/>
          <w:color w:val="auto"/>
          <w:sz w:val="24"/>
          <w:szCs w:val="24"/>
          <w:highlight w:val="none"/>
          <w:lang w:eastAsia="zh-CN" w:bidi="ar"/>
        </w:rPr>
      </w:pPr>
      <w:r>
        <w:rPr>
          <w:rFonts w:hint="eastAsia" w:ascii="仿宋" w:hAnsi="仿宋" w:eastAsia="仿宋" w:cs="仿宋"/>
          <w:snapToGrid/>
          <w:color w:val="auto"/>
          <w:sz w:val="24"/>
          <w:szCs w:val="24"/>
          <w:highlight w:val="none"/>
          <w:lang w:eastAsia="zh-CN" w:bidi="ar"/>
        </w:rPr>
        <w:t>1.潜在供应商必须在江西省公共资源交易平台（网址：https://www.jxsggzy.cn） 注册并办理江西省 CA 数字证书和电子签章。具体要求详见“江西省公共资源交易平台-服务指南-投标单位”（网址：https://www.jxsggzy.cn）。潜在供应商未使用本单位 CA 数字证书在江西省公共资源交易平台下载磋商文件的，视为未获取磋商文件，不得参加本项目的磋商活动；</w:t>
      </w:r>
    </w:p>
    <w:p w14:paraId="60BC0AD9">
      <w:pPr>
        <w:widowControl w:val="0"/>
        <w:shd w:val="clear"/>
        <w:kinsoku/>
        <w:autoSpaceDE/>
        <w:autoSpaceDN/>
        <w:adjustRightInd/>
        <w:snapToGrid/>
        <w:spacing w:line="360" w:lineRule="auto"/>
        <w:textAlignment w:val="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2.本项目采用</w:t>
      </w:r>
      <w:r>
        <w:rPr>
          <w:rFonts w:hint="eastAsia" w:ascii="仿宋" w:hAnsi="仿宋" w:eastAsia="仿宋" w:cs="仿宋"/>
          <w:b/>
          <w:bCs/>
          <w:color w:val="auto"/>
          <w:sz w:val="24"/>
          <w:szCs w:val="24"/>
          <w:highlight w:val="none"/>
          <w:lang w:eastAsia="zh-CN"/>
        </w:rPr>
        <w:t>“不见面”磋商方式</w:t>
      </w:r>
      <w:r>
        <w:rPr>
          <w:rFonts w:hint="eastAsia" w:ascii="仿宋" w:hAnsi="仿宋" w:eastAsia="仿宋" w:cs="仿宋"/>
          <w:color w:val="auto"/>
          <w:sz w:val="24"/>
          <w:szCs w:val="24"/>
          <w:highlight w:val="none"/>
          <w:lang w:eastAsia="zh-CN"/>
        </w:rPr>
        <w:t>，供应商无需到磋商现场，供应商应在提交响应文件截止时间前1小时进入江西省公共资源交易网-不见面开标大厅（具体详见供应商操作手册），否则无法进入后续的磋商环节。具体注意事项详见磋商文件第二章，各供应商需保持在线进行远程线上报价，</w:t>
      </w:r>
      <w:r>
        <w:rPr>
          <w:rFonts w:hint="eastAsia" w:ascii="仿宋" w:hAnsi="仿宋" w:eastAsia="仿宋" w:cs="仿宋"/>
          <w:b/>
          <w:bCs/>
          <w:color w:val="auto"/>
          <w:sz w:val="24"/>
          <w:szCs w:val="24"/>
          <w:highlight w:val="none"/>
          <w:lang w:eastAsia="zh-CN"/>
        </w:rPr>
        <w:t>规定时间内未完成二次报价的</w:t>
      </w:r>
      <w:r>
        <w:rPr>
          <w:rFonts w:hint="eastAsia" w:ascii="仿宋" w:hAnsi="仿宋" w:eastAsia="仿宋" w:cs="仿宋"/>
          <w:color w:val="auto"/>
          <w:sz w:val="24"/>
          <w:szCs w:val="24"/>
          <w:highlight w:val="none"/>
          <w:lang w:eastAsia="zh-CN"/>
        </w:rPr>
        <w:t>，视为退出磋商。</w:t>
      </w:r>
    </w:p>
    <w:p w14:paraId="4F969D95">
      <w:pPr>
        <w:widowControl w:val="0"/>
        <w:shd w:val="clear"/>
        <w:kinsoku/>
        <w:spacing w:line="360" w:lineRule="auto"/>
        <w:jc w:val="both"/>
        <w:rPr>
          <w:rFonts w:ascii="仿宋" w:hAnsi="仿宋" w:eastAsia="仿宋" w:cs="仿宋"/>
          <w:color w:val="auto"/>
          <w:spacing w:val="-1"/>
          <w:sz w:val="24"/>
          <w:szCs w:val="24"/>
          <w:highlight w:val="none"/>
          <w:lang w:eastAsia="zh-CN"/>
        </w:rPr>
      </w:pPr>
      <w:r>
        <w:rPr>
          <w:rFonts w:hint="eastAsia" w:ascii="仿宋" w:hAnsi="仿宋" w:eastAsia="仿宋" w:cs="仿宋"/>
          <w:color w:val="auto"/>
          <w:spacing w:val="-1"/>
          <w:sz w:val="24"/>
          <w:szCs w:val="24"/>
          <w:highlight w:val="none"/>
          <w:lang w:eastAsia="zh-CN"/>
        </w:rPr>
        <w:t>3.本项目需要落实的政府采购政策：节约能源，保护环境，促进中小企业发展，支持监狱、戒毒企业发展，促进残疾人就业等政府采购政策（不适用者除外）。</w:t>
      </w:r>
    </w:p>
    <w:p w14:paraId="3E3BA10D">
      <w:pPr>
        <w:widowControl w:val="0"/>
        <w:shd w:val="clear"/>
        <w:spacing w:line="360" w:lineRule="auto"/>
        <w:rPr>
          <w:rFonts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仿宋" w:hAnsi="仿宋" w:eastAsia="仿宋" w:cs="仿宋"/>
          <w:color w:val="auto"/>
          <w:spacing w:val="-1"/>
          <w:sz w:val="24"/>
          <w:szCs w:val="24"/>
          <w:highlight w:val="none"/>
          <w:lang w:eastAsia="zh-CN"/>
        </w:rPr>
        <w:t>4.本项目是否采用远程异地评标：否</w:t>
      </w:r>
    </w:p>
    <w:p w14:paraId="5EB8A4CB">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七、对本次磋商提出询问，请按以下方式联系</w:t>
      </w:r>
    </w:p>
    <w:p w14:paraId="5154A94A">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1.采购人信息</w:t>
      </w:r>
    </w:p>
    <w:p w14:paraId="3EB40ECC">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采购人：吉安市公安局交通管理支队</w:t>
      </w:r>
    </w:p>
    <w:p w14:paraId="50946B91">
      <w:pPr>
        <w:widowControl w:val="0"/>
        <w:shd w:val="clear"/>
        <w:spacing w:line="36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eastAsia="zh-CN"/>
        </w:rPr>
        <w:t>采购人地址：吉安市吉州区阳明西路6号</w:t>
      </w:r>
    </w:p>
    <w:p w14:paraId="4ADBF0A1">
      <w:pPr>
        <w:widowControl w:val="0"/>
        <w:shd w:val="clear"/>
        <w:spacing w:line="36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eastAsia="zh-CN"/>
        </w:rPr>
        <w:t>采购人联系人及联系电话：</w:t>
      </w:r>
      <w:r>
        <w:rPr>
          <w:rFonts w:hint="eastAsia" w:ascii="仿宋" w:hAnsi="仿宋" w:eastAsia="仿宋" w:cs="仿宋"/>
          <w:color w:val="auto"/>
          <w:sz w:val="24"/>
          <w:szCs w:val="24"/>
          <w:highlight w:val="none"/>
          <w:lang w:val="en-US" w:eastAsia="zh-CN"/>
        </w:rPr>
        <w:t>聂先生   13907961150</w:t>
      </w:r>
    </w:p>
    <w:p w14:paraId="11A05561">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2.采购代理机构信息</w:t>
      </w:r>
    </w:p>
    <w:p w14:paraId="5288BECE">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采购代理机构：江西省朝旭企业管理咨询有限公司</w:t>
      </w:r>
    </w:p>
    <w:p w14:paraId="35D2BEB9">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采购代理机构地址：吉安市吉州区井冈山大道201号三楼</w:t>
      </w:r>
    </w:p>
    <w:p w14:paraId="11DDE557">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采购代理机构联系人及联系电话：杨女士   0796-8831066</w:t>
      </w:r>
    </w:p>
    <w:p w14:paraId="588ECDCC">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3.项目联系方式</w:t>
      </w:r>
    </w:p>
    <w:p w14:paraId="39E8288C">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项目联系人：杨女士</w:t>
      </w:r>
    </w:p>
    <w:p w14:paraId="36B26FA1">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电      话：0796-8831066</w:t>
      </w:r>
    </w:p>
    <w:p w14:paraId="004D0150">
      <w:pPr>
        <w:widowControl w:val="0"/>
        <w:shd w:val="clear"/>
        <w:spacing w:line="360" w:lineRule="auto"/>
        <w:rPr>
          <w:rFonts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电子邮箱：jxzxqy2019@163.com</w:t>
      </w:r>
    </w:p>
    <w:p w14:paraId="6F19C1A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AFF" w:usb1="C0007841" w:usb2="00000009" w:usb3="00000000" w:csb0="400001FF" w:csb1="FFFF0000"/>
  </w:font>
  <w:font w:name="宋体">
    <w:panose1 w:val="02010600030101010101"/>
    <w:charset w:val="80"/>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4443C4"/>
    <w:rsid w:val="3F4443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2026-05-08T07:29:00Z</dcterms:created>
  <dc:creator>Administrator</dc:creator>
  <cp:lastModifiedBy>Administrator</cp:lastModifiedBy>
  <dcterms:modified xsi:type="dcterms:W3CDTF">2026-05-08T07:34:14Z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C603352118574D038D7836A688266E54_11</vt:lpwstr>
  </property>
  <property fmtid="{D5CDD505-2E9C-101B-9397-08002B2CF9AE}" pid="4" name="KSOTemplateDocerSaveRecord">
    <vt:lpwstr>eyJoZGlkIjoiMzZkYTUzOWJkMzQzMzFiMzk3YTQxYTYxNjE0NWM3ZGMiLCJ1c2VySWQiOiI0MzcwNTM4NTYifQ==</vt:lpwstr>
  </property>
</Properties>
</file>