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746803">
      <w:pPr>
        <w:keepNext w:val="0"/>
        <w:keepLines w:val="0"/>
        <w:pageBreakBefore w:val="0"/>
        <w:widowControl w:val="0"/>
        <w:numPr>
          <w:numId w:val="0"/>
        </w:numPr>
        <w:kinsoku/>
        <w:wordWrap/>
        <w:overflowPunct/>
        <w:topLinePunct w:val="0"/>
        <w:autoSpaceDE/>
        <w:autoSpaceDN/>
        <w:bidi w:val="0"/>
        <w:adjustRightInd/>
        <w:snapToGrid/>
        <w:spacing w:line="440" w:lineRule="exact"/>
        <w:ind w:left="3780" w:leftChars="0"/>
        <w:jc w:val="both"/>
        <w:textAlignment w:val="auto"/>
        <w:rPr>
          <w:rFonts w:ascii="宋体" w:hAnsi="宋体" w:eastAsia="宋体"/>
          <w:b/>
          <w:color w:val="auto"/>
          <w:sz w:val="28"/>
          <w:szCs w:val="28"/>
          <w:highlight w:val="none"/>
        </w:rPr>
      </w:pPr>
      <w:bookmarkStart w:id="0" w:name="_GoBack"/>
      <w:bookmarkEnd w:id="0"/>
      <w:r>
        <w:rPr>
          <w:rFonts w:hint="eastAsia" w:ascii="宋体" w:hAnsi="宋体" w:eastAsia="宋体"/>
          <w:b/>
          <w:color w:val="auto"/>
          <w:sz w:val="28"/>
          <w:szCs w:val="28"/>
          <w:highlight w:val="none"/>
        </w:rPr>
        <w:t>采购需求</w:t>
      </w:r>
    </w:p>
    <w:p w14:paraId="3363FB0C">
      <w:pPr>
        <w:adjustRightInd w:val="0"/>
        <w:snapToGrid w:val="0"/>
        <w:spacing w:line="360" w:lineRule="auto"/>
        <w:ind w:firstLine="482"/>
        <w:jc w:val="left"/>
        <w:rPr>
          <w:rFonts w:hint="eastAsia" w:ascii="宋体" w:hAnsi="宋体" w:eastAsia="宋体" w:cs="宋体"/>
          <w:b/>
          <w:sz w:val="24"/>
          <w:szCs w:val="36"/>
          <w:highlight w:val="none"/>
        </w:rPr>
      </w:pPr>
      <w:r>
        <w:rPr>
          <w:rFonts w:hint="eastAsia" w:ascii="宋体" w:hAnsi="宋体" w:eastAsia="宋体" w:cs="宋体"/>
          <w:b/>
          <w:sz w:val="24"/>
          <w:szCs w:val="36"/>
          <w:highlight w:val="none"/>
        </w:rPr>
        <w:t>1、规划背景</w:t>
      </w:r>
    </w:p>
    <w:p w14:paraId="1DA2D26E">
      <w:pPr>
        <w:adjustRightInd w:val="0"/>
        <w:snapToGrid w:val="0"/>
        <w:spacing w:line="360" w:lineRule="auto"/>
        <w:ind w:firstLine="482"/>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近年来，自然资源部、江西省自然资源厅相继出台城镇开发边界管理实施细则、国土空间规划重点项目动态更新机制、规划实施评估与动态调整完善工作指引，明确要求市县层面建立规划实施监测—年度评估—动态维护—合规调整闭环机制，在严守生态保护红线、永久基本农田、城镇开发边界三条控制线刚性约束前提下，统筹保障重大战略落地、产业转型升级、民生设施补短板、基础设施网络化、乡村振兴与生态修复等空间需求，实现“规划刚性管控与弹性适配统一、总量管控与布局优化统一、底线安全与高质量发展统一”。</w:t>
      </w:r>
    </w:p>
    <w:p w14:paraId="0A6F7BFD">
      <w:pPr>
        <w:adjustRightInd w:val="0"/>
        <w:snapToGrid w:val="0"/>
        <w:spacing w:line="360" w:lineRule="auto"/>
        <w:ind w:firstLine="482"/>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为全面落实省委关于制定国民经济和社会发展第十五个五年规划建议的要求，依据自然资源部国土空间规划局《关于国土空间总体规划动态调整完善工作相关问题的答复》（以下简称《相关政策口径》）有关部署，基于《安义县2024年度国土空间规划城市体检评估报告》结果，主动对接“十五五”重点项目空间需求，破解规划实施堵点，严守生态与粮食安全底线，统筹重大项目落地与资源要素配置，特开展本次国土空间总体规划动态维护（以下简称规划动态维护）工作。</w:t>
      </w:r>
    </w:p>
    <w:p w14:paraId="71F44AF6">
      <w:pPr>
        <w:adjustRightInd w:val="0"/>
        <w:snapToGrid w:val="0"/>
        <w:spacing w:line="360" w:lineRule="auto"/>
        <w:ind w:firstLine="482"/>
        <w:jc w:val="left"/>
        <w:rPr>
          <w:rFonts w:hint="eastAsia" w:ascii="宋体" w:hAnsi="宋体" w:eastAsia="宋体" w:cs="宋体"/>
          <w:b/>
          <w:sz w:val="24"/>
          <w:szCs w:val="36"/>
          <w:highlight w:val="none"/>
        </w:rPr>
      </w:pPr>
      <w:r>
        <w:rPr>
          <w:rFonts w:hint="eastAsia" w:ascii="宋体" w:hAnsi="宋体" w:eastAsia="宋体" w:cs="宋体"/>
          <w:b/>
          <w:sz w:val="24"/>
          <w:szCs w:val="36"/>
          <w:highlight w:val="none"/>
        </w:rPr>
        <w:t>2、规划范围</w:t>
      </w:r>
    </w:p>
    <w:p w14:paraId="43ECA618">
      <w:pPr>
        <w:adjustRightInd w:val="0"/>
        <w:snapToGrid w:val="0"/>
        <w:spacing w:line="360" w:lineRule="auto"/>
        <w:ind w:firstLine="482"/>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规划动态维护范围与《安义县国土空间总体规划（</w:t>
      </w:r>
      <w:r>
        <w:rPr>
          <w:rFonts w:ascii="宋体" w:hAnsi="宋体" w:eastAsia="宋体" w:cs="宋体"/>
          <w:sz w:val="24"/>
          <w:szCs w:val="24"/>
          <w:highlight w:val="none"/>
        </w:rPr>
        <w:t>2021—2035年）》确定的规划范围一致，包含县域和中心城区两个层次。县域范围为安义县行政辖区，总面积为660.23 平方公里。中心城区范围为安义县中心城区城镇开发边界涉及的乡镇街道和行政村，总面积为121.75 平方公里。</w:t>
      </w:r>
    </w:p>
    <w:p w14:paraId="68ACC1C1">
      <w:pPr>
        <w:adjustRightInd w:val="0"/>
        <w:snapToGrid w:val="0"/>
        <w:spacing w:line="360" w:lineRule="auto"/>
        <w:ind w:firstLine="482"/>
        <w:jc w:val="left"/>
        <w:rPr>
          <w:rFonts w:hint="eastAsia" w:ascii="宋体" w:hAnsi="宋体" w:eastAsia="宋体" w:cs="宋体"/>
          <w:b/>
          <w:sz w:val="24"/>
          <w:szCs w:val="36"/>
          <w:highlight w:val="none"/>
        </w:rPr>
      </w:pPr>
      <w:r>
        <w:rPr>
          <w:rFonts w:hint="eastAsia" w:ascii="宋体" w:hAnsi="宋体" w:eastAsia="宋体" w:cs="宋体"/>
          <w:b/>
          <w:sz w:val="24"/>
          <w:szCs w:val="36"/>
          <w:highlight w:val="none"/>
        </w:rPr>
        <w:t>3、规划主要内容</w:t>
      </w:r>
    </w:p>
    <w:p w14:paraId="4691FD8D">
      <w:pPr>
        <w:adjustRightInd w:val="0"/>
        <w:snapToGrid w:val="0"/>
        <w:spacing w:line="360" w:lineRule="auto"/>
        <w:ind w:firstLine="482"/>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本次安义县国土空间总体规划动态维护工作主要内容包括以下几点：</w:t>
      </w:r>
    </w:p>
    <w:p w14:paraId="69B8EE66">
      <w:pPr>
        <w:pStyle w:val="5"/>
        <w:numPr>
          <w:ilvl w:val="0"/>
          <w:numId w:val="1"/>
        </w:numPr>
        <w:adjustRightInd w:val="0"/>
        <w:snapToGrid w:val="0"/>
        <w:spacing w:line="360" w:lineRule="auto"/>
        <w:ind w:firstLineChars="0"/>
        <w:jc w:val="left"/>
        <w:rPr>
          <w:rFonts w:hint="eastAsia" w:ascii="宋体" w:hAnsi="宋体" w:eastAsia="宋体" w:cs="宋体"/>
          <w:sz w:val="24"/>
          <w:highlight w:val="none"/>
        </w:rPr>
      </w:pPr>
      <w:r>
        <w:rPr>
          <w:rFonts w:ascii="宋体" w:hAnsi="宋体" w:eastAsia="宋体" w:cs="宋体"/>
          <w:sz w:val="24"/>
          <w:highlight w:val="none"/>
        </w:rPr>
        <w:t>耕地和永久基本农田保护红线</w:t>
      </w:r>
      <w:r>
        <w:rPr>
          <w:rFonts w:hint="eastAsia" w:ascii="宋体" w:hAnsi="宋体" w:eastAsia="宋体" w:cs="宋体"/>
          <w:sz w:val="24"/>
          <w:highlight w:val="none"/>
        </w:rPr>
        <w:t>动态维护</w:t>
      </w:r>
    </w:p>
    <w:p w14:paraId="769EB9A2">
      <w:pPr>
        <w:pStyle w:val="5"/>
        <w:numPr>
          <w:ilvl w:val="0"/>
          <w:numId w:val="1"/>
        </w:numPr>
        <w:adjustRightInd w:val="0"/>
        <w:snapToGrid w:val="0"/>
        <w:spacing w:line="360" w:lineRule="auto"/>
        <w:ind w:firstLineChars="0"/>
        <w:jc w:val="left"/>
        <w:rPr>
          <w:rFonts w:hint="eastAsia" w:ascii="宋体" w:hAnsi="宋体" w:eastAsia="宋体" w:cs="宋体"/>
          <w:sz w:val="24"/>
          <w:highlight w:val="none"/>
        </w:rPr>
      </w:pPr>
      <w:r>
        <w:rPr>
          <w:rFonts w:hint="eastAsia" w:ascii="宋体" w:hAnsi="宋体" w:eastAsia="宋体" w:cs="宋体"/>
          <w:sz w:val="24"/>
          <w:highlight w:val="none"/>
        </w:rPr>
        <w:t>生态红线动态维护</w:t>
      </w:r>
      <w:r>
        <w:rPr>
          <w:rFonts w:ascii="宋体" w:hAnsi="宋体" w:eastAsia="宋体" w:cs="宋体"/>
          <w:sz w:val="24"/>
          <w:highlight w:val="none"/>
        </w:rPr>
        <w:t>；</w:t>
      </w:r>
    </w:p>
    <w:p w14:paraId="42448259">
      <w:pPr>
        <w:pStyle w:val="5"/>
        <w:numPr>
          <w:ilvl w:val="0"/>
          <w:numId w:val="1"/>
        </w:numPr>
        <w:adjustRightInd w:val="0"/>
        <w:snapToGrid w:val="0"/>
        <w:spacing w:line="360" w:lineRule="auto"/>
        <w:ind w:firstLineChars="0"/>
        <w:jc w:val="left"/>
        <w:rPr>
          <w:rFonts w:hint="eastAsia" w:ascii="宋体" w:hAnsi="宋体" w:eastAsia="宋体" w:cs="宋体"/>
          <w:sz w:val="24"/>
          <w:highlight w:val="none"/>
        </w:rPr>
      </w:pPr>
      <w:r>
        <w:rPr>
          <w:rFonts w:hint="eastAsia" w:ascii="宋体" w:hAnsi="宋体" w:eastAsia="宋体" w:cs="宋体"/>
          <w:sz w:val="24"/>
          <w:highlight w:val="none"/>
        </w:rPr>
        <w:t>城镇开发边界动态维护；</w:t>
      </w:r>
    </w:p>
    <w:p w14:paraId="59496BF8">
      <w:pPr>
        <w:pStyle w:val="5"/>
        <w:numPr>
          <w:ilvl w:val="0"/>
          <w:numId w:val="1"/>
        </w:numPr>
        <w:adjustRightInd w:val="0"/>
        <w:snapToGrid w:val="0"/>
        <w:spacing w:line="360" w:lineRule="auto"/>
        <w:ind w:firstLineChars="0"/>
        <w:jc w:val="left"/>
        <w:rPr>
          <w:rFonts w:hint="eastAsia" w:ascii="宋体" w:hAnsi="宋体" w:eastAsia="宋体" w:cs="宋体"/>
          <w:sz w:val="24"/>
          <w:highlight w:val="none"/>
        </w:rPr>
      </w:pPr>
      <w:r>
        <w:rPr>
          <w:rFonts w:hint="eastAsia" w:ascii="宋体" w:hAnsi="宋体" w:eastAsia="宋体" w:cs="宋体"/>
          <w:sz w:val="24"/>
          <w:highlight w:val="none"/>
        </w:rPr>
        <w:t>国土空间规划分区动态维护；</w:t>
      </w:r>
    </w:p>
    <w:p w14:paraId="70BFE88D">
      <w:pPr>
        <w:pStyle w:val="5"/>
        <w:numPr>
          <w:ilvl w:val="0"/>
          <w:numId w:val="1"/>
        </w:numPr>
        <w:adjustRightInd w:val="0"/>
        <w:snapToGrid w:val="0"/>
        <w:spacing w:line="360" w:lineRule="auto"/>
        <w:ind w:firstLineChars="0"/>
        <w:jc w:val="left"/>
        <w:rPr>
          <w:rFonts w:hint="eastAsia" w:ascii="宋体" w:hAnsi="宋体" w:eastAsia="宋体" w:cs="宋体"/>
          <w:sz w:val="24"/>
          <w:highlight w:val="none"/>
        </w:rPr>
      </w:pPr>
      <w:r>
        <w:rPr>
          <w:rFonts w:hint="eastAsia" w:ascii="宋体" w:hAnsi="宋体" w:eastAsia="宋体" w:cs="宋体"/>
          <w:sz w:val="24"/>
          <w:highlight w:val="none"/>
        </w:rPr>
        <w:t>中心城区用地规划布局动态维护；</w:t>
      </w:r>
    </w:p>
    <w:p w14:paraId="0D4952CD">
      <w:pPr>
        <w:pStyle w:val="5"/>
        <w:numPr>
          <w:ilvl w:val="0"/>
          <w:numId w:val="1"/>
        </w:numPr>
        <w:adjustRightInd w:val="0"/>
        <w:snapToGrid w:val="0"/>
        <w:spacing w:line="360" w:lineRule="auto"/>
        <w:ind w:firstLineChars="0"/>
        <w:jc w:val="left"/>
        <w:rPr>
          <w:rFonts w:hint="eastAsia" w:ascii="宋体" w:hAnsi="宋体" w:eastAsia="宋体" w:cs="宋体"/>
          <w:sz w:val="24"/>
          <w:highlight w:val="none"/>
        </w:rPr>
      </w:pPr>
      <w:r>
        <w:rPr>
          <w:rFonts w:hint="eastAsia" w:ascii="宋体" w:hAnsi="宋体" w:eastAsia="宋体" w:cs="宋体"/>
          <w:sz w:val="24"/>
          <w:highlight w:val="none"/>
        </w:rPr>
        <w:t>城市重要控制线动态维护；</w:t>
      </w:r>
    </w:p>
    <w:p w14:paraId="50FA3366">
      <w:pPr>
        <w:pStyle w:val="5"/>
        <w:numPr>
          <w:ilvl w:val="0"/>
          <w:numId w:val="1"/>
        </w:numPr>
        <w:adjustRightInd w:val="0"/>
        <w:snapToGrid w:val="0"/>
        <w:spacing w:line="360" w:lineRule="auto"/>
        <w:ind w:firstLineChars="0"/>
        <w:jc w:val="left"/>
        <w:rPr>
          <w:rFonts w:hint="eastAsia" w:ascii="宋体" w:hAnsi="宋体" w:eastAsia="宋体" w:cs="宋体"/>
          <w:sz w:val="24"/>
          <w:highlight w:val="none"/>
        </w:rPr>
      </w:pPr>
      <w:r>
        <w:rPr>
          <w:rFonts w:hint="eastAsia" w:ascii="宋体" w:hAnsi="宋体" w:eastAsia="宋体" w:cs="宋体"/>
          <w:sz w:val="24"/>
          <w:highlight w:val="none"/>
        </w:rPr>
        <w:t>重点建设项目清单动态维护；</w:t>
      </w:r>
    </w:p>
    <w:p w14:paraId="2992C159">
      <w:pPr>
        <w:pStyle w:val="5"/>
        <w:numPr>
          <w:ilvl w:val="0"/>
          <w:numId w:val="1"/>
        </w:numPr>
        <w:adjustRightInd w:val="0"/>
        <w:snapToGrid w:val="0"/>
        <w:spacing w:line="360" w:lineRule="auto"/>
        <w:ind w:firstLineChars="0"/>
        <w:jc w:val="left"/>
        <w:rPr>
          <w:rFonts w:hint="eastAsia" w:ascii="宋体" w:hAnsi="宋体" w:eastAsia="宋体" w:cs="宋体"/>
          <w:sz w:val="24"/>
          <w:highlight w:val="none"/>
        </w:rPr>
      </w:pPr>
      <w:r>
        <w:rPr>
          <w:rFonts w:ascii="宋体" w:hAnsi="宋体" w:eastAsia="宋体" w:cs="宋体"/>
          <w:sz w:val="24"/>
          <w:highlight w:val="none"/>
        </w:rPr>
        <w:t>其他</w:t>
      </w:r>
      <w:r>
        <w:rPr>
          <w:rFonts w:hint="eastAsia" w:ascii="宋体" w:hAnsi="宋体" w:eastAsia="宋体" w:cs="宋体"/>
          <w:sz w:val="24"/>
          <w:highlight w:val="none"/>
        </w:rPr>
        <w:t>动态维护情形</w:t>
      </w:r>
      <w:r>
        <w:rPr>
          <w:rFonts w:ascii="宋体" w:hAnsi="宋体" w:eastAsia="宋体" w:cs="宋体"/>
          <w:sz w:val="24"/>
          <w:highlight w:val="none"/>
        </w:rPr>
        <w:t>。</w:t>
      </w:r>
    </w:p>
    <w:p w14:paraId="7E103F61">
      <w:pPr>
        <w:adjustRightInd w:val="0"/>
        <w:snapToGrid w:val="0"/>
        <w:spacing w:line="360" w:lineRule="auto"/>
        <w:ind w:firstLine="482"/>
        <w:jc w:val="left"/>
        <w:rPr>
          <w:rFonts w:hint="eastAsia" w:ascii="宋体" w:hAnsi="宋体" w:eastAsia="宋体" w:cs="宋体"/>
          <w:b/>
          <w:sz w:val="24"/>
          <w:szCs w:val="36"/>
          <w:highlight w:val="none"/>
        </w:rPr>
      </w:pPr>
      <w:r>
        <w:rPr>
          <w:rFonts w:hint="eastAsia" w:ascii="宋体" w:hAnsi="宋体" w:eastAsia="宋体" w:cs="宋体"/>
          <w:b/>
          <w:sz w:val="24"/>
          <w:szCs w:val="36"/>
          <w:highlight w:val="none"/>
        </w:rPr>
        <w:t>4、规划编制成果</w:t>
      </w:r>
    </w:p>
    <w:p w14:paraId="505C7A74">
      <w:pPr>
        <w:adjustRightInd w:val="0"/>
        <w:snapToGrid w:val="0"/>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成果包括报告、图件、数据库、附件。</w:t>
      </w:r>
    </w:p>
    <w:p w14:paraId="06D284B1">
      <w:pPr>
        <w:adjustRightInd w:val="0"/>
        <w:snapToGrid w:val="0"/>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（1）报告</w:t>
      </w:r>
      <w:r>
        <w:rPr>
          <w:rFonts w:ascii="宋体" w:hAnsi="宋体" w:eastAsia="宋体" w:cs="宋体"/>
          <w:sz w:val="24"/>
          <w:szCs w:val="24"/>
          <w:highlight w:val="none"/>
        </w:rPr>
        <w:t>：</w:t>
      </w:r>
      <w:r>
        <w:rPr>
          <w:rFonts w:hint="eastAsia" w:ascii="宋体" w:hAnsi="宋体" w:eastAsia="宋体" w:cs="宋体"/>
          <w:sz w:val="24"/>
          <w:szCs w:val="24"/>
          <w:highlight w:val="none"/>
        </w:rPr>
        <w:t>包括规划实施评估主要结论，规划动态维护主要内容、动态维护方案可行性分析、规划衔接与协调以及相应的实施保障措施等必要的内容和附表，文字表述应准确规范，简明扼要。</w:t>
      </w:r>
    </w:p>
    <w:p w14:paraId="553937E4">
      <w:pPr>
        <w:adjustRightInd w:val="0"/>
        <w:snapToGrid w:val="0"/>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图件：</w:t>
      </w:r>
      <w:r>
        <w:rPr>
          <w:rFonts w:hint="eastAsia" w:ascii="宋体" w:hAnsi="宋体" w:eastAsia="宋体" w:cs="宋体"/>
          <w:sz w:val="24"/>
          <w:szCs w:val="24"/>
          <w:highlight w:val="none"/>
        </w:rPr>
        <w:t>包括标明调入调出的三条控制线图、其他重要控制线图、国土空间规划分区图、中心城区土地使用规划图、中心城区控制线规划图、重要控制线图等及其他符合动态维护要求确需更新的图件。</w:t>
      </w:r>
    </w:p>
    <w:p w14:paraId="0F220B82">
      <w:pPr>
        <w:adjustRightInd w:val="0"/>
        <w:snapToGrid w:val="0"/>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ascii="宋体" w:hAnsi="宋体" w:eastAsia="宋体" w:cs="宋体"/>
          <w:sz w:val="24"/>
          <w:szCs w:val="24"/>
          <w:highlight w:val="none"/>
        </w:rPr>
        <w:t>3</w:t>
      </w:r>
      <w:r>
        <w:rPr>
          <w:rFonts w:hint="eastAsia" w:ascii="宋体" w:hAnsi="宋体" w:eastAsia="宋体" w:cs="宋体"/>
          <w:sz w:val="24"/>
          <w:szCs w:val="24"/>
          <w:highlight w:val="none"/>
        </w:rPr>
        <w:t>）数据库</w:t>
      </w:r>
      <w:r>
        <w:rPr>
          <w:rFonts w:ascii="宋体" w:hAnsi="宋体" w:eastAsia="宋体" w:cs="宋体"/>
          <w:sz w:val="24"/>
          <w:szCs w:val="24"/>
          <w:highlight w:val="none"/>
        </w:rPr>
        <w:t>：</w:t>
      </w:r>
      <w:r>
        <w:rPr>
          <w:rFonts w:hint="eastAsia" w:ascii="宋体" w:hAnsi="宋体" w:eastAsia="宋体" w:cs="宋体"/>
          <w:sz w:val="24"/>
          <w:szCs w:val="24"/>
          <w:highlight w:val="none"/>
        </w:rPr>
        <w:t>包括维护后的耕地保护红线、永久基本农田保护红线、生态保护红线、城镇开发边界、规划分区、中心城区规划用地用海、城市重要控制线、重点建设项目安排表和其他符合动态维护要求确需更新的矢量图层</w:t>
      </w:r>
      <w:r>
        <w:rPr>
          <w:rFonts w:ascii="宋体" w:hAnsi="宋体" w:eastAsia="宋体" w:cs="宋体"/>
          <w:sz w:val="24"/>
          <w:szCs w:val="24"/>
          <w:highlight w:val="none"/>
        </w:rPr>
        <w:t>。</w:t>
      </w:r>
    </w:p>
    <w:p w14:paraId="2820405C">
      <w:pPr>
        <w:adjustRightInd w:val="0"/>
        <w:snapToGrid w:val="0"/>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ascii="宋体" w:hAnsi="宋体" w:eastAsia="宋体" w:cs="宋体"/>
          <w:sz w:val="24"/>
          <w:szCs w:val="24"/>
          <w:highlight w:val="none"/>
        </w:rPr>
        <w:t>4</w:t>
      </w:r>
      <w:r>
        <w:rPr>
          <w:rFonts w:hint="eastAsia" w:ascii="宋体" w:hAnsi="宋体" w:eastAsia="宋体" w:cs="宋体"/>
          <w:sz w:val="24"/>
          <w:szCs w:val="24"/>
          <w:highlight w:val="none"/>
        </w:rPr>
        <w:t>）</w:t>
      </w:r>
      <w:r>
        <w:rPr>
          <w:rFonts w:ascii="宋体" w:hAnsi="宋体" w:eastAsia="宋体" w:cs="宋体"/>
          <w:sz w:val="24"/>
          <w:szCs w:val="24"/>
          <w:highlight w:val="none"/>
        </w:rPr>
        <w:t>附件：</w:t>
      </w:r>
      <w:r>
        <w:rPr>
          <w:rFonts w:hint="eastAsia" w:ascii="宋体" w:hAnsi="宋体" w:eastAsia="宋体" w:cs="宋体"/>
          <w:sz w:val="24"/>
          <w:szCs w:val="24"/>
          <w:highlight w:val="none"/>
        </w:rPr>
        <w:t>应包含体检评估报告、各类论证审查意见、会议纪要等其他相关材料</w:t>
      </w:r>
      <w:r>
        <w:rPr>
          <w:rFonts w:ascii="宋体" w:hAnsi="宋体" w:eastAsia="宋体" w:cs="宋体"/>
          <w:sz w:val="24"/>
          <w:szCs w:val="24"/>
          <w:highlight w:val="none"/>
        </w:rPr>
        <w:t>。</w:t>
      </w:r>
    </w:p>
    <w:p w14:paraId="718AFE5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F94407"/>
    <w:multiLevelType w:val="multilevel"/>
    <w:tmpl w:val="23F94407"/>
    <w:lvl w:ilvl="0" w:tentative="0">
      <w:start w:val="1"/>
      <w:numFmt w:val="decimal"/>
      <w:lvlText w:val="%1）"/>
      <w:lvlJc w:val="left"/>
      <w:pPr>
        <w:ind w:left="842" w:hanging="360"/>
      </w:pPr>
      <w:rPr>
        <w:rFonts w:hint="default"/>
      </w:rPr>
    </w:lvl>
    <w:lvl w:ilvl="1" w:tentative="0">
      <w:start w:val="1"/>
      <w:numFmt w:val="lowerLetter"/>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EF202C"/>
    <w:rsid w:val="5FEF20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rPr>
      <w:rFonts w:ascii="仿宋_GB2312" w:eastAsia="仿宋_GB2312"/>
      <w:sz w:val="32"/>
    </w:rPr>
  </w:style>
  <w:style w:type="paragraph" w:styleId="5">
    <w:name w:val="List Paragraph"/>
    <w:basedOn w:val="1"/>
    <w:qFormat/>
    <w:uiPriority w:val="1"/>
    <w:pPr>
      <w:ind w:left="993" w:hanging="486"/>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2026-05-08T06:51:00Z</dcterms:created>
  <dc:creator>Administrator</dc:creator>
  <cp:lastModifiedBy>Administrator</cp:lastModifiedBy>
  <dcterms:modified xsi:type="dcterms:W3CDTF">2026-05-08T06:51:45Z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027991F9FD4E4E319A4B37810C0204C7_11</vt:lpwstr>
  </property>
  <property fmtid="{D5CDD505-2E9C-101B-9397-08002B2CF9AE}" pid="4" name="KSOTemplateDocerSaveRecord">
    <vt:lpwstr>eyJoZGlkIjoiMDg0NGViNTg1OTQwYTFmZTY4NjUxOGE5NTgzNzU3ODIiLCJ1c2VySWQiOiI1Nzk1ODU4MDUifQ==</vt:lpwstr>
  </property>
</Properties>
</file>