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B0A9AB">
      <w:pPr>
        <w:pageBreakBefore w:val="0"/>
        <w:widowControl w:val="0"/>
        <w:wordWrap/>
        <w:overflowPunct/>
        <w:topLinePunct w:val="0"/>
        <w:bidi w:val="0"/>
        <w:spacing w:before="63" w:line="224" w:lineRule="auto"/>
        <w:jc w:val="center"/>
        <w:outlineLvl w:val="0"/>
        <w:rPr>
          <w:rFonts w:hint="eastAsia" w:asciiTheme="minorEastAsia" w:hAnsiTheme="minorEastAsia" w:eastAsiaTheme="minorEastAsia" w:cstheme="minorEastAsia"/>
          <w:color w:val="auto"/>
          <w:sz w:val="31"/>
          <w:szCs w:val="31"/>
          <w:highlight w:val="none"/>
          <w:lang w:eastAsia="zh-CN"/>
        </w:rPr>
      </w:pPr>
      <w:r>
        <w:rPr>
          <w:rFonts w:hint="eastAsia" w:asciiTheme="minorEastAsia" w:hAnsiTheme="minorEastAsia" w:eastAsiaTheme="minorEastAsia" w:cstheme="minorEastAsia"/>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hint="eastAsia" w:asciiTheme="minorEastAsia" w:hAnsiTheme="minorEastAsia" w:eastAsiaTheme="minorEastAsia" w:cstheme="minorEastAsia"/>
          <w:color w:val="auto"/>
          <w:spacing w:val="9"/>
          <w:sz w:val="31"/>
          <w:szCs w:val="31"/>
          <w:highlight w:val="none"/>
          <w:lang w:eastAsia="zh-CN"/>
        </w:rPr>
        <w:t xml:space="preserve">  </w:t>
      </w:r>
      <w:r>
        <w:rPr>
          <w:rFonts w:hint="eastAsia" w:asciiTheme="minorEastAsia" w:hAnsiTheme="minorEastAsia" w:eastAsiaTheme="minorEastAsia" w:cstheme="minorEastAsia"/>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7A4F626C">
      <w:pPr>
        <w:pageBreakBefore w:val="0"/>
        <w:widowControl w:val="0"/>
        <w:wordWrap/>
        <w:overflowPunct/>
        <w:topLinePunct w:val="0"/>
        <w:bidi w:val="0"/>
        <w:spacing w:line="309" w:lineRule="auto"/>
        <w:jc w:val="center"/>
        <w:outlineLvl w:val="9"/>
        <w:rPr>
          <w:rFonts w:hint="eastAsia" w:asciiTheme="minorEastAsia" w:hAnsiTheme="minorEastAsia" w:eastAsiaTheme="minorEastAsia" w:cstheme="minorEastAsia"/>
          <w:color w:val="auto"/>
          <w:highlight w:val="none"/>
          <w:lang w:eastAsia="zh-CN"/>
        </w:rPr>
      </w:pPr>
    </w:p>
    <w:p w14:paraId="08BFB0F4">
      <w:pPr>
        <w:pageBreakBefore w:val="0"/>
        <w:widowControl w:val="0"/>
        <w:wordWrap/>
        <w:overflowPunct/>
        <w:topLinePunct w:val="0"/>
        <w:bidi w:val="0"/>
        <w:spacing w:before="78" w:line="220" w:lineRule="auto"/>
        <w:jc w:val="both"/>
        <w:outlineLvl w:val="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Theme="minorEastAsia" w:hAnsiTheme="minorEastAsia" w:eastAsiaTheme="minorEastAsia" w:cstheme="minorEastAsia"/>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Theme="minorEastAsia" w:hAnsiTheme="minorEastAsia" w:eastAsiaTheme="minorEastAsia" w:cstheme="minorEastAsia"/>
          <w:color w:val="auto"/>
          <w:spacing w:val="-2"/>
          <w:sz w:val="24"/>
          <w:szCs w:val="24"/>
          <w:highlight w:val="none"/>
          <w14:textOutline w14:w="4356" w14:cap="sq" w14:cmpd="sng" w14:algn="ctr">
            <w14:solidFill>
              <w14:srgbClr w14:val="000000"/>
            </w14:solidFill>
            <w14:prstDash w14:val="solid"/>
            <w14:bevel/>
          </w14:textOutline>
        </w:rPr>
        <w:t>需求表</w:t>
      </w:r>
    </w:p>
    <w:p w14:paraId="13AA3CEF">
      <w:pPr>
        <w:pageBreakBefore w:val="0"/>
        <w:widowControl w:val="0"/>
        <w:wordWrap/>
        <w:overflowPunct/>
        <w:topLinePunct w:val="0"/>
        <w:bidi w:val="0"/>
        <w:spacing w:before="64"/>
        <w:outlineLvl w:val="9"/>
        <w:rPr>
          <w:rFonts w:hint="eastAsia" w:asciiTheme="minorEastAsia" w:hAnsiTheme="minorEastAsia" w:eastAsiaTheme="minorEastAsia" w:cstheme="minorEastAsia"/>
          <w:color w:val="auto"/>
          <w:highlight w:val="none"/>
        </w:rPr>
      </w:pPr>
    </w:p>
    <w:tbl>
      <w:tblPr>
        <w:tblStyle w:val="6"/>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2BB980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92" w:hRule="atLeast"/>
        </w:trPr>
        <w:tc>
          <w:tcPr>
            <w:tcW w:w="2048" w:type="dxa"/>
            <w:tcBorders>
              <w:right w:val="nil"/>
            </w:tcBorders>
          </w:tcPr>
          <w:p w14:paraId="7610B890">
            <w:pPr>
              <w:pageBreakBefore w:val="0"/>
              <w:widowControl w:val="0"/>
              <w:wordWrap/>
              <w:overflowPunct/>
              <w:topLinePunct w:val="0"/>
              <w:bidi w:val="0"/>
              <w:spacing w:before="183" w:line="223" w:lineRule="auto"/>
              <w:ind w:left="1091"/>
              <w:outlineLvl w:val="9"/>
              <w:rPr>
                <w:rFonts w:hint="eastAsia" w:asciiTheme="minorEastAsia" w:hAnsiTheme="minorEastAsia" w:eastAsiaTheme="minorEastAsia" w:cstheme="minorEastAsia"/>
                <w:color w:val="auto"/>
                <w:sz w:val="24"/>
                <w:szCs w:val="24"/>
                <w:highlight w:val="none"/>
              </w:rPr>
            </w:pPr>
            <w:bookmarkStart w:id="1" w:name="_GoBack"/>
            <w:r>
              <w:rPr>
                <w:rFonts w:hint="eastAsia" w:asciiTheme="minorEastAsia" w:hAnsiTheme="minorEastAsia" w:eastAsiaTheme="minorEastAsia" w:cstheme="minorEastAsia"/>
                <w:color w:val="auto"/>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795780" cy="1304290"/>
                  <wp:effectExtent l="0" t="0" r="7620" b="381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95780" cy="1304290"/>
                          </a:xfrm>
                          <a:prstGeom prst="rect">
                            <a:avLst/>
                          </a:prstGeom>
                        </pic:spPr>
                      </pic:pic>
                    </a:graphicData>
                  </a:graphic>
                </wp:anchor>
              </w:drawing>
            </w:r>
            <w:bookmarkEnd w:id="1"/>
            <w:r>
              <w:rPr>
                <w:rFonts w:hint="eastAsia" w:asciiTheme="minorEastAsia" w:hAnsiTheme="minorEastAsia" w:eastAsiaTheme="minorEastAsia" w:cstheme="minorEastAsia"/>
                <w:color w:val="auto"/>
                <w:sz w:val="24"/>
                <w:szCs w:val="24"/>
                <w:highlight w:val="none"/>
              </w:rPr>
              <w:t>名</w:t>
            </w:r>
          </w:p>
          <w:p w14:paraId="399F3D26">
            <w:pPr>
              <w:pStyle w:val="7"/>
              <w:pageBreakBefore w:val="0"/>
              <w:widowControl w:val="0"/>
              <w:wordWrap/>
              <w:overflowPunct/>
              <w:topLinePunct w:val="0"/>
              <w:bidi w:val="0"/>
              <w:spacing w:line="245" w:lineRule="auto"/>
              <w:outlineLvl w:val="9"/>
              <w:rPr>
                <w:rFonts w:hint="eastAsia" w:asciiTheme="minorEastAsia" w:hAnsiTheme="minorEastAsia" w:eastAsiaTheme="minorEastAsia" w:cstheme="minorEastAsia"/>
                <w:color w:val="auto"/>
                <w:highlight w:val="none"/>
              </w:rPr>
            </w:pPr>
          </w:p>
          <w:p w14:paraId="32730FC4">
            <w:pPr>
              <w:pStyle w:val="7"/>
              <w:pageBreakBefore w:val="0"/>
              <w:widowControl w:val="0"/>
              <w:wordWrap/>
              <w:overflowPunct/>
              <w:topLinePunct w:val="0"/>
              <w:bidi w:val="0"/>
              <w:spacing w:line="246" w:lineRule="auto"/>
              <w:outlineLvl w:val="9"/>
              <w:rPr>
                <w:rFonts w:hint="eastAsia" w:asciiTheme="minorEastAsia" w:hAnsiTheme="minorEastAsia" w:eastAsiaTheme="minorEastAsia" w:cstheme="minorEastAsia"/>
                <w:color w:val="auto"/>
                <w:highlight w:val="none"/>
              </w:rPr>
            </w:pPr>
          </w:p>
          <w:p w14:paraId="45869C23">
            <w:pPr>
              <w:pageBreakBefore w:val="0"/>
              <w:widowControl w:val="0"/>
              <w:wordWrap/>
              <w:overflowPunct/>
              <w:topLinePunct w:val="0"/>
              <w:bidi w:val="0"/>
              <w:spacing w:before="78" w:line="219" w:lineRule="auto"/>
              <w:ind w:left="48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内</w:t>
            </w:r>
          </w:p>
          <w:p w14:paraId="356ABB10">
            <w:pPr>
              <w:pStyle w:val="7"/>
              <w:pageBreakBefore w:val="0"/>
              <w:widowControl w:val="0"/>
              <w:wordWrap/>
              <w:overflowPunct/>
              <w:topLinePunct w:val="0"/>
              <w:bidi w:val="0"/>
              <w:spacing w:line="338" w:lineRule="auto"/>
              <w:outlineLvl w:val="9"/>
              <w:rPr>
                <w:rFonts w:hint="eastAsia" w:asciiTheme="minorEastAsia" w:hAnsiTheme="minorEastAsia" w:eastAsiaTheme="minorEastAsia" w:cstheme="minorEastAsia"/>
                <w:color w:val="auto"/>
                <w:highlight w:val="none"/>
              </w:rPr>
            </w:pPr>
          </w:p>
          <w:p w14:paraId="30309811">
            <w:pPr>
              <w:pageBreakBefore w:val="0"/>
              <w:widowControl w:val="0"/>
              <w:wordWrap/>
              <w:overflowPunct/>
              <w:topLinePunct w:val="0"/>
              <w:bidi w:val="0"/>
              <w:spacing w:before="78" w:line="220" w:lineRule="auto"/>
              <w:ind w:left="131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容</w:t>
            </w:r>
          </w:p>
        </w:tc>
        <w:tc>
          <w:tcPr>
            <w:tcW w:w="817" w:type="dxa"/>
            <w:tcBorders>
              <w:left w:val="nil"/>
            </w:tcBorders>
          </w:tcPr>
          <w:p w14:paraId="29B1EEF2">
            <w:pPr>
              <w:pStyle w:val="7"/>
              <w:pageBreakBefore w:val="0"/>
              <w:widowControl w:val="0"/>
              <w:wordWrap/>
              <w:overflowPunct/>
              <w:topLinePunct w:val="0"/>
              <w:bidi w:val="0"/>
              <w:spacing w:line="263" w:lineRule="auto"/>
              <w:outlineLvl w:val="9"/>
              <w:rPr>
                <w:rFonts w:hint="eastAsia" w:asciiTheme="minorEastAsia" w:hAnsiTheme="minorEastAsia" w:eastAsiaTheme="minorEastAsia" w:cstheme="minorEastAsia"/>
                <w:color w:val="auto"/>
                <w:highlight w:val="none"/>
              </w:rPr>
            </w:pPr>
          </w:p>
          <w:p w14:paraId="67AA8592">
            <w:pPr>
              <w:pStyle w:val="7"/>
              <w:pageBreakBefore w:val="0"/>
              <w:widowControl w:val="0"/>
              <w:wordWrap/>
              <w:overflowPunct/>
              <w:topLinePunct w:val="0"/>
              <w:bidi w:val="0"/>
              <w:spacing w:line="263" w:lineRule="auto"/>
              <w:outlineLvl w:val="9"/>
              <w:rPr>
                <w:rFonts w:hint="eastAsia" w:asciiTheme="minorEastAsia" w:hAnsiTheme="minorEastAsia" w:eastAsiaTheme="minorEastAsia" w:cstheme="minorEastAsia"/>
                <w:color w:val="auto"/>
                <w:highlight w:val="none"/>
              </w:rPr>
            </w:pPr>
          </w:p>
          <w:p w14:paraId="65BFC94F">
            <w:pPr>
              <w:pStyle w:val="7"/>
              <w:pageBreakBefore w:val="0"/>
              <w:widowControl w:val="0"/>
              <w:wordWrap/>
              <w:overflowPunct/>
              <w:topLinePunct w:val="0"/>
              <w:bidi w:val="0"/>
              <w:spacing w:line="264" w:lineRule="auto"/>
              <w:outlineLvl w:val="9"/>
              <w:rPr>
                <w:rFonts w:hint="eastAsia" w:asciiTheme="minorEastAsia" w:hAnsiTheme="minorEastAsia" w:eastAsiaTheme="minorEastAsia" w:cstheme="minorEastAsia"/>
                <w:color w:val="auto"/>
                <w:highlight w:val="none"/>
              </w:rPr>
            </w:pPr>
          </w:p>
          <w:p w14:paraId="6CADFB77">
            <w:pPr>
              <w:pageBreakBefore w:val="0"/>
              <w:widowControl w:val="0"/>
              <w:wordWrap/>
              <w:overflowPunct/>
              <w:topLinePunct w:val="0"/>
              <w:bidi w:val="0"/>
              <w:spacing w:before="78" w:line="221" w:lineRule="auto"/>
              <w:ind w:left="192"/>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称</w:t>
            </w:r>
          </w:p>
        </w:tc>
        <w:tc>
          <w:tcPr>
            <w:tcW w:w="6150" w:type="dxa"/>
            <w:vAlign w:val="center"/>
          </w:tcPr>
          <w:p w14:paraId="7C37AF79">
            <w:pPr>
              <w:pStyle w:val="7"/>
              <w:pageBreakBefore w:val="0"/>
              <w:widowControl w:val="0"/>
              <w:wordWrap/>
              <w:overflowPunct/>
              <w:topLinePunct w:val="0"/>
              <w:bidi w:val="0"/>
              <w:jc w:val="center"/>
              <w:outlineLvl w:val="9"/>
              <w:rPr>
                <w:rFonts w:hint="eastAsia" w:asciiTheme="minorEastAsia" w:hAnsiTheme="minorEastAsia" w:eastAsiaTheme="minorEastAsia" w:cstheme="minorEastAsia"/>
                <w:color w:val="auto"/>
                <w:highlight w:val="none"/>
              </w:rPr>
            </w:pPr>
            <w:r>
              <w:rPr>
                <w:rFonts w:hint="eastAsia" w:ascii="宋体" w:hAnsi="宋体" w:eastAsia="宋体"/>
                <w:sz w:val="28"/>
                <w:szCs w:val="28"/>
                <w:lang w:val="en-US" w:eastAsia="zh-CN"/>
              </w:rPr>
              <w:t>2026年度</w:t>
            </w:r>
            <w:r>
              <w:rPr>
                <w:rFonts w:hint="eastAsia" w:ascii="宋体" w:hAnsi="宋体" w:eastAsia="宋体"/>
                <w:sz w:val="28"/>
                <w:szCs w:val="28"/>
                <w:lang w:eastAsia="zh-CN"/>
              </w:rPr>
              <w:t>万年县政务服务中心物业管理</w:t>
            </w:r>
          </w:p>
        </w:tc>
      </w:tr>
      <w:tr w14:paraId="35728F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3DDE9F22">
            <w:pPr>
              <w:pageBreakBefore w:val="0"/>
              <w:widowControl w:val="0"/>
              <w:wordWrap/>
              <w:overflowPunct/>
              <w:topLinePunct w:val="0"/>
              <w:bidi w:val="0"/>
              <w:spacing w:before="253" w:line="219" w:lineRule="auto"/>
              <w:ind w:left="1188"/>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6"/>
                <w:sz w:val="24"/>
                <w:szCs w:val="24"/>
                <w:highlight w:val="none"/>
              </w:rPr>
              <w:t>数量</w:t>
            </w:r>
          </w:p>
        </w:tc>
        <w:tc>
          <w:tcPr>
            <w:tcW w:w="6150" w:type="dxa"/>
            <w:vAlign w:val="center"/>
          </w:tcPr>
          <w:p w14:paraId="09FF8F9C">
            <w:pPr>
              <w:pStyle w:val="7"/>
              <w:pageBreakBefore w:val="0"/>
              <w:widowControl w:val="0"/>
              <w:wordWrap/>
              <w:overflowPunct/>
              <w:topLinePunct w:val="0"/>
              <w:bidi w:val="0"/>
              <w:jc w:val="center"/>
              <w:outlineLvl w:val="9"/>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w:t>
            </w:r>
          </w:p>
        </w:tc>
      </w:tr>
      <w:tr w14:paraId="485B95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0EC9A387">
            <w:pPr>
              <w:pageBreakBefore w:val="0"/>
              <w:widowControl w:val="0"/>
              <w:wordWrap/>
              <w:overflowPunct/>
              <w:topLinePunct w:val="0"/>
              <w:bidi w:val="0"/>
              <w:spacing w:before="253" w:line="219" w:lineRule="auto"/>
              <w:ind w:left="107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5"/>
                <w:sz w:val="24"/>
                <w:szCs w:val="24"/>
                <w:highlight w:val="none"/>
                <w:lang w:val="en-US" w:eastAsia="zh-CN"/>
              </w:rPr>
              <w:t>服务</w:t>
            </w:r>
            <w:r>
              <w:rPr>
                <w:rFonts w:hint="eastAsia" w:asciiTheme="minorEastAsia" w:hAnsiTheme="minorEastAsia" w:eastAsiaTheme="minorEastAsia" w:cstheme="minorEastAsia"/>
                <w:color w:val="auto"/>
                <w:spacing w:val="-5"/>
                <w:sz w:val="24"/>
                <w:szCs w:val="24"/>
                <w:highlight w:val="none"/>
              </w:rPr>
              <w:t>期</w:t>
            </w:r>
          </w:p>
        </w:tc>
        <w:tc>
          <w:tcPr>
            <w:tcW w:w="6150" w:type="dxa"/>
            <w:vAlign w:val="center"/>
          </w:tcPr>
          <w:p w14:paraId="0CD5D14F">
            <w:pPr>
              <w:pStyle w:val="7"/>
              <w:pageBreakBefore w:val="0"/>
              <w:widowControl w:val="0"/>
              <w:wordWrap/>
              <w:overflowPunct/>
              <w:topLinePunct w:val="0"/>
              <w:bidi w:val="0"/>
              <w:jc w:val="center"/>
              <w:outlineLvl w:val="9"/>
              <w:rPr>
                <w:rFonts w:hint="eastAsia" w:asciiTheme="minorEastAsia" w:hAnsiTheme="minorEastAsia" w:eastAsiaTheme="minorEastAsia" w:cstheme="minorEastAsia"/>
                <w:color w:val="auto"/>
                <w:sz w:val="24"/>
                <w:szCs w:val="24"/>
                <w:highlight w:val="none"/>
                <w:lang w:val="en-US" w:eastAsia="zh-CN"/>
              </w:rPr>
            </w:pPr>
            <w:r>
              <w:rPr>
                <w:rFonts w:hint="eastAsia" w:ascii="宋体" w:hAnsi="宋体" w:eastAsia="宋体" w:cs="宋体"/>
                <w:color w:val="auto"/>
                <w:sz w:val="24"/>
                <w:szCs w:val="24"/>
                <w:shd w:val="clear" w:color="auto" w:fill="FFFFFF"/>
                <w:lang w:val="en-US" w:eastAsia="zh-CN"/>
              </w:rPr>
              <w:t>1年</w:t>
            </w:r>
          </w:p>
        </w:tc>
      </w:tr>
      <w:tr w14:paraId="6F32BB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350851E3">
            <w:pPr>
              <w:pageBreakBefore w:val="0"/>
              <w:widowControl w:val="0"/>
              <w:wordWrap/>
              <w:overflowPunct/>
              <w:topLinePunct w:val="0"/>
              <w:bidi w:val="0"/>
              <w:spacing w:before="256" w:line="219" w:lineRule="auto"/>
              <w:ind w:left="95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4"/>
                <w:sz w:val="24"/>
                <w:szCs w:val="24"/>
                <w:highlight w:val="none"/>
                <w:lang w:val="en-US" w:eastAsia="zh-CN"/>
              </w:rPr>
              <w:t>服务</w:t>
            </w:r>
            <w:r>
              <w:rPr>
                <w:rFonts w:hint="eastAsia" w:asciiTheme="minorEastAsia" w:hAnsiTheme="minorEastAsia" w:eastAsiaTheme="minorEastAsia" w:cstheme="minorEastAsia"/>
                <w:color w:val="auto"/>
                <w:spacing w:val="-4"/>
                <w:sz w:val="24"/>
                <w:szCs w:val="24"/>
                <w:highlight w:val="none"/>
              </w:rPr>
              <w:t>地点</w:t>
            </w:r>
          </w:p>
        </w:tc>
        <w:tc>
          <w:tcPr>
            <w:tcW w:w="6150" w:type="dxa"/>
            <w:vAlign w:val="center"/>
          </w:tcPr>
          <w:p w14:paraId="3618AC8E">
            <w:pPr>
              <w:pStyle w:val="7"/>
              <w:pageBreakBefore w:val="0"/>
              <w:widowControl w:val="0"/>
              <w:wordWrap/>
              <w:overflowPunct/>
              <w:topLinePunct w:val="0"/>
              <w:bidi w:val="0"/>
              <w:jc w:val="center"/>
              <w:outlineLvl w:val="9"/>
              <w:rPr>
                <w:rFonts w:hint="eastAsia" w:asciiTheme="minorEastAsia" w:hAnsiTheme="minorEastAsia" w:eastAsiaTheme="minorEastAsia" w:cstheme="minorEastAsia"/>
                <w:color w:val="auto"/>
                <w:highlight w:val="none"/>
                <w:lang w:val="en-US" w:eastAsia="zh-CN"/>
              </w:rPr>
            </w:pPr>
            <w:r>
              <w:rPr>
                <w:rFonts w:hint="eastAsia" w:ascii="宋体" w:hAnsi="宋体" w:eastAsia="宋体"/>
                <w:sz w:val="28"/>
                <w:szCs w:val="28"/>
                <w:lang w:eastAsia="zh-CN"/>
              </w:rPr>
              <w:t>万年县政务服务中心</w:t>
            </w:r>
          </w:p>
        </w:tc>
      </w:tr>
      <w:tr w14:paraId="12E26E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4598AE59">
            <w:pPr>
              <w:pageBreakBefore w:val="0"/>
              <w:widowControl w:val="0"/>
              <w:wordWrap/>
              <w:overflowPunct/>
              <w:topLinePunct w:val="0"/>
              <w:bidi w:val="0"/>
              <w:spacing w:before="256" w:line="221" w:lineRule="auto"/>
              <w:ind w:left="1189"/>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7"/>
                <w:sz w:val="24"/>
                <w:szCs w:val="24"/>
                <w:highlight w:val="none"/>
              </w:rPr>
              <w:t>备注</w:t>
            </w:r>
          </w:p>
        </w:tc>
        <w:tc>
          <w:tcPr>
            <w:tcW w:w="6150" w:type="dxa"/>
            <w:vAlign w:val="center"/>
          </w:tcPr>
          <w:p w14:paraId="6D379FF6">
            <w:pPr>
              <w:pStyle w:val="7"/>
              <w:pageBreakBefore w:val="0"/>
              <w:widowControl w:val="0"/>
              <w:wordWrap/>
              <w:overflowPunct/>
              <w:topLinePunct w:val="0"/>
              <w:bidi w:val="0"/>
              <w:jc w:val="center"/>
              <w:outlineLvl w:val="9"/>
              <w:rPr>
                <w:rFonts w:hint="eastAsia" w:asciiTheme="minorEastAsia" w:hAnsiTheme="minorEastAsia" w:eastAsiaTheme="minorEastAsia" w:cstheme="minorEastAsia"/>
                <w:color w:val="auto"/>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无</w:t>
            </w:r>
          </w:p>
        </w:tc>
      </w:tr>
    </w:tbl>
    <w:p w14:paraId="5FB4D035">
      <w:pPr>
        <w:pageBreakBefore w:val="0"/>
        <w:widowControl w:val="0"/>
        <w:wordWrap/>
        <w:overflowPunct/>
        <w:topLinePunct w:val="0"/>
        <w:bidi w:val="0"/>
        <w:outlineLvl w:val="9"/>
        <w:rPr>
          <w:rFonts w:hint="eastAsia" w:asciiTheme="minorEastAsia" w:hAnsiTheme="minorEastAsia" w:eastAsiaTheme="minorEastAsia" w:cstheme="minorEastAsia"/>
          <w:color w:val="auto"/>
          <w:highlight w:val="none"/>
        </w:rPr>
      </w:pPr>
    </w:p>
    <w:p w14:paraId="0CE8A803">
      <w:pPr>
        <w:pageBreakBefore w:val="0"/>
        <w:widowControl w:val="0"/>
        <w:wordWrap/>
        <w:overflowPunct/>
        <w:topLinePunct w:val="0"/>
        <w:bidi w:val="0"/>
        <w:outlineLvl w:val="9"/>
        <w:rPr>
          <w:rFonts w:hint="eastAsia" w:asciiTheme="minorEastAsia" w:hAnsiTheme="minorEastAsia" w:eastAsiaTheme="minorEastAsia" w:cstheme="minorEastAsia"/>
          <w:color w:val="auto"/>
          <w:highlight w:val="none"/>
        </w:rPr>
        <w:sectPr>
          <w:footerReference r:id="rId3" w:type="default"/>
          <w:pgSz w:w="11906" w:h="16839"/>
          <w:pgMar w:top="1232" w:right="1786" w:bottom="1156" w:left="1786" w:header="0" w:footer="994" w:gutter="0"/>
          <w:pgNumType w:fmt="decimal"/>
          <w:cols w:space="720" w:num="1"/>
        </w:sectPr>
      </w:pPr>
    </w:p>
    <w:p w14:paraId="07EFAC96">
      <w:pPr>
        <w:spacing w:after="0" w:line="520" w:lineRule="exact"/>
        <w:ind w:firstLine="900" w:firstLineChars="250"/>
        <w:jc w:val="center"/>
        <w:rPr>
          <w:rFonts w:hint="default" w:ascii="黑体" w:hAnsi="黑体" w:eastAsia="黑体" w:cs="黑体"/>
          <w:bCs/>
          <w:color w:val="auto"/>
          <w:sz w:val="40"/>
          <w:szCs w:val="40"/>
          <w:lang w:val="en-US" w:eastAsia="zh-CN"/>
        </w:rPr>
      </w:pPr>
      <w:bookmarkStart w:id="0" w:name="bookmark81"/>
      <w:bookmarkEnd w:id="0"/>
      <w:r>
        <w:rPr>
          <w:rFonts w:hint="eastAsia" w:ascii="黑体" w:hAnsi="黑体" w:eastAsia="黑体" w:cs="黑体"/>
          <w:bCs/>
          <w:color w:val="auto"/>
          <w:sz w:val="36"/>
          <w:szCs w:val="36"/>
          <w:lang w:val="en-US" w:eastAsia="zh-CN"/>
        </w:rPr>
        <w:t>二、采购要求</w:t>
      </w:r>
    </w:p>
    <w:p w14:paraId="5DAA3E79">
      <w:pPr>
        <w:keepNext w:val="0"/>
        <w:keepLines w:val="0"/>
        <w:pageBreakBefore w:val="0"/>
        <w:widowControl w:val="0"/>
        <w:kinsoku/>
        <w:wordWrap/>
        <w:overflowPunct/>
        <w:topLinePunct w:val="0"/>
        <w:bidi w:val="0"/>
        <w:adjustRightInd w:val="0"/>
        <w:snapToGrid w:val="0"/>
        <w:spacing w:after="0" w:line="360" w:lineRule="auto"/>
        <w:ind w:firstLine="482" w:firstLineChars="200"/>
        <w:jc w:val="both"/>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一、项目情况介绍</w:t>
      </w:r>
    </w:p>
    <w:p w14:paraId="048DD102">
      <w:pPr>
        <w:keepNext w:val="0"/>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both"/>
        <w:textAlignment w:val="auto"/>
        <w:outlineLvl w:val="1"/>
        <w:rPr>
          <w:rFonts w:hint="eastAsia" w:ascii="宋体" w:hAnsi="宋体" w:eastAsia="宋体" w:cs="宋体"/>
          <w:bCs/>
          <w:color w:val="auto"/>
          <w:sz w:val="24"/>
          <w:szCs w:val="24"/>
          <w:highlight w:val="none"/>
        </w:rPr>
      </w:pPr>
      <w:r>
        <w:rPr>
          <w:rFonts w:hint="eastAsia" w:ascii="宋体" w:hAnsi="宋体" w:eastAsia="宋体" w:cs="宋体"/>
          <w:b w:val="0"/>
          <w:bCs w:val="0"/>
          <w:color w:val="auto"/>
          <w:sz w:val="24"/>
          <w:szCs w:val="24"/>
          <w:highlight w:val="none"/>
        </w:rPr>
        <w:t>（一）预算费用：</w:t>
      </w:r>
      <w:r>
        <w:rPr>
          <w:rFonts w:hint="eastAsia" w:ascii="宋体" w:hAnsi="宋体" w:eastAsia="宋体" w:cs="宋体"/>
          <w:bCs/>
          <w:color w:val="auto"/>
          <w:sz w:val="24"/>
          <w:szCs w:val="24"/>
          <w:highlight w:val="none"/>
          <w:lang w:val="en-US" w:eastAsia="zh-CN"/>
        </w:rPr>
        <w:t>48</w:t>
      </w:r>
      <w:r>
        <w:rPr>
          <w:rFonts w:hint="eastAsia" w:ascii="宋体" w:hAnsi="宋体" w:eastAsia="宋体" w:cs="宋体"/>
          <w:bCs/>
          <w:color w:val="auto"/>
          <w:sz w:val="24"/>
          <w:szCs w:val="24"/>
          <w:highlight w:val="none"/>
        </w:rPr>
        <w:t>万元/年，服务期</w:t>
      </w:r>
      <w:r>
        <w:rPr>
          <w:rFonts w:hint="eastAsia" w:ascii="宋体" w:hAnsi="宋体" w:eastAsia="宋体" w:cs="宋体"/>
          <w:bCs/>
          <w:color w:val="auto"/>
          <w:sz w:val="24"/>
          <w:szCs w:val="24"/>
          <w:highlight w:val="none"/>
          <w:lang w:val="en-US" w:eastAsia="zh-CN"/>
        </w:rPr>
        <w:t>1</w:t>
      </w:r>
      <w:r>
        <w:rPr>
          <w:rFonts w:hint="eastAsia" w:ascii="宋体" w:hAnsi="宋体" w:eastAsia="宋体" w:cs="宋体"/>
          <w:bCs/>
          <w:color w:val="auto"/>
          <w:sz w:val="24"/>
          <w:szCs w:val="24"/>
          <w:highlight w:val="none"/>
        </w:rPr>
        <w:t>年。</w:t>
      </w:r>
    </w:p>
    <w:p w14:paraId="61482F5C">
      <w:pPr>
        <w:keepNext w:val="0"/>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both"/>
        <w:textAlignment w:val="auto"/>
        <w:outlineLvl w:val="1"/>
        <w:rPr>
          <w:rFonts w:hint="eastAsia" w:ascii="宋体" w:hAnsi="宋体" w:eastAsia="宋体" w:cs="宋体"/>
          <w:color w:val="auto"/>
          <w:sz w:val="24"/>
          <w:szCs w:val="24"/>
        </w:rPr>
      </w:pPr>
      <w:r>
        <w:rPr>
          <w:rFonts w:hint="eastAsia" w:ascii="宋体" w:hAnsi="宋体" w:eastAsia="宋体" w:cs="宋体"/>
          <w:color w:val="auto"/>
          <w:sz w:val="24"/>
          <w:szCs w:val="24"/>
        </w:rPr>
        <w:t>预算费用包括以下内容：</w:t>
      </w:r>
      <w:r>
        <w:rPr>
          <w:rFonts w:hint="eastAsia" w:ascii="宋体" w:hAnsi="宋体" w:eastAsia="宋体" w:cs="宋体"/>
          <w:color w:val="auto"/>
          <w:sz w:val="24"/>
          <w:szCs w:val="24"/>
          <w:vertAlign w:val="baseline"/>
          <w:lang w:val="en-US" w:eastAsia="zh-CN"/>
        </w:rPr>
        <w:t>人工费（基本</w:t>
      </w:r>
      <w:r>
        <w:rPr>
          <w:rFonts w:hint="eastAsia" w:ascii="宋体" w:hAnsi="宋体" w:eastAsia="宋体" w:cs="宋体"/>
          <w:color w:val="auto"/>
          <w:sz w:val="24"/>
          <w:szCs w:val="24"/>
        </w:rPr>
        <w:t>工资、社会保险费、</w:t>
      </w:r>
      <w:r>
        <w:rPr>
          <w:rFonts w:hint="eastAsia" w:ascii="宋体" w:hAnsi="宋体" w:eastAsia="宋体" w:cs="宋体"/>
          <w:color w:val="auto"/>
          <w:sz w:val="24"/>
          <w:szCs w:val="24"/>
          <w:lang w:val="en-US" w:eastAsia="zh-CN"/>
        </w:rPr>
        <w:t>加班费</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福利费</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机械设备费</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服务耗材费、</w:t>
      </w:r>
      <w:r>
        <w:rPr>
          <w:rFonts w:hint="eastAsia" w:ascii="宋体" w:hAnsi="宋体" w:eastAsia="宋体" w:cs="宋体"/>
          <w:color w:val="auto"/>
          <w:sz w:val="24"/>
          <w:szCs w:val="24"/>
          <w:lang w:val="en-US" w:eastAsia="zh-CN"/>
        </w:rPr>
        <w:t>其他费用(</w:t>
      </w:r>
      <w:r>
        <w:rPr>
          <w:rFonts w:hint="eastAsia" w:ascii="宋体" w:hAnsi="宋体" w:eastAsia="宋体" w:cs="宋体"/>
          <w:color w:val="auto"/>
          <w:sz w:val="24"/>
          <w:szCs w:val="24"/>
        </w:rPr>
        <w:t>行政办公费、管理费、利润、单次单项</w:t>
      </w:r>
      <w:r>
        <w:rPr>
          <w:rFonts w:hint="eastAsia" w:ascii="宋体" w:hAnsi="宋体" w:eastAsia="宋体" w:cs="宋体"/>
          <w:color w:val="auto"/>
          <w:sz w:val="24"/>
          <w:szCs w:val="24"/>
          <w:u w:val="none"/>
          <w:lang w:val="en-US" w:eastAsia="zh-CN"/>
        </w:rPr>
        <w:t>500</w:t>
      </w:r>
      <w:r>
        <w:rPr>
          <w:rFonts w:hint="eastAsia" w:ascii="宋体" w:hAnsi="宋体" w:eastAsia="宋体" w:cs="宋体"/>
          <w:color w:val="auto"/>
          <w:sz w:val="24"/>
          <w:szCs w:val="24"/>
        </w:rPr>
        <w:t>元以下的日常设备更换费或维修费</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税费及采购文件中约定应由</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完成的本项目全部服务内容所需全部费用。</w:t>
      </w:r>
    </w:p>
    <w:p w14:paraId="3A870A8A">
      <w:pPr>
        <w:keepNext w:val="0"/>
        <w:keepLines w:val="0"/>
        <w:pageBreakBefore w:val="0"/>
        <w:widowControl w:val="0"/>
        <w:kinsoku/>
        <w:wordWrap/>
        <w:overflowPunct/>
        <w:topLinePunct w:val="0"/>
        <w:autoSpaceDE w:val="0"/>
        <w:autoSpaceDN w:val="0"/>
        <w:bidi w:val="0"/>
        <w:adjustRightInd w:val="0"/>
        <w:snapToGrid w:val="0"/>
        <w:spacing w:after="0" w:line="360" w:lineRule="auto"/>
        <w:ind w:firstLine="480" w:firstLineChars="200"/>
        <w:jc w:val="both"/>
        <w:textAlignment w:val="auto"/>
        <w:outlineLvl w:val="1"/>
        <w:rPr>
          <w:rFonts w:hint="eastAsia" w:ascii="宋体" w:hAnsi="宋体" w:eastAsia="宋体" w:cs="宋体"/>
          <w:color w:val="auto"/>
          <w:sz w:val="24"/>
          <w:szCs w:val="24"/>
        </w:rPr>
      </w:pPr>
      <w:r>
        <w:rPr>
          <w:rFonts w:hint="eastAsia" w:ascii="宋体" w:hAnsi="宋体" w:eastAsia="宋体" w:cs="宋体"/>
          <w:color w:val="auto"/>
          <w:sz w:val="24"/>
          <w:szCs w:val="24"/>
        </w:rPr>
        <w:t>（二）项目概况</w:t>
      </w:r>
    </w:p>
    <w:p w14:paraId="6DDBCB13">
      <w:pPr>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textAlignment w:val="baseline"/>
        <w:rPr>
          <w:rFonts w:hint="eastAsia" w:ascii="宋体" w:hAnsi="宋体" w:eastAsia="宋体" w:cs="宋体"/>
          <w:spacing w:val="0"/>
          <w:w w:val="100"/>
          <w:position w:val="0"/>
          <w:sz w:val="24"/>
          <w:szCs w:val="24"/>
        </w:rPr>
      </w:pPr>
      <w:r>
        <w:rPr>
          <w:rFonts w:hint="eastAsia" w:ascii="宋体" w:hAnsi="宋体" w:cs="宋体"/>
          <w:spacing w:val="0"/>
          <w:w w:val="100"/>
          <w:position w:val="0"/>
          <w:sz w:val="24"/>
          <w:szCs w:val="24"/>
          <w:lang w:eastAsia="zh-CN"/>
        </w:rPr>
        <w:t>（</w:t>
      </w:r>
      <w:r>
        <w:rPr>
          <w:rFonts w:hint="eastAsia" w:ascii="宋体" w:hAnsi="宋体" w:cs="宋体"/>
          <w:spacing w:val="0"/>
          <w:w w:val="100"/>
          <w:position w:val="0"/>
          <w:sz w:val="24"/>
          <w:szCs w:val="24"/>
          <w:lang w:val="en-US" w:eastAsia="zh-CN"/>
        </w:rPr>
        <w:t>1</w:t>
      </w:r>
      <w:r>
        <w:rPr>
          <w:rFonts w:hint="eastAsia" w:ascii="宋体" w:hAnsi="宋体" w:cs="宋体"/>
          <w:spacing w:val="0"/>
          <w:w w:val="100"/>
          <w:position w:val="0"/>
          <w:sz w:val="24"/>
          <w:szCs w:val="24"/>
          <w:lang w:eastAsia="zh-CN"/>
        </w:rPr>
        <w:t>）</w:t>
      </w:r>
      <w:r>
        <w:rPr>
          <w:rFonts w:hint="eastAsia" w:ascii="宋体" w:hAnsi="宋体" w:eastAsia="宋体" w:cs="宋体"/>
          <w:spacing w:val="0"/>
          <w:w w:val="100"/>
          <w:position w:val="0"/>
          <w:sz w:val="24"/>
          <w:szCs w:val="24"/>
        </w:rPr>
        <w:t>万年县政务服务中心大楼(以下简称大楼),位于县经济服务中心大楼西侧。办公区建筑面积16500m²(含地下室),周边不设围墙，以绿地和道路作为分隔。政务服务中心范围内的建筑物及设施包括楼面、屋顶、外墙面、楼梯间、卫生间、走廊通道、大厅、电梯间等。办公楼由两部分组成，前面为办事大厅(面积约为9350m²,含地下室)。后面为集中办公区(面积约为7150m²),共有130多间办公室、4个中型会议室各50m²、4个大会议室80m²、2部客梯，14个男、女卫生间；地下室有2500m²的停车场、一间泵房和一间配电房的地下防空层1100m²。楼内设有信息中心网络系统和物业监控管理房。</w:t>
      </w:r>
    </w:p>
    <w:p w14:paraId="1C1E01C9">
      <w:pPr>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textAlignment w:val="baseline"/>
        <w:rPr>
          <w:rFonts w:hint="eastAsia" w:ascii="宋体" w:hAnsi="宋体" w:eastAsia="宋体" w:cs="宋体"/>
          <w:spacing w:val="0"/>
          <w:w w:val="100"/>
          <w:position w:val="0"/>
          <w:sz w:val="24"/>
          <w:szCs w:val="24"/>
        </w:rPr>
      </w:pPr>
      <w:r>
        <w:rPr>
          <w:rFonts w:hint="eastAsia" w:ascii="宋体" w:hAnsi="宋体" w:eastAsia="宋体" w:cs="宋体"/>
          <w:spacing w:val="0"/>
          <w:w w:val="100"/>
          <w:position w:val="0"/>
          <w:sz w:val="24"/>
          <w:szCs w:val="24"/>
        </w:rPr>
        <w:t>公共资源交易中心，位于高新区大楼七楼，面积1100m²,共有开标室4个，评标室2个，监控室1个，专家抽取室1个，会议室1个，办公室8间，值守室1间。</w:t>
      </w:r>
    </w:p>
    <w:p w14:paraId="65543E65">
      <w:pPr>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textAlignment w:val="baseline"/>
        <w:rPr>
          <w:rFonts w:hint="eastAsia" w:ascii="宋体" w:hAnsi="宋体" w:eastAsia="宋体" w:cs="宋体"/>
          <w:spacing w:val="0"/>
          <w:w w:val="100"/>
          <w:position w:val="0"/>
          <w:sz w:val="24"/>
          <w:szCs w:val="24"/>
        </w:rPr>
      </w:pPr>
      <w:r>
        <w:rPr>
          <w:rFonts w:hint="eastAsia" w:ascii="宋体" w:hAnsi="宋体" w:eastAsia="宋体" w:cs="宋体"/>
          <w:spacing w:val="0"/>
          <w:w w:val="100"/>
          <w:position w:val="0"/>
          <w:sz w:val="24"/>
          <w:szCs w:val="24"/>
        </w:rPr>
        <w:t>(2)市民中心大厅窗口进驻情况</w:t>
      </w:r>
    </w:p>
    <w:p w14:paraId="2A5E8B65">
      <w:pPr>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textAlignment w:val="baseline"/>
        <w:rPr>
          <w:rFonts w:hint="eastAsia" w:ascii="宋体" w:hAnsi="宋体" w:eastAsia="宋体" w:cs="宋体"/>
          <w:spacing w:val="0"/>
          <w:w w:val="100"/>
          <w:position w:val="0"/>
          <w:sz w:val="24"/>
          <w:szCs w:val="24"/>
        </w:rPr>
      </w:pPr>
      <w:r>
        <w:rPr>
          <w:rFonts w:hint="eastAsia" w:ascii="宋体" w:hAnsi="宋体" w:eastAsia="宋体" w:cs="宋体"/>
          <w:spacing w:val="0"/>
          <w:w w:val="100"/>
          <w:position w:val="0"/>
          <w:sz w:val="24"/>
          <w:szCs w:val="24"/>
        </w:rPr>
        <w:t>政务服务中心办事大厅共二层，共进驻了31个部门，设立了36个办事窗口，便民服务点4个，进驻窗口人员221人。</w:t>
      </w:r>
    </w:p>
    <w:p w14:paraId="22C8ED2E">
      <w:pPr>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(3)政务服务中心办公楼单位进驻情况</w:t>
      </w:r>
    </w:p>
    <w:p w14:paraId="20EF6C1C">
      <w:pPr>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办公楼一楼：</w:t>
      </w:r>
      <w:r>
        <w:rPr>
          <w:rFonts w:hint="eastAsia" w:ascii="宋体" w:hAnsi="宋体" w:eastAsia="宋体" w:cs="宋体"/>
          <w:spacing w:val="0"/>
          <w:w w:val="100"/>
          <w:position w:val="0"/>
          <w:sz w:val="24"/>
          <w:szCs w:val="24"/>
          <w:highlight w:val="none"/>
          <w:lang w:val="en-US" w:eastAsia="zh-CN"/>
        </w:rPr>
        <w:t>综治中心</w:t>
      </w:r>
      <w:r>
        <w:rPr>
          <w:rFonts w:hint="eastAsia" w:ascii="宋体" w:hAnsi="宋体" w:eastAsia="宋体" w:cs="宋体"/>
          <w:spacing w:val="0"/>
          <w:w w:val="100"/>
          <w:position w:val="0"/>
          <w:sz w:val="24"/>
          <w:szCs w:val="24"/>
          <w:highlight w:val="none"/>
        </w:rPr>
        <w:t>；二楼：</w:t>
      </w:r>
      <w:r>
        <w:rPr>
          <w:rFonts w:hint="eastAsia" w:ascii="宋体" w:hAnsi="宋体" w:eastAsia="宋体" w:cs="宋体"/>
          <w:spacing w:val="0"/>
          <w:w w:val="100"/>
          <w:position w:val="0"/>
          <w:sz w:val="24"/>
          <w:szCs w:val="24"/>
          <w:highlight w:val="none"/>
          <w:lang w:val="en-US" w:eastAsia="zh-CN"/>
        </w:rPr>
        <w:t>信访办</w:t>
      </w:r>
      <w:r>
        <w:rPr>
          <w:rFonts w:hint="eastAsia" w:ascii="宋体" w:hAnsi="宋体" w:eastAsia="宋体" w:cs="宋体"/>
          <w:spacing w:val="0"/>
          <w:w w:val="100"/>
          <w:position w:val="0"/>
          <w:sz w:val="24"/>
          <w:szCs w:val="24"/>
          <w:highlight w:val="none"/>
        </w:rPr>
        <w:t>、</w:t>
      </w:r>
      <w:r>
        <w:rPr>
          <w:rFonts w:hint="eastAsia" w:ascii="宋体" w:hAnsi="宋体" w:eastAsia="宋体" w:cs="宋体"/>
          <w:spacing w:val="0"/>
          <w:w w:val="100"/>
          <w:position w:val="0"/>
          <w:sz w:val="24"/>
          <w:szCs w:val="24"/>
          <w:highlight w:val="none"/>
          <w:lang w:val="en-US" w:eastAsia="zh-CN"/>
        </w:rPr>
        <w:t>E呼即办</w:t>
      </w:r>
      <w:r>
        <w:rPr>
          <w:rFonts w:hint="eastAsia" w:ascii="宋体" w:hAnsi="宋体" w:eastAsia="宋体" w:cs="宋体"/>
          <w:spacing w:val="0"/>
          <w:w w:val="100"/>
          <w:position w:val="0"/>
          <w:sz w:val="24"/>
          <w:szCs w:val="24"/>
          <w:highlight w:val="none"/>
        </w:rPr>
        <w:t>；三楼：司法局、残联；四楼：</w:t>
      </w:r>
      <w:r>
        <w:rPr>
          <w:rFonts w:hint="eastAsia" w:ascii="宋体" w:hAnsi="宋体" w:eastAsia="宋体" w:cs="宋体"/>
          <w:spacing w:val="0"/>
          <w:w w:val="100"/>
          <w:position w:val="0"/>
          <w:sz w:val="24"/>
          <w:szCs w:val="24"/>
          <w:highlight w:val="none"/>
          <w:lang w:val="en-US" w:eastAsia="zh-CN"/>
        </w:rPr>
        <w:t>司法局</w:t>
      </w:r>
      <w:r>
        <w:rPr>
          <w:rFonts w:hint="eastAsia" w:ascii="宋体" w:hAnsi="宋体" w:eastAsia="宋体" w:cs="宋体"/>
          <w:spacing w:val="0"/>
          <w:w w:val="100"/>
          <w:position w:val="0"/>
          <w:sz w:val="24"/>
          <w:szCs w:val="24"/>
          <w:highlight w:val="none"/>
        </w:rPr>
        <w:t>；五楼：人防办；六楼：</w:t>
      </w:r>
      <w:r>
        <w:rPr>
          <w:rFonts w:hint="eastAsia" w:ascii="宋体" w:hAnsi="宋体" w:eastAsia="宋体" w:cs="宋体"/>
          <w:spacing w:val="0"/>
          <w:w w:val="100"/>
          <w:position w:val="0"/>
          <w:sz w:val="24"/>
          <w:szCs w:val="24"/>
          <w:highlight w:val="none"/>
          <w:lang w:val="en-US" w:eastAsia="zh-CN"/>
        </w:rPr>
        <w:t>审批局</w:t>
      </w:r>
      <w:r>
        <w:rPr>
          <w:rFonts w:hint="eastAsia" w:ascii="宋体" w:hAnsi="宋体" w:eastAsia="宋体" w:cs="宋体"/>
          <w:spacing w:val="0"/>
          <w:w w:val="100"/>
          <w:position w:val="0"/>
          <w:sz w:val="24"/>
          <w:szCs w:val="24"/>
          <w:highlight w:val="none"/>
        </w:rPr>
        <w:t>。</w:t>
      </w:r>
    </w:p>
    <w:p w14:paraId="6B791441">
      <w:pPr>
        <w:keepNext w:val="0"/>
        <w:keepLines w:val="0"/>
        <w:pageBreakBefore w:val="0"/>
        <w:widowControl w:val="0"/>
        <w:kinsoku/>
        <w:wordWrap/>
        <w:overflowPunct/>
        <w:topLinePunct w:val="0"/>
        <w:autoSpaceDE w:val="0"/>
        <w:autoSpaceDN w:val="0"/>
        <w:bidi w:val="0"/>
        <w:adjustRightInd w:val="0"/>
        <w:snapToGrid w:val="0"/>
        <w:spacing w:after="0" w:line="360" w:lineRule="auto"/>
        <w:ind w:firstLine="482" w:firstLineChars="200"/>
        <w:jc w:val="both"/>
        <w:textAlignment w:val="auto"/>
        <w:outlineLvl w:val="1"/>
        <w:rPr>
          <w:rFonts w:hint="eastAsia" w:ascii="宋体" w:hAnsi="宋体" w:eastAsia="宋体" w:cs="宋体"/>
          <w:b/>
          <w:bCs/>
          <w:color w:val="auto"/>
          <w:sz w:val="24"/>
          <w:szCs w:val="24"/>
        </w:rPr>
      </w:pPr>
      <w:r>
        <w:rPr>
          <w:rFonts w:hint="eastAsia" w:ascii="宋体" w:hAnsi="宋体" w:eastAsia="宋体" w:cs="宋体"/>
          <w:b/>
          <w:bCs/>
          <w:color w:val="auto"/>
          <w:sz w:val="24"/>
          <w:szCs w:val="24"/>
        </w:rPr>
        <w:t>二、服务需求</w:t>
      </w:r>
    </w:p>
    <w:p w14:paraId="52E91D2A">
      <w:pPr>
        <w:keepNext w:val="0"/>
        <w:keepLines w:val="0"/>
        <w:pageBreakBefore w:val="0"/>
        <w:widowControl w:val="0"/>
        <w:kinsoku/>
        <w:wordWrap/>
        <w:overflowPunct/>
        <w:topLinePunct w:val="0"/>
        <w:autoSpaceDE w:val="0"/>
        <w:autoSpaceDN w:val="0"/>
        <w:bidi w:val="0"/>
        <w:adjustRightInd w:val="0"/>
        <w:snapToGrid w:val="0"/>
        <w:spacing w:after="0" w:line="360" w:lineRule="auto"/>
        <w:ind w:firstLine="482" w:firstLineChars="200"/>
        <w:jc w:val="both"/>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（一）服务范围及内容：</w:t>
      </w:r>
    </w:p>
    <w:p w14:paraId="3534DC62">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1.秩序维护服务：实行二十四小时值班制，包括门卫值班；来访来人登记；消控室值班；物业管理区域内巡逻；消防日常巡查管理；交通疏导；车辆秩序等服务；协助处理上访等工作。</w:t>
      </w:r>
    </w:p>
    <w:p w14:paraId="7D86D323">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2.卫生保洁服务：日常公共区域卫生保洁，包括地面、楼道、天面等清扫保洁；设备设施清抹；垃圾收集外运；管网清掏疏通；病媒防制消杀除虫；二次供水水箱等储水设施清洗、消毒和水质检测等服务。</w:t>
      </w:r>
    </w:p>
    <w:p w14:paraId="1CB89F61">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3.绿化养护服务：日常绿植养护，包括施肥、病虫害防治、修剪、浇水、枯枝杂草清理、花卉租摆等。</w:t>
      </w:r>
    </w:p>
    <w:p w14:paraId="5BC1490B">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设备设施维护服务：设备设施的日常运行管理、维修养护。物业负责的工程维修方面，包含管理区域内公共区域的建筑物、道路、市政景观设施、公共场所等各设施的日常管理，给排水、强电、照明、智能化、电梯、消防、中央空调等系统各设备的日常管理；以及各设施和设备小型日常维护维修（单项单次500元以下）。</w:t>
      </w:r>
      <w:r>
        <w:rPr>
          <w:rFonts w:hint="eastAsia" w:ascii="宋体" w:hAnsi="宋体" w:eastAsia="宋体" w:cs="宋体"/>
          <w:color w:val="auto"/>
          <w:sz w:val="24"/>
          <w:szCs w:val="24"/>
          <w:highlight w:val="none"/>
        </w:rPr>
        <w:t>电梯由采购单位另外采购专业机构进行维保维修，物业公司只需负责日常管理。</w:t>
      </w:r>
    </w:p>
    <w:p w14:paraId="3A875327">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5.客服服务</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包含客服接待、会议服务、收发、档案管理等方面。</w:t>
      </w:r>
    </w:p>
    <w:p w14:paraId="7402F5BB">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6.其他管理服务：包含应急处置要求、节能减排工作要求、其他可能出现的临时服务项目。</w:t>
      </w:r>
    </w:p>
    <w:p w14:paraId="3788D546">
      <w:pPr>
        <w:pStyle w:val="8"/>
        <w:keepNext w:val="0"/>
        <w:keepLines w:val="0"/>
        <w:pageBreakBefore w:val="0"/>
        <w:widowControl w:val="0"/>
        <w:kinsoku/>
        <w:wordWrap/>
        <w:overflowPunct/>
        <w:topLinePunct w:val="0"/>
        <w:bidi w:val="0"/>
        <w:adjustRightInd w:val="0"/>
        <w:snapToGrid w:val="0"/>
        <w:spacing w:after="0" w:line="480" w:lineRule="exact"/>
        <w:ind w:firstLine="482" w:firstLineChars="200"/>
        <w:jc w:val="both"/>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（二）服务要求标准</w:t>
      </w:r>
    </w:p>
    <w:p w14:paraId="538BCFF9">
      <w:pPr>
        <w:pStyle w:val="8"/>
        <w:keepNext w:val="0"/>
        <w:keepLines w:val="0"/>
        <w:pageBreakBefore w:val="0"/>
        <w:widowControl w:val="0"/>
        <w:kinsoku/>
        <w:wordWrap/>
        <w:overflowPunct/>
        <w:topLinePunct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详见</w:t>
      </w:r>
      <w:r>
        <w:rPr>
          <w:rFonts w:hint="eastAsia" w:ascii="宋体" w:hAnsi="宋体" w:eastAsia="宋体" w:cs="宋体"/>
          <w:color w:val="auto"/>
          <w:sz w:val="24"/>
          <w:szCs w:val="24"/>
        </w:rPr>
        <w:t>《具体物业管理服务标准》。</w:t>
      </w:r>
    </w:p>
    <w:p w14:paraId="6E7F95BF">
      <w:pPr>
        <w:pStyle w:val="8"/>
        <w:keepNext w:val="0"/>
        <w:keepLines w:val="0"/>
        <w:pageBreakBefore w:val="0"/>
        <w:widowControl w:val="0"/>
        <w:kinsoku/>
        <w:wordWrap/>
        <w:overflowPunct/>
        <w:topLinePunct w:val="0"/>
        <w:bidi w:val="0"/>
        <w:adjustRightInd w:val="0"/>
        <w:snapToGrid w:val="0"/>
        <w:spacing w:after="0" w:line="480" w:lineRule="exact"/>
        <w:ind w:firstLine="482" w:firstLineChars="200"/>
        <w:jc w:val="both"/>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（三）服务考核办法</w:t>
      </w:r>
    </w:p>
    <w:p w14:paraId="3FBB1B72">
      <w:pPr>
        <w:keepNext w:val="0"/>
        <w:keepLines w:val="0"/>
        <w:pageBreakBefore w:val="0"/>
        <w:widowControl w:val="0"/>
        <w:kinsoku/>
        <w:wordWrap/>
        <w:overflowPunct/>
        <w:topLinePunct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详见</w:t>
      </w:r>
      <w:r>
        <w:rPr>
          <w:rFonts w:hint="eastAsia" w:ascii="宋体" w:hAnsi="宋体" w:eastAsia="宋体" w:cs="宋体"/>
          <w:color w:val="auto"/>
          <w:sz w:val="24"/>
          <w:szCs w:val="24"/>
        </w:rPr>
        <w:t>《物业管理服务监督管理考核评价办法》。</w:t>
      </w:r>
    </w:p>
    <w:p w14:paraId="200ED96E">
      <w:pPr>
        <w:keepNext w:val="0"/>
        <w:keepLines w:val="0"/>
        <w:pageBreakBefore w:val="0"/>
        <w:widowControl w:val="0"/>
        <w:numPr>
          <w:ilvl w:val="0"/>
          <w:numId w:val="0"/>
        </w:numPr>
        <w:kinsoku/>
        <w:wordWrap/>
        <w:overflowPunct/>
        <w:topLinePunct w:val="0"/>
        <w:bidi w:val="0"/>
        <w:adjustRightInd w:val="0"/>
        <w:snapToGrid w:val="0"/>
        <w:spacing w:after="0" w:line="480" w:lineRule="exact"/>
        <w:ind w:firstLine="482" w:firstLineChars="200"/>
        <w:jc w:val="both"/>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（四）服务人员要求</w:t>
      </w:r>
    </w:p>
    <w:p w14:paraId="1EFA81AE">
      <w:pPr>
        <w:keepNext w:val="0"/>
        <w:keepLines w:val="0"/>
        <w:pageBreakBefore w:val="0"/>
        <w:widowControl w:val="0"/>
        <w:numPr>
          <w:ilvl w:val="0"/>
          <w:numId w:val="0"/>
        </w:numPr>
        <w:kinsoku/>
        <w:wordWrap/>
        <w:overflowPunct/>
        <w:topLinePunct w:val="0"/>
        <w:bidi w:val="0"/>
        <w:adjustRightInd w:val="0"/>
        <w:snapToGrid w:val="0"/>
        <w:spacing w:after="0" w:line="480" w:lineRule="exact"/>
        <w:ind w:firstLine="482" w:firstLineChars="200"/>
        <w:jc w:val="both"/>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1.最低人员配置需求</w:t>
      </w:r>
    </w:p>
    <w:tbl>
      <w:tblPr>
        <w:tblStyle w:val="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63"/>
        <w:gridCol w:w="738"/>
        <w:gridCol w:w="6218"/>
      </w:tblGrid>
      <w:tr w14:paraId="2331E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7" w:type="pct"/>
            <w:tcBorders>
              <w:top w:val="single" w:color="auto" w:sz="4" w:space="0"/>
              <w:left w:val="single" w:color="auto" w:sz="4" w:space="0"/>
              <w:bottom w:val="single" w:color="auto" w:sz="4" w:space="0"/>
              <w:right w:val="single" w:color="auto" w:sz="4" w:space="0"/>
            </w:tcBorders>
            <w:noWrap w:val="0"/>
            <w:vAlign w:val="center"/>
          </w:tcPr>
          <w:p w14:paraId="6A4D7C6C">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岗 位</w:t>
            </w:r>
          </w:p>
        </w:tc>
        <w:tc>
          <w:tcPr>
            <w:tcW w:w="433" w:type="pct"/>
            <w:tcBorders>
              <w:top w:val="single" w:color="auto" w:sz="4" w:space="0"/>
              <w:left w:val="nil"/>
              <w:bottom w:val="single" w:color="auto" w:sz="4" w:space="0"/>
              <w:right w:val="single" w:color="auto" w:sz="4" w:space="0"/>
            </w:tcBorders>
            <w:noWrap w:val="0"/>
            <w:vAlign w:val="center"/>
          </w:tcPr>
          <w:p w14:paraId="69810845">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人数</w:t>
            </w:r>
          </w:p>
        </w:tc>
        <w:tc>
          <w:tcPr>
            <w:tcW w:w="3648" w:type="pct"/>
            <w:tcBorders>
              <w:top w:val="single" w:color="auto" w:sz="4" w:space="0"/>
              <w:left w:val="nil"/>
              <w:bottom w:val="single" w:color="auto" w:sz="4" w:space="0"/>
              <w:right w:val="single" w:color="auto" w:sz="4" w:space="0"/>
            </w:tcBorders>
            <w:noWrap w:val="0"/>
            <w:vAlign w:val="center"/>
          </w:tcPr>
          <w:p w14:paraId="37C84EBE">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具体要求（身体状况、岗位要求等）</w:t>
            </w:r>
          </w:p>
        </w:tc>
      </w:tr>
      <w:tr w14:paraId="3223B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937BF77">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rPr>
              <w:t>项目经理</w:t>
            </w:r>
          </w:p>
        </w:tc>
        <w:tc>
          <w:tcPr>
            <w:tcW w:w="433" w:type="pct"/>
            <w:tcBorders>
              <w:top w:val="single" w:color="auto" w:sz="4" w:space="0"/>
              <w:left w:val="nil"/>
              <w:bottom w:val="single" w:color="auto" w:sz="4" w:space="0"/>
              <w:right w:val="single" w:color="auto" w:sz="4" w:space="0"/>
            </w:tcBorders>
            <w:shd w:val="clear" w:color="auto" w:fill="auto"/>
            <w:noWrap w:val="0"/>
            <w:vAlign w:val="center"/>
          </w:tcPr>
          <w:p w14:paraId="48CBE608">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zh-CN" w:eastAsia="zh-CN"/>
              </w:rPr>
            </w:pPr>
            <w:r>
              <w:rPr>
                <w:rFonts w:hint="eastAsia" w:ascii="宋体" w:hAnsi="宋体" w:eastAsia="宋体" w:cs="宋体"/>
                <w:spacing w:val="0"/>
                <w:w w:val="100"/>
                <w:position w:val="0"/>
                <w:sz w:val="24"/>
                <w:szCs w:val="24"/>
                <w:highlight w:val="none"/>
                <w:lang w:val="en-US" w:eastAsia="zh-CN"/>
              </w:rPr>
              <w:t>1</w:t>
            </w:r>
          </w:p>
        </w:tc>
        <w:tc>
          <w:tcPr>
            <w:tcW w:w="3648" w:type="pct"/>
            <w:tcBorders>
              <w:top w:val="single" w:color="auto" w:sz="4" w:space="0"/>
              <w:left w:val="nil"/>
              <w:bottom w:val="single" w:color="auto" w:sz="4" w:space="0"/>
              <w:right w:val="single" w:color="auto" w:sz="4" w:space="0"/>
            </w:tcBorders>
            <w:shd w:val="clear" w:color="auto" w:fill="auto"/>
            <w:noWrap w:val="0"/>
            <w:vAlign w:val="top"/>
          </w:tcPr>
          <w:p w14:paraId="7D7D44E6">
            <w:pPr>
              <w:keepNext w:val="0"/>
              <w:keepLines w:val="0"/>
              <w:pageBreakBefore w:val="0"/>
              <w:widowControl/>
              <w:kinsoku/>
              <w:wordWrap/>
              <w:overflowPunct/>
              <w:topLinePunct w:val="0"/>
              <w:autoSpaceDE/>
              <w:autoSpaceDN/>
              <w:bidi w:val="0"/>
              <w:adjustRightInd w:val="0"/>
              <w:snapToGrid w:val="0"/>
              <w:spacing w:after="0" w:line="480" w:lineRule="exact"/>
              <w:textAlignment w:val="auto"/>
              <w:rPr>
                <w:rFonts w:hint="eastAsia" w:ascii="宋体" w:hAnsi="宋体" w:eastAsia="宋体" w:cs="宋体"/>
                <w:spacing w:val="0"/>
                <w:w w:val="100"/>
                <w:position w:val="0"/>
                <w:sz w:val="24"/>
                <w:szCs w:val="24"/>
                <w:highlight w:val="none"/>
                <w:lang w:val="zh-CN" w:eastAsia="zh-CN"/>
              </w:rPr>
            </w:pPr>
            <w:r>
              <w:rPr>
                <w:rFonts w:hint="eastAsia" w:ascii="宋体" w:hAnsi="宋体" w:eastAsia="宋体" w:cs="宋体"/>
                <w:b/>
                <w:bCs/>
                <w:spacing w:val="0"/>
                <w:w w:val="100"/>
                <w:position w:val="0"/>
                <w:sz w:val="24"/>
                <w:szCs w:val="24"/>
                <w:highlight w:val="none"/>
                <w:lang w:val="en-US" w:eastAsia="zh-CN"/>
              </w:rPr>
              <w:t>年龄在</w:t>
            </w:r>
            <w:r>
              <w:rPr>
                <w:rFonts w:hint="eastAsia" w:ascii="宋体" w:hAnsi="宋体" w:cs="宋体"/>
                <w:b/>
                <w:bCs/>
                <w:spacing w:val="0"/>
                <w:w w:val="100"/>
                <w:position w:val="0"/>
                <w:sz w:val="24"/>
                <w:szCs w:val="24"/>
                <w:highlight w:val="none"/>
                <w:lang w:val="en-US" w:eastAsia="zh-CN"/>
              </w:rPr>
              <w:t>40</w:t>
            </w:r>
            <w:r>
              <w:rPr>
                <w:rFonts w:hint="eastAsia" w:ascii="宋体" w:hAnsi="宋体" w:eastAsia="宋体" w:cs="宋体"/>
                <w:b/>
                <w:bCs/>
                <w:spacing w:val="0"/>
                <w:w w:val="100"/>
                <w:position w:val="0"/>
                <w:sz w:val="24"/>
                <w:szCs w:val="24"/>
                <w:highlight w:val="none"/>
                <w:lang w:val="en-US" w:eastAsia="zh-CN"/>
              </w:rPr>
              <w:t>周岁以</w:t>
            </w:r>
            <w:r>
              <w:rPr>
                <w:rFonts w:hint="eastAsia"/>
                <w:b/>
                <w:bCs/>
                <w:lang w:val="en-US" w:eastAsia="zh-CN"/>
              </w:rPr>
              <w:t>下</w:t>
            </w:r>
            <w:r>
              <w:rPr>
                <w:rFonts w:hint="eastAsia" w:ascii="宋体" w:hAnsi="宋体" w:eastAsia="宋体" w:cs="宋体"/>
                <w:b/>
                <w:bCs/>
                <w:spacing w:val="0"/>
                <w:w w:val="100"/>
                <w:position w:val="0"/>
                <w:sz w:val="24"/>
                <w:szCs w:val="24"/>
                <w:highlight w:val="none"/>
                <w:lang w:val="en-US" w:eastAsia="zh-CN"/>
              </w:rPr>
              <w:t>，</w:t>
            </w:r>
            <w:r>
              <w:rPr>
                <w:rFonts w:hint="eastAsia" w:ascii="宋体" w:hAnsi="宋体" w:eastAsia="宋体" w:cs="宋体"/>
                <w:spacing w:val="0"/>
                <w:w w:val="100"/>
                <w:position w:val="0"/>
                <w:sz w:val="24"/>
                <w:szCs w:val="24"/>
                <w:highlight w:val="none"/>
              </w:rPr>
              <w:t>具有较强的责任感、综合素质和服务意识；具有良好的文字组织、沟通能力及团队管理能力；熟悉物业管理工作，有较强的分析和解决问题的能力，懂物业法律法规；</w:t>
            </w:r>
          </w:p>
        </w:tc>
      </w:tr>
      <w:tr w14:paraId="042F2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C292DB4">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秩序主管</w:t>
            </w:r>
          </w:p>
        </w:tc>
        <w:tc>
          <w:tcPr>
            <w:tcW w:w="433" w:type="pct"/>
            <w:tcBorders>
              <w:top w:val="single" w:color="auto" w:sz="4" w:space="0"/>
              <w:left w:val="nil"/>
              <w:bottom w:val="single" w:color="auto" w:sz="4" w:space="0"/>
              <w:right w:val="single" w:color="auto" w:sz="4" w:space="0"/>
            </w:tcBorders>
            <w:shd w:val="clear" w:color="auto" w:fill="auto"/>
            <w:noWrap w:val="0"/>
            <w:vAlign w:val="center"/>
          </w:tcPr>
          <w:p w14:paraId="1ED2F3D7">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1</w:t>
            </w:r>
          </w:p>
        </w:tc>
        <w:tc>
          <w:tcPr>
            <w:tcW w:w="3648" w:type="pct"/>
            <w:tcBorders>
              <w:top w:val="single" w:color="auto" w:sz="4" w:space="0"/>
              <w:left w:val="nil"/>
              <w:bottom w:val="single" w:color="auto" w:sz="4" w:space="0"/>
              <w:right w:val="single" w:color="auto" w:sz="4" w:space="0"/>
            </w:tcBorders>
            <w:shd w:val="clear" w:color="auto" w:fill="auto"/>
            <w:noWrap w:val="0"/>
            <w:vAlign w:val="top"/>
          </w:tcPr>
          <w:p w14:paraId="6083C084">
            <w:pPr>
              <w:keepNext w:val="0"/>
              <w:keepLines w:val="0"/>
              <w:pageBreakBefore w:val="0"/>
              <w:widowControl/>
              <w:kinsoku/>
              <w:wordWrap/>
              <w:overflowPunct/>
              <w:topLinePunct w:val="0"/>
              <w:autoSpaceDE/>
              <w:autoSpaceDN/>
              <w:bidi w:val="0"/>
              <w:adjustRightInd w:val="0"/>
              <w:snapToGrid w:val="0"/>
              <w:spacing w:after="0" w:line="480" w:lineRule="exact"/>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b/>
                <w:bCs/>
                <w:spacing w:val="0"/>
                <w:w w:val="100"/>
                <w:position w:val="0"/>
                <w:sz w:val="24"/>
                <w:szCs w:val="24"/>
                <w:highlight w:val="none"/>
                <w:lang w:val="en-US" w:eastAsia="zh-CN"/>
              </w:rPr>
              <w:t>年龄在40周岁以</w:t>
            </w:r>
            <w:r>
              <w:rPr>
                <w:rFonts w:hint="eastAsia" w:ascii="宋体" w:hAnsi="宋体" w:cs="宋体"/>
                <w:b/>
                <w:bCs/>
                <w:spacing w:val="0"/>
                <w:w w:val="100"/>
                <w:position w:val="0"/>
                <w:sz w:val="24"/>
                <w:szCs w:val="24"/>
                <w:highlight w:val="none"/>
                <w:lang w:val="en-US" w:eastAsia="zh-CN"/>
              </w:rPr>
              <w:t>下</w:t>
            </w:r>
            <w:r>
              <w:rPr>
                <w:rFonts w:hint="eastAsia" w:ascii="宋体" w:hAnsi="宋体" w:eastAsia="宋体" w:cs="宋体"/>
                <w:b/>
                <w:bCs/>
                <w:spacing w:val="0"/>
                <w:w w:val="100"/>
                <w:position w:val="0"/>
                <w:sz w:val="24"/>
                <w:szCs w:val="24"/>
                <w:highlight w:val="none"/>
                <w:lang w:val="en-US" w:eastAsia="zh-CN"/>
              </w:rPr>
              <w:t>，</w:t>
            </w:r>
            <w:r>
              <w:rPr>
                <w:rFonts w:hint="eastAsia" w:ascii="宋体" w:hAnsi="宋体" w:eastAsia="宋体" w:cs="宋体"/>
                <w:spacing w:val="0"/>
                <w:w w:val="100"/>
                <w:position w:val="0"/>
                <w:sz w:val="24"/>
                <w:szCs w:val="24"/>
                <w:highlight w:val="none"/>
              </w:rPr>
              <w:t>具有较强的责任感、综合素质和服务意识；具有良好的文字组织、沟通能力及团队管理能力；熟悉小区物业管理工作，有较强的分析和解决问题的能力，懂物业法律法规；</w:t>
            </w:r>
          </w:p>
        </w:tc>
      </w:tr>
      <w:tr w14:paraId="204E0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7" w:type="pct"/>
            <w:tcBorders>
              <w:top w:val="single" w:color="auto" w:sz="4" w:space="0"/>
              <w:left w:val="single" w:color="auto" w:sz="4" w:space="0"/>
              <w:bottom w:val="single" w:color="auto" w:sz="4" w:space="0"/>
              <w:right w:val="single" w:color="auto" w:sz="4" w:space="0"/>
            </w:tcBorders>
            <w:noWrap w:val="0"/>
            <w:vAlign w:val="center"/>
          </w:tcPr>
          <w:p w14:paraId="5F917EB5">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rPr>
            </w:pPr>
            <w:r>
              <w:rPr>
                <w:rFonts w:hint="eastAsia" w:ascii="宋体" w:hAnsi="宋体" w:eastAsia="宋体" w:cs="宋体"/>
                <w:spacing w:val="0"/>
                <w:w w:val="100"/>
                <w:position w:val="0"/>
                <w:sz w:val="24"/>
                <w:szCs w:val="24"/>
                <w:highlight w:val="none"/>
                <w:lang w:val="en-US" w:eastAsia="zh-CN"/>
              </w:rPr>
              <w:t>秩序维护员</w:t>
            </w:r>
          </w:p>
        </w:tc>
        <w:tc>
          <w:tcPr>
            <w:tcW w:w="433" w:type="pct"/>
            <w:tcBorders>
              <w:top w:val="single" w:color="auto" w:sz="4" w:space="0"/>
              <w:left w:val="nil"/>
              <w:bottom w:val="single" w:color="auto" w:sz="4" w:space="0"/>
              <w:right w:val="single" w:color="auto" w:sz="4" w:space="0"/>
            </w:tcBorders>
            <w:noWrap w:val="0"/>
            <w:vAlign w:val="center"/>
          </w:tcPr>
          <w:p w14:paraId="1C492EE7">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4</w:t>
            </w:r>
          </w:p>
        </w:tc>
        <w:tc>
          <w:tcPr>
            <w:tcW w:w="3648" w:type="pct"/>
            <w:tcBorders>
              <w:top w:val="single" w:color="auto" w:sz="4" w:space="0"/>
              <w:left w:val="nil"/>
              <w:bottom w:val="single" w:color="auto" w:sz="4" w:space="0"/>
              <w:right w:val="single" w:color="auto" w:sz="4" w:space="0"/>
            </w:tcBorders>
            <w:noWrap w:val="0"/>
            <w:vAlign w:val="top"/>
          </w:tcPr>
          <w:p w14:paraId="73F2B5DE">
            <w:pPr>
              <w:keepNext w:val="0"/>
              <w:keepLines w:val="0"/>
              <w:pageBreakBefore w:val="0"/>
              <w:widowControl/>
              <w:kinsoku/>
              <w:wordWrap/>
              <w:overflowPunct/>
              <w:topLinePunct w:val="0"/>
              <w:autoSpaceDE/>
              <w:autoSpaceDN/>
              <w:bidi w:val="0"/>
              <w:adjustRightInd w:val="0"/>
              <w:snapToGrid w:val="0"/>
              <w:spacing w:after="0" w:line="480" w:lineRule="exact"/>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b/>
                <w:bCs/>
                <w:spacing w:val="0"/>
                <w:sz w:val="24"/>
                <w:szCs w:val="24"/>
                <w:highlight w:val="none"/>
              </w:rPr>
              <w:t>男性年龄60周岁</w:t>
            </w:r>
            <w:r>
              <w:rPr>
                <w:rFonts w:hint="eastAsia" w:ascii="宋体" w:hAnsi="宋体" w:cs="宋体"/>
                <w:b/>
                <w:bCs/>
                <w:spacing w:val="0"/>
                <w:sz w:val="24"/>
                <w:szCs w:val="24"/>
                <w:highlight w:val="none"/>
                <w:lang w:val="en-US" w:eastAsia="zh-CN"/>
              </w:rPr>
              <w:t>以</w:t>
            </w:r>
            <w:r>
              <w:rPr>
                <w:rFonts w:hint="eastAsia" w:ascii="宋体" w:hAnsi="宋体" w:eastAsia="宋体" w:cs="宋体"/>
                <w:b/>
                <w:bCs/>
                <w:spacing w:val="0"/>
                <w:sz w:val="24"/>
                <w:szCs w:val="24"/>
                <w:highlight w:val="none"/>
              </w:rPr>
              <w:t>下，女性年龄50周岁以下。</w:t>
            </w:r>
            <w:r>
              <w:rPr>
                <w:rFonts w:hint="eastAsia" w:ascii="宋体" w:hAnsi="宋体" w:eastAsia="宋体" w:cs="宋体"/>
                <w:spacing w:val="0"/>
                <w:w w:val="100"/>
                <w:position w:val="0"/>
                <w:sz w:val="24"/>
                <w:szCs w:val="24"/>
                <w:highlight w:val="none"/>
              </w:rPr>
              <w:t>品行端正、遵纪守法、身体健康、工作勤快，责任心强，有较好的突发事件应急处置能力。有良好的卫生习惯、服从管理，服装整洁。</w:t>
            </w:r>
          </w:p>
        </w:tc>
      </w:tr>
      <w:tr w14:paraId="2C038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7" w:type="pct"/>
            <w:tcBorders>
              <w:top w:val="single" w:color="auto" w:sz="4" w:space="0"/>
              <w:left w:val="single" w:color="auto" w:sz="4" w:space="0"/>
              <w:bottom w:val="single" w:color="auto" w:sz="4" w:space="0"/>
              <w:right w:val="single" w:color="auto" w:sz="4" w:space="0"/>
            </w:tcBorders>
            <w:noWrap w:val="0"/>
            <w:vAlign w:val="center"/>
          </w:tcPr>
          <w:p w14:paraId="124CA4A4">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保洁主管</w:t>
            </w:r>
          </w:p>
        </w:tc>
        <w:tc>
          <w:tcPr>
            <w:tcW w:w="433" w:type="pct"/>
            <w:tcBorders>
              <w:top w:val="single" w:color="auto" w:sz="4" w:space="0"/>
              <w:left w:val="nil"/>
              <w:bottom w:val="single" w:color="auto" w:sz="4" w:space="0"/>
              <w:right w:val="single" w:color="auto" w:sz="4" w:space="0"/>
            </w:tcBorders>
            <w:noWrap w:val="0"/>
            <w:vAlign w:val="center"/>
          </w:tcPr>
          <w:p w14:paraId="276A002A">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1</w:t>
            </w:r>
          </w:p>
        </w:tc>
        <w:tc>
          <w:tcPr>
            <w:tcW w:w="3648" w:type="pct"/>
            <w:tcBorders>
              <w:top w:val="single" w:color="auto" w:sz="4" w:space="0"/>
              <w:left w:val="nil"/>
              <w:bottom w:val="single" w:color="auto" w:sz="4" w:space="0"/>
              <w:right w:val="single" w:color="auto" w:sz="4" w:space="0"/>
            </w:tcBorders>
            <w:noWrap w:val="0"/>
            <w:vAlign w:val="top"/>
          </w:tcPr>
          <w:p w14:paraId="2533BA40">
            <w:pPr>
              <w:keepNext w:val="0"/>
              <w:keepLines w:val="0"/>
              <w:pageBreakBefore w:val="0"/>
              <w:widowControl/>
              <w:kinsoku/>
              <w:wordWrap/>
              <w:overflowPunct/>
              <w:topLinePunct w:val="0"/>
              <w:autoSpaceDE/>
              <w:autoSpaceDN/>
              <w:bidi w:val="0"/>
              <w:adjustRightInd w:val="0"/>
              <w:snapToGrid w:val="0"/>
              <w:spacing w:after="0" w:line="480" w:lineRule="exact"/>
              <w:textAlignment w:val="auto"/>
              <w:rPr>
                <w:rFonts w:hint="eastAsia" w:ascii="宋体" w:hAnsi="宋体" w:eastAsia="宋体" w:cs="宋体"/>
                <w:b/>
                <w:bCs/>
                <w:spacing w:val="0"/>
                <w:w w:val="100"/>
                <w:position w:val="0"/>
                <w:sz w:val="24"/>
                <w:szCs w:val="24"/>
                <w:highlight w:val="none"/>
                <w:lang w:val="en-US" w:eastAsia="zh-CN"/>
              </w:rPr>
            </w:pPr>
            <w:r>
              <w:rPr>
                <w:rFonts w:hint="eastAsia" w:ascii="宋体" w:hAnsi="宋体" w:eastAsia="宋体" w:cs="宋体"/>
                <w:b/>
                <w:bCs/>
                <w:spacing w:val="0"/>
                <w:w w:val="100"/>
                <w:position w:val="0"/>
                <w:sz w:val="24"/>
                <w:szCs w:val="24"/>
                <w:highlight w:val="none"/>
                <w:lang w:val="en-US" w:eastAsia="zh-CN"/>
              </w:rPr>
              <w:t>年龄在</w:t>
            </w:r>
            <w:r>
              <w:rPr>
                <w:rFonts w:hint="eastAsia" w:ascii="宋体" w:hAnsi="宋体" w:cs="宋体"/>
                <w:b/>
                <w:bCs/>
                <w:spacing w:val="0"/>
                <w:w w:val="100"/>
                <w:position w:val="0"/>
                <w:sz w:val="24"/>
                <w:szCs w:val="24"/>
                <w:highlight w:val="none"/>
                <w:lang w:val="en-US" w:eastAsia="zh-CN"/>
              </w:rPr>
              <w:t>45</w:t>
            </w:r>
            <w:r>
              <w:rPr>
                <w:rFonts w:hint="eastAsia" w:ascii="宋体" w:hAnsi="宋体" w:eastAsia="宋体" w:cs="宋体"/>
                <w:b/>
                <w:bCs/>
                <w:spacing w:val="0"/>
                <w:w w:val="100"/>
                <w:position w:val="0"/>
                <w:sz w:val="24"/>
                <w:szCs w:val="24"/>
                <w:highlight w:val="none"/>
                <w:lang w:val="en-US" w:eastAsia="zh-CN"/>
              </w:rPr>
              <w:t>周岁以</w:t>
            </w:r>
            <w:r>
              <w:rPr>
                <w:rFonts w:hint="eastAsia" w:ascii="宋体" w:hAnsi="宋体" w:cs="宋体"/>
                <w:b/>
                <w:bCs/>
                <w:spacing w:val="0"/>
                <w:w w:val="100"/>
                <w:position w:val="0"/>
                <w:sz w:val="24"/>
                <w:szCs w:val="24"/>
                <w:highlight w:val="none"/>
                <w:lang w:val="en-US" w:eastAsia="zh-CN"/>
              </w:rPr>
              <w:t>下</w:t>
            </w:r>
            <w:r>
              <w:rPr>
                <w:rFonts w:hint="eastAsia" w:ascii="宋体" w:hAnsi="宋体" w:eastAsia="宋体" w:cs="宋体"/>
                <w:b/>
                <w:bCs/>
                <w:spacing w:val="0"/>
                <w:w w:val="100"/>
                <w:position w:val="0"/>
                <w:sz w:val="24"/>
                <w:szCs w:val="24"/>
                <w:highlight w:val="none"/>
                <w:lang w:val="en-US" w:eastAsia="zh-CN"/>
              </w:rPr>
              <w:t>，</w:t>
            </w:r>
            <w:r>
              <w:rPr>
                <w:rFonts w:hint="eastAsia" w:ascii="宋体" w:hAnsi="宋体" w:eastAsia="宋体" w:cs="宋体"/>
                <w:spacing w:val="0"/>
                <w:w w:val="100"/>
                <w:position w:val="0"/>
                <w:sz w:val="24"/>
                <w:szCs w:val="24"/>
                <w:highlight w:val="none"/>
                <w:lang w:val="en-US" w:eastAsia="zh-CN"/>
              </w:rPr>
              <w:t>形象良好，礼貌热情，耐心细致，沟通与协调能力强，及时梳理客户述求和资料归档。</w:t>
            </w:r>
          </w:p>
        </w:tc>
      </w:tr>
      <w:tr w14:paraId="33BCF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7" w:type="pct"/>
            <w:tcBorders>
              <w:top w:val="single" w:color="auto" w:sz="4" w:space="0"/>
              <w:left w:val="single" w:color="auto" w:sz="4" w:space="0"/>
              <w:bottom w:val="single" w:color="auto" w:sz="4" w:space="0"/>
              <w:right w:val="single" w:color="auto" w:sz="4" w:space="0"/>
            </w:tcBorders>
            <w:noWrap w:val="0"/>
            <w:vAlign w:val="center"/>
          </w:tcPr>
          <w:p w14:paraId="578A22F9">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保洁人员</w:t>
            </w:r>
          </w:p>
        </w:tc>
        <w:tc>
          <w:tcPr>
            <w:tcW w:w="433" w:type="pct"/>
            <w:tcBorders>
              <w:top w:val="single" w:color="auto" w:sz="4" w:space="0"/>
              <w:left w:val="nil"/>
              <w:bottom w:val="single" w:color="auto" w:sz="4" w:space="0"/>
              <w:right w:val="single" w:color="auto" w:sz="4" w:space="0"/>
            </w:tcBorders>
            <w:noWrap w:val="0"/>
            <w:vAlign w:val="center"/>
          </w:tcPr>
          <w:p w14:paraId="4CD74B58">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3</w:t>
            </w:r>
          </w:p>
        </w:tc>
        <w:tc>
          <w:tcPr>
            <w:tcW w:w="3648" w:type="pct"/>
            <w:tcBorders>
              <w:top w:val="single" w:color="auto" w:sz="4" w:space="0"/>
              <w:left w:val="nil"/>
              <w:bottom w:val="single" w:color="auto" w:sz="4" w:space="0"/>
              <w:right w:val="single" w:color="auto" w:sz="4" w:space="0"/>
            </w:tcBorders>
            <w:noWrap w:val="0"/>
            <w:vAlign w:val="center"/>
          </w:tcPr>
          <w:p w14:paraId="3D7E2025">
            <w:pPr>
              <w:keepNext w:val="0"/>
              <w:keepLines w:val="0"/>
              <w:pageBreakBefore w:val="0"/>
              <w:widowControl/>
              <w:kinsoku/>
              <w:wordWrap/>
              <w:overflowPunct/>
              <w:topLinePunct w:val="0"/>
              <w:autoSpaceDE/>
              <w:autoSpaceDN/>
              <w:bidi w:val="0"/>
              <w:adjustRightInd w:val="0"/>
              <w:snapToGrid w:val="0"/>
              <w:spacing w:after="0" w:line="480" w:lineRule="exact"/>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b/>
                <w:bCs/>
                <w:spacing w:val="0"/>
                <w:sz w:val="24"/>
                <w:szCs w:val="24"/>
                <w:highlight w:val="none"/>
              </w:rPr>
              <w:t>男性年龄60周岁下，女性年龄50周岁以下。</w:t>
            </w:r>
            <w:r>
              <w:rPr>
                <w:rFonts w:hint="eastAsia" w:ascii="宋体" w:hAnsi="宋体" w:eastAsia="宋体" w:cs="宋体"/>
                <w:spacing w:val="0"/>
                <w:w w:val="100"/>
                <w:position w:val="0"/>
                <w:sz w:val="24"/>
                <w:szCs w:val="24"/>
                <w:highlight w:val="none"/>
              </w:rPr>
              <w:t>品行端正、遵纪守法、身体健康、工作勤快，责任心强，有良好的卫生习惯，服从管理，服装整洁。</w:t>
            </w:r>
          </w:p>
        </w:tc>
      </w:tr>
      <w:tr w14:paraId="53889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7" w:type="pct"/>
            <w:tcBorders>
              <w:top w:val="single" w:color="auto" w:sz="4" w:space="0"/>
              <w:left w:val="single" w:color="auto" w:sz="4" w:space="0"/>
              <w:bottom w:val="single" w:color="auto" w:sz="4" w:space="0"/>
              <w:right w:val="single" w:color="auto" w:sz="4" w:space="0"/>
            </w:tcBorders>
            <w:noWrap w:val="0"/>
            <w:vAlign w:val="center"/>
          </w:tcPr>
          <w:p w14:paraId="3DAB7962">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rPr>
              <w:t>维修人员</w:t>
            </w:r>
          </w:p>
        </w:tc>
        <w:tc>
          <w:tcPr>
            <w:tcW w:w="433" w:type="pct"/>
            <w:tcBorders>
              <w:top w:val="single" w:color="auto" w:sz="4" w:space="0"/>
              <w:left w:val="nil"/>
              <w:bottom w:val="single" w:color="auto" w:sz="4" w:space="0"/>
              <w:right w:val="single" w:color="auto" w:sz="4" w:space="0"/>
            </w:tcBorders>
            <w:noWrap w:val="0"/>
            <w:vAlign w:val="center"/>
          </w:tcPr>
          <w:p w14:paraId="0EC8C6E5">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val="en-US" w:eastAsia="zh-CN"/>
              </w:rPr>
              <w:t>1</w:t>
            </w:r>
          </w:p>
        </w:tc>
        <w:tc>
          <w:tcPr>
            <w:tcW w:w="3648" w:type="pct"/>
            <w:tcBorders>
              <w:top w:val="single" w:color="auto" w:sz="4" w:space="0"/>
              <w:left w:val="nil"/>
              <w:bottom w:val="single" w:color="auto" w:sz="4" w:space="0"/>
              <w:right w:val="single" w:color="auto" w:sz="4" w:space="0"/>
            </w:tcBorders>
            <w:noWrap w:val="0"/>
            <w:vAlign w:val="center"/>
          </w:tcPr>
          <w:p w14:paraId="68C944BE">
            <w:pPr>
              <w:keepNext w:val="0"/>
              <w:keepLines w:val="0"/>
              <w:pageBreakBefore w:val="0"/>
              <w:widowControl/>
              <w:kinsoku/>
              <w:wordWrap/>
              <w:overflowPunct/>
              <w:topLinePunct w:val="0"/>
              <w:autoSpaceDE/>
              <w:autoSpaceDN/>
              <w:bidi w:val="0"/>
              <w:adjustRightInd w:val="0"/>
              <w:snapToGrid w:val="0"/>
              <w:spacing w:after="0" w:line="480" w:lineRule="exact"/>
              <w:textAlignment w:val="auto"/>
              <w:rPr>
                <w:rFonts w:hint="eastAsia" w:ascii="宋体" w:hAnsi="宋体" w:eastAsia="宋体" w:cs="宋体"/>
                <w:spacing w:val="0"/>
                <w:w w:val="100"/>
                <w:position w:val="0"/>
                <w:sz w:val="24"/>
                <w:szCs w:val="24"/>
                <w:highlight w:val="none"/>
              </w:rPr>
            </w:pPr>
            <w:r>
              <w:rPr>
                <w:rFonts w:hint="eastAsia" w:ascii="宋体" w:hAnsi="宋体" w:cs="宋体"/>
                <w:b/>
                <w:bCs/>
                <w:spacing w:val="0"/>
                <w:w w:val="100"/>
                <w:position w:val="0"/>
                <w:sz w:val="24"/>
                <w:szCs w:val="24"/>
                <w:highlight w:val="none"/>
                <w:lang w:val="en-US" w:eastAsia="zh-CN"/>
              </w:rPr>
              <w:t>男性</w:t>
            </w:r>
            <w:r>
              <w:rPr>
                <w:rFonts w:hint="eastAsia" w:ascii="宋体" w:hAnsi="宋体" w:eastAsia="宋体" w:cs="宋体"/>
                <w:b/>
                <w:bCs/>
                <w:spacing w:val="0"/>
                <w:w w:val="100"/>
                <w:position w:val="0"/>
                <w:sz w:val="24"/>
                <w:szCs w:val="24"/>
                <w:highlight w:val="none"/>
                <w:lang w:val="en-US" w:eastAsia="zh-CN"/>
              </w:rPr>
              <w:t>年龄45周岁以</w:t>
            </w:r>
            <w:r>
              <w:rPr>
                <w:rFonts w:hint="eastAsia" w:ascii="宋体" w:hAnsi="宋体" w:cs="宋体"/>
                <w:b/>
                <w:bCs/>
                <w:spacing w:val="0"/>
                <w:w w:val="100"/>
                <w:position w:val="0"/>
                <w:sz w:val="24"/>
                <w:szCs w:val="24"/>
                <w:highlight w:val="none"/>
                <w:lang w:val="en-US" w:eastAsia="zh-CN"/>
              </w:rPr>
              <w:t>下</w:t>
            </w:r>
            <w:r>
              <w:rPr>
                <w:rFonts w:hint="eastAsia" w:ascii="宋体" w:hAnsi="宋体" w:eastAsia="宋体" w:cs="宋体"/>
                <w:spacing w:val="0"/>
                <w:w w:val="100"/>
                <w:position w:val="0"/>
                <w:sz w:val="24"/>
                <w:szCs w:val="24"/>
                <w:highlight w:val="none"/>
                <w:lang w:val="en-US" w:eastAsia="zh-CN"/>
              </w:rPr>
              <w:t>，需持有电工进网作业许可证或特种作业操作证（高压或低压）。具备2年以上水电维修经验，熟悉给排水系统、配电设施及楼宇电路维护，动手能力强，能独立应对突发设备故障。</w:t>
            </w:r>
            <w:r>
              <w:rPr>
                <w:rFonts w:hint="eastAsia" w:ascii="宋体" w:hAnsi="宋体" w:eastAsia="宋体" w:cs="宋体"/>
                <w:spacing w:val="0"/>
                <w:w w:val="100"/>
                <w:position w:val="0"/>
                <w:sz w:val="24"/>
                <w:szCs w:val="24"/>
                <w:highlight w:val="none"/>
              </w:rPr>
              <w:t>品行端正、遵纪守法、身体健康、工作勤快，责任心强，服从管理，服装整洁。</w:t>
            </w:r>
          </w:p>
        </w:tc>
      </w:tr>
      <w:tr w14:paraId="1A640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7" w:type="pct"/>
            <w:tcBorders>
              <w:top w:val="single" w:color="auto" w:sz="4" w:space="0"/>
              <w:left w:val="single" w:color="auto" w:sz="4" w:space="0"/>
              <w:bottom w:val="single" w:color="auto" w:sz="4" w:space="0"/>
              <w:right w:val="single" w:color="auto" w:sz="4" w:space="0"/>
            </w:tcBorders>
            <w:noWrap w:val="0"/>
            <w:vAlign w:val="center"/>
          </w:tcPr>
          <w:p w14:paraId="10A174BC">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仿宋_GB2312" w:hAnsi="仿宋_GB2312" w:eastAsia="仿宋_GB2312" w:cs="仿宋_GB2312"/>
                <w:color w:val="auto"/>
                <w:sz w:val="32"/>
                <w:szCs w:val="32"/>
                <w:lang w:val="en-US" w:eastAsia="zh-CN"/>
              </w:rPr>
              <w:t>消控员</w:t>
            </w:r>
          </w:p>
        </w:tc>
        <w:tc>
          <w:tcPr>
            <w:tcW w:w="433" w:type="pct"/>
            <w:tcBorders>
              <w:top w:val="single" w:color="auto" w:sz="4" w:space="0"/>
              <w:left w:val="nil"/>
              <w:bottom w:val="single" w:color="auto" w:sz="4" w:space="0"/>
              <w:right w:val="single" w:color="auto" w:sz="4" w:space="0"/>
            </w:tcBorders>
            <w:noWrap w:val="0"/>
            <w:vAlign w:val="center"/>
          </w:tcPr>
          <w:p w14:paraId="02604A3F">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1</w:t>
            </w:r>
          </w:p>
        </w:tc>
        <w:tc>
          <w:tcPr>
            <w:tcW w:w="3648" w:type="pct"/>
            <w:tcBorders>
              <w:top w:val="single" w:color="auto" w:sz="4" w:space="0"/>
              <w:left w:val="nil"/>
              <w:bottom w:val="single" w:color="auto" w:sz="4" w:space="0"/>
              <w:right w:val="single" w:color="auto" w:sz="4" w:space="0"/>
            </w:tcBorders>
            <w:noWrap w:val="0"/>
            <w:vAlign w:val="center"/>
          </w:tcPr>
          <w:p w14:paraId="466039FB">
            <w:pPr>
              <w:keepNext w:val="0"/>
              <w:keepLines w:val="0"/>
              <w:pageBreakBefore w:val="0"/>
              <w:widowControl/>
              <w:kinsoku/>
              <w:wordWrap/>
              <w:overflowPunct/>
              <w:topLinePunct w:val="0"/>
              <w:autoSpaceDE/>
              <w:autoSpaceDN/>
              <w:bidi w:val="0"/>
              <w:adjustRightInd w:val="0"/>
              <w:snapToGrid w:val="0"/>
              <w:spacing w:after="0" w:line="480" w:lineRule="exact"/>
              <w:textAlignment w:val="auto"/>
              <w:rPr>
                <w:rFonts w:hint="eastAsia" w:ascii="宋体" w:hAnsi="宋体" w:eastAsia="宋体" w:cs="宋体"/>
                <w:b/>
                <w:bCs/>
                <w:spacing w:val="0"/>
                <w:w w:val="100"/>
                <w:position w:val="0"/>
                <w:sz w:val="24"/>
                <w:szCs w:val="24"/>
                <w:highlight w:val="none"/>
                <w:lang w:val="en-US" w:eastAsia="zh-CN"/>
              </w:rPr>
            </w:pPr>
            <w:r>
              <w:rPr>
                <w:rFonts w:hint="eastAsia" w:ascii="宋体" w:hAnsi="宋体" w:eastAsia="宋体" w:cs="宋体"/>
                <w:b/>
                <w:bCs/>
                <w:spacing w:val="0"/>
                <w:w w:val="100"/>
                <w:position w:val="0"/>
                <w:sz w:val="24"/>
                <w:szCs w:val="24"/>
                <w:highlight w:val="none"/>
                <w:lang w:val="en-US" w:eastAsia="zh-CN"/>
              </w:rPr>
              <w:t>男性年龄50 周岁以下，</w:t>
            </w:r>
            <w:r>
              <w:rPr>
                <w:rFonts w:hint="eastAsia" w:ascii="宋体" w:hAnsi="宋体" w:eastAsia="宋体" w:cs="宋体"/>
                <w:spacing w:val="0"/>
                <w:w w:val="100"/>
                <w:position w:val="0"/>
                <w:sz w:val="24"/>
                <w:szCs w:val="24"/>
                <w:highlight w:val="none"/>
                <w:lang w:val="en-US" w:eastAsia="zh-CN"/>
              </w:rPr>
              <w:t>身体健康，无不良嗜好，无任何犯罪记录。需持有消防设施操作员（建（构）筑物消防员）职业资格证书</w:t>
            </w:r>
            <w:r>
              <w:rPr>
                <w:rFonts w:hint="eastAsia" w:ascii="宋体" w:hAnsi="宋体" w:cs="宋体"/>
                <w:spacing w:val="0"/>
                <w:w w:val="100"/>
                <w:position w:val="0"/>
                <w:sz w:val="24"/>
                <w:szCs w:val="24"/>
                <w:highlight w:val="none"/>
                <w:lang w:val="en-US" w:eastAsia="zh-CN"/>
              </w:rPr>
              <w:t>或</w:t>
            </w:r>
            <w:r>
              <w:rPr>
                <w:rFonts w:hint="eastAsia" w:ascii="宋体" w:hAnsi="宋体" w:eastAsia="宋体" w:cs="宋体"/>
                <w:spacing w:val="0"/>
                <w:w w:val="100"/>
                <w:position w:val="0"/>
                <w:sz w:val="24"/>
                <w:szCs w:val="24"/>
                <w:highlight w:val="none"/>
                <w:lang w:val="en-US" w:eastAsia="zh-CN"/>
              </w:rPr>
              <w:t>消防行业特有工种职业技能鉴定证书，有2年以上相关工作经验。</w:t>
            </w:r>
          </w:p>
        </w:tc>
      </w:tr>
      <w:tr w14:paraId="43B4A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917" w:type="pct"/>
            <w:tcBorders>
              <w:top w:val="single" w:color="auto" w:sz="4" w:space="0"/>
              <w:left w:val="single" w:color="auto" w:sz="4" w:space="0"/>
              <w:bottom w:val="single" w:color="auto" w:sz="4" w:space="0"/>
              <w:right w:val="single" w:color="auto" w:sz="4" w:space="0"/>
            </w:tcBorders>
            <w:noWrap w:val="0"/>
            <w:vAlign w:val="center"/>
          </w:tcPr>
          <w:p w14:paraId="180CFFC8">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合计</w:t>
            </w:r>
          </w:p>
        </w:tc>
        <w:tc>
          <w:tcPr>
            <w:tcW w:w="433" w:type="pct"/>
            <w:tcBorders>
              <w:top w:val="single" w:color="auto" w:sz="4" w:space="0"/>
              <w:left w:val="nil"/>
              <w:bottom w:val="single" w:color="auto" w:sz="4" w:space="0"/>
              <w:right w:val="single" w:color="auto" w:sz="4" w:space="0"/>
            </w:tcBorders>
            <w:noWrap w:val="0"/>
            <w:vAlign w:val="center"/>
          </w:tcPr>
          <w:p w14:paraId="6F26F2F1">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12</w:t>
            </w:r>
          </w:p>
        </w:tc>
        <w:tc>
          <w:tcPr>
            <w:tcW w:w="3648" w:type="pct"/>
            <w:tcBorders>
              <w:top w:val="single" w:color="auto" w:sz="4" w:space="0"/>
              <w:left w:val="nil"/>
              <w:bottom w:val="single" w:color="auto" w:sz="4" w:space="0"/>
              <w:right w:val="single" w:color="auto" w:sz="4" w:space="0"/>
            </w:tcBorders>
            <w:noWrap w:val="0"/>
            <w:vAlign w:val="center"/>
          </w:tcPr>
          <w:p w14:paraId="14DCC35C">
            <w:pPr>
              <w:keepNext w:val="0"/>
              <w:keepLines w:val="0"/>
              <w:pageBreakBefore w:val="0"/>
              <w:widowControl/>
              <w:kinsoku/>
              <w:wordWrap/>
              <w:overflowPunct/>
              <w:topLinePunct w:val="0"/>
              <w:autoSpaceDE/>
              <w:autoSpaceDN/>
              <w:bidi w:val="0"/>
              <w:adjustRightInd w:val="0"/>
              <w:snapToGrid w:val="0"/>
              <w:spacing w:after="0" w:line="480" w:lineRule="exact"/>
              <w:textAlignment w:val="auto"/>
              <w:rPr>
                <w:rFonts w:hint="eastAsia" w:ascii="宋体" w:hAnsi="宋体" w:eastAsia="宋体" w:cs="宋体"/>
                <w:spacing w:val="0"/>
                <w:w w:val="100"/>
                <w:position w:val="0"/>
                <w:sz w:val="24"/>
                <w:szCs w:val="24"/>
                <w:highlight w:val="none"/>
                <w:lang w:val="en-US" w:eastAsia="zh-CN"/>
              </w:rPr>
            </w:pPr>
          </w:p>
        </w:tc>
      </w:tr>
    </w:tbl>
    <w:p w14:paraId="5EF33D47">
      <w:pPr>
        <w:keepNext w:val="0"/>
        <w:keepLines w:val="0"/>
        <w:pageBreakBefore w:val="0"/>
        <w:widowControl w:val="0"/>
        <w:kinsoku/>
        <w:wordWrap/>
        <w:overflowPunct/>
        <w:topLinePunct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投标人根据“最低人员配置需求”要求配置，但各岗位人员的数量必须满足配置表的要求，不得低于配置表的要求，总人数不得低于配置表的要求。</w:t>
      </w:r>
    </w:p>
    <w:p w14:paraId="69C9A9EB">
      <w:pPr>
        <w:keepNext w:val="0"/>
        <w:keepLines w:val="0"/>
        <w:pageBreakBefore w:val="0"/>
        <w:widowControl w:val="0"/>
        <w:numPr>
          <w:ilvl w:val="0"/>
          <w:numId w:val="0"/>
        </w:numPr>
        <w:kinsoku/>
        <w:wordWrap/>
        <w:overflowPunct/>
        <w:topLinePunct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物业公司必须依照《中华人民共和国劳动合同法》、《社会保险法》、《社会保险费征缴条例》等法律法规和所在地区劳动用工规定进行合法用工</w:t>
      </w:r>
      <w:r>
        <w:rPr>
          <w:rFonts w:hint="eastAsia" w:ascii="宋体" w:hAnsi="宋体" w:eastAsia="宋体" w:cs="宋体"/>
          <w:color w:val="auto"/>
          <w:sz w:val="24"/>
          <w:szCs w:val="24"/>
          <w:lang w:val="en-US" w:eastAsia="zh-CN"/>
        </w:rPr>
        <w:t>与</w:t>
      </w:r>
      <w:r>
        <w:rPr>
          <w:rFonts w:hint="eastAsia" w:ascii="宋体" w:hAnsi="宋体" w:eastAsia="宋体" w:cs="宋体"/>
          <w:color w:val="auto"/>
          <w:sz w:val="24"/>
          <w:szCs w:val="24"/>
        </w:rPr>
        <w:t>本项目所有服务人员签订劳动合同</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非劳务派遣合同）</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本项目所有服务人员不得兼职，严格执行一人一岗。投标人必须为</w:t>
      </w:r>
      <w:r>
        <w:rPr>
          <w:rFonts w:hint="eastAsia" w:ascii="宋体" w:hAnsi="宋体" w:eastAsia="宋体" w:cs="宋体"/>
          <w:color w:val="auto"/>
          <w:sz w:val="24"/>
          <w:szCs w:val="24"/>
          <w:lang w:val="en-US" w:eastAsia="zh-CN"/>
        </w:rPr>
        <w:t>本项目</w:t>
      </w:r>
      <w:r>
        <w:rPr>
          <w:rFonts w:hint="eastAsia" w:ascii="宋体" w:hAnsi="宋体" w:eastAsia="宋体" w:cs="宋体"/>
          <w:color w:val="auto"/>
          <w:sz w:val="24"/>
          <w:szCs w:val="24"/>
        </w:rPr>
        <w:t>所有服务人员依法缴纳</w:t>
      </w:r>
      <w:r>
        <w:rPr>
          <w:rFonts w:hint="eastAsia" w:ascii="宋体" w:hAnsi="宋体" w:eastAsia="宋体" w:cs="宋体"/>
          <w:color w:val="auto"/>
          <w:sz w:val="24"/>
          <w:szCs w:val="24"/>
          <w:lang w:val="en-US" w:eastAsia="zh-CN"/>
        </w:rPr>
        <w:t>全年</w:t>
      </w:r>
      <w:r>
        <w:rPr>
          <w:rFonts w:hint="eastAsia" w:ascii="宋体" w:hAnsi="宋体" w:eastAsia="宋体" w:cs="宋体"/>
          <w:color w:val="auto"/>
          <w:sz w:val="24"/>
          <w:szCs w:val="24"/>
        </w:rPr>
        <w:t>社会保险（含养老、工伤、失业和医疗(基本医疗、生育、大病)）</w:t>
      </w:r>
      <w:r>
        <w:rPr>
          <w:rFonts w:hint="eastAsia" w:ascii="宋体" w:hAnsi="宋体" w:eastAsia="宋体" w:cs="宋体"/>
          <w:color w:val="auto"/>
          <w:sz w:val="24"/>
          <w:szCs w:val="24"/>
          <w:lang w:eastAsia="zh-CN"/>
        </w:rPr>
        <w:t>。</w:t>
      </w:r>
    </w:p>
    <w:p w14:paraId="6DEDF319">
      <w:pPr>
        <w:keepNext w:val="0"/>
        <w:keepLines w:val="0"/>
        <w:pageBreakBefore w:val="0"/>
        <w:widowControl w:val="0"/>
        <w:numPr>
          <w:ilvl w:val="0"/>
          <w:numId w:val="0"/>
        </w:numPr>
        <w:kinsoku/>
        <w:wordWrap/>
        <w:overflowPunct/>
        <w:topLinePunct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所有</w:t>
      </w:r>
      <w:r>
        <w:rPr>
          <w:rFonts w:hint="eastAsia" w:ascii="宋体" w:hAnsi="宋体" w:eastAsia="宋体" w:cs="宋体"/>
          <w:color w:val="auto"/>
          <w:sz w:val="24"/>
          <w:szCs w:val="24"/>
          <w:lang w:val="en-US" w:eastAsia="zh-CN"/>
        </w:rPr>
        <w:t>服务</w:t>
      </w:r>
      <w:r>
        <w:rPr>
          <w:rFonts w:hint="eastAsia" w:ascii="宋体" w:hAnsi="宋体" w:eastAsia="宋体" w:cs="宋体"/>
          <w:color w:val="auto"/>
          <w:sz w:val="24"/>
          <w:szCs w:val="24"/>
        </w:rPr>
        <w:t>人员</w:t>
      </w:r>
      <w:r>
        <w:rPr>
          <w:rFonts w:hint="eastAsia" w:ascii="宋体" w:hAnsi="宋体" w:eastAsia="宋体" w:cs="宋体"/>
          <w:color w:val="auto"/>
          <w:sz w:val="24"/>
          <w:szCs w:val="24"/>
          <w:lang w:val="en-US" w:eastAsia="zh-CN"/>
        </w:rPr>
        <w:t>身体</w:t>
      </w:r>
      <w:r>
        <w:rPr>
          <w:rFonts w:hint="eastAsia" w:ascii="宋体" w:hAnsi="宋体" w:eastAsia="宋体" w:cs="宋体"/>
          <w:color w:val="auto"/>
          <w:sz w:val="24"/>
          <w:szCs w:val="24"/>
        </w:rPr>
        <w:t>健康，无重大疾病史和传染病史，无犯罪记录</w:t>
      </w:r>
      <w:r>
        <w:rPr>
          <w:rFonts w:hint="eastAsia" w:ascii="宋体" w:hAnsi="宋体" w:eastAsia="宋体" w:cs="宋体"/>
          <w:color w:val="auto"/>
          <w:sz w:val="24"/>
          <w:szCs w:val="24"/>
          <w:lang w:eastAsia="zh-CN"/>
        </w:rPr>
        <w:t>。</w:t>
      </w:r>
    </w:p>
    <w:p w14:paraId="038309D4">
      <w:pPr>
        <w:keepNext w:val="0"/>
        <w:keepLines w:val="0"/>
        <w:pageBreakBefore w:val="0"/>
        <w:widowControl w:val="0"/>
        <w:kinsoku/>
        <w:wordWrap/>
        <w:overflowPunct/>
        <w:topLinePunct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国家有准入要求的岗位人员，必须按国家要求配置满足相关资格要求的人员，相关资格考试、培训等费用由</w:t>
      </w:r>
      <w:r>
        <w:rPr>
          <w:rFonts w:hint="eastAsia" w:ascii="宋体" w:hAnsi="宋体" w:eastAsia="宋体" w:cs="宋体"/>
          <w:color w:val="auto"/>
          <w:sz w:val="24"/>
          <w:szCs w:val="24"/>
          <w:lang w:val="en-US" w:eastAsia="zh-CN"/>
        </w:rPr>
        <w:t>中标供应商</w:t>
      </w:r>
      <w:r>
        <w:rPr>
          <w:rFonts w:hint="eastAsia" w:ascii="宋体" w:hAnsi="宋体" w:eastAsia="宋体" w:cs="宋体"/>
          <w:color w:val="auto"/>
          <w:sz w:val="24"/>
          <w:szCs w:val="24"/>
        </w:rPr>
        <w:t>承担。因</w:t>
      </w:r>
      <w:r>
        <w:rPr>
          <w:rFonts w:hint="eastAsia" w:ascii="宋体" w:hAnsi="宋体" w:eastAsia="宋体" w:cs="宋体"/>
          <w:color w:val="auto"/>
          <w:sz w:val="24"/>
          <w:szCs w:val="24"/>
          <w:lang w:val="en-US" w:eastAsia="zh-CN"/>
        </w:rPr>
        <w:t>中标供应商</w:t>
      </w:r>
      <w:r>
        <w:rPr>
          <w:rFonts w:hint="eastAsia" w:ascii="宋体" w:hAnsi="宋体" w:eastAsia="宋体" w:cs="宋体"/>
          <w:color w:val="auto"/>
          <w:sz w:val="24"/>
          <w:szCs w:val="24"/>
        </w:rPr>
        <w:t>配置的服务人员不符合国家要求的资格要求，造成采购人被相关管理部门处罚的，由</w:t>
      </w:r>
      <w:r>
        <w:rPr>
          <w:rFonts w:hint="eastAsia" w:ascii="宋体" w:hAnsi="宋体" w:eastAsia="宋体" w:cs="宋体"/>
          <w:color w:val="auto"/>
          <w:sz w:val="24"/>
          <w:szCs w:val="24"/>
          <w:lang w:val="en-US" w:eastAsia="zh-CN"/>
        </w:rPr>
        <w:t>中标供应商</w:t>
      </w:r>
      <w:r>
        <w:rPr>
          <w:rFonts w:hint="eastAsia" w:ascii="宋体" w:hAnsi="宋体" w:eastAsia="宋体" w:cs="宋体"/>
          <w:color w:val="auto"/>
          <w:sz w:val="24"/>
          <w:szCs w:val="24"/>
        </w:rPr>
        <w:t>赔偿采购人的一切损失，并接受采购人的处罚。</w:t>
      </w:r>
    </w:p>
    <w:p w14:paraId="48CD0D83">
      <w:pPr>
        <w:keepNext w:val="0"/>
        <w:keepLines w:val="0"/>
        <w:pageBreakBefore w:val="0"/>
        <w:widowControl w:val="0"/>
        <w:kinsoku/>
        <w:wordWrap/>
        <w:overflowPunct/>
        <w:topLinePunct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6.</w:t>
      </w:r>
      <w:r>
        <w:rPr>
          <w:rFonts w:hint="eastAsia" w:ascii="宋体" w:hAnsi="宋体" w:eastAsia="宋体" w:cs="宋体"/>
          <w:b/>
          <w:bCs/>
          <w:color w:val="auto"/>
          <w:sz w:val="24"/>
          <w:szCs w:val="24"/>
        </w:rPr>
        <w:t>对上述《最低人员配置需求》中所涉及的证书、工作经验证明材料、岗位要求等证明材料须在中标后，在签订合同之前提交至采购人进行审查。</w:t>
      </w:r>
      <w:r>
        <w:rPr>
          <w:rFonts w:hint="eastAsia" w:ascii="宋体" w:hAnsi="宋体" w:eastAsia="宋体" w:cs="宋体"/>
          <w:b/>
          <w:bCs/>
          <w:color w:val="auto"/>
          <w:sz w:val="24"/>
          <w:szCs w:val="24"/>
          <w:lang w:val="en-US" w:eastAsia="zh-CN"/>
        </w:rPr>
        <w:t>中标供应商</w:t>
      </w:r>
      <w:r>
        <w:rPr>
          <w:rFonts w:hint="eastAsia" w:ascii="宋体" w:hAnsi="宋体" w:eastAsia="宋体" w:cs="宋体"/>
          <w:b/>
          <w:bCs/>
          <w:color w:val="auto"/>
          <w:sz w:val="24"/>
          <w:szCs w:val="24"/>
        </w:rPr>
        <w:t>完全符合投标时的承诺方可签订合同。否则，采购人有权拒绝签订合同，并上报至同级财政部门按《政府采购法》第七十七条处理。</w:t>
      </w:r>
    </w:p>
    <w:p w14:paraId="240DFEAB">
      <w:pPr>
        <w:keepNext w:val="0"/>
        <w:keepLines w:val="0"/>
        <w:pageBreakBefore w:val="0"/>
        <w:widowControl w:val="0"/>
        <w:kinsoku/>
        <w:wordWrap/>
        <w:overflowPunct/>
        <w:topLinePunct w:val="0"/>
        <w:bidi w:val="0"/>
        <w:adjustRightInd w:val="0"/>
        <w:snapToGrid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物业公司须承诺每季度第一个月一周内（遇节假日顺延）向采购人归口职能部门提交岗位人员花名册（含姓名、身份证号码、联系电话、岗位名称</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岗位证书</w:t>
      </w:r>
      <w:r>
        <w:rPr>
          <w:rFonts w:hint="eastAsia" w:ascii="宋体" w:hAnsi="宋体" w:eastAsia="宋体" w:cs="宋体"/>
          <w:color w:val="auto"/>
          <w:sz w:val="24"/>
          <w:szCs w:val="24"/>
        </w:rPr>
        <w:t>等信息）。物业公司需保持物业人员的相对稳定，如人员出现异动，应及时向采购人归口职能部门报告，离职岗位须在10日内补充到位，服务期内更换比例不得超过本项目服务人员总数的</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0%。</w:t>
      </w:r>
      <w:r>
        <w:rPr>
          <w:rFonts w:hint="eastAsia" w:ascii="宋体" w:hAnsi="宋体" w:eastAsia="宋体" w:cs="宋体"/>
          <w:color w:val="auto"/>
          <w:sz w:val="24"/>
          <w:szCs w:val="24"/>
          <w:lang w:val="en-US" w:eastAsia="zh-CN"/>
        </w:rPr>
        <w:t>主管及以上人员</w:t>
      </w:r>
      <w:r>
        <w:rPr>
          <w:rFonts w:hint="eastAsia" w:ascii="宋体" w:hAnsi="宋体" w:eastAsia="宋体" w:cs="宋体"/>
          <w:color w:val="auto"/>
          <w:sz w:val="24"/>
          <w:szCs w:val="24"/>
        </w:rPr>
        <w:t>更换，应提前1个月以书面形式通知采购人归口职能部门，且更换的每人次相应在当期扣减 5000 元物业费。采购人有权不定期按投标人响应和招标文件要求对到岗人员进行核查，对不按要求派驻人员（包括数量、年龄、</w:t>
      </w:r>
      <w:r>
        <w:rPr>
          <w:rFonts w:hint="eastAsia" w:ascii="宋体" w:hAnsi="宋体" w:eastAsia="宋体" w:cs="宋体"/>
          <w:color w:val="auto"/>
          <w:sz w:val="24"/>
          <w:szCs w:val="24"/>
          <w:lang w:val="en-US" w:eastAsia="zh-CN"/>
        </w:rPr>
        <w:t>学历、</w:t>
      </w:r>
      <w:r>
        <w:rPr>
          <w:rFonts w:hint="eastAsia" w:ascii="宋体" w:hAnsi="宋体" w:eastAsia="宋体" w:cs="宋体"/>
          <w:color w:val="auto"/>
          <w:sz w:val="24"/>
          <w:szCs w:val="24"/>
        </w:rPr>
        <w:t>职业证书等）将严格依照招标文件规定扣减相应的物业服务费。采购人归口职能部门有权定期对所有物业人员进行业务培训和考核，对物业人员的不良行为进行批评教育。若</w:t>
      </w:r>
      <w:r>
        <w:rPr>
          <w:rFonts w:hint="eastAsia" w:ascii="宋体" w:hAnsi="宋体" w:eastAsia="宋体" w:cs="宋体"/>
          <w:color w:val="auto"/>
          <w:sz w:val="24"/>
          <w:szCs w:val="24"/>
          <w:lang w:val="en-US" w:eastAsia="zh-CN"/>
        </w:rPr>
        <w:t>中标供应商</w:t>
      </w:r>
      <w:r>
        <w:rPr>
          <w:rFonts w:hint="eastAsia" w:ascii="宋体" w:hAnsi="宋体" w:eastAsia="宋体" w:cs="宋体"/>
          <w:color w:val="auto"/>
          <w:sz w:val="24"/>
          <w:szCs w:val="24"/>
        </w:rPr>
        <w:t>指派的物业人员出现失职、违反规章制度或不符合考核要求的，采购人归口职能部门有权要求</w:t>
      </w:r>
      <w:r>
        <w:rPr>
          <w:rFonts w:hint="eastAsia" w:ascii="宋体" w:hAnsi="宋体" w:eastAsia="宋体" w:cs="宋体"/>
          <w:color w:val="auto"/>
          <w:sz w:val="24"/>
          <w:szCs w:val="24"/>
          <w:lang w:val="en-US" w:eastAsia="zh-CN"/>
        </w:rPr>
        <w:t>中标供应商</w:t>
      </w:r>
      <w:r>
        <w:rPr>
          <w:rFonts w:hint="eastAsia" w:ascii="宋体" w:hAnsi="宋体" w:eastAsia="宋体" w:cs="宋体"/>
          <w:color w:val="auto"/>
          <w:sz w:val="24"/>
          <w:szCs w:val="24"/>
        </w:rPr>
        <w:t>更换该物业人员。</w:t>
      </w:r>
      <w:r>
        <w:rPr>
          <w:rFonts w:hint="eastAsia" w:ascii="宋体" w:hAnsi="宋体" w:eastAsia="宋体" w:cs="宋体"/>
          <w:color w:val="auto"/>
          <w:sz w:val="24"/>
          <w:szCs w:val="24"/>
          <w:lang w:val="en-US" w:eastAsia="zh-CN"/>
        </w:rPr>
        <w:t>中标供应商</w:t>
      </w:r>
      <w:r>
        <w:rPr>
          <w:rFonts w:hint="eastAsia" w:ascii="宋体" w:hAnsi="宋体" w:eastAsia="宋体" w:cs="宋体"/>
          <w:color w:val="auto"/>
          <w:sz w:val="24"/>
          <w:szCs w:val="24"/>
        </w:rPr>
        <w:t>应在接到通知后</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个工作日内更换到位，</w:t>
      </w:r>
      <w:r>
        <w:rPr>
          <w:rFonts w:hint="eastAsia" w:ascii="宋体" w:hAnsi="宋体" w:eastAsia="宋体" w:cs="宋体"/>
          <w:color w:val="auto"/>
          <w:sz w:val="24"/>
          <w:szCs w:val="24"/>
          <w:lang w:val="en-US" w:eastAsia="zh-CN"/>
        </w:rPr>
        <w:t>如不能及时更换到位的，</w:t>
      </w:r>
      <w:r>
        <w:rPr>
          <w:rFonts w:hint="eastAsia" w:ascii="宋体" w:hAnsi="宋体" w:eastAsia="宋体" w:cs="宋体"/>
          <w:color w:val="auto"/>
          <w:sz w:val="24"/>
          <w:szCs w:val="24"/>
        </w:rPr>
        <w:t>采购人有权扣减相应的服务费。在人员数量不变</w:t>
      </w:r>
      <w:r>
        <w:rPr>
          <w:rFonts w:hint="eastAsia" w:ascii="宋体" w:hAnsi="宋体" w:eastAsia="宋体" w:cs="宋体"/>
          <w:color w:val="auto"/>
          <w:sz w:val="24"/>
          <w:szCs w:val="24"/>
          <w:lang w:val="en-US" w:eastAsia="zh-CN"/>
        </w:rPr>
        <w:t>的</w:t>
      </w:r>
      <w:r>
        <w:rPr>
          <w:rFonts w:hint="eastAsia" w:ascii="宋体" w:hAnsi="宋体" w:eastAsia="宋体" w:cs="宋体"/>
          <w:color w:val="auto"/>
          <w:sz w:val="24"/>
          <w:szCs w:val="24"/>
        </w:rPr>
        <w:t>情况下，采购人归口职能部门有权对人员岗位及运行方式进行调整，</w:t>
      </w:r>
      <w:r>
        <w:rPr>
          <w:rFonts w:hint="eastAsia" w:ascii="宋体" w:hAnsi="宋体" w:eastAsia="宋体" w:cs="宋体"/>
          <w:color w:val="auto"/>
          <w:sz w:val="24"/>
          <w:szCs w:val="24"/>
          <w:lang w:val="en-US" w:eastAsia="zh-CN"/>
        </w:rPr>
        <w:t>中标供应商</w:t>
      </w:r>
      <w:r>
        <w:rPr>
          <w:rFonts w:hint="eastAsia" w:ascii="宋体" w:hAnsi="宋体" w:eastAsia="宋体" w:cs="宋体"/>
          <w:color w:val="auto"/>
          <w:sz w:val="24"/>
          <w:szCs w:val="24"/>
        </w:rPr>
        <w:t>需严格执行。</w:t>
      </w:r>
    </w:p>
    <w:p w14:paraId="70D18079">
      <w:pPr>
        <w:keepNext w:val="0"/>
        <w:keepLines w:val="0"/>
        <w:pageBreakBefore w:val="0"/>
        <w:widowControl w:val="0"/>
        <w:kinsoku/>
        <w:wordWrap/>
        <w:overflowPunct/>
        <w:topLinePunct w:val="0"/>
        <w:bidi w:val="0"/>
        <w:adjustRightInd w:val="0"/>
        <w:snapToGrid w:val="0"/>
        <w:spacing w:after="0" w:line="480" w:lineRule="exact"/>
        <w:ind w:firstLine="482" w:firstLineChars="200"/>
        <w:jc w:val="both"/>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rPr>
        <w:t>（五）</w:t>
      </w:r>
      <w:r>
        <w:rPr>
          <w:rFonts w:hint="eastAsia" w:ascii="宋体" w:hAnsi="宋体" w:eastAsia="宋体" w:cs="宋体"/>
          <w:b/>
          <w:bCs/>
          <w:color w:val="auto"/>
          <w:sz w:val="24"/>
          <w:szCs w:val="24"/>
          <w:lang w:val="en-US" w:eastAsia="zh-CN"/>
        </w:rPr>
        <w:t>服务耗材</w:t>
      </w:r>
    </w:p>
    <w:p w14:paraId="2874BF43">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480" w:firstLineChars="200"/>
        <w:jc w:val="both"/>
        <w:textAlignment w:val="auto"/>
        <w:outlineLvl w:val="1"/>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1.服务耗材须全新购买不可利旧。</w:t>
      </w:r>
    </w:p>
    <w:p w14:paraId="4AFAABA4">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480" w:firstLineChars="200"/>
        <w:jc w:val="both"/>
        <w:textAlignment w:val="auto"/>
        <w:outlineLvl w:val="1"/>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所有服务涉及的耗材已包含在本项目总报价内，由中标供应商统一提供，采购人不再额外支付相关耗材费用或不再提供本项目内所涉任何耗材，中标供应商提供的服务耗材可优于采购单位要求的服务耗材配置清单。</w:t>
      </w:r>
    </w:p>
    <w:p w14:paraId="4C971025">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480" w:firstLineChars="200"/>
        <w:jc w:val="both"/>
        <w:textAlignment w:val="auto"/>
        <w:outlineLvl w:val="1"/>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3.服务耗材配置清单</w:t>
      </w:r>
    </w:p>
    <w:tbl>
      <w:tblPr>
        <w:tblStyle w:val="6"/>
        <w:tblW w:w="5049"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070"/>
        <w:gridCol w:w="3212"/>
        <w:gridCol w:w="1640"/>
        <w:gridCol w:w="1198"/>
        <w:gridCol w:w="1277"/>
      </w:tblGrid>
      <w:tr w14:paraId="16E262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7" w:hRule="atLeast"/>
        </w:trPr>
        <w:tc>
          <w:tcPr>
            <w:tcW w:w="637" w:type="pct"/>
            <w:vAlign w:val="center"/>
          </w:tcPr>
          <w:p w14:paraId="04E5BA74">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序号</w:t>
            </w:r>
          </w:p>
        </w:tc>
        <w:tc>
          <w:tcPr>
            <w:tcW w:w="1912" w:type="pct"/>
            <w:vAlign w:val="center"/>
          </w:tcPr>
          <w:p w14:paraId="66EF597A">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工具、耗材名称</w:t>
            </w:r>
          </w:p>
        </w:tc>
        <w:tc>
          <w:tcPr>
            <w:tcW w:w="976" w:type="pct"/>
            <w:vAlign w:val="center"/>
          </w:tcPr>
          <w:p w14:paraId="4C719220">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数量</w:t>
            </w:r>
          </w:p>
        </w:tc>
        <w:tc>
          <w:tcPr>
            <w:tcW w:w="713" w:type="pct"/>
            <w:vAlign w:val="center"/>
          </w:tcPr>
          <w:p w14:paraId="277940D6">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单位</w:t>
            </w:r>
          </w:p>
        </w:tc>
        <w:tc>
          <w:tcPr>
            <w:tcW w:w="760" w:type="pct"/>
            <w:vAlign w:val="center"/>
          </w:tcPr>
          <w:p w14:paraId="5BB2D086">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备注</w:t>
            </w:r>
          </w:p>
        </w:tc>
      </w:tr>
      <w:tr w14:paraId="408B5E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637" w:type="pct"/>
            <w:vAlign w:val="center"/>
          </w:tcPr>
          <w:p w14:paraId="5A1519AC">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1</w:t>
            </w:r>
          </w:p>
        </w:tc>
        <w:tc>
          <w:tcPr>
            <w:tcW w:w="1912" w:type="pct"/>
            <w:vAlign w:val="center"/>
          </w:tcPr>
          <w:p w14:paraId="5EDA7383">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拖把</w:t>
            </w:r>
          </w:p>
        </w:tc>
        <w:tc>
          <w:tcPr>
            <w:tcW w:w="976" w:type="pct"/>
            <w:vAlign w:val="center"/>
          </w:tcPr>
          <w:p w14:paraId="51193319">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100</w:t>
            </w:r>
          </w:p>
        </w:tc>
        <w:tc>
          <w:tcPr>
            <w:tcW w:w="713" w:type="pct"/>
            <w:vAlign w:val="center"/>
          </w:tcPr>
          <w:p w14:paraId="0CDE7958">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个</w:t>
            </w:r>
          </w:p>
        </w:tc>
        <w:tc>
          <w:tcPr>
            <w:tcW w:w="760" w:type="pct"/>
            <w:vAlign w:val="center"/>
          </w:tcPr>
          <w:p w14:paraId="137F7BDA">
            <w:pPr>
              <w:pStyle w:val="7"/>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每年</w:t>
            </w:r>
          </w:p>
        </w:tc>
      </w:tr>
      <w:tr w14:paraId="6E310E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637" w:type="pct"/>
            <w:vAlign w:val="center"/>
          </w:tcPr>
          <w:p w14:paraId="4BFD1144">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val="en-US" w:eastAsia="zh-CN"/>
              </w:rPr>
              <w:t>2</w:t>
            </w:r>
          </w:p>
        </w:tc>
        <w:tc>
          <w:tcPr>
            <w:tcW w:w="1912" w:type="pct"/>
            <w:vAlign w:val="center"/>
          </w:tcPr>
          <w:p w14:paraId="5B168164">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rPr>
              <w:t>大型垃圾袋</w:t>
            </w:r>
            <w:r>
              <w:rPr>
                <w:rFonts w:hint="eastAsia" w:ascii="宋体" w:hAnsi="宋体" w:eastAsia="宋体" w:cs="宋体"/>
                <w:spacing w:val="0"/>
                <w:w w:val="100"/>
                <w:position w:val="0"/>
                <w:sz w:val="24"/>
                <w:szCs w:val="24"/>
                <w:highlight w:val="none"/>
                <w:lang w:eastAsia="zh-CN"/>
              </w:rPr>
              <w:t>（</w:t>
            </w:r>
            <w:r>
              <w:rPr>
                <w:rFonts w:hint="eastAsia" w:ascii="宋体" w:hAnsi="宋体" w:eastAsia="宋体" w:cs="宋体"/>
                <w:spacing w:val="0"/>
                <w:w w:val="100"/>
                <w:position w:val="0"/>
                <w:sz w:val="24"/>
                <w:szCs w:val="24"/>
                <w:highlight w:val="none"/>
                <w:lang w:val="en-US" w:eastAsia="zh-CN"/>
              </w:rPr>
              <w:t>95*110</w:t>
            </w:r>
            <w:r>
              <w:rPr>
                <w:rFonts w:hint="eastAsia" w:ascii="宋体" w:hAnsi="宋体" w:eastAsia="宋体" w:cs="宋体"/>
                <w:spacing w:val="0"/>
                <w:w w:val="100"/>
                <w:position w:val="0"/>
                <w:sz w:val="24"/>
                <w:szCs w:val="24"/>
                <w:highlight w:val="none"/>
                <w:lang w:eastAsia="zh-CN"/>
              </w:rPr>
              <w:t>）</w:t>
            </w:r>
          </w:p>
        </w:tc>
        <w:tc>
          <w:tcPr>
            <w:tcW w:w="976" w:type="pct"/>
            <w:vAlign w:val="center"/>
          </w:tcPr>
          <w:p w14:paraId="2594B3F0">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6000</w:t>
            </w:r>
          </w:p>
        </w:tc>
        <w:tc>
          <w:tcPr>
            <w:tcW w:w="713" w:type="pct"/>
            <w:vAlign w:val="center"/>
          </w:tcPr>
          <w:p w14:paraId="0AD7E764">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个</w:t>
            </w:r>
          </w:p>
        </w:tc>
        <w:tc>
          <w:tcPr>
            <w:tcW w:w="760" w:type="pct"/>
            <w:vAlign w:val="center"/>
          </w:tcPr>
          <w:p w14:paraId="776C64A0">
            <w:pPr>
              <w:pStyle w:val="7"/>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每年</w:t>
            </w:r>
          </w:p>
        </w:tc>
      </w:tr>
      <w:tr w14:paraId="412423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637" w:type="pct"/>
            <w:vAlign w:val="center"/>
          </w:tcPr>
          <w:p w14:paraId="7230460C">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val="en-US" w:eastAsia="zh-CN"/>
              </w:rPr>
              <w:t>3</w:t>
            </w:r>
          </w:p>
        </w:tc>
        <w:tc>
          <w:tcPr>
            <w:tcW w:w="1912" w:type="pct"/>
            <w:vAlign w:val="center"/>
          </w:tcPr>
          <w:p w14:paraId="4437485D">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rPr>
              <w:t>中型垃圾袋</w:t>
            </w:r>
            <w:r>
              <w:rPr>
                <w:rFonts w:hint="eastAsia" w:ascii="宋体" w:hAnsi="宋体" w:eastAsia="宋体" w:cs="宋体"/>
                <w:spacing w:val="0"/>
                <w:w w:val="100"/>
                <w:position w:val="0"/>
                <w:sz w:val="24"/>
                <w:szCs w:val="24"/>
                <w:highlight w:val="none"/>
                <w:lang w:eastAsia="zh-CN"/>
              </w:rPr>
              <w:t>（</w:t>
            </w:r>
            <w:r>
              <w:rPr>
                <w:rFonts w:hint="eastAsia" w:ascii="宋体" w:hAnsi="宋体" w:eastAsia="宋体" w:cs="宋体"/>
                <w:spacing w:val="0"/>
                <w:w w:val="100"/>
                <w:position w:val="0"/>
                <w:sz w:val="24"/>
                <w:szCs w:val="24"/>
                <w:highlight w:val="none"/>
                <w:lang w:val="en-US" w:eastAsia="zh-CN"/>
              </w:rPr>
              <w:t>65*80</w:t>
            </w:r>
            <w:r>
              <w:rPr>
                <w:rFonts w:hint="eastAsia" w:ascii="宋体" w:hAnsi="宋体" w:eastAsia="宋体" w:cs="宋体"/>
                <w:spacing w:val="0"/>
                <w:w w:val="100"/>
                <w:position w:val="0"/>
                <w:sz w:val="24"/>
                <w:szCs w:val="24"/>
                <w:highlight w:val="none"/>
                <w:lang w:eastAsia="zh-CN"/>
              </w:rPr>
              <w:t>）</w:t>
            </w:r>
          </w:p>
        </w:tc>
        <w:tc>
          <w:tcPr>
            <w:tcW w:w="976" w:type="pct"/>
            <w:vAlign w:val="center"/>
          </w:tcPr>
          <w:p w14:paraId="58733E18">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8</w:t>
            </w:r>
            <w:r>
              <w:rPr>
                <w:rFonts w:hint="eastAsia" w:ascii="宋体" w:hAnsi="宋体" w:eastAsia="宋体" w:cs="宋体"/>
                <w:spacing w:val="0"/>
                <w:w w:val="100"/>
                <w:position w:val="0"/>
                <w:sz w:val="24"/>
                <w:szCs w:val="24"/>
                <w:highlight w:val="none"/>
                <w:lang w:val="en-US" w:eastAsia="zh-CN"/>
              </w:rPr>
              <w:t>000</w:t>
            </w:r>
          </w:p>
        </w:tc>
        <w:tc>
          <w:tcPr>
            <w:tcW w:w="713" w:type="pct"/>
            <w:vAlign w:val="center"/>
          </w:tcPr>
          <w:p w14:paraId="389A517D">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个</w:t>
            </w:r>
          </w:p>
        </w:tc>
        <w:tc>
          <w:tcPr>
            <w:tcW w:w="760" w:type="pct"/>
            <w:vAlign w:val="center"/>
          </w:tcPr>
          <w:p w14:paraId="7760EA6E">
            <w:pPr>
              <w:pStyle w:val="7"/>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每年</w:t>
            </w:r>
          </w:p>
        </w:tc>
      </w:tr>
      <w:tr w14:paraId="19B3C1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637" w:type="pct"/>
            <w:vAlign w:val="center"/>
          </w:tcPr>
          <w:p w14:paraId="58CB7E10">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val="en-US" w:eastAsia="zh-CN"/>
              </w:rPr>
              <w:t>4</w:t>
            </w:r>
          </w:p>
        </w:tc>
        <w:tc>
          <w:tcPr>
            <w:tcW w:w="1912" w:type="pct"/>
            <w:vAlign w:val="center"/>
          </w:tcPr>
          <w:p w14:paraId="597751A1">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rPr>
              <w:t>小型垃圾袋</w:t>
            </w:r>
            <w:r>
              <w:rPr>
                <w:rFonts w:hint="eastAsia" w:ascii="宋体" w:hAnsi="宋体" w:eastAsia="宋体" w:cs="宋体"/>
                <w:spacing w:val="0"/>
                <w:w w:val="100"/>
                <w:position w:val="0"/>
                <w:sz w:val="24"/>
                <w:szCs w:val="24"/>
                <w:highlight w:val="none"/>
                <w:lang w:eastAsia="zh-CN"/>
              </w:rPr>
              <w:t>（</w:t>
            </w:r>
            <w:r>
              <w:rPr>
                <w:rFonts w:hint="eastAsia" w:ascii="宋体" w:hAnsi="宋体" w:eastAsia="宋体" w:cs="宋体"/>
                <w:spacing w:val="0"/>
                <w:w w:val="100"/>
                <w:position w:val="0"/>
                <w:sz w:val="24"/>
                <w:szCs w:val="24"/>
                <w:highlight w:val="none"/>
                <w:lang w:val="en-US" w:eastAsia="zh-CN"/>
              </w:rPr>
              <w:t>45*45）</w:t>
            </w:r>
          </w:p>
        </w:tc>
        <w:tc>
          <w:tcPr>
            <w:tcW w:w="976" w:type="pct"/>
            <w:vAlign w:val="center"/>
          </w:tcPr>
          <w:p w14:paraId="496C5E46">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rPr>
            </w:pPr>
            <w:r>
              <w:rPr>
                <w:rFonts w:hint="eastAsia" w:ascii="宋体" w:hAnsi="宋体" w:cs="宋体"/>
                <w:spacing w:val="0"/>
                <w:w w:val="100"/>
                <w:position w:val="0"/>
                <w:sz w:val="24"/>
                <w:szCs w:val="24"/>
                <w:highlight w:val="none"/>
                <w:lang w:val="en-US" w:eastAsia="zh-CN"/>
              </w:rPr>
              <w:t>1</w:t>
            </w:r>
            <w:r>
              <w:rPr>
                <w:rFonts w:hint="eastAsia" w:ascii="宋体" w:hAnsi="宋体" w:eastAsia="宋体" w:cs="宋体"/>
                <w:spacing w:val="0"/>
                <w:w w:val="100"/>
                <w:position w:val="0"/>
                <w:sz w:val="24"/>
                <w:szCs w:val="24"/>
                <w:highlight w:val="none"/>
                <w:lang w:val="en-US" w:eastAsia="zh-CN"/>
              </w:rPr>
              <w:t>0000</w:t>
            </w:r>
          </w:p>
        </w:tc>
        <w:tc>
          <w:tcPr>
            <w:tcW w:w="713" w:type="pct"/>
            <w:vAlign w:val="center"/>
          </w:tcPr>
          <w:p w14:paraId="2E9EFFDA">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个</w:t>
            </w:r>
          </w:p>
        </w:tc>
        <w:tc>
          <w:tcPr>
            <w:tcW w:w="760" w:type="pct"/>
            <w:vAlign w:val="center"/>
          </w:tcPr>
          <w:p w14:paraId="54F99D4A">
            <w:pPr>
              <w:pStyle w:val="7"/>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每年</w:t>
            </w:r>
          </w:p>
        </w:tc>
      </w:tr>
      <w:tr w14:paraId="31C420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7" w:hRule="atLeast"/>
        </w:trPr>
        <w:tc>
          <w:tcPr>
            <w:tcW w:w="637" w:type="pct"/>
            <w:vAlign w:val="center"/>
          </w:tcPr>
          <w:p w14:paraId="7CF3CBE9">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eastAsia="zh-CN"/>
              </w:rPr>
            </w:pPr>
            <w:r>
              <w:rPr>
                <w:rFonts w:hint="eastAsia" w:ascii="宋体" w:hAnsi="宋体" w:cs="宋体"/>
                <w:spacing w:val="0"/>
                <w:w w:val="100"/>
                <w:position w:val="0"/>
                <w:sz w:val="24"/>
                <w:szCs w:val="24"/>
                <w:highlight w:val="none"/>
                <w:lang w:val="en-US" w:eastAsia="zh-CN"/>
              </w:rPr>
              <w:t>5</w:t>
            </w:r>
          </w:p>
        </w:tc>
        <w:tc>
          <w:tcPr>
            <w:tcW w:w="1912" w:type="pct"/>
            <w:vAlign w:val="center"/>
          </w:tcPr>
          <w:p w14:paraId="719B6E4C">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檀香</w:t>
            </w:r>
          </w:p>
        </w:tc>
        <w:tc>
          <w:tcPr>
            <w:tcW w:w="976" w:type="pct"/>
            <w:vAlign w:val="center"/>
          </w:tcPr>
          <w:p w14:paraId="556A4A19">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4</w:t>
            </w:r>
            <w:r>
              <w:rPr>
                <w:rFonts w:hint="eastAsia" w:ascii="宋体" w:hAnsi="宋体" w:eastAsia="宋体" w:cs="宋体"/>
                <w:spacing w:val="0"/>
                <w:w w:val="100"/>
                <w:position w:val="0"/>
                <w:sz w:val="24"/>
                <w:szCs w:val="24"/>
                <w:highlight w:val="none"/>
                <w:lang w:val="en-US" w:eastAsia="zh-CN"/>
              </w:rPr>
              <w:t>00</w:t>
            </w:r>
          </w:p>
        </w:tc>
        <w:tc>
          <w:tcPr>
            <w:tcW w:w="713" w:type="pct"/>
            <w:vAlign w:val="center"/>
          </w:tcPr>
          <w:p w14:paraId="5088419F">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盘</w:t>
            </w:r>
          </w:p>
        </w:tc>
        <w:tc>
          <w:tcPr>
            <w:tcW w:w="760" w:type="pct"/>
            <w:vAlign w:val="center"/>
          </w:tcPr>
          <w:p w14:paraId="381371AB">
            <w:pPr>
              <w:pStyle w:val="7"/>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lang w:val="en-US" w:eastAsia="zh-CN"/>
              </w:rPr>
              <w:t>每年</w:t>
            </w:r>
          </w:p>
        </w:tc>
      </w:tr>
      <w:tr w14:paraId="2E5EAE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trPr>
        <w:tc>
          <w:tcPr>
            <w:tcW w:w="637" w:type="pct"/>
            <w:vAlign w:val="center"/>
          </w:tcPr>
          <w:p w14:paraId="326F3D5C">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eastAsia="zh-CN"/>
              </w:rPr>
            </w:pPr>
            <w:r>
              <w:rPr>
                <w:rFonts w:hint="eastAsia" w:ascii="宋体" w:hAnsi="宋体" w:cs="宋体"/>
                <w:spacing w:val="0"/>
                <w:w w:val="100"/>
                <w:position w:val="0"/>
                <w:sz w:val="24"/>
                <w:szCs w:val="24"/>
                <w:highlight w:val="none"/>
                <w:lang w:val="en-US" w:eastAsia="zh-CN"/>
              </w:rPr>
              <w:t>6</w:t>
            </w:r>
          </w:p>
        </w:tc>
        <w:tc>
          <w:tcPr>
            <w:tcW w:w="1912" w:type="pct"/>
            <w:vAlign w:val="center"/>
          </w:tcPr>
          <w:p w14:paraId="62814B15">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竹扫把</w:t>
            </w:r>
          </w:p>
        </w:tc>
        <w:tc>
          <w:tcPr>
            <w:tcW w:w="976" w:type="pct"/>
            <w:vAlign w:val="center"/>
          </w:tcPr>
          <w:p w14:paraId="62BD4A66">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30</w:t>
            </w:r>
          </w:p>
        </w:tc>
        <w:tc>
          <w:tcPr>
            <w:tcW w:w="713" w:type="pct"/>
            <w:vAlign w:val="center"/>
          </w:tcPr>
          <w:p w14:paraId="3080FFD0">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把</w:t>
            </w:r>
          </w:p>
        </w:tc>
        <w:tc>
          <w:tcPr>
            <w:tcW w:w="760" w:type="pct"/>
            <w:vAlign w:val="center"/>
          </w:tcPr>
          <w:p w14:paraId="17B7DCE3">
            <w:pPr>
              <w:pStyle w:val="7"/>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lang w:val="en-US" w:eastAsia="zh-CN"/>
              </w:rPr>
              <w:t>每年</w:t>
            </w:r>
          </w:p>
        </w:tc>
      </w:tr>
      <w:tr w14:paraId="16F2F8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7" w:hRule="atLeast"/>
        </w:trPr>
        <w:tc>
          <w:tcPr>
            <w:tcW w:w="637" w:type="pct"/>
            <w:vAlign w:val="center"/>
          </w:tcPr>
          <w:p w14:paraId="6FF98709">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7</w:t>
            </w:r>
          </w:p>
        </w:tc>
        <w:tc>
          <w:tcPr>
            <w:tcW w:w="1912" w:type="pct"/>
            <w:vAlign w:val="center"/>
          </w:tcPr>
          <w:p w14:paraId="70514120">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塑料扫把</w:t>
            </w:r>
          </w:p>
        </w:tc>
        <w:tc>
          <w:tcPr>
            <w:tcW w:w="976" w:type="pct"/>
            <w:vAlign w:val="center"/>
          </w:tcPr>
          <w:p w14:paraId="754FD803">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60</w:t>
            </w:r>
          </w:p>
        </w:tc>
        <w:tc>
          <w:tcPr>
            <w:tcW w:w="713" w:type="pct"/>
            <w:vAlign w:val="center"/>
          </w:tcPr>
          <w:p w14:paraId="76B6A6A4">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把</w:t>
            </w:r>
          </w:p>
        </w:tc>
        <w:tc>
          <w:tcPr>
            <w:tcW w:w="760" w:type="pct"/>
            <w:vAlign w:val="center"/>
          </w:tcPr>
          <w:p w14:paraId="0F31BEFD">
            <w:pPr>
              <w:pStyle w:val="7"/>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lang w:val="en-US" w:eastAsia="zh-CN"/>
              </w:rPr>
              <w:t>每年</w:t>
            </w:r>
          </w:p>
        </w:tc>
      </w:tr>
      <w:tr w14:paraId="68E184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637" w:type="pct"/>
            <w:vAlign w:val="center"/>
          </w:tcPr>
          <w:p w14:paraId="10E343A7">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eastAsia="zh-CN"/>
              </w:rPr>
            </w:pPr>
            <w:r>
              <w:rPr>
                <w:rFonts w:hint="eastAsia" w:ascii="宋体" w:hAnsi="宋体" w:cs="宋体"/>
                <w:spacing w:val="0"/>
                <w:w w:val="100"/>
                <w:position w:val="0"/>
                <w:sz w:val="24"/>
                <w:szCs w:val="24"/>
                <w:highlight w:val="none"/>
                <w:lang w:val="en-US" w:eastAsia="zh-CN"/>
              </w:rPr>
              <w:t>8</w:t>
            </w:r>
          </w:p>
        </w:tc>
        <w:tc>
          <w:tcPr>
            <w:tcW w:w="1912" w:type="pct"/>
            <w:vAlign w:val="center"/>
          </w:tcPr>
          <w:p w14:paraId="22E0D28E">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簸箕</w:t>
            </w:r>
          </w:p>
        </w:tc>
        <w:tc>
          <w:tcPr>
            <w:tcW w:w="976" w:type="pct"/>
            <w:vAlign w:val="center"/>
          </w:tcPr>
          <w:p w14:paraId="4E7FF144">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6</w:t>
            </w:r>
            <w:r>
              <w:rPr>
                <w:rFonts w:hint="eastAsia" w:ascii="宋体" w:hAnsi="宋体" w:eastAsia="宋体" w:cs="宋体"/>
                <w:spacing w:val="0"/>
                <w:w w:val="100"/>
                <w:position w:val="0"/>
                <w:sz w:val="24"/>
                <w:szCs w:val="24"/>
                <w:highlight w:val="none"/>
                <w:lang w:val="en-US" w:eastAsia="zh-CN"/>
              </w:rPr>
              <w:t>0</w:t>
            </w:r>
          </w:p>
        </w:tc>
        <w:tc>
          <w:tcPr>
            <w:tcW w:w="713" w:type="pct"/>
            <w:vAlign w:val="center"/>
          </w:tcPr>
          <w:p w14:paraId="68230702">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个</w:t>
            </w:r>
          </w:p>
        </w:tc>
        <w:tc>
          <w:tcPr>
            <w:tcW w:w="760" w:type="pct"/>
            <w:vAlign w:val="center"/>
          </w:tcPr>
          <w:p w14:paraId="165B6288">
            <w:pPr>
              <w:pStyle w:val="7"/>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lang w:val="en-US" w:eastAsia="zh-CN"/>
              </w:rPr>
              <w:t>每年</w:t>
            </w:r>
          </w:p>
        </w:tc>
      </w:tr>
      <w:tr w14:paraId="7B676D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637" w:type="pct"/>
            <w:vAlign w:val="center"/>
          </w:tcPr>
          <w:p w14:paraId="62D2EDE8">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9</w:t>
            </w:r>
          </w:p>
        </w:tc>
        <w:tc>
          <w:tcPr>
            <w:tcW w:w="1912" w:type="pct"/>
            <w:vAlign w:val="center"/>
          </w:tcPr>
          <w:p w14:paraId="3760C116">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皮手套</w:t>
            </w:r>
          </w:p>
        </w:tc>
        <w:tc>
          <w:tcPr>
            <w:tcW w:w="976" w:type="pct"/>
            <w:vAlign w:val="center"/>
          </w:tcPr>
          <w:p w14:paraId="5D68383B">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60</w:t>
            </w:r>
          </w:p>
        </w:tc>
        <w:tc>
          <w:tcPr>
            <w:tcW w:w="713" w:type="pct"/>
            <w:vAlign w:val="center"/>
          </w:tcPr>
          <w:p w14:paraId="7C403793">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val="en-US" w:eastAsia="zh-CN"/>
              </w:rPr>
              <w:t>双</w:t>
            </w:r>
          </w:p>
        </w:tc>
        <w:tc>
          <w:tcPr>
            <w:tcW w:w="760" w:type="pct"/>
            <w:vAlign w:val="center"/>
          </w:tcPr>
          <w:p w14:paraId="41C9C362">
            <w:pPr>
              <w:pStyle w:val="7"/>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lang w:val="en-US" w:eastAsia="zh-CN"/>
              </w:rPr>
              <w:t>每年</w:t>
            </w:r>
          </w:p>
        </w:tc>
      </w:tr>
      <w:tr w14:paraId="0CEF0B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637" w:type="pct"/>
            <w:vAlign w:val="center"/>
          </w:tcPr>
          <w:p w14:paraId="6C828EED">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10</w:t>
            </w:r>
          </w:p>
        </w:tc>
        <w:tc>
          <w:tcPr>
            <w:tcW w:w="1912" w:type="pct"/>
            <w:vAlign w:val="center"/>
          </w:tcPr>
          <w:p w14:paraId="481B28FF">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rPr>
              <w:t>洁厕灵</w:t>
            </w:r>
            <w:r>
              <w:rPr>
                <w:rFonts w:hint="eastAsia" w:ascii="宋体" w:hAnsi="宋体" w:eastAsia="宋体" w:cs="宋体"/>
                <w:spacing w:val="0"/>
                <w:w w:val="100"/>
                <w:position w:val="0"/>
                <w:sz w:val="24"/>
                <w:szCs w:val="24"/>
                <w:highlight w:val="none"/>
                <w:lang w:eastAsia="zh-CN"/>
              </w:rPr>
              <w:t>（</w:t>
            </w:r>
            <w:r>
              <w:rPr>
                <w:rFonts w:hint="eastAsia" w:ascii="宋体" w:hAnsi="宋体" w:eastAsia="宋体" w:cs="宋体"/>
                <w:spacing w:val="0"/>
                <w:w w:val="100"/>
                <w:position w:val="0"/>
                <w:sz w:val="24"/>
                <w:szCs w:val="24"/>
                <w:highlight w:val="none"/>
                <w:lang w:val="en-US" w:eastAsia="zh-CN"/>
              </w:rPr>
              <w:t>500ml</w:t>
            </w:r>
            <w:r>
              <w:rPr>
                <w:rFonts w:hint="eastAsia" w:ascii="宋体" w:hAnsi="宋体" w:eastAsia="宋体" w:cs="宋体"/>
                <w:spacing w:val="0"/>
                <w:w w:val="100"/>
                <w:position w:val="0"/>
                <w:sz w:val="24"/>
                <w:szCs w:val="24"/>
                <w:highlight w:val="none"/>
                <w:lang w:eastAsia="zh-CN"/>
              </w:rPr>
              <w:t>）</w:t>
            </w:r>
          </w:p>
        </w:tc>
        <w:tc>
          <w:tcPr>
            <w:tcW w:w="976" w:type="pct"/>
            <w:vAlign w:val="center"/>
          </w:tcPr>
          <w:p w14:paraId="5523C5AA">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2</w:t>
            </w:r>
            <w:r>
              <w:rPr>
                <w:rFonts w:hint="eastAsia" w:ascii="宋体" w:hAnsi="宋体" w:eastAsia="宋体" w:cs="宋体"/>
                <w:spacing w:val="0"/>
                <w:w w:val="100"/>
                <w:position w:val="0"/>
                <w:sz w:val="24"/>
                <w:szCs w:val="24"/>
                <w:highlight w:val="none"/>
                <w:lang w:val="en-US" w:eastAsia="zh-CN"/>
              </w:rPr>
              <w:t>00</w:t>
            </w:r>
          </w:p>
        </w:tc>
        <w:tc>
          <w:tcPr>
            <w:tcW w:w="713" w:type="pct"/>
            <w:vAlign w:val="center"/>
          </w:tcPr>
          <w:p w14:paraId="65CC2726">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val="en-US" w:eastAsia="zh-CN"/>
              </w:rPr>
              <w:t>瓶</w:t>
            </w:r>
          </w:p>
        </w:tc>
        <w:tc>
          <w:tcPr>
            <w:tcW w:w="760" w:type="pct"/>
            <w:vAlign w:val="center"/>
          </w:tcPr>
          <w:p w14:paraId="20902D89">
            <w:pPr>
              <w:pStyle w:val="7"/>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lang w:val="en-US" w:eastAsia="zh-CN"/>
              </w:rPr>
              <w:t>每年</w:t>
            </w:r>
          </w:p>
        </w:tc>
      </w:tr>
      <w:tr w14:paraId="7C7357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37" w:type="pct"/>
            <w:vAlign w:val="center"/>
          </w:tcPr>
          <w:p w14:paraId="0F37FBD7">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11</w:t>
            </w:r>
          </w:p>
        </w:tc>
        <w:tc>
          <w:tcPr>
            <w:tcW w:w="1912" w:type="pct"/>
            <w:vAlign w:val="center"/>
          </w:tcPr>
          <w:p w14:paraId="7367ACAE">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马桶刷</w:t>
            </w:r>
          </w:p>
        </w:tc>
        <w:tc>
          <w:tcPr>
            <w:tcW w:w="976" w:type="pct"/>
            <w:vAlign w:val="center"/>
          </w:tcPr>
          <w:p w14:paraId="3131D1AB">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5</w:t>
            </w:r>
            <w:r>
              <w:rPr>
                <w:rFonts w:hint="eastAsia" w:ascii="宋体" w:hAnsi="宋体" w:eastAsia="宋体" w:cs="宋体"/>
                <w:spacing w:val="0"/>
                <w:w w:val="100"/>
                <w:position w:val="0"/>
                <w:sz w:val="24"/>
                <w:szCs w:val="24"/>
                <w:highlight w:val="none"/>
                <w:lang w:val="en-US" w:eastAsia="zh-CN"/>
              </w:rPr>
              <w:t>0</w:t>
            </w:r>
          </w:p>
        </w:tc>
        <w:tc>
          <w:tcPr>
            <w:tcW w:w="713" w:type="pct"/>
            <w:vAlign w:val="center"/>
          </w:tcPr>
          <w:p w14:paraId="6A71A686">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个</w:t>
            </w:r>
          </w:p>
        </w:tc>
        <w:tc>
          <w:tcPr>
            <w:tcW w:w="760" w:type="pct"/>
            <w:vAlign w:val="center"/>
          </w:tcPr>
          <w:p w14:paraId="1F87ED94">
            <w:pPr>
              <w:pStyle w:val="7"/>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lang w:val="en-US" w:eastAsia="zh-CN"/>
              </w:rPr>
              <w:t>每年</w:t>
            </w:r>
          </w:p>
        </w:tc>
      </w:tr>
      <w:tr w14:paraId="267D5A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37" w:type="pct"/>
            <w:vAlign w:val="center"/>
          </w:tcPr>
          <w:p w14:paraId="20AC5519">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12</w:t>
            </w:r>
          </w:p>
        </w:tc>
        <w:tc>
          <w:tcPr>
            <w:tcW w:w="1912" w:type="pct"/>
            <w:vAlign w:val="center"/>
          </w:tcPr>
          <w:p w14:paraId="3965087F">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垃圾夹</w:t>
            </w:r>
          </w:p>
        </w:tc>
        <w:tc>
          <w:tcPr>
            <w:tcW w:w="976" w:type="pct"/>
            <w:vAlign w:val="center"/>
          </w:tcPr>
          <w:p w14:paraId="507DF778">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20</w:t>
            </w:r>
          </w:p>
        </w:tc>
        <w:tc>
          <w:tcPr>
            <w:tcW w:w="713" w:type="pct"/>
            <w:vAlign w:val="center"/>
          </w:tcPr>
          <w:p w14:paraId="64A0E535">
            <w:pPr>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个</w:t>
            </w:r>
          </w:p>
        </w:tc>
        <w:tc>
          <w:tcPr>
            <w:tcW w:w="760" w:type="pct"/>
            <w:vAlign w:val="center"/>
          </w:tcPr>
          <w:p w14:paraId="7545DDBB">
            <w:pPr>
              <w:pStyle w:val="7"/>
              <w:keepNext w:val="0"/>
              <w:keepLines w:val="0"/>
              <w:pageBreakBefore w:val="0"/>
              <w:widowControl/>
              <w:kinsoku w:val="0"/>
              <w:wordWrap/>
              <w:overflowPunct/>
              <w:topLinePunct w:val="0"/>
              <w:autoSpaceDE w:val="0"/>
              <w:autoSpaceDN w:val="0"/>
              <w:bidi w:val="0"/>
              <w:adjustRightInd w:val="0"/>
              <w:snapToGrid w:val="0"/>
              <w:spacing w:after="0" w:line="480" w:lineRule="exact"/>
              <w:ind w:left="0" w:right="0" w:firstLine="0"/>
              <w:jc w:val="center"/>
              <w:textAlignment w:val="baseline"/>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lang w:val="en-US" w:eastAsia="zh-CN"/>
              </w:rPr>
              <w:t>每年</w:t>
            </w:r>
          </w:p>
        </w:tc>
      </w:tr>
    </w:tbl>
    <w:p w14:paraId="79FF9BC3">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（六）机械设备</w:t>
      </w:r>
    </w:p>
    <w:p w14:paraId="519580F4">
      <w:pPr>
        <w:keepLines w:val="0"/>
        <w:pageBreakBefore w:val="0"/>
        <w:widowControl w:val="0"/>
        <w:numPr>
          <w:ilvl w:val="0"/>
          <w:numId w:val="0"/>
        </w:numPr>
        <w:kinsoku/>
        <w:wordWrap/>
        <w:overflowPunct/>
        <w:topLinePunct w:val="0"/>
        <w:bidi w:val="0"/>
        <w:spacing w:after="0" w:line="480" w:lineRule="exact"/>
        <w:ind w:firstLine="480" w:firstLineChars="200"/>
        <w:jc w:val="both"/>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1.中标供应商提供的机械设备可优于采购单位要求的机械设备配置清单。</w:t>
      </w:r>
    </w:p>
    <w:p w14:paraId="60B5560A">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2.中标供应商不能按时提供或不能完整提供投标文件中拟配置机具设备及耗材，则采购人有权拒绝与中标供应商签订合同。</w:t>
      </w:r>
    </w:p>
    <w:p w14:paraId="502DFE07">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3.机械设备配置清单</w:t>
      </w:r>
    </w:p>
    <w:tbl>
      <w:tblPr>
        <w:tblStyle w:val="6"/>
        <w:tblW w:w="5074"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907"/>
        <w:gridCol w:w="2570"/>
        <w:gridCol w:w="1503"/>
        <w:gridCol w:w="1272"/>
        <w:gridCol w:w="2187"/>
      </w:tblGrid>
      <w:tr w14:paraId="4EDBF8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0" w:hRule="atLeast"/>
        </w:trPr>
        <w:tc>
          <w:tcPr>
            <w:tcW w:w="537" w:type="pct"/>
            <w:vAlign w:val="center"/>
          </w:tcPr>
          <w:p w14:paraId="325FB798">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序号</w:t>
            </w:r>
          </w:p>
        </w:tc>
        <w:tc>
          <w:tcPr>
            <w:tcW w:w="1522" w:type="pct"/>
            <w:vAlign w:val="center"/>
          </w:tcPr>
          <w:p w14:paraId="37F23AF5">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工具、设备名称</w:t>
            </w:r>
          </w:p>
        </w:tc>
        <w:tc>
          <w:tcPr>
            <w:tcW w:w="890" w:type="pct"/>
            <w:vAlign w:val="center"/>
          </w:tcPr>
          <w:p w14:paraId="418457B4">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数量</w:t>
            </w:r>
          </w:p>
        </w:tc>
        <w:tc>
          <w:tcPr>
            <w:tcW w:w="753" w:type="pct"/>
            <w:vAlign w:val="center"/>
          </w:tcPr>
          <w:p w14:paraId="16249A9D">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单位</w:t>
            </w:r>
          </w:p>
        </w:tc>
        <w:tc>
          <w:tcPr>
            <w:tcW w:w="1295" w:type="pct"/>
            <w:vAlign w:val="center"/>
          </w:tcPr>
          <w:p w14:paraId="36295C9C">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备注</w:t>
            </w:r>
          </w:p>
        </w:tc>
      </w:tr>
      <w:tr w14:paraId="63E319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537" w:type="pct"/>
            <w:vAlign w:val="center"/>
          </w:tcPr>
          <w:p w14:paraId="1992E628">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1</w:t>
            </w:r>
          </w:p>
        </w:tc>
        <w:tc>
          <w:tcPr>
            <w:tcW w:w="1522" w:type="pct"/>
            <w:vAlign w:val="center"/>
          </w:tcPr>
          <w:p w14:paraId="60FAD450">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割草机</w:t>
            </w:r>
          </w:p>
        </w:tc>
        <w:tc>
          <w:tcPr>
            <w:tcW w:w="890" w:type="pct"/>
            <w:vAlign w:val="center"/>
          </w:tcPr>
          <w:p w14:paraId="054BA83A">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eastAsia="zh-CN"/>
              </w:rPr>
            </w:pPr>
            <w:r>
              <w:rPr>
                <w:rFonts w:hint="eastAsia" w:ascii="宋体" w:hAnsi="宋体" w:cs="宋体"/>
                <w:spacing w:val="0"/>
                <w:w w:val="100"/>
                <w:position w:val="0"/>
                <w:sz w:val="24"/>
                <w:szCs w:val="24"/>
                <w:highlight w:val="none"/>
                <w:lang w:val="en-US" w:eastAsia="zh-CN"/>
              </w:rPr>
              <w:t>1</w:t>
            </w:r>
          </w:p>
        </w:tc>
        <w:tc>
          <w:tcPr>
            <w:tcW w:w="753" w:type="pct"/>
            <w:vAlign w:val="center"/>
          </w:tcPr>
          <w:p w14:paraId="6A4DCCF8">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台</w:t>
            </w:r>
          </w:p>
        </w:tc>
        <w:tc>
          <w:tcPr>
            <w:tcW w:w="1295" w:type="pct"/>
            <w:vAlign w:val="center"/>
          </w:tcPr>
          <w:p w14:paraId="74E8BDD9">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自有或全新购买</w:t>
            </w:r>
          </w:p>
        </w:tc>
      </w:tr>
      <w:tr w14:paraId="266FE5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537" w:type="pct"/>
            <w:vAlign w:val="center"/>
          </w:tcPr>
          <w:p w14:paraId="729F7B0D">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2</w:t>
            </w:r>
          </w:p>
        </w:tc>
        <w:tc>
          <w:tcPr>
            <w:tcW w:w="1522" w:type="pct"/>
            <w:vAlign w:val="center"/>
          </w:tcPr>
          <w:p w14:paraId="4BCE9600">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高枝剪</w:t>
            </w:r>
          </w:p>
        </w:tc>
        <w:tc>
          <w:tcPr>
            <w:tcW w:w="890" w:type="pct"/>
            <w:vAlign w:val="center"/>
          </w:tcPr>
          <w:p w14:paraId="656D08AA">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1</w:t>
            </w:r>
          </w:p>
        </w:tc>
        <w:tc>
          <w:tcPr>
            <w:tcW w:w="753" w:type="pct"/>
            <w:vAlign w:val="center"/>
          </w:tcPr>
          <w:p w14:paraId="6DC2F9EB">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val="en-US" w:eastAsia="zh-CN"/>
              </w:rPr>
              <w:t>把</w:t>
            </w:r>
          </w:p>
        </w:tc>
        <w:tc>
          <w:tcPr>
            <w:tcW w:w="1295" w:type="pct"/>
            <w:vAlign w:val="center"/>
          </w:tcPr>
          <w:p w14:paraId="1B2B8236">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cs="宋体"/>
                <w:spacing w:val="0"/>
                <w:w w:val="100"/>
                <w:position w:val="0"/>
                <w:sz w:val="24"/>
                <w:szCs w:val="24"/>
                <w:highlight w:val="none"/>
                <w:lang w:val="en-US" w:eastAsia="zh-CN"/>
              </w:rPr>
              <w:t>自有或全新购买</w:t>
            </w:r>
          </w:p>
        </w:tc>
      </w:tr>
      <w:tr w14:paraId="5B58BD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537" w:type="pct"/>
            <w:vAlign w:val="center"/>
          </w:tcPr>
          <w:p w14:paraId="6C21A249">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3</w:t>
            </w:r>
          </w:p>
        </w:tc>
        <w:tc>
          <w:tcPr>
            <w:tcW w:w="1522" w:type="pct"/>
            <w:vAlign w:val="center"/>
          </w:tcPr>
          <w:p w14:paraId="7C3147B4">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手枝剪</w:t>
            </w:r>
          </w:p>
        </w:tc>
        <w:tc>
          <w:tcPr>
            <w:tcW w:w="890" w:type="pct"/>
            <w:vAlign w:val="center"/>
          </w:tcPr>
          <w:p w14:paraId="63690734">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3</w:t>
            </w:r>
          </w:p>
        </w:tc>
        <w:tc>
          <w:tcPr>
            <w:tcW w:w="753" w:type="pct"/>
            <w:vAlign w:val="center"/>
          </w:tcPr>
          <w:p w14:paraId="115E45C9">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eastAsia="宋体" w:cs="宋体"/>
                <w:spacing w:val="0"/>
                <w:w w:val="100"/>
                <w:position w:val="0"/>
                <w:sz w:val="24"/>
                <w:szCs w:val="24"/>
                <w:highlight w:val="none"/>
              </w:rPr>
              <w:t>把</w:t>
            </w:r>
          </w:p>
        </w:tc>
        <w:tc>
          <w:tcPr>
            <w:tcW w:w="1295" w:type="pct"/>
            <w:vAlign w:val="center"/>
          </w:tcPr>
          <w:p w14:paraId="336369E7">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cs="宋体"/>
                <w:spacing w:val="0"/>
                <w:w w:val="100"/>
                <w:position w:val="0"/>
                <w:sz w:val="24"/>
                <w:szCs w:val="24"/>
                <w:highlight w:val="none"/>
                <w:lang w:val="en-US" w:eastAsia="zh-CN"/>
              </w:rPr>
              <w:t>自有或全新购买</w:t>
            </w:r>
          </w:p>
        </w:tc>
      </w:tr>
      <w:tr w14:paraId="075C36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7" w:hRule="atLeast"/>
        </w:trPr>
        <w:tc>
          <w:tcPr>
            <w:tcW w:w="537" w:type="pct"/>
            <w:vAlign w:val="center"/>
          </w:tcPr>
          <w:p w14:paraId="07159601">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eastAsia="zh-CN"/>
              </w:rPr>
            </w:pPr>
            <w:r>
              <w:rPr>
                <w:rFonts w:hint="eastAsia" w:ascii="宋体" w:hAnsi="宋体" w:cs="宋体"/>
                <w:spacing w:val="0"/>
                <w:w w:val="100"/>
                <w:position w:val="0"/>
                <w:sz w:val="24"/>
                <w:szCs w:val="24"/>
                <w:highlight w:val="none"/>
                <w:lang w:val="en-US" w:eastAsia="zh-CN"/>
              </w:rPr>
              <w:t>4</w:t>
            </w:r>
          </w:p>
        </w:tc>
        <w:tc>
          <w:tcPr>
            <w:tcW w:w="1522" w:type="pct"/>
            <w:vAlign w:val="center"/>
          </w:tcPr>
          <w:p w14:paraId="7B3E0F8C">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val="en-US" w:eastAsia="zh-CN"/>
              </w:rPr>
              <w:t>多功能刷地</w:t>
            </w:r>
            <w:r>
              <w:rPr>
                <w:rFonts w:hint="eastAsia" w:ascii="宋体" w:hAnsi="宋体" w:eastAsia="宋体" w:cs="宋体"/>
                <w:spacing w:val="0"/>
                <w:w w:val="100"/>
                <w:position w:val="0"/>
                <w:sz w:val="24"/>
                <w:szCs w:val="24"/>
                <w:highlight w:val="none"/>
                <w:lang w:eastAsia="zh-CN"/>
              </w:rPr>
              <w:t>机</w:t>
            </w:r>
          </w:p>
        </w:tc>
        <w:tc>
          <w:tcPr>
            <w:tcW w:w="890" w:type="pct"/>
            <w:vAlign w:val="center"/>
          </w:tcPr>
          <w:p w14:paraId="0E8B1E71">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eastAsia="zh-CN"/>
              </w:rPr>
              <w:t>1</w:t>
            </w:r>
          </w:p>
        </w:tc>
        <w:tc>
          <w:tcPr>
            <w:tcW w:w="753" w:type="pct"/>
            <w:vAlign w:val="center"/>
          </w:tcPr>
          <w:p w14:paraId="493EA8FD">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eastAsia="zh-CN"/>
              </w:rPr>
              <w:t>台</w:t>
            </w:r>
          </w:p>
        </w:tc>
        <w:tc>
          <w:tcPr>
            <w:tcW w:w="1295" w:type="pct"/>
            <w:vAlign w:val="center"/>
          </w:tcPr>
          <w:p w14:paraId="28EEB498">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cs="宋体"/>
                <w:spacing w:val="0"/>
                <w:w w:val="100"/>
                <w:position w:val="0"/>
                <w:sz w:val="24"/>
                <w:szCs w:val="24"/>
                <w:highlight w:val="none"/>
                <w:lang w:val="en-US" w:eastAsia="zh-CN"/>
              </w:rPr>
              <w:t>自有或全新购买</w:t>
            </w:r>
          </w:p>
        </w:tc>
      </w:tr>
      <w:tr w14:paraId="6CB42B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7" w:hRule="atLeast"/>
        </w:trPr>
        <w:tc>
          <w:tcPr>
            <w:tcW w:w="537" w:type="pct"/>
            <w:vAlign w:val="center"/>
          </w:tcPr>
          <w:p w14:paraId="38075CBE">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eastAsia="zh-CN"/>
              </w:rPr>
            </w:pPr>
            <w:r>
              <w:rPr>
                <w:rFonts w:hint="eastAsia" w:ascii="宋体" w:hAnsi="宋体" w:cs="宋体"/>
                <w:spacing w:val="0"/>
                <w:w w:val="100"/>
                <w:position w:val="0"/>
                <w:sz w:val="24"/>
                <w:szCs w:val="24"/>
                <w:highlight w:val="none"/>
                <w:lang w:val="en-US" w:eastAsia="zh-CN"/>
              </w:rPr>
              <w:t>5</w:t>
            </w:r>
          </w:p>
        </w:tc>
        <w:tc>
          <w:tcPr>
            <w:tcW w:w="1522" w:type="pct"/>
            <w:vAlign w:val="center"/>
          </w:tcPr>
          <w:p w14:paraId="4996CA12">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eastAsia="zh-CN"/>
              </w:rPr>
              <w:t>石材抛光机</w:t>
            </w:r>
          </w:p>
        </w:tc>
        <w:tc>
          <w:tcPr>
            <w:tcW w:w="890" w:type="pct"/>
            <w:vAlign w:val="center"/>
          </w:tcPr>
          <w:p w14:paraId="3AC4D876">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eastAsia="zh-CN"/>
              </w:rPr>
              <w:t>1</w:t>
            </w:r>
          </w:p>
        </w:tc>
        <w:tc>
          <w:tcPr>
            <w:tcW w:w="753" w:type="pct"/>
            <w:vAlign w:val="center"/>
          </w:tcPr>
          <w:p w14:paraId="5BA0DBB9">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台</w:t>
            </w:r>
          </w:p>
        </w:tc>
        <w:tc>
          <w:tcPr>
            <w:tcW w:w="1295" w:type="pct"/>
            <w:vAlign w:val="center"/>
          </w:tcPr>
          <w:p w14:paraId="7C1FF18B">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cs="宋体"/>
                <w:spacing w:val="0"/>
                <w:w w:val="100"/>
                <w:position w:val="0"/>
                <w:sz w:val="24"/>
                <w:szCs w:val="24"/>
                <w:highlight w:val="none"/>
                <w:lang w:val="en-US" w:eastAsia="zh-CN"/>
              </w:rPr>
              <w:t>自有或全新购买</w:t>
            </w:r>
          </w:p>
        </w:tc>
      </w:tr>
      <w:tr w14:paraId="4D68E6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7" w:hRule="atLeast"/>
        </w:trPr>
        <w:tc>
          <w:tcPr>
            <w:tcW w:w="537" w:type="pct"/>
            <w:vAlign w:val="center"/>
          </w:tcPr>
          <w:p w14:paraId="68E60FFE">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6</w:t>
            </w:r>
          </w:p>
        </w:tc>
        <w:tc>
          <w:tcPr>
            <w:tcW w:w="1522" w:type="pct"/>
            <w:vAlign w:val="center"/>
          </w:tcPr>
          <w:p w14:paraId="786EFCEA">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电动垃圾储运车</w:t>
            </w:r>
          </w:p>
        </w:tc>
        <w:tc>
          <w:tcPr>
            <w:tcW w:w="890" w:type="pct"/>
            <w:vAlign w:val="center"/>
          </w:tcPr>
          <w:p w14:paraId="2B8A1A92">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1</w:t>
            </w:r>
          </w:p>
        </w:tc>
        <w:tc>
          <w:tcPr>
            <w:tcW w:w="753" w:type="pct"/>
            <w:vAlign w:val="center"/>
          </w:tcPr>
          <w:p w14:paraId="0B8ADAB3">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台</w:t>
            </w:r>
          </w:p>
        </w:tc>
        <w:tc>
          <w:tcPr>
            <w:tcW w:w="1295" w:type="pct"/>
            <w:vAlign w:val="center"/>
          </w:tcPr>
          <w:p w14:paraId="4FE07589">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cs="宋体"/>
                <w:spacing w:val="0"/>
                <w:w w:val="100"/>
                <w:position w:val="0"/>
                <w:sz w:val="24"/>
                <w:szCs w:val="24"/>
                <w:highlight w:val="none"/>
                <w:lang w:val="en-US" w:eastAsia="zh-CN"/>
              </w:rPr>
              <w:t>自有或全新购买</w:t>
            </w:r>
          </w:p>
        </w:tc>
      </w:tr>
      <w:tr w14:paraId="3C3F30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6" w:hRule="atLeast"/>
        </w:trPr>
        <w:tc>
          <w:tcPr>
            <w:tcW w:w="537" w:type="pct"/>
            <w:vAlign w:val="center"/>
          </w:tcPr>
          <w:p w14:paraId="46E2CAAA">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default" w:ascii="宋体" w:hAnsi="宋体" w:eastAsia="宋体" w:cs="宋体"/>
                <w:spacing w:val="0"/>
                <w:w w:val="100"/>
                <w:position w:val="0"/>
                <w:sz w:val="24"/>
                <w:szCs w:val="24"/>
                <w:highlight w:val="none"/>
                <w:lang w:val="en-US" w:eastAsia="zh-CN"/>
              </w:rPr>
            </w:pPr>
            <w:r>
              <w:rPr>
                <w:rFonts w:hint="eastAsia" w:ascii="宋体" w:hAnsi="宋体" w:cs="宋体"/>
                <w:spacing w:val="0"/>
                <w:w w:val="100"/>
                <w:position w:val="0"/>
                <w:sz w:val="24"/>
                <w:szCs w:val="24"/>
                <w:highlight w:val="none"/>
                <w:lang w:val="en-US" w:eastAsia="zh-CN"/>
              </w:rPr>
              <w:t>7</w:t>
            </w:r>
          </w:p>
        </w:tc>
        <w:tc>
          <w:tcPr>
            <w:tcW w:w="1522" w:type="pct"/>
            <w:vAlign w:val="center"/>
          </w:tcPr>
          <w:p w14:paraId="0AE2865B">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电动三轮</w:t>
            </w:r>
            <w:r>
              <w:rPr>
                <w:rFonts w:hint="eastAsia" w:ascii="宋体" w:hAnsi="宋体" w:eastAsia="宋体" w:cs="宋体"/>
                <w:spacing w:val="0"/>
                <w:w w:val="100"/>
                <w:position w:val="0"/>
                <w:sz w:val="24"/>
                <w:szCs w:val="24"/>
                <w:highlight w:val="none"/>
              </w:rPr>
              <w:t>高压</w:t>
            </w:r>
            <w:r>
              <w:rPr>
                <w:rFonts w:hint="eastAsia" w:ascii="宋体" w:hAnsi="宋体" w:eastAsia="宋体" w:cs="宋体"/>
                <w:spacing w:val="0"/>
                <w:w w:val="100"/>
                <w:position w:val="0"/>
                <w:sz w:val="24"/>
                <w:szCs w:val="24"/>
                <w:highlight w:val="none"/>
                <w:lang w:val="en-US" w:eastAsia="zh-CN"/>
              </w:rPr>
              <w:t>冲洗车</w:t>
            </w:r>
          </w:p>
        </w:tc>
        <w:tc>
          <w:tcPr>
            <w:tcW w:w="890" w:type="pct"/>
            <w:vAlign w:val="center"/>
          </w:tcPr>
          <w:p w14:paraId="10632604">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spacing w:val="0"/>
                <w:w w:val="100"/>
                <w:position w:val="0"/>
                <w:sz w:val="24"/>
                <w:szCs w:val="24"/>
                <w:highlight w:val="none"/>
                <w:lang w:val="en-US" w:eastAsia="zh-CN"/>
              </w:rPr>
              <w:t>1</w:t>
            </w:r>
          </w:p>
        </w:tc>
        <w:tc>
          <w:tcPr>
            <w:tcW w:w="753" w:type="pct"/>
            <w:vAlign w:val="center"/>
          </w:tcPr>
          <w:p w14:paraId="44E0833C">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lang w:eastAsia="zh-CN"/>
              </w:rPr>
            </w:pPr>
            <w:r>
              <w:rPr>
                <w:rFonts w:hint="eastAsia" w:ascii="宋体" w:hAnsi="宋体" w:eastAsia="宋体" w:cs="宋体"/>
                <w:spacing w:val="0"/>
                <w:w w:val="100"/>
                <w:position w:val="0"/>
                <w:sz w:val="24"/>
                <w:szCs w:val="24"/>
                <w:highlight w:val="none"/>
                <w:lang w:val="en-US" w:eastAsia="zh-CN"/>
              </w:rPr>
              <w:t>台</w:t>
            </w:r>
          </w:p>
        </w:tc>
        <w:tc>
          <w:tcPr>
            <w:tcW w:w="1295" w:type="pct"/>
            <w:vAlign w:val="center"/>
          </w:tcPr>
          <w:p w14:paraId="1BD357D9">
            <w:pPr>
              <w:keepNext w:val="0"/>
              <w:keepLines w:val="0"/>
              <w:pageBreakBefore w:val="0"/>
              <w:widowControl/>
              <w:kinsoku/>
              <w:wordWrap/>
              <w:overflowPunct/>
              <w:topLinePunct w:val="0"/>
              <w:autoSpaceDE/>
              <w:autoSpaceDN/>
              <w:bidi w:val="0"/>
              <w:adjustRightInd w:val="0"/>
              <w:snapToGrid w:val="0"/>
              <w:spacing w:after="0" w:line="480" w:lineRule="exact"/>
              <w:jc w:val="center"/>
              <w:textAlignment w:val="auto"/>
              <w:rPr>
                <w:rFonts w:hint="eastAsia" w:ascii="宋体" w:hAnsi="宋体" w:eastAsia="宋体" w:cs="宋体"/>
                <w:spacing w:val="0"/>
                <w:w w:val="100"/>
                <w:position w:val="0"/>
                <w:sz w:val="24"/>
                <w:szCs w:val="24"/>
                <w:highlight w:val="none"/>
              </w:rPr>
            </w:pPr>
            <w:r>
              <w:rPr>
                <w:rFonts w:hint="eastAsia" w:ascii="宋体" w:hAnsi="宋体" w:cs="宋体"/>
                <w:spacing w:val="0"/>
                <w:w w:val="100"/>
                <w:position w:val="0"/>
                <w:sz w:val="24"/>
                <w:szCs w:val="24"/>
                <w:highlight w:val="none"/>
                <w:lang w:val="en-US" w:eastAsia="zh-CN"/>
              </w:rPr>
              <w:t>自有或全新购买</w:t>
            </w:r>
          </w:p>
        </w:tc>
      </w:tr>
    </w:tbl>
    <w:p w14:paraId="6B50D1DE">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（七）投标报价要求</w:t>
      </w:r>
    </w:p>
    <w:p w14:paraId="38366601">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投标报价是响应采购项目要求的全部工作内容的价格体现，应包括</w:t>
      </w:r>
      <w:r>
        <w:rPr>
          <w:rFonts w:hint="eastAsia" w:ascii="宋体" w:hAnsi="宋体" w:eastAsia="宋体" w:cs="宋体"/>
          <w:color w:val="auto"/>
          <w:sz w:val="24"/>
          <w:szCs w:val="24"/>
          <w:vertAlign w:val="baseline"/>
          <w:lang w:val="en-US" w:eastAsia="zh-CN"/>
        </w:rPr>
        <w:t>人工费（基本</w:t>
      </w:r>
      <w:r>
        <w:rPr>
          <w:rFonts w:hint="eastAsia" w:ascii="宋体" w:hAnsi="宋体" w:eastAsia="宋体" w:cs="宋体"/>
          <w:color w:val="auto"/>
          <w:sz w:val="24"/>
          <w:szCs w:val="24"/>
        </w:rPr>
        <w:t>工资、社会保险费、</w:t>
      </w:r>
      <w:r>
        <w:rPr>
          <w:rFonts w:hint="eastAsia" w:ascii="宋体" w:hAnsi="宋体" w:eastAsia="宋体" w:cs="宋体"/>
          <w:color w:val="auto"/>
          <w:sz w:val="24"/>
          <w:szCs w:val="24"/>
          <w:lang w:val="en-US" w:eastAsia="zh-CN"/>
        </w:rPr>
        <w:t>加班费</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福利费</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机械设备费</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服务耗材费、</w:t>
      </w:r>
      <w:r>
        <w:rPr>
          <w:rFonts w:hint="eastAsia" w:ascii="宋体" w:hAnsi="宋体" w:eastAsia="宋体" w:cs="宋体"/>
          <w:color w:val="auto"/>
          <w:sz w:val="24"/>
          <w:szCs w:val="24"/>
          <w:lang w:val="en-US" w:eastAsia="zh-CN"/>
        </w:rPr>
        <w:t>其他费用(</w:t>
      </w:r>
      <w:r>
        <w:rPr>
          <w:rFonts w:hint="eastAsia" w:ascii="宋体" w:hAnsi="宋体" w:eastAsia="宋体" w:cs="宋体"/>
          <w:color w:val="auto"/>
          <w:sz w:val="24"/>
          <w:szCs w:val="24"/>
        </w:rPr>
        <w:t>行政办公费、管理费、利润、单次单项</w:t>
      </w:r>
      <w:r>
        <w:rPr>
          <w:rFonts w:hint="eastAsia" w:ascii="宋体" w:hAnsi="宋体" w:eastAsia="宋体" w:cs="宋体"/>
          <w:color w:val="auto"/>
          <w:sz w:val="24"/>
          <w:szCs w:val="24"/>
          <w:u w:val="none"/>
          <w:lang w:val="en-US" w:eastAsia="zh-CN"/>
        </w:rPr>
        <w:t>500</w:t>
      </w:r>
      <w:r>
        <w:rPr>
          <w:rFonts w:hint="eastAsia" w:ascii="宋体" w:hAnsi="宋体" w:eastAsia="宋体" w:cs="宋体"/>
          <w:color w:val="auto"/>
          <w:sz w:val="24"/>
          <w:szCs w:val="24"/>
        </w:rPr>
        <w:t>元以下的日常设备更换费或维修费</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税费及采购文件中约定应由</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完成的本项目全部服务内容所需全部费用。</w:t>
      </w:r>
    </w:p>
    <w:p w14:paraId="438ADFE0">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2.投标人的报价作为每年签订合同金额的依据。服务期内，如国家或地方政府的最低工资标准、保险基数费用、</w:t>
      </w:r>
      <w:r>
        <w:rPr>
          <w:rFonts w:hint="eastAsia" w:ascii="宋体" w:hAnsi="宋体" w:eastAsia="宋体" w:cs="宋体"/>
          <w:color w:val="auto"/>
          <w:sz w:val="24"/>
          <w:szCs w:val="24"/>
          <w:highlight w:val="none"/>
          <w:lang w:val="en-US" w:eastAsia="zh-CN"/>
        </w:rPr>
        <w:t>税费</w:t>
      </w:r>
      <w:r>
        <w:rPr>
          <w:rFonts w:hint="eastAsia" w:ascii="宋体" w:hAnsi="宋体" w:eastAsia="宋体" w:cs="宋体"/>
          <w:color w:val="auto"/>
          <w:sz w:val="24"/>
          <w:szCs w:val="24"/>
          <w:lang w:val="en-US" w:eastAsia="zh-CN"/>
        </w:rPr>
        <w:t>等政策调整或是物价上涨，合同金额不做调整，请投标人综合考虑。</w:t>
      </w:r>
    </w:p>
    <w:p w14:paraId="476DE3E3">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3.报价要求</w:t>
      </w:r>
    </w:p>
    <w:p w14:paraId="6C06366F">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
          <w:bCs/>
          <w:color w:val="auto"/>
          <w:sz w:val="24"/>
          <w:szCs w:val="24"/>
          <w:lang w:val="en-US" w:eastAsia="zh-CN"/>
        </w:rPr>
      </w:pPr>
      <w:r>
        <w:rPr>
          <w:rFonts w:hint="eastAsia" w:ascii="宋体" w:hAnsi="宋体" w:eastAsia="宋体" w:cs="宋体"/>
          <w:color w:val="auto"/>
          <w:sz w:val="24"/>
          <w:szCs w:val="24"/>
          <w:lang w:val="en-US" w:eastAsia="zh-CN"/>
        </w:rPr>
        <w:t>投标人应按招标文件要求提供《开标一览表明细》。《开标一览表明细》表中的报价不得以“企业让利”、“已有耗材或设施设备库存”等形式免费或无偿、赠送或零报价提供服务，</w:t>
      </w:r>
      <w:r>
        <w:rPr>
          <w:rFonts w:hint="eastAsia" w:ascii="宋体" w:hAnsi="宋体" w:eastAsia="宋体" w:cs="宋体"/>
          <w:b/>
          <w:bCs/>
          <w:color w:val="auto"/>
          <w:sz w:val="24"/>
          <w:szCs w:val="24"/>
          <w:lang w:val="en-US" w:eastAsia="zh-CN"/>
        </w:rPr>
        <w:t>否则视为未实质性响应作废标处理。</w:t>
      </w:r>
    </w:p>
    <w:p w14:paraId="57D5729B">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
          <w:bCs/>
          <w:color w:val="auto"/>
          <w:sz w:val="24"/>
          <w:szCs w:val="24"/>
          <w:lang w:val="en-US" w:eastAsia="zh-CN"/>
        </w:rPr>
      </w:pPr>
      <w:r>
        <w:rPr>
          <w:rFonts w:hint="eastAsia" w:ascii="宋体" w:hAnsi="宋体" w:eastAsia="宋体" w:cs="宋体"/>
          <w:color w:val="auto"/>
          <w:sz w:val="24"/>
          <w:szCs w:val="24"/>
          <w:lang w:val="en-US" w:eastAsia="zh-CN"/>
        </w:rPr>
        <w:t>3.1基本工资：人员基本工资不得低于本项目所在地行政区当年度最低工资标准。投标人在编制投标报价时，其人员工资低于本项目所在地行政区当年度最低工资标准，</w:t>
      </w:r>
      <w:r>
        <w:rPr>
          <w:rFonts w:hint="eastAsia" w:ascii="宋体" w:hAnsi="宋体" w:eastAsia="宋体" w:cs="宋体"/>
          <w:b/>
          <w:bCs/>
          <w:color w:val="auto"/>
          <w:sz w:val="24"/>
          <w:szCs w:val="24"/>
          <w:lang w:val="en-US" w:eastAsia="zh-CN"/>
        </w:rPr>
        <w:t>视为未实质性响应作废标处理。</w:t>
      </w:r>
    </w:p>
    <w:p w14:paraId="78E967B5">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
          <w:bCs/>
          <w:color w:val="auto"/>
          <w:sz w:val="24"/>
          <w:szCs w:val="24"/>
          <w:lang w:val="en-US" w:eastAsia="zh-CN"/>
        </w:rPr>
      </w:pPr>
      <w:r>
        <w:rPr>
          <w:rFonts w:hint="eastAsia" w:ascii="宋体" w:hAnsi="宋体" w:eastAsia="宋体" w:cs="宋体"/>
          <w:color w:val="auto"/>
          <w:sz w:val="24"/>
          <w:szCs w:val="24"/>
          <w:lang w:val="en-US" w:eastAsia="zh-CN"/>
        </w:rPr>
        <w:t>3.2社会保险费：社保缴纳标准不得低于本项目所在地行政区当年度规定的最低缴纳基数和最低缴纳比例，</w:t>
      </w:r>
      <w:r>
        <w:rPr>
          <w:rFonts w:hint="eastAsia" w:ascii="宋体" w:hAnsi="宋体" w:eastAsia="宋体" w:cs="宋体"/>
          <w:b/>
          <w:bCs/>
          <w:color w:val="auto"/>
          <w:sz w:val="24"/>
          <w:szCs w:val="24"/>
          <w:lang w:val="en-US" w:eastAsia="zh-CN"/>
        </w:rPr>
        <w:t>否则视为未实质性响应作废标处理。</w:t>
      </w:r>
      <w:r>
        <w:rPr>
          <w:rFonts w:hint="eastAsia" w:ascii="宋体" w:hAnsi="宋体" w:eastAsia="宋体" w:cs="宋体"/>
          <w:color w:val="auto"/>
          <w:sz w:val="24"/>
          <w:szCs w:val="24"/>
          <w:lang w:val="en-US" w:eastAsia="zh-CN"/>
        </w:rPr>
        <w:t>投标人在编制投标报价时，以被征地农民已参加被征地农民养老保险为由不为本项目服务人员缴纳社会保险费的，</w:t>
      </w:r>
      <w:r>
        <w:rPr>
          <w:rFonts w:hint="eastAsia" w:ascii="宋体" w:hAnsi="宋体" w:eastAsia="宋体" w:cs="宋体"/>
          <w:b/>
          <w:bCs/>
          <w:color w:val="auto"/>
          <w:sz w:val="24"/>
          <w:szCs w:val="24"/>
          <w:lang w:val="en-US" w:eastAsia="zh-CN"/>
        </w:rPr>
        <w:t>视为未实质性响应作废标处理。</w:t>
      </w:r>
    </w:p>
    <w:p w14:paraId="0AD551A5">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3.3加班费：</w:t>
      </w:r>
    </w:p>
    <w:p w14:paraId="536285C5">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（1）法定节假日加班费：本项目法定节假日在岗人员加班费计入总报价，采购人支付物业服务费用后不再单独支付加班费。法定休假日加班工资应符合《中华人民共和国劳动法(2018修正) 》第四十四条“（三）法定休假日安排劳动者工作的，支付不低于工资的百分之三百的工资报酬”之规定。法定节假日按规定元旦、春节、清明节、劳动节、端午节、中秋节、国庆节，共13天计算。</w:t>
      </w:r>
      <w:r>
        <w:rPr>
          <w:rFonts w:hint="eastAsia" w:ascii="宋体" w:hAnsi="宋体" w:eastAsia="宋体" w:cs="宋体"/>
          <w:b/>
          <w:bCs/>
          <w:color w:val="auto"/>
          <w:sz w:val="24"/>
          <w:szCs w:val="24"/>
          <w:lang w:val="en-US" w:eastAsia="zh-CN"/>
        </w:rPr>
        <w:t>本项目法定节假日须在岗人数（</w:t>
      </w:r>
      <w:r>
        <w:rPr>
          <w:rFonts w:hint="eastAsia" w:ascii="宋体" w:hAnsi="宋体" w:cs="宋体"/>
          <w:b/>
          <w:bCs/>
          <w:color w:val="auto"/>
          <w:sz w:val="24"/>
          <w:szCs w:val="24"/>
          <w:lang w:val="en-US" w:eastAsia="zh-CN"/>
        </w:rPr>
        <w:t>5</w:t>
      </w:r>
      <w:r>
        <w:rPr>
          <w:rFonts w:hint="eastAsia" w:ascii="宋体" w:hAnsi="宋体" w:eastAsia="宋体" w:cs="宋体"/>
          <w:b/>
          <w:bCs/>
          <w:color w:val="auto"/>
          <w:sz w:val="24"/>
          <w:szCs w:val="24"/>
          <w:lang w:val="en-US" w:eastAsia="zh-CN"/>
        </w:rPr>
        <w:t>）人</w:t>
      </w:r>
      <w:r>
        <w:rPr>
          <w:rFonts w:hint="eastAsia" w:ascii="宋体" w:hAnsi="宋体" w:eastAsia="宋体" w:cs="宋体"/>
          <w:color w:val="auto"/>
          <w:sz w:val="24"/>
          <w:szCs w:val="24"/>
          <w:lang w:val="en-US" w:eastAsia="zh-CN"/>
        </w:rPr>
        <w:t>。投标人在编制投标报价时，法定节假日人员加班费低于上述要求，</w:t>
      </w:r>
      <w:r>
        <w:rPr>
          <w:rFonts w:hint="eastAsia" w:ascii="宋体" w:hAnsi="宋体" w:eastAsia="宋体" w:cs="宋体"/>
          <w:b/>
          <w:bCs/>
          <w:color w:val="auto"/>
          <w:sz w:val="24"/>
          <w:szCs w:val="24"/>
          <w:lang w:val="en-US" w:eastAsia="zh-CN"/>
        </w:rPr>
        <w:t>视为未实质性响应作废标处理。</w:t>
      </w:r>
      <w:r>
        <w:rPr>
          <w:rFonts w:hint="eastAsia" w:ascii="宋体" w:hAnsi="宋体" w:eastAsia="宋体" w:cs="宋体"/>
          <w:color w:val="auto"/>
          <w:sz w:val="24"/>
          <w:szCs w:val="24"/>
          <w:lang w:val="en-US" w:eastAsia="zh-CN"/>
        </w:rPr>
        <w:t>计算公式（示例）：</w:t>
      </w:r>
      <w:r>
        <w:rPr>
          <w:rFonts w:hint="eastAsia" w:ascii="宋体" w:hAnsi="宋体" w:eastAsia="宋体" w:cs="宋体"/>
          <w:b/>
          <w:bCs/>
          <w:color w:val="auto"/>
          <w:sz w:val="24"/>
          <w:szCs w:val="24"/>
          <w:lang w:val="en-US" w:eastAsia="zh-CN"/>
        </w:rPr>
        <w:t>工资</w:t>
      </w:r>
      <w:r>
        <w:rPr>
          <w:rFonts w:hint="eastAsia" w:ascii="宋体" w:hAnsi="宋体" w:eastAsia="宋体" w:cs="宋体"/>
          <w:color w:val="auto"/>
          <w:sz w:val="24"/>
          <w:szCs w:val="24"/>
          <w:lang w:val="en-US" w:eastAsia="zh-CN"/>
        </w:rPr>
        <w:t>÷21.75天×3倍×（人数）×13天。</w:t>
      </w:r>
    </w:p>
    <w:p w14:paraId="5FD34766">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双休日、工作日加班费：投标人可结合自身情况安排补休；投标人确不能安排加班人员补休的，需按照招标文件要求，根据【中华人民共和国劳动法(2018修正)】文件规定支付相应的加班费。双休日、工作日在岗加班费计入总报价，采购人支付物业服务费用后不再单独支付加班费。</w:t>
      </w:r>
    </w:p>
    <w:p w14:paraId="3E9A7168">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3.4福利费：投标人</w:t>
      </w:r>
      <w:r>
        <w:rPr>
          <w:rFonts w:hint="eastAsia" w:ascii="宋体" w:hAnsi="宋体" w:eastAsia="宋体" w:cs="宋体"/>
          <w:b w:val="0"/>
          <w:bCs w:val="0"/>
          <w:color w:val="auto"/>
          <w:sz w:val="24"/>
          <w:szCs w:val="24"/>
          <w:lang w:val="en-US" w:eastAsia="zh-CN"/>
        </w:rPr>
        <w:t>结合自身情况进行报价。</w:t>
      </w:r>
    </w:p>
    <w:p w14:paraId="7E54F69C">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3.5服务耗材费：投标人按采购需求“服务耗材”配置清单，及结合自身情况进行报价。</w:t>
      </w:r>
    </w:p>
    <w:p w14:paraId="24A032C0">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highlight w:val="none"/>
          <w:lang w:val="en-US" w:eastAsia="zh-CN"/>
        </w:rPr>
        <w:t>3.6机械设备费：投标人按采购需求“机械设备”配置清单，及结合自身情况进行报价。</w:t>
      </w:r>
    </w:p>
    <w:p w14:paraId="1EAAE688">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3.7其他费用：</w:t>
      </w:r>
      <w:r>
        <w:rPr>
          <w:rFonts w:hint="eastAsia" w:ascii="宋体" w:hAnsi="宋体" w:eastAsia="宋体" w:cs="宋体"/>
          <w:color w:val="auto"/>
          <w:sz w:val="24"/>
          <w:szCs w:val="24"/>
        </w:rPr>
        <w:t>行政办公费</w:t>
      </w:r>
      <w:r>
        <w:rPr>
          <w:rFonts w:hint="eastAsia" w:ascii="宋体" w:hAnsi="宋体" w:eastAsia="宋体" w:cs="宋体"/>
          <w:color w:val="auto"/>
          <w:sz w:val="24"/>
          <w:szCs w:val="24"/>
          <w:lang w:val="en-US" w:eastAsia="zh-CN"/>
        </w:rPr>
        <w:t>（人员服装费、办公用品、劳保用品、培训费）、</w:t>
      </w:r>
      <w:r>
        <w:rPr>
          <w:rFonts w:hint="eastAsia" w:ascii="宋体" w:hAnsi="宋体" w:eastAsia="宋体" w:cs="宋体"/>
          <w:color w:val="auto"/>
          <w:sz w:val="24"/>
          <w:szCs w:val="24"/>
        </w:rPr>
        <w:t>管理费、利润、单次单项</w:t>
      </w:r>
      <w:r>
        <w:rPr>
          <w:rFonts w:hint="eastAsia" w:ascii="宋体" w:hAnsi="宋体" w:eastAsia="宋体" w:cs="宋体"/>
          <w:color w:val="auto"/>
          <w:sz w:val="24"/>
          <w:szCs w:val="24"/>
          <w:u w:val="none"/>
          <w:lang w:val="en-US" w:eastAsia="zh-CN"/>
        </w:rPr>
        <w:t>500</w:t>
      </w:r>
      <w:r>
        <w:rPr>
          <w:rFonts w:hint="eastAsia" w:ascii="宋体" w:hAnsi="宋体" w:eastAsia="宋体" w:cs="宋体"/>
          <w:color w:val="auto"/>
          <w:sz w:val="24"/>
          <w:szCs w:val="24"/>
        </w:rPr>
        <w:t>元以下的日常设备更换费或维修费及采购文件中约定应由</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完成的本项目全部服务内容所需全部费用。</w:t>
      </w:r>
    </w:p>
    <w:p w14:paraId="247ECEEF">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lang w:val="en-US" w:eastAsia="zh-CN"/>
        </w:rPr>
        <w:t>3.8税费</w:t>
      </w:r>
      <w:r>
        <w:rPr>
          <w:rFonts w:hint="eastAsia" w:ascii="宋体" w:hAnsi="宋体" w:eastAsia="宋体" w:cs="宋体"/>
          <w:color w:val="auto"/>
          <w:sz w:val="24"/>
          <w:szCs w:val="24"/>
          <w:highlight w:val="none"/>
          <w:lang w:val="en-US" w:eastAsia="zh-CN"/>
        </w:rPr>
        <w:t>：投标人按本年度在税务系统增值税纳税人身份计算投标报价的税费，投标人应明确的增值税纳税人身份</w:t>
      </w:r>
      <w:r>
        <w:rPr>
          <w:rFonts w:hint="eastAsia" w:ascii="宋体" w:hAnsi="宋体" w:eastAsia="宋体" w:cs="宋体"/>
          <w:b/>
          <w:bCs/>
          <w:color w:val="auto"/>
          <w:sz w:val="24"/>
          <w:szCs w:val="24"/>
          <w:highlight w:val="none"/>
          <w:lang w:val="en-US" w:eastAsia="zh-CN"/>
        </w:rPr>
        <w:t>（提供税务系统增值税纳税人身份资格截图）</w:t>
      </w:r>
      <w:r>
        <w:rPr>
          <w:rFonts w:hint="eastAsia" w:ascii="宋体" w:hAnsi="宋体" w:eastAsia="宋体" w:cs="宋体"/>
          <w:color w:val="auto"/>
          <w:sz w:val="24"/>
          <w:szCs w:val="24"/>
          <w:highlight w:val="none"/>
          <w:lang w:val="en-US" w:eastAsia="zh-CN"/>
        </w:rPr>
        <w:t>。</w:t>
      </w:r>
    </w:p>
    <w:p w14:paraId="2320E9DC">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3.8.2本项目为物业管理服务项目，根据《财政部国家税务总局关于全面推开营业税改征增值税试点的通知》财税〔2016〕36号文及其附件《营业税改征增值税试点实施办法》的规定，物业管理行业属于第8项商务辅助服务中企业管理服务类，投标人不得按劳务派遣服务计算税率，</w:t>
      </w:r>
      <w:r>
        <w:rPr>
          <w:rFonts w:hint="eastAsia" w:ascii="宋体" w:hAnsi="宋体" w:eastAsia="宋体" w:cs="宋体"/>
          <w:b/>
          <w:bCs/>
          <w:color w:val="auto"/>
          <w:sz w:val="24"/>
          <w:szCs w:val="24"/>
          <w:highlight w:val="none"/>
          <w:lang w:val="en-US" w:eastAsia="zh-CN"/>
        </w:rPr>
        <w:t>否则视为未实质性响应作废标处理。</w:t>
      </w:r>
    </w:p>
    <w:p w14:paraId="59C583FF">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3.9 开标一览表明细</w:t>
      </w:r>
    </w:p>
    <w:tbl>
      <w:tblPr>
        <w:tblStyle w:val="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2322"/>
        <w:gridCol w:w="1691"/>
        <w:gridCol w:w="3570"/>
      </w:tblGrid>
      <w:tr w14:paraId="00CB9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483" w:type="pct"/>
            <w:vAlign w:val="center"/>
          </w:tcPr>
          <w:p w14:paraId="3CBAD17E">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序号</w:t>
            </w:r>
          </w:p>
        </w:tc>
        <w:tc>
          <w:tcPr>
            <w:tcW w:w="1384" w:type="pct"/>
            <w:vAlign w:val="center"/>
          </w:tcPr>
          <w:p w14:paraId="28110BFC">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报价明细</w:t>
            </w:r>
          </w:p>
        </w:tc>
        <w:tc>
          <w:tcPr>
            <w:tcW w:w="1015" w:type="pct"/>
            <w:vAlign w:val="center"/>
          </w:tcPr>
          <w:p w14:paraId="5E0C4967">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年报价（元）</w:t>
            </w:r>
          </w:p>
        </w:tc>
        <w:tc>
          <w:tcPr>
            <w:tcW w:w="2116" w:type="pct"/>
            <w:vAlign w:val="center"/>
          </w:tcPr>
          <w:p w14:paraId="7DD76710">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备注</w:t>
            </w:r>
          </w:p>
        </w:tc>
      </w:tr>
      <w:tr w14:paraId="3AEA8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483" w:type="pct"/>
            <w:vAlign w:val="center"/>
          </w:tcPr>
          <w:p w14:paraId="105FA32C">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384" w:type="pct"/>
            <w:vAlign w:val="center"/>
          </w:tcPr>
          <w:p w14:paraId="631ED63B">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人工费</w:t>
            </w:r>
          </w:p>
        </w:tc>
        <w:tc>
          <w:tcPr>
            <w:tcW w:w="1015" w:type="pct"/>
            <w:vAlign w:val="center"/>
          </w:tcPr>
          <w:p w14:paraId="48E0D0AB">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p>
        </w:tc>
        <w:tc>
          <w:tcPr>
            <w:tcW w:w="2116" w:type="pct"/>
            <w:vAlign w:val="center"/>
          </w:tcPr>
          <w:p w14:paraId="1074CFCB">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480" w:lineRule="exact"/>
              <w:ind w:firstLine="0" w:firstLineChars="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vertAlign w:val="baseline"/>
                <w:lang w:val="en-US" w:eastAsia="zh-CN"/>
              </w:rPr>
              <w:t>包含基本</w:t>
            </w:r>
            <w:r>
              <w:rPr>
                <w:rFonts w:hint="eastAsia" w:ascii="宋体" w:hAnsi="宋体" w:eastAsia="宋体" w:cs="宋体"/>
                <w:color w:val="auto"/>
                <w:sz w:val="24"/>
                <w:szCs w:val="24"/>
              </w:rPr>
              <w:t>工资、社会保险费、</w:t>
            </w:r>
            <w:r>
              <w:rPr>
                <w:rFonts w:hint="eastAsia" w:ascii="宋体" w:hAnsi="宋体" w:eastAsia="宋体" w:cs="宋体"/>
                <w:color w:val="auto"/>
                <w:sz w:val="24"/>
                <w:szCs w:val="24"/>
                <w:lang w:val="en-US" w:eastAsia="zh-CN"/>
              </w:rPr>
              <w:t>加班费</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福利费；</w:t>
            </w:r>
          </w:p>
          <w:p w14:paraId="44731C07">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480" w:lineRule="exact"/>
              <w:ind w:firstLine="0" w:firstLineChars="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2.提供分项报价明细表。</w:t>
            </w:r>
          </w:p>
        </w:tc>
      </w:tr>
      <w:tr w14:paraId="753DC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483" w:type="pct"/>
            <w:vAlign w:val="center"/>
          </w:tcPr>
          <w:p w14:paraId="7609ACDB">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c>
          <w:tcPr>
            <w:tcW w:w="1384" w:type="pct"/>
            <w:shd w:val="clear" w:color="auto" w:fill="auto"/>
            <w:vAlign w:val="center"/>
          </w:tcPr>
          <w:p w14:paraId="3E2562FE">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服务耗材费</w:t>
            </w:r>
          </w:p>
        </w:tc>
        <w:tc>
          <w:tcPr>
            <w:tcW w:w="1015" w:type="pct"/>
            <w:vAlign w:val="center"/>
          </w:tcPr>
          <w:p w14:paraId="5CFF05DB">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p>
        </w:tc>
        <w:tc>
          <w:tcPr>
            <w:tcW w:w="2116" w:type="pct"/>
            <w:vAlign w:val="center"/>
          </w:tcPr>
          <w:p w14:paraId="0338D10F">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详见采购需求中的“（五）服务耗材”</w:t>
            </w:r>
          </w:p>
        </w:tc>
      </w:tr>
      <w:tr w14:paraId="3F293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483" w:type="pct"/>
            <w:vAlign w:val="center"/>
          </w:tcPr>
          <w:p w14:paraId="6AEF96FE">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w:t>
            </w:r>
          </w:p>
        </w:tc>
        <w:tc>
          <w:tcPr>
            <w:tcW w:w="1384" w:type="pct"/>
            <w:shd w:val="clear" w:color="auto" w:fill="auto"/>
            <w:vAlign w:val="center"/>
          </w:tcPr>
          <w:p w14:paraId="1FABDDAC">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机械设备费</w:t>
            </w:r>
          </w:p>
        </w:tc>
        <w:tc>
          <w:tcPr>
            <w:tcW w:w="1015" w:type="pct"/>
            <w:vAlign w:val="center"/>
          </w:tcPr>
          <w:p w14:paraId="477C7CF1">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p>
        </w:tc>
        <w:tc>
          <w:tcPr>
            <w:tcW w:w="2116" w:type="pct"/>
            <w:vAlign w:val="center"/>
          </w:tcPr>
          <w:p w14:paraId="16DED294">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详见采购需求中的“（六）机械设备”</w:t>
            </w:r>
          </w:p>
        </w:tc>
      </w:tr>
      <w:tr w14:paraId="08879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483" w:type="pct"/>
            <w:vAlign w:val="center"/>
          </w:tcPr>
          <w:p w14:paraId="635E8F37">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p>
        </w:tc>
        <w:tc>
          <w:tcPr>
            <w:tcW w:w="1384" w:type="pct"/>
            <w:shd w:val="clear" w:color="auto" w:fill="auto"/>
            <w:vAlign w:val="center"/>
          </w:tcPr>
          <w:p w14:paraId="47FDAE64">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其他费用</w:t>
            </w:r>
          </w:p>
        </w:tc>
        <w:tc>
          <w:tcPr>
            <w:tcW w:w="1015" w:type="pct"/>
            <w:vAlign w:val="center"/>
          </w:tcPr>
          <w:p w14:paraId="0EA07E69">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p>
        </w:tc>
        <w:tc>
          <w:tcPr>
            <w:tcW w:w="2116" w:type="pct"/>
            <w:vAlign w:val="center"/>
          </w:tcPr>
          <w:p w14:paraId="2895AEFD">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left"/>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包含</w:t>
            </w:r>
            <w:r>
              <w:rPr>
                <w:rFonts w:hint="eastAsia" w:ascii="宋体" w:hAnsi="宋体" w:eastAsia="宋体" w:cs="宋体"/>
                <w:color w:val="auto"/>
                <w:sz w:val="24"/>
                <w:szCs w:val="24"/>
              </w:rPr>
              <w:t>行政办公费</w:t>
            </w:r>
            <w:r>
              <w:rPr>
                <w:rFonts w:hint="eastAsia" w:ascii="宋体" w:hAnsi="宋体" w:eastAsia="宋体" w:cs="宋体"/>
                <w:color w:val="auto"/>
                <w:sz w:val="24"/>
                <w:szCs w:val="24"/>
                <w:lang w:val="en-US" w:eastAsia="zh-CN"/>
              </w:rPr>
              <w:t>（人员服装费、办公用品、劳保用品、培训费）、</w:t>
            </w:r>
            <w:r>
              <w:rPr>
                <w:rFonts w:hint="eastAsia" w:ascii="宋体" w:hAnsi="宋体" w:eastAsia="宋体" w:cs="宋体"/>
                <w:color w:val="auto"/>
                <w:sz w:val="24"/>
                <w:szCs w:val="24"/>
              </w:rPr>
              <w:t>管理费、利润、单次单项</w:t>
            </w:r>
            <w:r>
              <w:rPr>
                <w:rFonts w:hint="eastAsia" w:ascii="宋体" w:hAnsi="宋体" w:eastAsia="宋体" w:cs="宋体"/>
                <w:color w:val="auto"/>
                <w:sz w:val="24"/>
                <w:szCs w:val="24"/>
                <w:u w:val="none"/>
                <w:lang w:val="en-US" w:eastAsia="zh-CN"/>
              </w:rPr>
              <w:t>500</w:t>
            </w:r>
            <w:r>
              <w:rPr>
                <w:rFonts w:hint="eastAsia" w:ascii="宋体" w:hAnsi="宋体" w:eastAsia="宋体" w:cs="宋体"/>
                <w:color w:val="auto"/>
                <w:sz w:val="24"/>
                <w:szCs w:val="24"/>
              </w:rPr>
              <w:t>元以下的日常设备更换费或维修费及采购文件中约定应由</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完成的本项目全部服务内容所需全部费用</w:t>
            </w:r>
          </w:p>
        </w:tc>
      </w:tr>
      <w:tr w14:paraId="4C4C6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483" w:type="pct"/>
            <w:vAlign w:val="center"/>
          </w:tcPr>
          <w:p w14:paraId="428B50AD">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w:t>
            </w:r>
          </w:p>
        </w:tc>
        <w:tc>
          <w:tcPr>
            <w:tcW w:w="1384" w:type="pct"/>
            <w:shd w:val="clear" w:color="auto" w:fill="auto"/>
            <w:vAlign w:val="center"/>
          </w:tcPr>
          <w:p w14:paraId="525965C1">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税费</w:t>
            </w:r>
          </w:p>
        </w:tc>
        <w:tc>
          <w:tcPr>
            <w:tcW w:w="1015" w:type="pct"/>
            <w:vAlign w:val="center"/>
          </w:tcPr>
          <w:p w14:paraId="7323A219">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p>
        </w:tc>
        <w:tc>
          <w:tcPr>
            <w:tcW w:w="2116" w:type="pct"/>
            <w:vAlign w:val="center"/>
          </w:tcPr>
          <w:p w14:paraId="3477EA9E">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left"/>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highlight w:val="none"/>
                <w:lang w:val="en-US" w:eastAsia="zh-CN"/>
              </w:rPr>
              <w:t>按投标人本年度在税务系统增值税纳税人身份计算投标报价的税费</w:t>
            </w:r>
          </w:p>
        </w:tc>
      </w:tr>
      <w:tr w14:paraId="2DF12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483" w:type="pct"/>
            <w:vAlign w:val="center"/>
          </w:tcPr>
          <w:p w14:paraId="606A984D">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p>
        </w:tc>
        <w:tc>
          <w:tcPr>
            <w:tcW w:w="1384" w:type="pct"/>
            <w:shd w:val="clear" w:color="auto" w:fill="auto"/>
            <w:vAlign w:val="center"/>
          </w:tcPr>
          <w:p w14:paraId="0875B5C3">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rPr>
            </w:pPr>
          </w:p>
        </w:tc>
        <w:tc>
          <w:tcPr>
            <w:tcW w:w="1015" w:type="pct"/>
            <w:vAlign w:val="center"/>
          </w:tcPr>
          <w:p w14:paraId="42AB8B1C">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p>
        </w:tc>
        <w:tc>
          <w:tcPr>
            <w:tcW w:w="2116" w:type="pct"/>
            <w:vAlign w:val="center"/>
          </w:tcPr>
          <w:p w14:paraId="0087EBAA">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left"/>
              <w:textAlignment w:val="auto"/>
              <w:outlineLvl w:val="1"/>
              <w:rPr>
                <w:rFonts w:hint="eastAsia" w:ascii="宋体" w:hAnsi="宋体" w:eastAsia="宋体" w:cs="宋体"/>
                <w:color w:val="auto"/>
                <w:sz w:val="24"/>
                <w:szCs w:val="24"/>
                <w:lang w:val="en-US" w:eastAsia="zh-CN"/>
              </w:rPr>
            </w:pPr>
          </w:p>
        </w:tc>
      </w:tr>
      <w:tr w14:paraId="4CB02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1868" w:type="pct"/>
            <w:gridSpan w:val="2"/>
            <w:vAlign w:val="center"/>
          </w:tcPr>
          <w:p w14:paraId="1783B13B">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合计（元/年）</w:t>
            </w:r>
          </w:p>
        </w:tc>
        <w:tc>
          <w:tcPr>
            <w:tcW w:w="3131" w:type="pct"/>
            <w:gridSpan w:val="2"/>
            <w:vAlign w:val="center"/>
          </w:tcPr>
          <w:p w14:paraId="4699E6EF">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center"/>
              <w:textAlignment w:val="auto"/>
              <w:outlineLvl w:val="1"/>
              <w:rPr>
                <w:rFonts w:hint="eastAsia" w:ascii="宋体" w:hAnsi="宋体" w:eastAsia="宋体" w:cs="宋体"/>
                <w:color w:val="auto"/>
                <w:sz w:val="24"/>
                <w:szCs w:val="24"/>
                <w:lang w:val="en-US" w:eastAsia="zh-CN"/>
              </w:rPr>
            </w:pPr>
          </w:p>
        </w:tc>
      </w:tr>
      <w:tr w14:paraId="7F646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5000" w:type="pct"/>
            <w:gridSpan w:val="4"/>
            <w:vAlign w:val="center"/>
          </w:tcPr>
          <w:p w14:paraId="62D380F6">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备注：</w:t>
            </w:r>
          </w:p>
          <w:p w14:paraId="0F37DD8A">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1.投标人应按“开标一览表明细”的格式详细报出总价的各个组成部分的报价，各项报价金额不得为0。</w:t>
            </w:r>
            <w:r>
              <w:rPr>
                <w:rFonts w:hint="eastAsia" w:ascii="宋体" w:hAnsi="宋体" w:eastAsia="宋体" w:cs="宋体"/>
                <w:b/>
                <w:bCs/>
                <w:color w:val="auto"/>
                <w:sz w:val="24"/>
                <w:szCs w:val="24"/>
                <w:lang w:val="en-US" w:eastAsia="zh-CN"/>
              </w:rPr>
              <w:t>否则视为未实质性响应作废标处理。</w:t>
            </w:r>
          </w:p>
          <w:p w14:paraId="77B55DE4">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both"/>
              <w:textAlignment w:val="auto"/>
              <w:outlineLvl w:val="1"/>
              <w:rPr>
                <w:rFonts w:hint="eastAsia" w:ascii="宋体" w:hAnsi="宋体" w:eastAsia="宋体" w:cs="宋体"/>
                <w:b/>
                <w:bCs/>
                <w:color w:val="auto"/>
                <w:sz w:val="24"/>
                <w:szCs w:val="24"/>
                <w:lang w:val="en-US" w:eastAsia="zh-CN"/>
              </w:rPr>
            </w:pPr>
            <w:r>
              <w:rPr>
                <w:rFonts w:hint="eastAsia" w:ascii="宋体" w:hAnsi="宋体" w:eastAsia="宋体" w:cs="宋体"/>
                <w:color w:val="auto"/>
                <w:sz w:val="24"/>
                <w:szCs w:val="24"/>
                <w:lang w:val="en-US" w:eastAsia="zh-CN"/>
              </w:rPr>
              <w:t>2.“人工费”须提供分项报价明细表（格式自拟），未提供“人工费”分项报价明细表的，</w:t>
            </w:r>
            <w:r>
              <w:rPr>
                <w:rFonts w:hint="eastAsia" w:ascii="宋体" w:hAnsi="宋体" w:eastAsia="宋体" w:cs="宋体"/>
                <w:b/>
                <w:bCs/>
                <w:color w:val="auto"/>
                <w:sz w:val="24"/>
                <w:szCs w:val="24"/>
                <w:lang w:val="en-US" w:eastAsia="zh-CN"/>
              </w:rPr>
              <w:t>视为未实质性响应作废标处理。</w:t>
            </w:r>
          </w:p>
          <w:p w14:paraId="1B9075FF">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both"/>
              <w:textAlignment w:val="auto"/>
              <w:outlineLvl w:val="1"/>
              <w:rPr>
                <w:rFonts w:hint="eastAsia" w:ascii="宋体" w:hAnsi="宋体" w:eastAsia="宋体" w:cs="宋体"/>
                <w:b/>
                <w:bCs/>
                <w:color w:val="auto"/>
                <w:sz w:val="24"/>
                <w:szCs w:val="24"/>
                <w:lang w:val="en-US" w:eastAsia="zh-CN"/>
              </w:rPr>
            </w:pPr>
            <w:r>
              <w:rPr>
                <w:rFonts w:hint="eastAsia" w:ascii="宋体" w:hAnsi="宋体" w:eastAsia="宋体" w:cs="宋体"/>
                <w:color w:val="auto"/>
                <w:sz w:val="24"/>
                <w:szCs w:val="24"/>
                <w:lang w:val="en-US" w:eastAsia="zh-CN"/>
              </w:rPr>
              <w:t>3.本项目开标截止日若涉及最低工资标准、社会保险缴费基数及缴费比例有最新政策则执行最新政策，</w:t>
            </w:r>
            <w:r>
              <w:rPr>
                <w:rFonts w:hint="eastAsia" w:ascii="宋体" w:hAnsi="宋体" w:eastAsia="宋体" w:cs="宋体"/>
                <w:b/>
                <w:bCs/>
                <w:color w:val="auto"/>
                <w:sz w:val="24"/>
                <w:szCs w:val="24"/>
                <w:lang w:val="en-US" w:eastAsia="zh-CN"/>
              </w:rPr>
              <w:t>否则视为未实质性响应作废标处理。</w:t>
            </w:r>
          </w:p>
          <w:p w14:paraId="62BA73C2">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both"/>
              <w:textAlignment w:val="auto"/>
              <w:outlineLvl w:val="1"/>
              <w:rPr>
                <w:rFonts w:hint="eastAsia" w:ascii="宋体" w:hAnsi="宋体" w:eastAsia="宋体" w:cs="宋体"/>
                <w:b/>
                <w:bCs/>
                <w:color w:val="auto"/>
                <w:sz w:val="24"/>
                <w:szCs w:val="24"/>
                <w:lang w:val="en-US" w:eastAsia="zh-CN"/>
              </w:rPr>
            </w:pPr>
            <w:r>
              <w:rPr>
                <w:rFonts w:hint="eastAsia" w:ascii="宋体" w:hAnsi="宋体" w:eastAsia="宋体" w:cs="宋体"/>
                <w:b w:val="0"/>
                <w:bCs w:val="0"/>
                <w:color w:val="auto"/>
                <w:sz w:val="24"/>
                <w:szCs w:val="24"/>
                <w:lang w:val="en-US" w:eastAsia="zh-CN"/>
              </w:rPr>
              <w:t>4.投标报价不得高于最高限价，</w:t>
            </w:r>
            <w:r>
              <w:rPr>
                <w:rFonts w:hint="eastAsia" w:ascii="宋体" w:hAnsi="宋体" w:eastAsia="宋体" w:cs="宋体"/>
                <w:b/>
                <w:bCs/>
                <w:color w:val="auto"/>
                <w:sz w:val="24"/>
                <w:szCs w:val="24"/>
                <w:lang w:val="en-US" w:eastAsia="zh-CN"/>
              </w:rPr>
              <w:t>否则视为未实质性响应作废标处理。</w:t>
            </w:r>
          </w:p>
          <w:p w14:paraId="74886AF1">
            <w:pPr>
              <w:keepNext w:val="0"/>
              <w:keepLines w:val="0"/>
              <w:pageBreakBefore w:val="0"/>
              <w:widowControl w:val="0"/>
              <w:kinsoku/>
              <w:wordWrap/>
              <w:overflowPunct/>
              <w:topLinePunct w:val="0"/>
              <w:autoSpaceDE w:val="0"/>
              <w:autoSpaceDN w:val="0"/>
              <w:bidi w:val="0"/>
              <w:adjustRightInd w:val="0"/>
              <w:snapToGrid w:val="0"/>
              <w:spacing w:after="0" w:line="480" w:lineRule="exact"/>
              <w:ind w:firstLine="0" w:firstLineChars="0"/>
              <w:jc w:val="both"/>
              <w:textAlignment w:val="auto"/>
              <w:outlineLvl w:val="1"/>
              <w:rPr>
                <w:rFonts w:hint="eastAsia" w:ascii="宋体" w:hAnsi="宋体" w:eastAsia="宋体" w:cs="宋体"/>
                <w:b/>
                <w:bCs/>
                <w:color w:val="auto"/>
                <w:sz w:val="24"/>
                <w:szCs w:val="24"/>
                <w:lang w:val="en-US" w:eastAsia="zh-CN"/>
              </w:rPr>
            </w:pPr>
            <w:r>
              <w:rPr>
                <w:rFonts w:hint="eastAsia" w:ascii="宋体" w:hAnsi="宋体" w:eastAsia="宋体" w:cs="宋体"/>
                <w:b w:val="0"/>
                <w:bCs w:val="0"/>
                <w:color w:val="auto"/>
                <w:sz w:val="24"/>
                <w:szCs w:val="24"/>
                <w:lang w:val="en-US" w:eastAsia="zh-CN"/>
              </w:rPr>
              <w:t>5.《开标一览表明细》列明的内容必须按要求填写，未按照本表要求如实填写或填写错误的，所产生的一切后果由投标人承担。</w:t>
            </w:r>
          </w:p>
        </w:tc>
      </w:tr>
    </w:tbl>
    <w:p w14:paraId="57DD0BBB">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投标人自行测算对各项费用的报价，中标后每月需提供员工工资花名册（工资支付台账）及社保缴纳凭证备查。如出现实际支付的（人员工资及社保费用）人员费用与投标文件《开标一览表明细》中人员的数量、社会保险费数量不足的，采购人在支付物业服务费时将进行相应的扣减。</w:t>
      </w:r>
    </w:p>
    <w:p w14:paraId="6162D797">
      <w:pPr>
        <w:keepLines w:val="0"/>
        <w:pageBreakBefore w:val="0"/>
        <w:widowControl w:val="0"/>
        <w:kinsoku/>
        <w:wordWrap/>
        <w:overflowPunct/>
        <w:topLinePunct w:val="0"/>
        <w:autoSpaceDE w:val="0"/>
        <w:autoSpaceDN w:val="0"/>
        <w:bidi w:val="0"/>
        <w:spacing w:after="0" w:line="480" w:lineRule="exact"/>
        <w:ind w:firstLine="482" w:firstLineChars="200"/>
        <w:jc w:val="both"/>
        <w:textAlignment w:val="auto"/>
        <w:outlineLvl w:val="1"/>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5.评标委员会认为投标人的报价明显低于其他通过符合性审查投标人的报价，有可能影响服务质量或者不能诚信履约的，应当要求其在评标现场合理的时间内提供书面的成本分析说明</w:t>
      </w:r>
      <w:r>
        <w:rPr>
          <w:rFonts w:hint="eastAsia" w:ascii="宋体" w:hAnsi="宋体" w:eastAsia="宋体" w:cs="宋体"/>
          <w:b/>
          <w:bCs/>
          <w:color w:val="auto"/>
          <w:sz w:val="24"/>
          <w:szCs w:val="24"/>
          <w:highlight w:val="none"/>
          <w:lang w:val="en-US" w:eastAsia="zh-CN"/>
        </w:rPr>
        <w:t>（包含人员成本分析、购置机械设备成本分析、服务耗材成本分析、其他费用成本分析），必要时提交相关证明材料；投标人不能证明其报价合理性的，评标</w:t>
      </w:r>
      <w:r>
        <w:rPr>
          <w:rFonts w:hint="eastAsia" w:ascii="宋体" w:hAnsi="宋体" w:eastAsia="宋体" w:cs="宋体"/>
          <w:b/>
          <w:bCs/>
          <w:color w:val="auto"/>
          <w:sz w:val="24"/>
          <w:szCs w:val="24"/>
          <w:lang w:val="en-US" w:eastAsia="zh-CN"/>
        </w:rPr>
        <w:t>委员会应当将其作废标处理。</w:t>
      </w:r>
    </w:p>
    <w:p w14:paraId="56C12620">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b/>
          <w:bCs/>
          <w:color w:val="auto"/>
          <w:sz w:val="24"/>
          <w:szCs w:val="24"/>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如中标后，</w:t>
      </w:r>
      <w:r>
        <w:rPr>
          <w:rFonts w:hint="eastAsia" w:ascii="宋体" w:hAnsi="宋体" w:eastAsia="宋体" w:cs="宋体"/>
          <w:color w:val="auto"/>
          <w:sz w:val="24"/>
          <w:szCs w:val="24"/>
          <w:lang w:val="en-US" w:eastAsia="zh-CN"/>
        </w:rPr>
        <w:t>中标供应商</w:t>
      </w:r>
      <w:r>
        <w:rPr>
          <w:rFonts w:hint="eastAsia" w:ascii="宋体" w:hAnsi="宋体" w:eastAsia="宋体" w:cs="宋体"/>
          <w:color w:val="auto"/>
          <w:sz w:val="24"/>
          <w:szCs w:val="24"/>
        </w:rPr>
        <w:t>因物业服务费用问题无法正常履约的，视为虚假响应，采购人有权随时终止合同，并将相关情况上报</w:t>
      </w:r>
      <w:r>
        <w:rPr>
          <w:rFonts w:hint="eastAsia" w:ascii="宋体" w:hAnsi="宋体" w:eastAsia="宋体" w:cs="宋体"/>
          <w:color w:val="auto"/>
          <w:sz w:val="24"/>
          <w:szCs w:val="24"/>
          <w:lang w:val="en-US" w:eastAsia="zh-CN"/>
        </w:rPr>
        <w:t>至</w:t>
      </w:r>
      <w:r>
        <w:rPr>
          <w:rFonts w:hint="eastAsia" w:ascii="宋体" w:hAnsi="宋体" w:eastAsia="宋体" w:cs="宋体"/>
          <w:color w:val="auto"/>
          <w:sz w:val="24"/>
          <w:szCs w:val="24"/>
        </w:rPr>
        <w:t>财政部门。</w:t>
      </w:r>
    </w:p>
    <w:p w14:paraId="1FB537EC">
      <w:pPr>
        <w:keepLines w:val="0"/>
        <w:pageBreakBefore w:val="0"/>
        <w:widowControl w:val="0"/>
        <w:kinsoku/>
        <w:wordWrap/>
        <w:overflowPunct/>
        <w:topLinePunct w:val="0"/>
        <w:bidi w:val="0"/>
        <w:spacing w:after="0" w:line="480" w:lineRule="exact"/>
        <w:ind w:firstLine="482" w:firstLineChars="200"/>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（八）保密要求</w:t>
      </w:r>
    </w:p>
    <w:p w14:paraId="5D67521E">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1.建立保密管理制度。制度内容应当包括但不限于：①明确重点要害岗位保密职责。②对涉密工作岗位的保密要求。</w:t>
      </w:r>
    </w:p>
    <w:p w14:paraId="0BA6CEBA">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2.根据采购人要求与涉密工作岗位的服务人员签订保密协议。保密协议应当向采购人报备</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 xml:space="preserve"> </w:t>
      </w:r>
    </w:p>
    <w:p w14:paraId="492C8B2A">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3.每季度至少开展 1 次对服务人员进行保密、思想政治教育的培训，提高服务人员保密意识和思想政治意识。新入职员工应当接受保密、思想政治教育培训，进行必要的人员经历审查，合格后签订保密协议方可上岗。</w:t>
      </w:r>
    </w:p>
    <w:p w14:paraId="6CC4747D">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4.发现服务人员违法违规或重大过失，及时报告采购人，并采取必要补救措施。</w:t>
      </w:r>
    </w:p>
    <w:p w14:paraId="5D22D8B2">
      <w:pPr>
        <w:keepLines w:val="0"/>
        <w:pageBreakBefore w:val="0"/>
        <w:widowControl w:val="0"/>
        <w:kinsoku/>
        <w:wordWrap/>
        <w:overflowPunct/>
        <w:topLinePunct w:val="0"/>
        <w:bidi w:val="0"/>
        <w:spacing w:after="0" w:line="480" w:lineRule="exact"/>
        <w:ind w:firstLine="482" w:firstLineChars="200"/>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（九）其他要求</w:t>
      </w:r>
    </w:p>
    <w:p w14:paraId="30C0A22C">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投标人须在投标文件中提供</w:t>
      </w:r>
      <w:r>
        <w:rPr>
          <w:rFonts w:hint="eastAsia" w:ascii="宋体" w:hAnsi="宋体" w:eastAsia="宋体" w:cs="宋体"/>
          <w:color w:val="auto"/>
          <w:sz w:val="24"/>
          <w:szCs w:val="24"/>
          <w:shd w:val="clear" w:color="auto" w:fill="FFFFFF"/>
        </w:rPr>
        <w:t>物业管理服务方案，包括但不限于以下内容：采购项目的物业服务整体实施方案、秩序维护服务方案、卫生保洁方案、绿化养护方案、设施运行及维护管理方案、会务服务方案、病媒防制（疫情防控）方案、各类处理突发预案、内部规章管理制度（包括人员考核制度，培训制度等)以及本项目涉及的其他有关服务方案。</w:t>
      </w:r>
    </w:p>
    <w:p w14:paraId="18889BEF">
      <w:pPr>
        <w:keepLines w:val="0"/>
        <w:pageBreakBefore w:val="0"/>
        <w:widowControl w:val="0"/>
        <w:kinsoku/>
        <w:wordWrap/>
        <w:overflowPunct/>
        <w:topLinePunct w:val="0"/>
        <w:bidi w:val="0"/>
        <w:spacing w:after="0" w:line="480" w:lineRule="exact"/>
        <w:jc w:val="both"/>
        <w:textAlignment w:val="auto"/>
        <w:rPr>
          <w:rFonts w:hint="eastAsia" w:ascii="宋体" w:hAnsi="宋体" w:eastAsia="宋体" w:cs="宋体"/>
          <w:b/>
          <w:color w:val="auto"/>
          <w:sz w:val="32"/>
          <w:szCs w:val="32"/>
        </w:rPr>
      </w:pPr>
    </w:p>
    <w:p w14:paraId="16ABF038">
      <w:pPr>
        <w:keepLines w:val="0"/>
        <w:pageBreakBefore w:val="0"/>
        <w:widowControl w:val="0"/>
        <w:kinsoku/>
        <w:wordWrap/>
        <w:overflowPunct/>
        <w:topLinePunct w:val="0"/>
        <w:bidi w:val="0"/>
        <w:spacing w:after="0" w:line="480" w:lineRule="exact"/>
        <w:jc w:val="both"/>
        <w:textAlignment w:val="auto"/>
        <w:rPr>
          <w:rFonts w:hint="eastAsia" w:ascii="宋体" w:hAnsi="宋体" w:eastAsia="宋体" w:cs="宋体"/>
          <w:b/>
          <w:color w:val="auto"/>
          <w:sz w:val="32"/>
          <w:szCs w:val="32"/>
        </w:rPr>
      </w:pPr>
    </w:p>
    <w:p w14:paraId="084E0B7E">
      <w:pPr>
        <w:keepLines w:val="0"/>
        <w:pageBreakBefore w:val="0"/>
        <w:widowControl w:val="0"/>
        <w:kinsoku/>
        <w:wordWrap/>
        <w:overflowPunct/>
        <w:topLinePunct w:val="0"/>
        <w:bidi w:val="0"/>
        <w:spacing w:after="0" w:line="480" w:lineRule="exact"/>
        <w:jc w:val="both"/>
        <w:textAlignment w:val="auto"/>
        <w:rPr>
          <w:rFonts w:hint="eastAsia" w:ascii="宋体" w:hAnsi="宋体" w:eastAsia="宋体" w:cs="宋体"/>
          <w:b/>
          <w:color w:val="auto"/>
          <w:sz w:val="32"/>
          <w:szCs w:val="32"/>
        </w:rPr>
      </w:pPr>
      <w:r>
        <w:rPr>
          <w:rFonts w:hint="eastAsia" w:ascii="宋体" w:hAnsi="宋体" w:eastAsia="宋体" w:cs="宋体"/>
          <w:b/>
          <w:color w:val="auto"/>
          <w:sz w:val="32"/>
          <w:szCs w:val="32"/>
        </w:rPr>
        <w:t>三、商务要求</w:t>
      </w:r>
    </w:p>
    <w:p w14:paraId="7C240530">
      <w:pPr>
        <w:pStyle w:val="8"/>
        <w:keepLines w:val="0"/>
        <w:pageBreakBefore w:val="0"/>
        <w:widowControl w:val="0"/>
        <w:kinsoku/>
        <w:wordWrap/>
        <w:overflowPunct/>
        <w:topLinePunct w:val="0"/>
        <w:bidi w:val="0"/>
        <w:spacing w:after="0" w:line="480" w:lineRule="exact"/>
        <w:ind w:firstLine="482" w:firstLineChars="200"/>
        <w:jc w:val="both"/>
        <w:textAlignment w:val="auto"/>
        <w:rPr>
          <w:rFonts w:hint="default" w:ascii="宋体" w:hAnsi="宋体" w:eastAsia="宋体" w:cs="宋体"/>
          <w:color w:val="auto"/>
          <w:sz w:val="24"/>
          <w:szCs w:val="24"/>
          <w:lang w:val="en-US" w:eastAsia="zh-CN"/>
        </w:rPr>
      </w:pPr>
      <w:r>
        <w:rPr>
          <w:rFonts w:hint="eastAsia" w:ascii="宋体" w:hAnsi="宋体" w:eastAsia="宋体" w:cs="宋体"/>
          <w:b/>
          <w:color w:val="auto"/>
          <w:sz w:val="24"/>
          <w:szCs w:val="24"/>
        </w:rPr>
        <w:t>1.服务期限：</w:t>
      </w:r>
      <w:r>
        <w:rPr>
          <w:rFonts w:hint="eastAsia" w:ascii="宋体" w:hAnsi="宋体" w:cs="宋体"/>
          <w:b/>
          <w:color w:val="auto"/>
          <w:sz w:val="24"/>
          <w:szCs w:val="24"/>
          <w:lang w:val="en-US" w:eastAsia="zh-CN"/>
        </w:rPr>
        <w:t>签订合同后一年。</w:t>
      </w:r>
    </w:p>
    <w:p w14:paraId="511328FA">
      <w:pPr>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b/>
          <w:color w:val="auto"/>
          <w:sz w:val="24"/>
          <w:szCs w:val="24"/>
          <w:highlight w:val="yellow"/>
          <w:lang w:eastAsia="zh-CN"/>
        </w:rPr>
      </w:pPr>
      <w:r>
        <w:rPr>
          <w:rFonts w:hint="eastAsia" w:ascii="宋体" w:hAnsi="宋体" w:eastAsia="宋体" w:cs="宋体"/>
          <w:b/>
          <w:color w:val="auto"/>
          <w:sz w:val="24"/>
          <w:szCs w:val="24"/>
        </w:rPr>
        <w:t>2.付款方式：</w:t>
      </w:r>
      <w:r>
        <w:rPr>
          <w:rFonts w:hint="eastAsia" w:ascii="宋体" w:hAnsi="宋体" w:eastAsia="宋体" w:cs="宋体"/>
          <w:color w:val="auto"/>
          <w:sz w:val="24"/>
          <w:szCs w:val="24"/>
          <w:highlight w:val="none"/>
        </w:rPr>
        <w:t>按</w:t>
      </w:r>
      <w:r>
        <w:rPr>
          <w:rFonts w:hint="eastAsia" w:ascii="宋体" w:hAnsi="宋体" w:cs="宋体"/>
          <w:color w:val="auto"/>
          <w:sz w:val="24"/>
          <w:szCs w:val="24"/>
          <w:highlight w:val="none"/>
          <w:lang w:eastAsia="zh-CN"/>
        </w:rPr>
        <w:t>季</w:t>
      </w:r>
      <w:r>
        <w:rPr>
          <w:rFonts w:hint="eastAsia" w:ascii="宋体" w:hAnsi="宋体" w:eastAsia="宋体" w:cs="宋体"/>
          <w:color w:val="auto"/>
          <w:sz w:val="24"/>
          <w:szCs w:val="24"/>
          <w:highlight w:val="none"/>
        </w:rPr>
        <w:t>支付。</w:t>
      </w:r>
      <w:r>
        <w:rPr>
          <w:rFonts w:hint="eastAsia" w:ascii="宋体" w:hAnsi="宋体" w:eastAsia="宋体" w:cs="宋体"/>
          <w:b/>
          <w:color w:val="auto"/>
          <w:sz w:val="24"/>
          <w:szCs w:val="24"/>
          <w:highlight w:val="none"/>
        </w:rPr>
        <w:t>每个</w:t>
      </w:r>
      <w:r>
        <w:rPr>
          <w:rFonts w:hint="eastAsia" w:ascii="宋体" w:hAnsi="宋体" w:cs="宋体"/>
          <w:b/>
          <w:color w:val="auto"/>
          <w:sz w:val="24"/>
          <w:szCs w:val="24"/>
          <w:highlight w:val="none"/>
          <w:lang w:eastAsia="zh-CN"/>
        </w:rPr>
        <w:t>季度</w:t>
      </w:r>
      <w:r>
        <w:rPr>
          <w:rFonts w:hint="eastAsia" w:ascii="宋体" w:hAnsi="宋体" w:eastAsia="宋体" w:cs="宋体"/>
          <w:b/>
          <w:color w:val="auto"/>
          <w:sz w:val="24"/>
          <w:szCs w:val="24"/>
          <w:highlight w:val="none"/>
        </w:rPr>
        <w:t>初根据上个</w:t>
      </w:r>
      <w:r>
        <w:rPr>
          <w:rFonts w:hint="eastAsia" w:ascii="宋体" w:hAnsi="宋体" w:cs="宋体"/>
          <w:b/>
          <w:color w:val="auto"/>
          <w:sz w:val="24"/>
          <w:szCs w:val="24"/>
          <w:highlight w:val="none"/>
          <w:lang w:eastAsia="zh-CN"/>
        </w:rPr>
        <w:t>季度</w:t>
      </w:r>
      <w:r>
        <w:rPr>
          <w:rFonts w:hint="eastAsia" w:ascii="宋体" w:hAnsi="宋体" w:eastAsia="宋体" w:cs="宋体"/>
          <w:b/>
          <w:color w:val="auto"/>
          <w:sz w:val="24"/>
          <w:szCs w:val="24"/>
          <w:highlight w:val="none"/>
        </w:rPr>
        <w:t>考核情况支付上个</w:t>
      </w:r>
      <w:r>
        <w:rPr>
          <w:rFonts w:hint="eastAsia" w:ascii="宋体" w:hAnsi="宋体" w:cs="宋体"/>
          <w:b/>
          <w:color w:val="auto"/>
          <w:sz w:val="24"/>
          <w:szCs w:val="24"/>
          <w:highlight w:val="none"/>
          <w:lang w:eastAsia="zh-CN"/>
        </w:rPr>
        <w:t>季度</w:t>
      </w:r>
      <w:r>
        <w:rPr>
          <w:rFonts w:hint="eastAsia" w:ascii="宋体" w:hAnsi="宋体" w:eastAsia="宋体" w:cs="宋体"/>
          <w:b/>
          <w:color w:val="auto"/>
          <w:sz w:val="24"/>
          <w:szCs w:val="24"/>
          <w:highlight w:val="none"/>
        </w:rPr>
        <w:t>物业服务管理费用</w:t>
      </w:r>
      <w:r>
        <w:rPr>
          <w:rFonts w:hint="eastAsia" w:ascii="宋体" w:hAnsi="宋体" w:eastAsia="宋体" w:cs="宋体"/>
          <w:b/>
          <w:color w:val="auto"/>
          <w:sz w:val="24"/>
          <w:szCs w:val="24"/>
          <w:highlight w:val="none"/>
          <w:lang w:eastAsia="zh-CN"/>
        </w:rPr>
        <w:t>。</w:t>
      </w:r>
    </w:p>
    <w:p w14:paraId="58163E41">
      <w:pPr>
        <w:pStyle w:val="8"/>
        <w:keepLines w:val="0"/>
        <w:pageBreakBefore w:val="0"/>
        <w:widowControl w:val="0"/>
        <w:kinsoku/>
        <w:wordWrap/>
        <w:overflowPunct/>
        <w:topLinePunct w:val="0"/>
        <w:bidi w:val="0"/>
        <w:spacing w:after="0" w:line="480" w:lineRule="exact"/>
        <w:ind w:firstLine="482" w:firstLineChars="200"/>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rPr>
        <w:t>3.业绩：</w:t>
      </w:r>
      <w:r>
        <w:rPr>
          <w:rFonts w:hint="eastAsia" w:ascii="宋体" w:hAnsi="宋体" w:eastAsia="宋体" w:cs="宋体"/>
          <w:color w:val="auto"/>
          <w:sz w:val="24"/>
          <w:szCs w:val="24"/>
          <w:highlight w:val="none"/>
        </w:rPr>
        <w:t>提供</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u w:val="none"/>
        </w:rPr>
        <w:t>个</w:t>
      </w:r>
      <w:r>
        <w:rPr>
          <w:rFonts w:hint="eastAsia" w:ascii="宋体" w:hAnsi="宋体" w:cs="宋体"/>
          <w:color w:val="auto"/>
          <w:sz w:val="24"/>
          <w:szCs w:val="24"/>
          <w:highlight w:val="none"/>
          <w:u w:val="none"/>
          <w:lang w:val="en-US" w:eastAsia="zh-CN"/>
        </w:rPr>
        <w:t>2023年1月1日</w:t>
      </w:r>
      <w:r>
        <w:rPr>
          <w:rFonts w:hint="eastAsia" w:ascii="宋体" w:hAnsi="宋体" w:eastAsia="宋体" w:cs="宋体"/>
          <w:color w:val="auto"/>
          <w:sz w:val="24"/>
          <w:szCs w:val="24"/>
          <w:highlight w:val="none"/>
        </w:rPr>
        <w:t>至本项目开标之日（合同签订日期）</w:t>
      </w:r>
      <w:r>
        <w:rPr>
          <w:rFonts w:hint="eastAsia" w:ascii="宋体" w:hAnsi="宋体" w:eastAsia="宋体" w:cs="宋体"/>
          <w:color w:val="auto"/>
          <w:sz w:val="24"/>
          <w:szCs w:val="24"/>
          <w:highlight w:val="none"/>
          <w:lang w:val="en-US" w:eastAsia="zh-CN"/>
        </w:rPr>
        <w:t>止办公场所类</w:t>
      </w:r>
      <w:r>
        <w:rPr>
          <w:rFonts w:hint="eastAsia" w:ascii="宋体" w:hAnsi="宋体" w:eastAsia="宋体" w:cs="宋体"/>
          <w:color w:val="auto"/>
          <w:sz w:val="24"/>
          <w:szCs w:val="24"/>
          <w:highlight w:val="none"/>
        </w:rPr>
        <w:t>项目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须符合财政部办公厅关于印发《物业管理服务政府采购需求标准（办公场所类）（试行）的规定》</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的业绩</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以分公司名义参与投标的可提供总公司的业绩）</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bidi="ar-SA"/>
        </w:rPr>
        <w:t>合同须包含秩序维护服务、卫生保洁服务、绿化养护服务、设施设备维护、</w:t>
      </w:r>
      <w:r>
        <w:rPr>
          <w:rFonts w:hint="eastAsia" w:ascii="宋体" w:hAnsi="宋体" w:eastAsia="宋体" w:cs="宋体"/>
          <w:color w:val="auto"/>
          <w:sz w:val="24"/>
          <w:szCs w:val="24"/>
        </w:rPr>
        <w:t>客服服务</w:t>
      </w:r>
      <w:r>
        <w:rPr>
          <w:rFonts w:hint="eastAsia" w:ascii="宋体" w:hAnsi="宋体" w:eastAsia="宋体" w:cs="宋体"/>
          <w:color w:val="auto"/>
          <w:sz w:val="24"/>
          <w:szCs w:val="24"/>
          <w:highlight w:val="none"/>
          <w:lang w:val="en-US" w:eastAsia="zh-CN" w:bidi="ar-SA"/>
        </w:rPr>
        <w:t>。</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中标（成交）通知书</w:t>
      </w:r>
      <w:r>
        <w:rPr>
          <w:rFonts w:hint="eastAsia" w:ascii="宋体" w:hAnsi="宋体" w:eastAsia="宋体" w:cs="宋体"/>
          <w:b/>
          <w:bCs/>
          <w:color w:val="auto"/>
          <w:sz w:val="24"/>
          <w:szCs w:val="24"/>
          <w:highlight w:val="none"/>
        </w:rPr>
        <w:t>复印件或扫描件</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rPr>
        <w:t>合同复印件或扫描件加盖投标人公章。</w:t>
      </w:r>
    </w:p>
    <w:p w14:paraId="4BC4D82B">
      <w:pPr>
        <w:keepLines w:val="0"/>
        <w:pageBreakBefore w:val="0"/>
        <w:widowControl w:val="0"/>
        <w:kinsoku/>
        <w:wordWrap/>
        <w:overflowPunct/>
        <w:topLinePunct w:val="0"/>
        <w:bidi w:val="0"/>
        <w:spacing w:after="0" w:line="480" w:lineRule="exact"/>
        <w:ind w:firstLine="482" w:firstLineChars="200"/>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4.进场时间：</w:t>
      </w:r>
      <w:r>
        <w:rPr>
          <w:rFonts w:hint="eastAsia" w:ascii="宋体" w:hAnsi="宋体" w:eastAsia="宋体" w:cs="宋体"/>
          <w:color w:val="auto"/>
          <w:sz w:val="24"/>
          <w:szCs w:val="24"/>
          <w:shd w:val="clear" w:color="auto" w:fill="FFFFFF"/>
        </w:rPr>
        <w:t>按采购人要求时间进场服务。</w:t>
      </w:r>
    </w:p>
    <w:p w14:paraId="5D03CF3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5EC85">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8EEC43">
                          <w:pPr>
                            <w:pStyle w:val="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6B8EEC43">
                    <w:pPr>
                      <w:pStyle w:val="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CFFC00"/>
    <w:multiLevelType w:val="singleLevel"/>
    <w:tmpl w:val="8FCFFC00"/>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655E09"/>
    <w:rsid w:val="18655E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styleId="4">
    <w:name w:val="Table Grid"/>
    <w:basedOn w:val="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 w:type="paragraph" w:customStyle="1" w:styleId="8">
    <w:name w:val="列表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2026-05-08T03:06:00Z</dcterms:created>
  <dc:creator>lenovo</dc:creator>
  <cp:lastModifiedBy>lenovo</cp:lastModifiedBy>
  <dcterms:modified xsi:type="dcterms:W3CDTF">2026-05-08T03:09:46Z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9A712C02CD8D44C48DFBC2318254DDB5_11</vt:lpwstr>
  </property>
  <property fmtid="{D5CDD505-2E9C-101B-9397-08002B2CF9AE}" pid="4" name="KSOTemplateDocerSaveRecord">
    <vt:lpwstr>eyJoZGlkIjoiOWJkYjhjMGMyNjMxOTkwNGFiNTIzOTUzMWNmNWI1NTIiLCJ1c2VySWQiOiI3OTIzODA5ODQifQ==</vt:lpwstr>
  </property>
</Properties>
</file>