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4FE8E6">
      <w:pPr>
        <w:pStyle w:val="4"/>
        <w:spacing w:line="480" w:lineRule="auto"/>
        <w:rPr>
          <w:rFonts w:hint="eastAsia"/>
          <w:color w:val="auto"/>
          <w:kern w:val="0"/>
          <w:sz w:val="44"/>
          <w:szCs w:val="44"/>
        </w:rPr>
      </w:pPr>
      <w:r>
        <w:rPr>
          <w:rFonts w:hint="eastAsia"/>
          <w:color w:val="auto"/>
          <w:kern w:val="0"/>
          <w:sz w:val="44"/>
          <w:szCs w:val="44"/>
        </w:rPr>
        <w:t>采购项目需求</w:t>
      </w:r>
    </w:p>
    <w:p w14:paraId="40492E54">
      <w:pPr>
        <w:spacing w:line="480" w:lineRule="exact"/>
        <w:ind w:firstLine="540" w:firstLineChars="200"/>
        <w:rPr>
          <w:rFonts w:hint="eastAsia" w:ascii="宋体" w:hAnsi="宋体" w:cs="仿宋"/>
          <w:bCs/>
          <w:color w:val="auto"/>
          <w:sz w:val="27"/>
          <w:szCs w:val="27"/>
        </w:rPr>
      </w:pPr>
      <w:r>
        <w:rPr>
          <w:rFonts w:hint="eastAsia" w:ascii="宋体" w:hAnsi="宋体" w:cs="仿宋"/>
          <w:bCs/>
          <w:color w:val="auto"/>
          <w:sz w:val="27"/>
          <w:szCs w:val="27"/>
        </w:rPr>
        <w:t>（一）响应供应商须提供全新、原装并符合质量标准的货物和完善的服务。</w:t>
      </w:r>
    </w:p>
    <w:p w14:paraId="471F0B47">
      <w:pPr>
        <w:spacing w:line="480" w:lineRule="exact"/>
        <w:ind w:firstLine="540" w:firstLineChars="200"/>
        <w:rPr>
          <w:rFonts w:hint="eastAsia" w:ascii="宋体" w:hAnsi="宋体" w:cs="仿宋"/>
          <w:bCs/>
          <w:color w:val="auto"/>
          <w:sz w:val="27"/>
          <w:szCs w:val="27"/>
        </w:rPr>
      </w:pPr>
      <w:r>
        <w:rPr>
          <w:rFonts w:hint="eastAsia" w:ascii="宋体" w:hAnsi="宋体" w:cs="仿宋"/>
          <w:bCs/>
          <w:color w:val="auto"/>
          <w:sz w:val="27"/>
          <w:szCs w:val="27"/>
        </w:rPr>
        <w:t>（二）所有货物的知识产权问题，由各响应供应商自行负责。</w:t>
      </w:r>
    </w:p>
    <w:p w14:paraId="4489D873">
      <w:pPr>
        <w:spacing w:line="480" w:lineRule="exact"/>
        <w:ind w:firstLine="540" w:firstLineChars="200"/>
        <w:rPr>
          <w:rFonts w:hint="eastAsia" w:ascii="宋体" w:hAnsi="宋体" w:cs="仿宋"/>
          <w:bCs/>
          <w:color w:val="auto"/>
          <w:sz w:val="27"/>
          <w:szCs w:val="27"/>
        </w:rPr>
      </w:pPr>
      <w:r>
        <w:rPr>
          <w:rFonts w:hint="eastAsia" w:ascii="宋体" w:hAnsi="宋体" w:cs="仿宋"/>
          <w:bCs/>
          <w:color w:val="auto"/>
          <w:sz w:val="27"/>
          <w:szCs w:val="27"/>
        </w:rPr>
        <w:t>（三）本询价通知书提出的是最低限度的要求，响应供应商的服务或方案应达到或优于本询价通知书要求，且符合国家有关标准和规范要求。本部分“采购项目需求”“</w:t>
      </w:r>
      <w:r>
        <w:rPr>
          <w:rFonts w:hint="eastAsia" w:ascii="宋体" w:hAnsi="宋体"/>
          <w:b/>
          <w:bCs/>
          <w:color w:val="auto"/>
          <w:sz w:val="27"/>
          <w:szCs w:val="27"/>
        </w:rPr>
        <w:t>★</w:t>
      </w:r>
      <w:r>
        <w:rPr>
          <w:rFonts w:hint="eastAsia" w:ascii="宋体" w:hAnsi="宋体" w:cs="仿宋"/>
          <w:bCs/>
          <w:color w:val="auto"/>
          <w:sz w:val="27"/>
          <w:szCs w:val="27"/>
        </w:rPr>
        <w:t>”均属于不允许负偏离的实质性要求和条件。</w:t>
      </w:r>
    </w:p>
    <w:p w14:paraId="65555CE8">
      <w:pPr>
        <w:spacing w:line="480" w:lineRule="exact"/>
        <w:ind w:firstLine="542" w:firstLineChars="200"/>
        <w:rPr>
          <w:rFonts w:hint="eastAsia" w:ascii="宋体" w:hAnsi="宋体"/>
          <w:bCs/>
          <w:color w:val="auto"/>
          <w:sz w:val="27"/>
          <w:szCs w:val="27"/>
        </w:rPr>
      </w:pPr>
      <w:r>
        <w:rPr>
          <w:rFonts w:hint="eastAsia" w:ascii="宋体" w:hAnsi="宋体"/>
          <w:b/>
          <w:bCs/>
          <w:color w:val="auto"/>
          <w:sz w:val="27"/>
          <w:szCs w:val="27"/>
        </w:rPr>
        <w:t>★</w:t>
      </w:r>
      <w:r>
        <w:rPr>
          <w:rFonts w:hint="eastAsia" w:ascii="宋体" w:hAnsi="宋体"/>
          <w:bCs/>
          <w:color w:val="auto"/>
          <w:sz w:val="27"/>
          <w:szCs w:val="27"/>
        </w:rPr>
        <w:t>（四）根据国家《强制性产品认证管理规定》、《认证认可条例》的相关规定，</w:t>
      </w:r>
      <w:r>
        <w:rPr>
          <w:rFonts w:hint="eastAsia" w:ascii="宋体" w:hAnsi="宋体"/>
          <w:bCs/>
          <w:color w:val="auto"/>
          <w:sz w:val="27"/>
          <w:szCs w:val="27"/>
          <w:lang w:val="en-US" w:eastAsia="zh-CN"/>
        </w:rPr>
        <w:t>成交供应商</w:t>
      </w:r>
      <w:r>
        <w:rPr>
          <w:rFonts w:hint="eastAsia" w:ascii="宋体" w:hAnsi="宋体"/>
          <w:bCs/>
          <w:color w:val="auto"/>
          <w:sz w:val="27"/>
          <w:szCs w:val="27"/>
        </w:rPr>
        <w:t>配送的产品如需要强制认证的，应在交货时提供国家认可的认证机构颁发的在有效期内的《中国国家强制性产品认证证书》给采购人</w:t>
      </w:r>
      <w:r>
        <w:rPr>
          <w:rFonts w:hint="eastAsia" w:ascii="宋体" w:hAnsi="宋体"/>
          <w:bCs/>
          <w:color w:val="auto"/>
          <w:sz w:val="27"/>
          <w:szCs w:val="27"/>
          <w:lang w:val="en-US" w:eastAsia="zh-CN"/>
        </w:rPr>
        <w:t>备查</w:t>
      </w:r>
      <w:r>
        <w:rPr>
          <w:rFonts w:hint="eastAsia" w:ascii="宋体" w:hAnsi="宋体"/>
          <w:bCs/>
          <w:color w:val="auto"/>
          <w:sz w:val="27"/>
          <w:szCs w:val="27"/>
        </w:rPr>
        <w:t>。</w:t>
      </w:r>
    </w:p>
    <w:p w14:paraId="01238AD3">
      <w:pPr>
        <w:spacing w:line="480" w:lineRule="exact"/>
        <w:ind w:firstLine="542" w:firstLineChars="200"/>
        <w:rPr>
          <w:rFonts w:hint="eastAsia" w:ascii="宋体" w:hAnsi="宋体" w:cs="仿宋"/>
          <w:bCs/>
          <w:color w:val="auto"/>
          <w:sz w:val="27"/>
          <w:szCs w:val="27"/>
          <w:highlight w:val="none"/>
        </w:rPr>
      </w:pPr>
      <w:r>
        <w:rPr>
          <w:rFonts w:hint="eastAsia" w:ascii="宋体" w:hAnsi="宋体"/>
          <w:b/>
          <w:bCs/>
          <w:color w:val="auto"/>
          <w:sz w:val="27"/>
          <w:szCs w:val="27"/>
        </w:rPr>
        <w:t>★</w:t>
      </w:r>
      <w:r>
        <w:rPr>
          <w:rFonts w:hint="eastAsia" w:ascii="宋体" w:hAnsi="宋体" w:cs="仿宋"/>
          <w:bCs/>
          <w:color w:val="auto"/>
          <w:sz w:val="27"/>
          <w:szCs w:val="27"/>
        </w:rPr>
        <w:t>（五）本项目网线、电源线等耗材产品以</w:t>
      </w:r>
      <w:r>
        <w:rPr>
          <w:rFonts w:hint="eastAsia" w:ascii="宋体" w:hAnsi="宋体" w:cs="仿宋"/>
          <w:bCs/>
          <w:color w:val="auto"/>
          <w:sz w:val="27"/>
          <w:szCs w:val="27"/>
          <w:highlight w:val="none"/>
        </w:rPr>
        <w:t>现场实际发生量为准结算，超出部分由成交供应商自行承担，采购人不另行增加此类费用。</w:t>
      </w:r>
    </w:p>
    <w:p w14:paraId="23F99A2C">
      <w:pPr>
        <w:spacing w:line="480" w:lineRule="exact"/>
        <w:ind w:firstLine="542" w:firstLineChars="200"/>
        <w:rPr>
          <w:rFonts w:hint="eastAsia" w:ascii="宋体" w:hAnsi="宋体" w:cs="仿宋"/>
          <w:bCs/>
          <w:color w:val="auto"/>
          <w:sz w:val="27"/>
          <w:szCs w:val="27"/>
        </w:rPr>
      </w:pPr>
      <w:r>
        <w:rPr>
          <w:rFonts w:hint="eastAsia" w:ascii="宋体" w:hAnsi="宋体"/>
          <w:b/>
          <w:bCs/>
          <w:color w:val="auto"/>
          <w:sz w:val="27"/>
          <w:szCs w:val="27"/>
        </w:rPr>
        <w:t>★</w:t>
      </w:r>
      <w:r>
        <w:rPr>
          <w:rFonts w:hint="eastAsia" w:ascii="宋体" w:hAnsi="宋体" w:cs="仿宋"/>
          <w:b/>
          <w:bCs/>
          <w:color w:val="auto"/>
          <w:sz w:val="27"/>
          <w:szCs w:val="27"/>
        </w:rPr>
        <w:t>（六）技术规格及要求</w:t>
      </w:r>
    </w:p>
    <w:p w14:paraId="46CD280A">
      <w:pPr>
        <w:spacing w:line="480" w:lineRule="exact"/>
        <w:ind w:firstLine="540" w:firstLineChars="200"/>
        <w:rPr>
          <w:rFonts w:hint="eastAsia" w:ascii="宋体" w:hAnsi="宋体" w:cs="仿宋"/>
          <w:bCs/>
          <w:color w:val="auto"/>
          <w:sz w:val="27"/>
          <w:szCs w:val="27"/>
        </w:rPr>
      </w:pPr>
      <w:r>
        <w:rPr>
          <w:rFonts w:hint="eastAsia" w:ascii="宋体" w:hAnsi="宋体" w:cs="仿宋"/>
          <w:bCs/>
          <w:color w:val="auto"/>
          <w:sz w:val="27"/>
          <w:szCs w:val="27"/>
        </w:rPr>
        <w:t>核心产品：教学一体机、计算机。</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4"/>
        <w:gridCol w:w="771"/>
        <w:gridCol w:w="5164"/>
        <w:gridCol w:w="612"/>
        <w:gridCol w:w="450"/>
        <w:gridCol w:w="1125"/>
        <w:gridCol w:w="1125"/>
      </w:tblGrid>
      <w:tr w14:paraId="79BDC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44" w:type="dxa"/>
            <w:noWrap w:val="0"/>
            <w:vAlign w:val="center"/>
          </w:tcPr>
          <w:p w14:paraId="3B2D699C">
            <w:pPr>
              <w:widowControl/>
              <w:spacing w:line="360" w:lineRule="exact"/>
              <w:jc w:val="center"/>
              <w:textAlignment w:val="center"/>
              <w:rPr>
                <w:rFonts w:hint="eastAsia" w:ascii="宋体" w:hAnsi="宋体" w:cs="宋体"/>
                <w:b/>
                <w:bCs/>
                <w:color w:val="auto"/>
                <w:sz w:val="24"/>
                <w:szCs w:val="24"/>
              </w:rPr>
            </w:pPr>
            <w:r>
              <w:rPr>
                <w:rFonts w:hint="eastAsia" w:ascii="宋体" w:hAnsi="宋体" w:cs="宋体"/>
                <w:b/>
                <w:bCs/>
                <w:color w:val="auto"/>
                <w:kern w:val="0"/>
                <w:sz w:val="24"/>
                <w:szCs w:val="24"/>
                <w:lang w:bidi="ar"/>
              </w:rPr>
              <w:t>序号</w:t>
            </w:r>
          </w:p>
        </w:tc>
        <w:tc>
          <w:tcPr>
            <w:tcW w:w="771" w:type="dxa"/>
            <w:noWrap w:val="0"/>
            <w:vAlign w:val="center"/>
          </w:tcPr>
          <w:p w14:paraId="39409CD4">
            <w:pPr>
              <w:widowControl/>
              <w:spacing w:line="360" w:lineRule="exact"/>
              <w:jc w:val="center"/>
              <w:textAlignment w:val="center"/>
              <w:rPr>
                <w:rFonts w:hint="eastAsia" w:ascii="宋体" w:hAnsi="宋体" w:cs="宋体"/>
                <w:b/>
                <w:bCs/>
                <w:color w:val="auto"/>
                <w:sz w:val="24"/>
                <w:szCs w:val="24"/>
              </w:rPr>
            </w:pPr>
            <w:r>
              <w:rPr>
                <w:rFonts w:hint="eastAsia" w:ascii="宋体" w:hAnsi="宋体" w:cs="宋体"/>
                <w:b/>
                <w:bCs/>
                <w:color w:val="auto"/>
                <w:kern w:val="0"/>
                <w:sz w:val="24"/>
                <w:szCs w:val="24"/>
                <w:lang w:bidi="ar"/>
              </w:rPr>
              <w:t>货物名称</w:t>
            </w:r>
          </w:p>
        </w:tc>
        <w:tc>
          <w:tcPr>
            <w:tcW w:w="5164" w:type="dxa"/>
            <w:noWrap w:val="0"/>
            <w:vAlign w:val="center"/>
          </w:tcPr>
          <w:p w14:paraId="3EDCE5D3">
            <w:pPr>
              <w:widowControl/>
              <w:spacing w:line="360" w:lineRule="exact"/>
              <w:jc w:val="center"/>
              <w:textAlignment w:val="center"/>
              <w:rPr>
                <w:rFonts w:hint="eastAsia" w:ascii="宋体" w:hAnsi="宋体" w:cs="宋体"/>
                <w:b/>
                <w:bCs/>
                <w:color w:val="auto"/>
                <w:sz w:val="24"/>
                <w:szCs w:val="24"/>
              </w:rPr>
            </w:pPr>
            <w:r>
              <w:rPr>
                <w:rFonts w:hint="eastAsia" w:ascii="宋体" w:hAnsi="宋体" w:cs="宋体"/>
                <w:b/>
                <w:bCs/>
                <w:color w:val="auto"/>
                <w:kern w:val="0"/>
                <w:sz w:val="24"/>
                <w:szCs w:val="24"/>
                <w:lang w:bidi="ar"/>
              </w:rPr>
              <w:t>技术参数</w:t>
            </w:r>
          </w:p>
        </w:tc>
        <w:tc>
          <w:tcPr>
            <w:tcW w:w="612" w:type="dxa"/>
            <w:noWrap w:val="0"/>
            <w:vAlign w:val="center"/>
          </w:tcPr>
          <w:p w14:paraId="3B3C4B01">
            <w:pPr>
              <w:widowControl/>
              <w:spacing w:line="360" w:lineRule="exact"/>
              <w:jc w:val="center"/>
              <w:textAlignment w:val="center"/>
              <w:rPr>
                <w:rFonts w:hint="eastAsia" w:ascii="宋体" w:hAnsi="宋体" w:cs="宋体"/>
                <w:b/>
                <w:bCs/>
                <w:color w:val="auto"/>
                <w:sz w:val="24"/>
                <w:szCs w:val="24"/>
              </w:rPr>
            </w:pPr>
            <w:r>
              <w:rPr>
                <w:rFonts w:hint="eastAsia" w:ascii="宋体" w:hAnsi="宋体" w:cs="宋体"/>
                <w:b/>
                <w:bCs/>
                <w:color w:val="auto"/>
                <w:kern w:val="0"/>
                <w:sz w:val="24"/>
                <w:szCs w:val="24"/>
                <w:lang w:bidi="ar"/>
              </w:rPr>
              <w:t>数量</w:t>
            </w:r>
          </w:p>
        </w:tc>
        <w:tc>
          <w:tcPr>
            <w:tcW w:w="450" w:type="dxa"/>
            <w:noWrap w:val="0"/>
            <w:vAlign w:val="center"/>
          </w:tcPr>
          <w:p w14:paraId="3912F988">
            <w:pPr>
              <w:widowControl/>
              <w:spacing w:line="360" w:lineRule="exact"/>
              <w:jc w:val="center"/>
              <w:textAlignment w:val="center"/>
              <w:rPr>
                <w:rFonts w:hint="eastAsia" w:ascii="宋体" w:hAnsi="宋体" w:cs="宋体"/>
                <w:b/>
                <w:bCs/>
                <w:color w:val="auto"/>
                <w:sz w:val="24"/>
                <w:szCs w:val="24"/>
              </w:rPr>
            </w:pPr>
            <w:r>
              <w:rPr>
                <w:rFonts w:hint="eastAsia" w:ascii="宋体" w:hAnsi="宋体" w:cs="宋体"/>
                <w:b/>
                <w:bCs/>
                <w:color w:val="auto"/>
                <w:kern w:val="0"/>
                <w:sz w:val="24"/>
                <w:szCs w:val="24"/>
                <w:lang w:bidi="ar"/>
              </w:rPr>
              <w:t>单位</w:t>
            </w:r>
          </w:p>
        </w:tc>
        <w:tc>
          <w:tcPr>
            <w:tcW w:w="1125" w:type="dxa"/>
            <w:noWrap w:val="0"/>
            <w:vAlign w:val="center"/>
          </w:tcPr>
          <w:p w14:paraId="31478AA7">
            <w:pPr>
              <w:widowControl/>
              <w:spacing w:line="360" w:lineRule="exact"/>
              <w:jc w:val="center"/>
              <w:textAlignment w:val="center"/>
              <w:rPr>
                <w:rFonts w:hint="eastAsia" w:ascii="宋体" w:hAnsi="宋体" w:cs="宋体"/>
                <w:b/>
                <w:bCs/>
                <w:color w:val="auto"/>
                <w:sz w:val="24"/>
                <w:szCs w:val="24"/>
              </w:rPr>
            </w:pPr>
            <w:r>
              <w:rPr>
                <w:rFonts w:hint="eastAsia" w:ascii="宋体" w:hAnsi="宋体" w:cs="宋体"/>
                <w:b/>
                <w:bCs/>
                <w:color w:val="auto"/>
                <w:kern w:val="0"/>
                <w:sz w:val="24"/>
                <w:szCs w:val="24"/>
                <w:lang w:bidi="ar"/>
              </w:rPr>
              <w:t>预算单价（元）</w:t>
            </w:r>
          </w:p>
        </w:tc>
        <w:tc>
          <w:tcPr>
            <w:tcW w:w="1125" w:type="dxa"/>
            <w:noWrap w:val="0"/>
            <w:vAlign w:val="center"/>
          </w:tcPr>
          <w:p w14:paraId="6ADB9F58">
            <w:pPr>
              <w:widowControl/>
              <w:spacing w:line="360" w:lineRule="exact"/>
              <w:jc w:val="center"/>
              <w:textAlignment w:val="center"/>
              <w:rPr>
                <w:rFonts w:hint="default" w:ascii="宋体" w:hAnsi="宋体" w:eastAsia="宋体" w:cs="宋体"/>
                <w:b/>
                <w:bCs/>
                <w:color w:val="auto"/>
                <w:kern w:val="0"/>
                <w:sz w:val="24"/>
                <w:szCs w:val="24"/>
                <w:lang w:val="en-US" w:eastAsia="zh-CN" w:bidi="ar"/>
              </w:rPr>
            </w:pPr>
            <w:r>
              <w:rPr>
                <w:rFonts w:hint="eastAsia" w:ascii="宋体" w:hAnsi="宋体" w:cs="宋体"/>
                <w:b/>
                <w:bCs/>
                <w:color w:val="auto"/>
                <w:kern w:val="0"/>
                <w:sz w:val="24"/>
                <w:szCs w:val="24"/>
                <w:lang w:val="en-US" w:eastAsia="zh-CN" w:bidi="ar"/>
              </w:rPr>
              <w:t>预算总价（元）</w:t>
            </w:r>
          </w:p>
        </w:tc>
      </w:tr>
      <w:tr w14:paraId="55908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44" w:type="dxa"/>
            <w:noWrap w:val="0"/>
            <w:vAlign w:val="center"/>
          </w:tcPr>
          <w:p w14:paraId="05D5A6A4">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w:t>
            </w:r>
          </w:p>
        </w:tc>
        <w:tc>
          <w:tcPr>
            <w:tcW w:w="771" w:type="dxa"/>
            <w:noWrap w:val="0"/>
            <w:vAlign w:val="center"/>
          </w:tcPr>
          <w:p w14:paraId="22FC56D0">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教学一体机</w:t>
            </w:r>
          </w:p>
        </w:tc>
        <w:tc>
          <w:tcPr>
            <w:tcW w:w="5164" w:type="dxa"/>
            <w:noWrap w:val="0"/>
            <w:vAlign w:val="center"/>
          </w:tcPr>
          <w:p w14:paraId="47FDDA57">
            <w:pPr>
              <w:widowControl/>
              <w:spacing w:line="360" w:lineRule="exac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1、整机采用一体设计，外部无任何可见内部功能模块连接线；</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2、整机为双系统设计，内置安卓系统，CPU核数不小于8核，嵌入式安卓操作系统版本不低于Android14，安卓系统ram：≥4G；rom：≥32G；</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3、整机CPU、可编程逻辑芯片和时钟芯片，均采用国产自主芯片；</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4、整机内置扬声器采用针孔发声技术，喇叭采用槽式开口设计；内置2.2声道音响，前朝向额定15W中高音扬声器≥2个，后朝向额定15W低音扬声器≥2个，额定总功率≥60W，谐振频率低于300Hz；</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5、采用≥75英寸液晶显示器（需与学校现有黑板相匹配），采用LED液晶A规屏，显示比例16:9；支持色彩空间可选，包含标准模式和sRGB，在sRGB模式下可做到高色准△E≤1；</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6、采用UHD超高清LED液晶屏，显示分辨率3840*2160，可视角度≥178°；</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7、内置≥1600万像素摄像头麦克风，无需外接线材连接，任何可见外接线材及模块化拼接痕迹，未占用整机设备端口，摄像视场角≥145°,水平视场角≥121°,支持输出4:3、16:9比例的图片和视频；可拍摄输出4K分辨率的视频、图片；具备摄像头工作指示灯，摄像头运行时，有指示灯提示；</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8、整机采用全金属外壳设计，边角采用弧形设计，表面无尖锐边缘或凸起；整机屏幕边缘采用金属圆角包边防护，整机背板采用金属材质；</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9、采用≥3.2mm防眩钢化玻璃保护，表面硬度大于等于9H，透光率不低于93%，雾度≤8%；</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10、产品满足GB40070-2021《儿童青少年学习用品近视防控卫生要求》，整机视网膜蓝光危害（蓝光加权辐射亮度LB）满足IEC 62471标准，LB限值范围≤0.2；</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11、摄像头支持包括但不限于远程巡课、人脸识别，且根据环境色温判断调节合适的显示图像效果，拍摄范围可以涵盖整机距离摄像头垂直法线左右水平距离各大于等于4米，左右最边缘深度大于等于2.3米范围内，并且在≥10米距离时AI识别人像。</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12、整机屏体具备物理防蓝光功能；整机采用硬件低蓝光背光技术，在源头减少有害蓝光波段能量，蓝光占比（有害蓝光415～455nm能量综合）/（整体蓝光400～500能量综合）&lt;50%，低蓝光保护显示不偏色、不泛黄；</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13、整机系统支持手势上滑调出人工智能画质调节模式（AI-PQ），在安卓通道下可根据屏幕内容自动调节画质参数，当屏幕出现人物、建筑、夜景等元素时，自动调整对比度、饱和度、锐利度、色调色相值、高光/阴影；</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14、侧边栏支持整机支持高级音效及图像模式调节。四种具有音效模式，标准、音乐、听力、影院，且具备环绕声模式的开关，可以对平衡、低音、高音及数字声音输出的设置；具有四种图像模式，标准、动态、亮丽、用户，且具备亮度、对比度、饱和度、色调和锐度的调节和色温的选择；</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15、整机具备智能手势识别功能，在任意信号源通道下均可识别五指上、下、左、右方向手势，五指画O、画~、左右晃动、缩/放方向手势滑动并调用相应功能。支持将各手势滑动方向自定义设置为无操作、熄屏、批注、桌面、半屏模式；</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16、支持快捷小工具：支持自定义悬浮球菜单中的小工具功能，用户在任意通道下可调取系统工具，聚光灯、批注、熄屏、锁屏、硬件自检、内存加速等小工具，也可以调取应用软件；并支持根据用户习惯任意调整显示顺序；</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17、整机关机状态下，通过长按电源键进入设置界面后，可点击屏幕选择故障检测、系统还原功能，系统还原可单独还原PC系统，单独还原整机系统；</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18、整机设备教学桌面的教师登录账号后，可自动获取并在桌面显示最近使用的教学课件，点击课件可直接进入授课模式；并支持查看所有个人教学课件资源；</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19、外接电脑设备经双头Type-C线连接至整机，可将整机网络共享给外接电脑，并支持反向触控控制功能；具有物联，大屏显示界面可显示教室温度、湿度，集控平台可查看每个教室的环境温湿度；</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20、整机从安卓系统将设备添加至集控平台，安卓系统接入集控平台后，OPS自动完成设备接入，无需输入学校代码及密钥，支持集控平台直接对大屏进行屏幕解锁，息屏亮屏，关机，重启，信息发布，异常报警（温度、内存、CPU等），远程升级，并可显示设备信息（设备序列号，运行时长，显示模式，整机音量，设备温度，cpu使用率，内存使用率，声音模式，健康度，在离线，型号，安卓版本，系统版本等），方便老师进行教室设备管理；</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21、整机支持windows系统和android系统之间进行串口通信，android系统可获取OPS的CPU型号，内存，网卡型号，序列号等信息，android系统下可一键还原windows操作系统，控制OPS的开关机；</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22、设备端安卓系统支持对教室内物联传感器进行控制，无需安装OPS，即可实现获取展现教室内的温湿度、PM2.5等信息，支持控制教室内物联传感器，控制灯光、窗帘、空调等物联开关，并支持上课模式、投影模式、休息模式、放学模式的设置，方便老师操作；</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23、整机具有NFC模块，支持主从模式，在同一NFC模块中实现一碰投屏和IC卡刷卡解锁设备，无需手动切换模式；支持通过接触整机设备上的NFC标签，即可实现手机、wifi连接后平板与大屏的连接并同步手机、平板的画面到设备上，支持≥9台手机、平板同时连接并显示；同一NFC模块可以一碰投屏同时支持使用已绑定的IC卡接触NFC模块对整机大屏解锁；在不使用设备时整机支持锁屏，并具有多种解锁方式，USBkey插入后解锁，密码解锁，人脸识别解锁，扫码解锁，NFC解锁；人脸识别解锁，老师人脸库由学校自行录入系统，并在2秒内完成设备解锁；扫二维码解锁，通过手机应用程序扫描二维码解锁，在整机没有网络的情况下，也可以支持手机扫码解锁；</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24、整机嵌入式系统支持视力检测，学生站在距离屏幕的一定距离，可通过遥控器、手势识别两种方式标识方向，测试完成后可直接生成视力检测结果，并可建立学生视力档案，对学生视力情况进行管理；</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25、整机嵌入式系统支持地图app，支持显示中国地图（包含中国地图，中国主要的山川湖泊，地势图），世界地图（包含世界地图，地势图），可以打开地球仪，支持自有旋转，方便老师教学；</w:t>
            </w:r>
            <w:r>
              <w:rPr>
                <w:rFonts w:hint="eastAsia" w:ascii="宋体" w:hAnsi="宋体" w:cs="宋体"/>
                <w:color w:val="auto"/>
                <w:kern w:val="0"/>
                <w:sz w:val="24"/>
                <w:szCs w:val="24"/>
                <w:lang w:bidi="ar"/>
              </w:rPr>
              <w:br w:type="textWrapping"/>
            </w:r>
            <w:r>
              <w:rPr>
                <w:rFonts w:hint="eastAsia" w:ascii="宋体" w:hAnsi="宋体" w:cs="宋体"/>
                <w:color w:val="auto"/>
                <w:kern w:val="0"/>
                <w:sz w:val="24"/>
                <w:szCs w:val="24"/>
                <w:lang w:bidi="ar"/>
              </w:rPr>
              <w:t>26、内置OPS终端，配置不低于：内存 ≥16GB；处理器 优于i5-12450H；网卡不低于Integrated 1000M Adaption x1；主频优于2.0GHz；硬盘 ≥512G SSD。</w:t>
            </w:r>
          </w:p>
          <w:p w14:paraId="6FBA0AA3">
            <w:pPr>
              <w:widowControl/>
              <w:spacing w:line="360" w:lineRule="exact"/>
              <w:textAlignment w:val="center"/>
              <w:rPr>
                <w:rFonts w:hint="eastAsia" w:ascii="宋体" w:hAnsi="宋体" w:cs="宋体"/>
                <w:color w:val="auto"/>
                <w:kern w:val="0"/>
                <w:sz w:val="24"/>
                <w:szCs w:val="24"/>
                <w:lang w:bidi="ar"/>
              </w:rPr>
            </w:pPr>
            <w:r>
              <w:rPr>
                <w:rFonts w:hint="eastAsia" w:ascii="宋体" w:hAnsi="宋体" w:cs="宋体"/>
                <w:b/>
                <w:bCs/>
                <w:color w:val="auto"/>
                <w:kern w:val="0"/>
                <w:sz w:val="24"/>
                <w:szCs w:val="24"/>
                <w:lang w:bidi="ar"/>
              </w:rPr>
              <w:t>（第2、3、4、7、19、20、23、24、25项响应文件中</w:t>
            </w:r>
            <w:r>
              <w:rPr>
                <w:rStyle w:val="8"/>
                <w:rFonts w:hint="eastAsia" w:ascii="宋体" w:hAnsi="宋体" w:cs="宋体"/>
                <w:b/>
                <w:bCs/>
                <w:color w:val="auto"/>
                <w:sz w:val="24"/>
                <w:szCs w:val="24"/>
                <w:lang w:bidi="ar"/>
              </w:rPr>
              <w:t>须提供第三方检测机构出具的具有CMA标识的检测报告扫描件加盖</w:t>
            </w:r>
            <w:r>
              <w:rPr>
                <w:rFonts w:hint="eastAsia" w:ascii="宋体" w:hAnsi="宋体" w:cs="宋体"/>
                <w:b/>
                <w:bCs/>
                <w:color w:val="auto"/>
                <w:kern w:val="0"/>
                <w:sz w:val="24"/>
                <w:szCs w:val="24"/>
                <w:lang w:bidi="ar"/>
              </w:rPr>
              <w:t>供应商公章，</w:t>
            </w:r>
            <w:r>
              <w:rPr>
                <w:rStyle w:val="8"/>
                <w:rFonts w:hint="eastAsia" w:ascii="宋体" w:hAnsi="宋体" w:cs="宋体"/>
                <w:b/>
                <w:bCs/>
                <w:color w:val="auto"/>
                <w:sz w:val="24"/>
                <w:szCs w:val="24"/>
                <w:lang w:bidi="ar"/>
              </w:rPr>
              <w:t>未提供或提供不符合要求的视为无效响应。成交供应商合同签订前须提供1台设备给采购人确认，若有负偏离的情况将追究其虚假应标的法律责任。</w:t>
            </w:r>
            <w:r>
              <w:rPr>
                <w:rFonts w:hint="eastAsia" w:ascii="宋体" w:hAnsi="宋体" w:cs="宋体"/>
                <w:b/>
                <w:bCs/>
                <w:color w:val="auto"/>
                <w:kern w:val="0"/>
                <w:sz w:val="24"/>
                <w:szCs w:val="24"/>
                <w:lang w:bidi="ar"/>
              </w:rPr>
              <w:t>）</w:t>
            </w:r>
          </w:p>
        </w:tc>
        <w:tc>
          <w:tcPr>
            <w:tcW w:w="612" w:type="dxa"/>
            <w:noWrap w:val="0"/>
            <w:vAlign w:val="center"/>
          </w:tcPr>
          <w:p w14:paraId="1F9008F7">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31</w:t>
            </w:r>
          </w:p>
        </w:tc>
        <w:tc>
          <w:tcPr>
            <w:tcW w:w="450" w:type="dxa"/>
            <w:noWrap w:val="0"/>
            <w:vAlign w:val="center"/>
          </w:tcPr>
          <w:p w14:paraId="11F123F9">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台</w:t>
            </w:r>
          </w:p>
        </w:tc>
        <w:tc>
          <w:tcPr>
            <w:tcW w:w="1125" w:type="dxa"/>
            <w:noWrap w:val="0"/>
            <w:vAlign w:val="center"/>
          </w:tcPr>
          <w:p w14:paraId="622A1CFB">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 xml:space="preserve">8500.00 </w:t>
            </w:r>
          </w:p>
        </w:tc>
        <w:tc>
          <w:tcPr>
            <w:tcW w:w="1125" w:type="dxa"/>
            <w:noWrap w:val="0"/>
            <w:vAlign w:val="center"/>
          </w:tcPr>
          <w:p w14:paraId="5C5149EE">
            <w:pPr>
              <w:keepNext w:val="0"/>
              <w:keepLines w:val="0"/>
              <w:widowControl/>
              <w:suppressLineNumbers w:val="0"/>
              <w:jc w:val="center"/>
              <w:textAlignment w:val="center"/>
              <w:rPr>
                <w:rFonts w:hint="eastAsia" w:ascii="宋体" w:hAnsi="宋体" w:cs="宋体"/>
                <w:color w:val="auto"/>
                <w:kern w:val="0"/>
                <w:sz w:val="24"/>
                <w:szCs w:val="24"/>
                <w:lang w:bidi="ar"/>
              </w:rPr>
            </w:pPr>
            <w:r>
              <w:rPr>
                <w:rFonts w:hint="eastAsia" w:ascii="宋体" w:hAnsi="宋体" w:eastAsia="宋体" w:cs="宋体"/>
                <w:i w:val="0"/>
                <w:iCs w:val="0"/>
                <w:color w:val="auto"/>
                <w:kern w:val="0"/>
                <w:sz w:val="24"/>
                <w:szCs w:val="24"/>
                <w:u w:val="none"/>
                <w:lang w:val="en-US" w:eastAsia="zh-CN" w:bidi="ar"/>
              </w:rPr>
              <w:t xml:space="preserve">263500.00 </w:t>
            </w:r>
          </w:p>
        </w:tc>
      </w:tr>
      <w:tr w14:paraId="48EB9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44" w:type="dxa"/>
            <w:noWrap w:val="0"/>
            <w:vAlign w:val="center"/>
          </w:tcPr>
          <w:p w14:paraId="1A4815DF">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w:t>
            </w:r>
          </w:p>
        </w:tc>
        <w:tc>
          <w:tcPr>
            <w:tcW w:w="771" w:type="dxa"/>
            <w:noWrap w:val="0"/>
            <w:vAlign w:val="center"/>
          </w:tcPr>
          <w:p w14:paraId="66AF687B">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计算机</w:t>
            </w:r>
          </w:p>
        </w:tc>
        <w:tc>
          <w:tcPr>
            <w:tcW w:w="5164" w:type="dxa"/>
            <w:noWrap w:val="0"/>
            <w:vAlign w:val="center"/>
          </w:tcPr>
          <w:p w14:paraId="632D5620">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一、硬件规格</w:t>
            </w:r>
          </w:p>
          <w:p w14:paraId="6AAE8E4B">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1、CPU ≥四核处理器， 主頻2.0GHz, 最高频率2.9GHz；</w:t>
            </w:r>
          </w:p>
          <w:p w14:paraId="06266D3A">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2、内存≥8GB DDR4；</w:t>
            </w:r>
          </w:p>
          <w:p w14:paraId="1CD2FD46">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3、存储≥256G SSD；</w:t>
            </w:r>
          </w:p>
          <w:p w14:paraId="356EF46A">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4、无线网络：2.4G/5.0G双频；</w:t>
            </w:r>
          </w:p>
          <w:p w14:paraId="1FB0555B">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5、有线网络：千兆网口；</w:t>
            </w:r>
          </w:p>
          <w:p w14:paraId="4F7F3A99">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6、喇叭：内置 (3瓦*2)；</w:t>
            </w:r>
          </w:p>
          <w:p w14:paraId="64F1E6DC">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7、显示器≥23.8”英寸, Full-HD液晶显示屏, 三边微边框设计；</w:t>
            </w:r>
          </w:p>
          <w:p w14:paraId="4404B07C">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8、分辨率≥1920*1080；</w:t>
            </w:r>
          </w:p>
          <w:p w14:paraId="28D8BEB5">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9、接口：HDMI(输出)≥1，VGA(输出)≥1，USB 3.0≥4, USB 2.0≥2，1*RJ-45, Earphone Jack≥1,  Microphone Jack≥1；</w:t>
            </w:r>
          </w:p>
          <w:p w14:paraId="233D8ADE">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10、须配备同品牌的有线键盘及鼠标；</w:t>
            </w:r>
          </w:p>
          <w:p w14:paraId="070C2C56">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11、操作系统：Windows 10；</w:t>
            </w:r>
          </w:p>
          <w:p w14:paraId="3E12098A">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12、一体机主机保修三年，主机以换代修。</w:t>
            </w:r>
          </w:p>
          <w:p w14:paraId="04D50F37">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二、云电脑配置（三年免费服务）</w:t>
            </w:r>
          </w:p>
          <w:p w14:paraId="2AC533D8">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8核16G，80GB SAS系统盘,200G SAS 数据盘。</w:t>
            </w:r>
          </w:p>
          <w:p w14:paraId="5F7D6628">
            <w:pPr>
              <w:spacing w:line="360" w:lineRule="exact"/>
              <w:rPr>
                <w:rFonts w:hint="eastAsia" w:ascii="宋体" w:hAnsi="宋体" w:cs="宋体"/>
                <w:b/>
                <w:bCs/>
                <w:color w:val="auto"/>
                <w:kern w:val="0"/>
                <w:sz w:val="24"/>
                <w:szCs w:val="24"/>
                <w:lang w:bidi="ar"/>
              </w:rPr>
            </w:pPr>
            <w:bookmarkStart w:id="0" w:name="OLE_LINK1"/>
            <w:r>
              <w:rPr>
                <w:rFonts w:hint="eastAsia" w:ascii="宋体" w:hAnsi="宋体" w:cs="宋体"/>
                <w:b/>
                <w:bCs/>
                <w:color w:val="auto"/>
                <w:kern w:val="0"/>
                <w:sz w:val="24"/>
                <w:szCs w:val="24"/>
                <w:lang w:bidi="ar"/>
              </w:rPr>
              <w:t>（</w:t>
            </w:r>
            <w:bookmarkStart w:id="1" w:name="OLE_LINK2"/>
            <w:r>
              <w:rPr>
                <w:rFonts w:hint="eastAsia" w:ascii="宋体" w:hAnsi="宋体" w:cs="宋体"/>
                <w:b/>
                <w:bCs/>
                <w:color w:val="auto"/>
                <w:kern w:val="0"/>
                <w:sz w:val="24"/>
                <w:szCs w:val="24"/>
                <w:lang w:bidi="ar"/>
              </w:rPr>
              <w:t>响应供应商</w:t>
            </w:r>
            <w:bookmarkEnd w:id="1"/>
            <w:r>
              <w:rPr>
                <w:rFonts w:hint="eastAsia" w:ascii="宋体" w:hAnsi="宋体" w:cs="宋体"/>
                <w:b/>
                <w:bCs/>
                <w:color w:val="auto"/>
                <w:kern w:val="0"/>
                <w:sz w:val="24"/>
                <w:szCs w:val="24"/>
                <w:lang w:bidi="ar"/>
              </w:rPr>
              <w:t>须提供三年云电脑免费服务承诺函加盖供应商公章，</w:t>
            </w:r>
            <w:bookmarkStart w:id="2" w:name="OLE_LINK3"/>
            <w:r>
              <w:rPr>
                <w:rFonts w:hint="eastAsia" w:ascii="宋体" w:hAnsi="宋体" w:cs="宋体"/>
                <w:b/>
                <w:bCs/>
                <w:color w:val="auto"/>
                <w:kern w:val="0"/>
                <w:sz w:val="24"/>
                <w:szCs w:val="24"/>
                <w:lang w:bidi="ar"/>
              </w:rPr>
              <w:t>未</w:t>
            </w:r>
            <w:bookmarkEnd w:id="2"/>
            <w:r>
              <w:rPr>
                <w:rFonts w:hint="eastAsia" w:ascii="宋体" w:hAnsi="宋体" w:cs="宋体"/>
                <w:b/>
                <w:bCs/>
                <w:color w:val="auto"/>
                <w:kern w:val="0"/>
                <w:sz w:val="24"/>
                <w:szCs w:val="24"/>
                <w:lang w:bidi="ar"/>
              </w:rPr>
              <w:t>提供或提供不符合要求的视为无效响应。）</w:t>
            </w:r>
            <w:bookmarkEnd w:id="0"/>
          </w:p>
          <w:p w14:paraId="0C96520B">
            <w:pPr>
              <w:spacing w:line="360" w:lineRule="exact"/>
              <w:rPr>
                <w:rFonts w:hint="eastAsia" w:ascii="宋体" w:hAnsi="宋体" w:cs="宋体"/>
                <w:color w:val="auto"/>
                <w:kern w:val="0"/>
                <w:sz w:val="24"/>
                <w:szCs w:val="24"/>
                <w:lang w:bidi="ar"/>
              </w:rPr>
            </w:pPr>
            <w:r>
              <w:rPr>
                <w:rFonts w:hint="eastAsia" w:ascii="宋体" w:hAnsi="宋体" w:cs="宋体"/>
                <w:color w:val="auto"/>
                <w:kern w:val="0"/>
                <w:sz w:val="24"/>
                <w:szCs w:val="24"/>
                <w:lang w:bidi="ar"/>
              </w:rPr>
              <w:t>三、多媒体教学管理软件</w:t>
            </w:r>
          </w:p>
          <w:p w14:paraId="01986830">
            <w:pPr>
              <w:spacing w:line="360" w:lineRule="exact"/>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1）屏幕广播：教师可将演示文稿、word 等各种形式的教学内容广播给学生；支持窗口广播。</w:t>
            </w:r>
          </w:p>
          <w:p w14:paraId="59FAF3D8">
            <w:pPr>
              <w:spacing w:line="360" w:lineRule="exact"/>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2）所投教学软件中具有平板和手机APP控制功能：支持通过平板和手机APP程序进行屏幕广播及控制客户机。</w:t>
            </w:r>
          </w:p>
          <w:p w14:paraId="54787172">
            <w:pPr>
              <w:spacing w:line="360" w:lineRule="exact"/>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3）所投教学软件中具有作业空间：有布置作业与批改打分功能。</w:t>
            </w:r>
          </w:p>
          <w:p w14:paraId="6C36C26A">
            <w:pPr>
              <w:spacing w:line="360" w:lineRule="exact"/>
              <w:rPr>
                <w:rFonts w:hint="eastAsia" w:ascii="宋体" w:hAnsi="宋体" w:cs="宋体"/>
                <w:color w:val="auto"/>
                <w:kern w:val="0"/>
                <w:sz w:val="24"/>
                <w:szCs w:val="24"/>
                <w:lang w:bidi="ar"/>
              </w:rPr>
            </w:pPr>
            <w:r>
              <w:rPr>
                <w:rFonts w:hint="eastAsia" w:ascii="宋体" w:hAnsi="宋体" w:cs="宋体"/>
                <w:color w:val="auto"/>
                <w:kern w:val="0"/>
                <w:sz w:val="24"/>
                <w:szCs w:val="24"/>
                <w:lang w:bidi="ar"/>
              </w:rPr>
              <w:t>此功能为教师可以批量对单个班级或者几个班级布置作业，直接推送到学生的帐号上，学生输入帐号密码可以看到老师布置给自己的作业，教师可以在线打开学生作业，并对其作业进行批改打分和录入评语，可以公开某个学生的作业给其他学生参考，学生登录自已的帐号就可以看到老师对自己作业的评改。老师可以批量打包下载学生的作业。可以导出未完成作业学生名单。</w:t>
            </w:r>
          </w:p>
          <w:p w14:paraId="40AFECEC">
            <w:pPr>
              <w:spacing w:line="360" w:lineRule="exact"/>
              <w:rPr>
                <w:rFonts w:hint="eastAsia" w:ascii="宋体" w:hAnsi="宋体" w:cs="宋体"/>
                <w:color w:val="auto"/>
                <w:kern w:val="0"/>
                <w:sz w:val="24"/>
                <w:szCs w:val="24"/>
                <w:lang w:bidi="ar"/>
              </w:rPr>
            </w:pPr>
            <w:r>
              <w:rPr>
                <w:rFonts w:hint="eastAsia" w:ascii="宋体" w:hAnsi="宋体" w:cs="宋体"/>
                <w:color w:val="auto"/>
                <w:kern w:val="0"/>
                <w:sz w:val="24"/>
                <w:szCs w:val="24"/>
                <w:lang w:bidi="ar"/>
              </w:rPr>
              <w:t>4）所投教学软件中具有网盘功能: 提供学生个人网盘功能，每个学生一个密码帐号，学生没有做完的作业或文件，可以上传到个人网盘中，方便下次上课使用，个人网盘里的文件只有自己可以查看及删除。</w:t>
            </w:r>
          </w:p>
          <w:p w14:paraId="1AC6B2C6">
            <w:pPr>
              <w:spacing w:line="360" w:lineRule="exact"/>
              <w:rPr>
                <w:rFonts w:hint="eastAsia" w:ascii="宋体" w:hAnsi="宋体" w:cs="宋体"/>
                <w:color w:val="auto"/>
                <w:kern w:val="0"/>
                <w:sz w:val="24"/>
                <w:szCs w:val="24"/>
                <w:lang w:bidi="ar"/>
              </w:rPr>
            </w:pPr>
            <w:r>
              <w:rPr>
                <w:rFonts w:hint="eastAsia" w:ascii="宋体" w:hAnsi="宋体" w:cs="宋体"/>
                <w:color w:val="auto"/>
                <w:kern w:val="0"/>
                <w:sz w:val="24"/>
                <w:szCs w:val="24"/>
                <w:lang w:val="en-US" w:eastAsia="zh-CN" w:bidi="ar"/>
              </w:rPr>
              <w:t>5</w:t>
            </w:r>
            <w:r>
              <w:rPr>
                <w:rFonts w:hint="eastAsia" w:ascii="宋体" w:hAnsi="宋体" w:cs="宋体"/>
                <w:color w:val="auto"/>
                <w:kern w:val="0"/>
                <w:sz w:val="24"/>
                <w:szCs w:val="24"/>
                <w:lang w:bidi="ar"/>
              </w:rPr>
              <w:t>）所投教学软件中具有上网记录功能：支持查看客户机电脑上网记录。</w:t>
            </w:r>
          </w:p>
          <w:p w14:paraId="6C395837">
            <w:pPr>
              <w:widowControl/>
              <w:spacing w:line="360" w:lineRule="exact"/>
              <w:textAlignment w:val="center"/>
              <w:rPr>
                <w:rFonts w:hint="eastAsia" w:ascii="宋体" w:hAnsi="宋体" w:cs="宋体"/>
                <w:b/>
                <w:bCs/>
                <w:color w:val="auto"/>
                <w:kern w:val="0"/>
                <w:sz w:val="24"/>
                <w:szCs w:val="24"/>
                <w:highlight w:val="yellow"/>
                <w:lang w:bidi="ar"/>
              </w:rPr>
            </w:pPr>
            <w:r>
              <w:rPr>
                <w:rFonts w:hint="eastAsia" w:ascii="宋体" w:hAnsi="宋体" w:cs="宋体"/>
                <w:b/>
                <w:bCs/>
                <w:color w:val="auto"/>
                <w:kern w:val="0"/>
                <w:sz w:val="24"/>
                <w:szCs w:val="24"/>
                <w:lang w:bidi="ar"/>
              </w:rPr>
              <w:t>响应文件中</w:t>
            </w:r>
            <w:r>
              <w:rPr>
                <w:rStyle w:val="8"/>
                <w:rFonts w:hint="eastAsia" w:ascii="宋体" w:hAnsi="宋体" w:cs="宋体"/>
                <w:b/>
                <w:bCs/>
                <w:color w:val="auto"/>
                <w:sz w:val="24"/>
                <w:szCs w:val="24"/>
                <w:lang w:bidi="ar"/>
              </w:rPr>
              <w:t>须提供功能截图和第三方检测机构出具的具有CMA标识的检测报告扫描件加盖</w:t>
            </w:r>
            <w:r>
              <w:rPr>
                <w:rFonts w:hint="eastAsia" w:ascii="宋体" w:hAnsi="宋体" w:cs="宋体"/>
                <w:b/>
                <w:bCs/>
                <w:color w:val="auto"/>
                <w:kern w:val="0"/>
                <w:sz w:val="24"/>
                <w:szCs w:val="24"/>
                <w:lang w:bidi="ar"/>
              </w:rPr>
              <w:t>供应商公章，</w:t>
            </w:r>
            <w:r>
              <w:rPr>
                <w:rStyle w:val="8"/>
                <w:rFonts w:hint="eastAsia" w:ascii="宋体" w:hAnsi="宋体" w:cs="宋体"/>
                <w:b/>
                <w:bCs/>
                <w:color w:val="auto"/>
                <w:sz w:val="24"/>
                <w:szCs w:val="24"/>
                <w:lang w:bidi="ar"/>
              </w:rPr>
              <w:t>未提供或提供不符合要求的视为无效响应。合同签订前须提供原厂盖章的检测报告复印件</w:t>
            </w:r>
            <w:r>
              <w:rPr>
                <w:rStyle w:val="8"/>
                <w:rFonts w:hint="eastAsia" w:ascii="宋体" w:hAnsi="宋体" w:cs="宋体"/>
                <w:b/>
                <w:bCs/>
                <w:color w:val="auto"/>
                <w:sz w:val="24"/>
                <w:szCs w:val="24"/>
                <w:lang w:val="en-US" w:eastAsia="zh-CN" w:bidi="ar"/>
              </w:rPr>
              <w:t>备查</w:t>
            </w:r>
            <w:r>
              <w:rPr>
                <w:rStyle w:val="8"/>
                <w:rFonts w:hint="eastAsia" w:ascii="宋体" w:hAnsi="宋体" w:cs="宋体"/>
                <w:b/>
                <w:bCs/>
                <w:color w:val="auto"/>
                <w:sz w:val="24"/>
                <w:szCs w:val="24"/>
                <w:lang w:bidi="ar"/>
              </w:rPr>
              <w:t>。</w:t>
            </w:r>
            <w:r>
              <w:rPr>
                <w:rFonts w:hint="eastAsia" w:ascii="宋体" w:hAnsi="宋体" w:cs="宋体"/>
                <w:b/>
                <w:bCs/>
                <w:color w:val="auto"/>
                <w:kern w:val="0"/>
                <w:sz w:val="24"/>
                <w:szCs w:val="24"/>
                <w:lang w:bidi="ar"/>
              </w:rPr>
              <w:t>）</w:t>
            </w:r>
          </w:p>
        </w:tc>
        <w:tc>
          <w:tcPr>
            <w:tcW w:w="612" w:type="dxa"/>
            <w:noWrap w:val="0"/>
            <w:vAlign w:val="center"/>
          </w:tcPr>
          <w:p w14:paraId="2D12AAEC">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115</w:t>
            </w:r>
          </w:p>
        </w:tc>
        <w:tc>
          <w:tcPr>
            <w:tcW w:w="450" w:type="dxa"/>
            <w:noWrap w:val="0"/>
            <w:vAlign w:val="center"/>
          </w:tcPr>
          <w:p w14:paraId="7DD72899">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台</w:t>
            </w:r>
          </w:p>
        </w:tc>
        <w:tc>
          <w:tcPr>
            <w:tcW w:w="1125" w:type="dxa"/>
            <w:noWrap w:val="0"/>
            <w:vAlign w:val="center"/>
          </w:tcPr>
          <w:p w14:paraId="3AB4534F">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 xml:space="preserve">2240.00 </w:t>
            </w:r>
          </w:p>
        </w:tc>
        <w:tc>
          <w:tcPr>
            <w:tcW w:w="1125" w:type="dxa"/>
            <w:noWrap w:val="0"/>
            <w:vAlign w:val="center"/>
          </w:tcPr>
          <w:p w14:paraId="527FC7BD">
            <w:pPr>
              <w:keepNext w:val="0"/>
              <w:keepLines w:val="0"/>
              <w:widowControl/>
              <w:suppressLineNumbers w:val="0"/>
              <w:jc w:val="center"/>
              <w:textAlignment w:val="center"/>
              <w:rPr>
                <w:rFonts w:hint="eastAsia" w:ascii="宋体" w:hAnsi="宋体" w:cs="宋体"/>
                <w:color w:val="auto"/>
                <w:kern w:val="0"/>
                <w:sz w:val="24"/>
                <w:szCs w:val="24"/>
                <w:lang w:bidi="ar"/>
              </w:rPr>
            </w:pPr>
            <w:r>
              <w:rPr>
                <w:rFonts w:hint="eastAsia" w:ascii="宋体" w:hAnsi="宋体" w:eastAsia="宋体" w:cs="宋体"/>
                <w:i w:val="0"/>
                <w:iCs w:val="0"/>
                <w:color w:val="auto"/>
                <w:kern w:val="0"/>
                <w:sz w:val="24"/>
                <w:szCs w:val="24"/>
                <w:u w:val="none"/>
                <w:lang w:val="en-US" w:eastAsia="zh-CN" w:bidi="ar"/>
              </w:rPr>
              <w:t xml:space="preserve">257600.00 </w:t>
            </w:r>
          </w:p>
        </w:tc>
      </w:tr>
      <w:tr w14:paraId="5D43A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44" w:type="dxa"/>
            <w:noWrap w:val="0"/>
            <w:vAlign w:val="center"/>
          </w:tcPr>
          <w:p w14:paraId="623B50B4">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w:t>
            </w:r>
          </w:p>
        </w:tc>
        <w:tc>
          <w:tcPr>
            <w:tcW w:w="771" w:type="dxa"/>
            <w:noWrap w:val="0"/>
            <w:vAlign w:val="center"/>
          </w:tcPr>
          <w:p w14:paraId="16164B28">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双人电脑桌凳</w:t>
            </w:r>
          </w:p>
        </w:tc>
        <w:tc>
          <w:tcPr>
            <w:tcW w:w="5164" w:type="dxa"/>
            <w:noWrap w:val="0"/>
            <w:vAlign w:val="center"/>
          </w:tcPr>
          <w:p w14:paraId="6DA815B6">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1、桌子尺寸：直径1400mm*边长600mm*高度750mm；</w:t>
            </w:r>
          </w:p>
          <w:p w14:paraId="77D42F5A">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2、台面：采用教学专用E1三聚氰胺板材厚度25mm，边缘采用1.5mm厚度pvc封边条一次性封边处理；</w:t>
            </w:r>
          </w:p>
          <w:p w14:paraId="247D5A38">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3、桌架：桌腿为直径40mm方管，横梁为40*20mm方管厚度1.2mm优质钢管；</w:t>
            </w:r>
          </w:p>
          <w:p w14:paraId="5F46137D">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4、凳子尺寸：330*240*450mm，凳面为25mm教学专用E1级环保生态板。</w:t>
            </w:r>
          </w:p>
        </w:tc>
        <w:tc>
          <w:tcPr>
            <w:tcW w:w="612" w:type="dxa"/>
            <w:noWrap w:val="0"/>
            <w:vAlign w:val="center"/>
          </w:tcPr>
          <w:p w14:paraId="5C50F8FD">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28</w:t>
            </w:r>
          </w:p>
        </w:tc>
        <w:tc>
          <w:tcPr>
            <w:tcW w:w="450" w:type="dxa"/>
            <w:noWrap w:val="0"/>
            <w:vAlign w:val="center"/>
          </w:tcPr>
          <w:p w14:paraId="5D05E6D9">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套</w:t>
            </w:r>
          </w:p>
        </w:tc>
        <w:tc>
          <w:tcPr>
            <w:tcW w:w="1125" w:type="dxa"/>
            <w:noWrap w:val="0"/>
            <w:vAlign w:val="center"/>
          </w:tcPr>
          <w:p w14:paraId="2C5CEAE0">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 xml:space="preserve">850.00 </w:t>
            </w:r>
          </w:p>
        </w:tc>
        <w:tc>
          <w:tcPr>
            <w:tcW w:w="1125" w:type="dxa"/>
            <w:noWrap w:val="0"/>
            <w:vAlign w:val="center"/>
          </w:tcPr>
          <w:p w14:paraId="788BB65A">
            <w:pPr>
              <w:keepNext w:val="0"/>
              <w:keepLines w:val="0"/>
              <w:widowControl/>
              <w:suppressLineNumbers w:val="0"/>
              <w:jc w:val="center"/>
              <w:textAlignment w:val="center"/>
              <w:rPr>
                <w:rFonts w:hint="eastAsia" w:ascii="宋体" w:hAnsi="宋体" w:cs="宋体"/>
                <w:color w:val="auto"/>
                <w:kern w:val="0"/>
                <w:sz w:val="24"/>
                <w:szCs w:val="24"/>
                <w:lang w:bidi="ar"/>
              </w:rPr>
            </w:pPr>
            <w:r>
              <w:rPr>
                <w:rFonts w:hint="eastAsia" w:ascii="宋体" w:hAnsi="宋体" w:eastAsia="宋体" w:cs="宋体"/>
                <w:i w:val="0"/>
                <w:iCs w:val="0"/>
                <w:color w:val="auto"/>
                <w:kern w:val="0"/>
                <w:sz w:val="24"/>
                <w:szCs w:val="24"/>
                <w:u w:val="none"/>
                <w:lang w:val="en-US" w:eastAsia="zh-CN" w:bidi="ar"/>
              </w:rPr>
              <w:t xml:space="preserve">23800.00 </w:t>
            </w:r>
          </w:p>
        </w:tc>
      </w:tr>
      <w:tr w14:paraId="70103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44" w:type="dxa"/>
            <w:noWrap w:val="0"/>
            <w:vAlign w:val="center"/>
          </w:tcPr>
          <w:p w14:paraId="717F44DA">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4</w:t>
            </w:r>
          </w:p>
        </w:tc>
        <w:tc>
          <w:tcPr>
            <w:tcW w:w="771" w:type="dxa"/>
            <w:noWrap w:val="0"/>
            <w:vAlign w:val="center"/>
          </w:tcPr>
          <w:p w14:paraId="350F741B">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空调</w:t>
            </w:r>
          </w:p>
        </w:tc>
        <w:tc>
          <w:tcPr>
            <w:tcW w:w="5164" w:type="dxa"/>
            <w:noWrap w:val="0"/>
            <w:vAlign w:val="center"/>
          </w:tcPr>
          <w:p w14:paraId="54EB1DF5">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1、3匹柜式变频空调；</w:t>
            </w:r>
          </w:p>
          <w:p w14:paraId="13E03E01">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2、控制方法：遥控及按键；</w:t>
            </w:r>
          </w:p>
          <w:p w14:paraId="2F26AAAE">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3、能效等级：1级；</w:t>
            </w:r>
          </w:p>
          <w:p w14:paraId="6FE2713F">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4、适用面积32-48平方米。</w:t>
            </w:r>
          </w:p>
        </w:tc>
        <w:tc>
          <w:tcPr>
            <w:tcW w:w="612" w:type="dxa"/>
            <w:noWrap w:val="0"/>
            <w:vAlign w:val="center"/>
          </w:tcPr>
          <w:p w14:paraId="1CE447B4">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w:t>
            </w:r>
          </w:p>
        </w:tc>
        <w:tc>
          <w:tcPr>
            <w:tcW w:w="450" w:type="dxa"/>
            <w:noWrap w:val="0"/>
            <w:vAlign w:val="center"/>
          </w:tcPr>
          <w:p w14:paraId="11603AB7">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台</w:t>
            </w:r>
          </w:p>
        </w:tc>
        <w:tc>
          <w:tcPr>
            <w:tcW w:w="1125" w:type="dxa"/>
            <w:noWrap w:val="0"/>
            <w:vAlign w:val="center"/>
          </w:tcPr>
          <w:p w14:paraId="7543191D">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 xml:space="preserve">5500.00 </w:t>
            </w:r>
          </w:p>
        </w:tc>
        <w:tc>
          <w:tcPr>
            <w:tcW w:w="1125" w:type="dxa"/>
            <w:noWrap w:val="0"/>
            <w:vAlign w:val="center"/>
          </w:tcPr>
          <w:p w14:paraId="07B253B9">
            <w:pPr>
              <w:keepNext w:val="0"/>
              <w:keepLines w:val="0"/>
              <w:widowControl/>
              <w:suppressLineNumbers w:val="0"/>
              <w:jc w:val="center"/>
              <w:textAlignment w:val="center"/>
              <w:rPr>
                <w:rFonts w:hint="eastAsia" w:ascii="宋体" w:hAnsi="宋体" w:cs="宋体"/>
                <w:color w:val="auto"/>
                <w:kern w:val="0"/>
                <w:sz w:val="24"/>
                <w:szCs w:val="24"/>
                <w:lang w:bidi="ar"/>
              </w:rPr>
            </w:pPr>
            <w:r>
              <w:rPr>
                <w:rFonts w:hint="eastAsia" w:ascii="宋体" w:hAnsi="宋体" w:eastAsia="宋体" w:cs="宋体"/>
                <w:i w:val="0"/>
                <w:iCs w:val="0"/>
                <w:color w:val="auto"/>
                <w:kern w:val="0"/>
                <w:sz w:val="24"/>
                <w:szCs w:val="24"/>
                <w:u w:val="none"/>
                <w:lang w:val="en-US" w:eastAsia="zh-CN" w:bidi="ar"/>
              </w:rPr>
              <w:t xml:space="preserve">5500.00 </w:t>
            </w:r>
          </w:p>
        </w:tc>
      </w:tr>
      <w:tr w14:paraId="7F2A3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44" w:type="dxa"/>
            <w:noWrap w:val="0"/>
            <w:vAlign w:val="center"/>
          </w:tcPr>
          <w:p w14:paraId="59C35BAE">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5</w:t>
            </w:r>
          </w:p>
        </w:tc>
        <w:tc>
          <w:tcPr>
            <w:tcW w:w="771" w:type="dxa"/>
            <w:noWrap w:val="0"/>
            <w:vAlign w:val="center"/>
          </w:tcPr>
          <w:p w14:paraId="1FBCE141">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网络交换机、路由器及机柜</w:t>
            </w:r>
          </w:p>
        </w:tc>
        <w:tc>
          <w:tcPr>
            <w:tcW w:w="5164" w:type="dxa"/>
            <w:noWrap w:val="0"/>
            <w:vAlign w:val="center"/>
          </w:tcPr>
          <w:p w14:paraId="77FE9358">
            <w:pPr>
              <w:widowControl/>
              <w:spacing w:line="360" w:lineRule="exact"/>
              <w:jc w:val="left"/>
              <w:textAlignment w:val="top"/>
              <w:rPr>
                <w:rFonts w:hint="eastAsia" w:ascii="宋体" w:hAnsi="宋体" w:cs="宋体"/>
                <w:color w:val="auto"/>
                <w:kern w:val="0"/>
                <w:sz w:val="24"/>
                <w:szCs w:val="24"/>
              </w:rPr>
            </w:pPr>
            <w:r>
              <w:rPr>
                <w:rFonts w:hint="eastAsia" w:ascii="宋体" w:hAnsi="宋体" w:cs="宋体"/>
                <w:color w:val="auto"/>
                <w:kern w:val="0"/>
                <w:sz w:val="24"/>
                <w:szCs w:val="24"/>
              </w:rPr>
              <w:t>一、接入交换机（企业级）（3台）</w:t>
            </w:r>
          </w:p>
          <w:p w14:paraId="215131C9">
            <w:pPr>
              <w:widowControl/>
              <w:spacing w:line="360" w:lineRule="exact"/>
              <w:jc w:val="left"/>
              <w:textAlignment w:val="top"/>
              <w:rPr>
                <w:rFonts w:hint="eastAsia" w:ascii="宋体" w:hAnsi="宋体" w:cs="宋体"/>
                <w:color w:val="auto"/>
                <w:kern w:val="0"/>
                <w:sz w:val="24"/>
                <w:szCs w:val="24"/>
              </w:rPr>
            </w:pPr>
            <w:r>
              <w:rPr>
                <w:rFonts w:hint="eastAsia" w:ascii="宋体" w:hAnsi="宋体" w:cs="宋体"/>
                <w:color w:val="auto"/>
                <w:kern w:val="0"/>
                <w:sz w:val="24"/>
                <w:szCs w:val="24"/>
              </w:rPr>
              <w:t>1、交换机采用国产芯片；</w:t>
            </w:r>
          </w:p>
          <w:p w14:paraId="300F74D4">
            <w:pPr>
              <w:widowControl/>
              <w:spacing w:line="360" w:lineRule="exact"/>
              <w:jc w:val="left"/>
              <w:textAlignment w:val="top"/>
              <w:rPr>
                <w:rFonts w:hint="eastAsia" w:ascii="宋体" w:hAnsi="宋体" w:cs="宋体"/>
                <w:color w:val="auto"/>
                <w:kern w:val="0"/>
                <w:sz w:val="24"/>
                <w:szCs w:val="24"/>
              </w:rPr>
            </w:pPr>
            <w:r>
              <w:rPr>
                <w:rFonts w:hint="eastAsia" w:ascii="宋体" w:hAnsi="宋体" w:cs="宋体"/>
                <w:color w:val="auto"/>
                <w:kern w:val="0"/>
                <w:sz w:val="24"/>
                <w:szCs w:val="24"/>
              </w:rPr>
              <w:t>2、千兆电口≥24个，万兆光口≥4个；</w:t>
            </w:r>
          </w:p>
          <w:p w14:paraId="1E19DC48">
            <w:pPr>
              <w:widowControl/>
              <w:spacing w:line="360" w:lineRule="exact"/>
              <w:jc w:val="left"/>
              <w:textAlignment w:val="top"/>
              <w:rPr>
                <w:rFonts w:hint="eastAsia" w:ascii="宋体" w:hAnsi="宋体" w:cs="宋体"/>
                <w:color w:val="auto"/>
                <w:kern w:val="0"/>
                <w:sz w:val="24"/>
                <w:szCs w:val="24"/>
              </w:rPr>
            </w:pPr>
            <w:r>
              <w:rPr>
                <w:rFonts w:hint="eastAsia" w:ascii="宋体" w:hAnsi="宋体" w:cs="宋体"/>
                <w:color w:val="auto"/>
                <w:kern w:val="0"/>
                <w:sz w:val="24"/>
                <w:szCs w:val="24"/>
              </w:rPr>
              <w:t>3、交换容量≥598Gbps，包转发率≥148Mpps；</w:t>
            </w:r>
          </w:p>
          <w:p w14:paraId="25490E44">
            <w:pPr>
              <w:widowControl/>
              <w:spacing w:line="360" w:lineRule="exact"/>
              <w:jc w:val="left"/>
              <w:textAlignment w:val="top"/>
              <w:rPr>
                <w:rFonts w:hint="eastAsia" w:ascii="宋体" w:hAnsi="宋体" w:cs="宋体"/>
                <w:color w:val="auto"/>
                <w:kern w:val="0"/>
                <w:sz w:val="24"/>
                <w:szCs w:val="24"/>
              </w:rPr>
            </w:pPr>
            <w:r>
              <w:rPr>
                <w:rFonts w:hint="eastAsia" w:ascii="宋体" w:hAnsi="宋体" w:cs="宋体"/>
                <w:color w:val="auto"/>
                <w:kern w:val="0"/>
                <w:sz w:val="24"/>
                <w:szCs w:val="24"/>
              </w:rPr>
              <w:t>4、VLAN≥4K，MAC≥16K，支持STP/RSTP/MSTP/ERPS；</w:t>
            </w:r>
          </w:p>
          <w:p w14:paraId="08ACD0C1">
            <w:pPr>
              <w:widowControl/>
              <w:spacing w:line="360" w:lineRule="exact"/>
              <w:jc w:val="left"/>
              <w:textAlignment w:val="top"/>
              <w:rPr>
                <w:rFonts w:hint="eastAsia" w:ascii="宋体" w:hAnsi="宋体" w:cs="宋体"/>
                <w:color w:val="auto"/>
                <w:kern w:val="0"/>
                <w:sz w:val="24"/>
                <w:szCs w:val="24"/>
              </w:rPr>
            </w:pPr>
            <w:r>
              <w:rPr>
                <w:rFonts w:hint="eastAsia" w:ascii="宋体" w:hAnsi="宋体" w:cs="宋体"/>
                <w:color w:val="auto"/>
                <w:kern w:val="0"/>
                <w:sz w:val="24"/>
                <w:szCs w:val="24"/>
              </w:rPr>
              <w:t>5、支持静态路由，策略路由，支持RIP，RIPng、OSPF、OSPFv2、OSPFv3，支持 DHCP client、DHCP Server、DHCP Snooping；</w:t>
            </w:r>
          </w:p>
          <w:p w14:paraId="243BF1A2">
            <w:pPr>
              <w:widowControl/>
              <w:spacing w:line="360" w:lineRule="exact"/>
              <w:jc w:val="left"/>
              <w:textAlignment w:val="top"/>
              <w:rPr>
                <w:rFonts w:hint="eastAsia" w:ascii="宋体" w:hAnsi="宋体" w:cs="宋体"/>
                <w:color w:val="auto"/>
                <w:kern w:val="0"/>
                <w:sz w:val="24"/>
                <w:szCs w:val="24"/>
              </w:rPr>
            </w:pPr>
            <w:r>
              <w:rPr>
                <w:rFonts w:hint="eastAsia" w:ascii="宋体" w:hAnsi="宋体" w:cs="宋体"/>
                <w:color w:val="auto"/>
                <w:kern w:val="0"/>
                <w:sz w:val="24"/>
                <w:szCs w:val="24"/>
              </w:rPr>
              <w:t>6、支持防止 DOS、ARP 攻击功能、ICMP 防攻击，支持链路聚合，支持CPU 保护功能；</w:t>
            </w:r>
          </w:p>
          <w:p w14:paraId="0CBAAD1A">
            <w:pPr>
              <w:widowControl/>
              <w:spacing w:line="360" w:lineRule="exact"/>
              <w:jc w:val="left"/>
              <w:textAlignment w:val="top"/>
              <w:rPr>
                <w:rFonts w:hint="eastAsia" w:ascii="宋体" w:hAnsi="宋体" w:cs="宋体"/>
                <w:color w:val="auto"/>
                <w:kern w:val="0"/>
                <w:sz w:val="24"/>
                <w:szCs w:val="24"/>
              </w:rPr>
            </w:pPr>
            <w:r>
              <w:rPr>
                <w:rFonts w:hint="eastAsia" w:ascii="宋体" w:hAnsi="宋体" w:cs="宋体"/>
                <w:color w:val="auto"/>
                <w:kern w:val="0"/>
                <w:sz w:val="24"/>
                <w:szCs w:val="24"/>
              </w:rPr>
              <w:t>7、支持智能iStack堆叠，将多台交换机组合在一起，从逻辑上虚拟为1台交换机；</w:t>
            </w:r>
          </w:p>
          <w:p w14:paraId="4A8538A4">
            <w:pPr>
              <w:widowControl/>
              <w:spacing w:line="360" w:lineRule="exact"/>
              <w:jc w:val="left"/>
              <w:textAlignment w:val="top"/>
              <w:rPr>
                <w:rFonts w:hint="eastAsia" w:ascii="宋体" w:hAnsi="宋体" w:cs="宋体"/>
                <w:color w:val="auto"/>
                <w:kern w:val="0"/>
                <w:sz w:val="24"/>
                <w:szCs w:val="24"/>
              </w:rPr>
            </w:pPr>
            <w:r>
              <w:rPr>
                <w:rFonts w:hint="eastAsia" w:ascii="宋体" w:hAnsi="宋体" w:cs="宋体"/>
                <w:color w:val="auto"/>
                <w:kern w:val="0"/>
                <w:sz w:val="24"/>
                <w:szCs w:val="24"/>
              </w:rPr>
              <w:t>8、支持APP管理、SNMPV1/2c/V3、CLI(命令行)、Web 网管、SSHV2.0 等多样化的管理和维护方式。</w:t>
            </w:r>
          </w:p>
          <w:p w14:paraId="5F52F14F">
            <w:pPr>
              <w:widowControl/>
              <w:spacing w:line="360" w:lineRule="exact"/>
              <w:jc w:val="left"/>
              <w:textAlignment w:val="top"/>
              <w:rPr>
                <w:rFonts w:hint="eastAsia" w:ascii="宋体" w:hAnsi="宋体" w:cs="宋体"/>
                <w:color w:val="auto"/>
                <w:sz w:val="24"/>
                <w:szCs w:val="24"/>
              </w:rPr>
            </w:pPr>
            <w:r>
              <w:rPr>
                <w:rFonts w:hint="eastAsia" w:ascii="宋体" w:hAnsi="宋体" w:cs="宋体"/>
                <w:color w:val="auto"/>
                <w:sz w:val="24"/>
                <w:szCs w:val="24"/>
              </w:rPr>
              <w:t>二、路由器（1台）</w:t>
            </w:r>
          </w:p>
          <w:p w14:paraId="5BFE9571">
            <w:pPr>
              <w:widowControl/>
              <w:spacing w:line="360" w:lineRule="exact"/>
              <w:jc w:val="left"/>
              <w:textAlignment w:val="top"/>
              <w:rPr>
                <w:rFonts w:hint="eastAsia" w:ascii="宋体" w:hAnsi="宋体" w:cs="宋体"/>
                <w:color w:val="auto"/>
                <w:sz w:val="24"/>
                <w:szCs w:val="24"/>
              </w:rPr>
            </w:pPr>
            <w:r>
              <w:rPr>
                <w:rFonts w:hint="eastAsia" w:ascii="宋体" w:hAnsi="宋体" w:cs="宋体"/>
                <w:color w:val="auto"/>
                <w:sz w:val="24"/>
                <w:szCs w:val="24"/>
              </w:rPr>
              <w:t>1、多核处理器架构设计，采用国产芯片；</w:t>
            </w:r>
          </w:p>
          <w:p w14:paraId="2CD600CD">
            <w:pPr>
              <w:widowControl/>
              <w:spacing w:line="360" w:lineRule="exact"/>
              <w:jc w:val="left"/>
              <w:textAlignment w:val="top"/>
              <w:rPr>
                <w:rFonts w:hint="eastAsia" w:ascii="宋体" w:hAnsi="宋体" w:cs="宋体"/>
                <w:color w:val="auto"/>
                <w:sz w:val="24"/>
                <w:szCs w:val="24"/>
              </w:rPr>
            </w:pPr>
            <w:r>
              <w:rPr>
                <w:rFonts w:hint="eastAsia" w:ascii="宋体" w:hAnsi="宋体" w:cs="宋体"/>
                <w:color w:val="auto"/>
                <w:sz w:val="24"/>
                <w:szCs w:val="24"/>
              </w:rPr>
              <w:t>2、≥ 2个千兆电口(WAN)，≥8个千兆电口(LAN)；</w:t>
            </w:r>
          </w:p>
          <w:p w14:paraId="0BC417C3">
            <w:pPr>
              <w:widowControl/>
              <w:spacing w:line="360" w:lineRule="exact"/>
              <w:jc w:val="left"/>
              <w:textAlignment w:val="top"/>
              <w:rPr>
                <w:rFonts w:hint="eastAsia" w:ascii="宋体" w:hAnsi="宋体" w:cs="宋体"/>
                <w:color w:val="auto"/>
                <w:sz w:val="24"/>
                <w:szCs w:val="24"/>
              </w:rPr>
            </w:pPr>
            <w:r>
              <w:rPr>
                <w:rFonts w:hint="eastAsia" w:ascii="宋体" w:hAnsi="宋体" w:cs="宋体"/>
                <w:color w:val="auto"/>
                <w:sz w:val="24"/>
                <w:szCs w:val="24"/>
              </w:rPr>
              <w:t>3、出口带宽≥2G，带机量≥300，支持AC功能，最大可管理64个AP；</w:t>
            </w:r>
          </w:p>
          <w:p w14:paraId="31019966">
            <w:pPr>
              <w:widowControl/>
              <w:spacing w:line="360" w:lineRule="exact"/>
              <w:jc w:val="left"/>
              <w:textAlignment w:val="top"/>
              <w:rPr>
                <w:rFonts w:hint="eastAsia" w:ascii="宋体" w:hAnsi="宋体" w:cs="宋体"/>
                <w:color w:val="auto"/>
                <w:sz w:val="24"/>
                <w:szCs w:val="24"/>
              </w:rPr>
            </w:pPr>
            <w:r>
              <w:rPr>
                <w:rFonts w:hint="eastAsia" w:ascii="宋体" w:hAnsi="宋体" w:cs="宋体"/>
                <w:color w:val="auto"/>
                <w:sz w:val="24"/>
                <w:szCs w:val="24"/>
              </w:rPr>
              <w:t>4、交换容量≥16Gbps，包转发能力上传≥500Kpps，下载≥420Kpps；</w:t>
            </w:r>
          </w:p>
          <w:p w14:paraId="73C2F906">
            <w:pPr>
              <w:widowControl/>
              <w:spacing w:line="360" w:lineRule="exact"/>
              <w:jc w:val="left"/>
              <w:textAlignment w:val="top"/>
              <w:rPr>
                <w:rFonts w:hint="eastAsia" w:ascii="宋体" w:hAnsi="宋体" w:cs="宋体"/>
                <w:color w:val="auto"/>
                <w:sz w:val="24"/>
                <w:szCs w:val="24"/>
              </w:rPr>
            </w:pPr>
            <w:r>
              <w:rPr>
                <w:rFonts w:hint="eastAsia" w:ascii="宋体" w:hAnsi="宋体" w:cs="宋体"/>
                <w:color w:val="auto"/>
                <w:sz w:val="24"/>
                <w:szCs w:val="24"/>
              </w:rPr>
              <w:t>5、支持多WAN口负载分担：主备模式/负载均衡模式；</w:t>
            </w:r>
          </w:p>
          <w:p w14:paraId="1D54495E">
            <w:pPr>
              <w:widowControl/>
              <w:spacing w:line="360" w:lineRule="exact"/>
              <w:jc w:val="left"/>
              <w:textAlignment w:val="top"/>
              <w:rPr>
                <w:rFonts w:hint="eastAsia" w:ascii="宋体" w:hAnsi="宋体" w:cs="宋体"/>
                <w:color w:val="auto"/>
                <w:sz w:val="24"/>
                <w:szCs w:val="24"/>
              </w:rPr>
            </w:pPr>
            <w:r>
              <w:rPr>
                <w:rFonts w:hint="eastAsia" w:ascii="宋体" w:hAnsi="宋体" w:cs="宋体"/>
                <w:color w:val="auto"/>
                <w:sz w:val="24"/>
                <w:szCs w:val="24"/>
              </w:rPr>
              <w:t>6、支持WEB网管、APP管理，SSH等多种管理方式；</w:t>
            </w:r>
          </w:p>
          <w:p w14:paraId="6F155A65">
            <w:pPr>
              <w:widowControl/>
              <w:spacing w:line="360" w:lineRule="exact"/>
              <w:jc w:val="left"/>
              <w:textAlignment w:val="top"/>
              <w:rPr>
                <w:rFonts w:hint="eastAsia" w:ascii="宋体" w:hAnsi="宋体" w:cs="宋体"/>
                <w:color w:val="auto"/>
                <w:sz w:val="24"/>
                <w:szCs w:val="24"/>
              </w:rPr>
            </w:pPr>
            <w:r>
              <w:rPr>
                <w:rFonts w:hint="eastAsia" w:ascii="宋体" w:hAnsi="宋体" w:cs="宋体"/>
                <w:color w:val="auto"/>
                <w:sz w:val="24"/>
                <w:szCs w:val="24"/>
              </w:rPr>
              <w:t>7、支持≥4KV端口防雷，自然散热，机架款。</w:t>
            </w:r>
          </w:p>
          <w:p w14:paraId="5C02E6A6">
            <w:pPr>
              <w:widowControl/>
              <w:spacing w:line="360" w:lineRule="exact"/>
              <w:jc w:val="left"/>
              <w:textAlignment w:val="top"/>
              <w:rPr>
                <w:rFonts w:hint="eastAsia" w:ascii="宋体" w:hAnsi="宋体" w:cs="宋体"/>
                <w:color w:val="auto"/>
                <w:kern w:val="0"/>
                <w:sz w:val="24"/>
                <w:szCs w:val="24"/>
              </w:rPr>
            </w:pPr>
            <w:r>
              <w:rPr>
                <w:rFonts w:hint="eastAsia" w:ascii="宋体" w:hAnsi="宋体" w:cs="宋体"/>
                <w:color w:val="auto"/>
                <w:kern w:val="0"/>
                <w:sz w:val="24"/>
                <w:szCs w:val="24"/>
              </w:rPr>
              <w:t>三、机柜（1台）</w:t>
            </w:r>
          </w:p>
          <w:p w14:paraId="0725A8B8">
            <w:pPr>
              <w:spacing w:line="360" w:lineRule="exact"/>
              <w:jc w:val="left"/>
              <w:rPr>
                <w:rFonts w:hint="eastAsia" w:ascii="宋体" w:hAnsi="宋体" w:cs="宋体"/>
                <w:color w:val="auto"/>
                <w:sz w:val="24"/>
                <w:szCs w:val="24"/>
              </w:rPr>
            </w:pPr>
            <w:r>
              <w:rPr>
                <w:rFonts w:hint="eastAsia" w:ascii="宋体" w:hAnsi="宋体" w:cs="宋体"/>
                <w:color w:val="auto"/>
                <w:sz w:val="24"/>
                <w:szCs w:val="24"/>
              </w:rPr>
              <w:t>1、22U机柜 600*600*1200mm；</w:t>
            </w:r>
          </w:p>
          <w:p w14:paraId="158323AD">
            <w:pPr>
              <w:spacing w:line="360" w:lineRule="exact"/>
              <w:jc w:val="left"/>
              <w:rPr>
                <w:rFonts w:hint="eastAsia" w:ascii="宋体" w:hAnsi="宋体" w:cs="宋体"/>
                <w:color w:val="auto"/>
                <w:sz w:val="24"/>
                <w:szCs w:val="24"/>
              </w:rPr>
            </w:pPr>
            <w:r>
              <w:rPr>
                <w:rFonts w:hint="eastAsia" w:ascii="宋体" w:hAnsi="宋体" w:cs="宋体"/>
                <w:color w:val="auto"/>
                <w:sz w:val="24"/>
                <w:szCs w:val="24"/>
              </w:rPr>
              <w:t>2、承载：静载800KG.；</w:t>
            </w:r>
          </w:p>
          <w:p w14:paraId="79E1F541">
            <w:pPr>
              <w:spacing w:line="360" w:lineRule="exact"/>
              <w:jc w:val="left"/>
              <w:rPr>
                <w:rFonts w:hint="eastAsia" w:ascii="宋体" w:hAnsi="宋体" w:cs="宋体"/>
                <w:color w:val="auto"/>
                <w:sz w:val="24"/>
                <w:szCs w:val="24"/>
              </w:rPr>
            </w:pPr>
            <w:r>
              <w:rPr>
                <w:rFonts w:hint="eastAsia" w:ascii="宋体" w:hAnsi="宋体" w:cs="宋体"/>
                <w:color w:val="auto"/>
                <w:sz w:val="24"/>
                <w:szCs w:val="24"/>
              </w:rPr>
              <w:t>3、防护等级：IP20；</w:t>
            </w:r>
          </w:p>
          <w:p w14:paraId="20B5DF86">
            <w:pPr>
              <w:spacing w:line="360" w:lineRule="exact"/>
              <w:jc w:val="left"/>
              <w:rPr>
                <w:rFonts w:hint="eastAsia" w:ascii="宋体" w:hAnsi="宋体" w:cs="宋体"/>
                <w:color w:val="auto"/>
                <w:sz w:val="24"/>
                <w:szCs w:val="24"/>
              </w:rPr>
            </w:pPr>
            <w:r>
              <w:rPr>
                <w:rFonts w:hint="eastAsia" w:ascii="宋体" w:hAnsi="宋体" w:cs="宋体"/>
                <w:color w:val="auto"/>
                <w:sz w:val="24"/>
                <w:szCs w:val="24"/>
              </w:rPr>
              <w:t>4、主要材料:</w:t>
            </w:r>
          </w:p>
          <w:p w14:paraId="46F334C2">
            <w:pPr>
              <w:spacing w:line="360" w:lineRule="exact"/>
              <w:jc w:val="left"/>
              <w:rPr>
                <w:rFonts w:hint="eastAsia" w:ascii="宋体" w:hAnsi="宋体" w:cs="宋体"/>
                <w:color w:val="auto"/>
                <w:sz w:val="24"/>
                <w:szCs w:val="24"/>
              </w:rPr>
            </w:pPr>
            <w:r>
              <w:rPr>
                <w:rFonts w:hint="eastAsia" w:ascii="宋体" w:hAnsi="宋体" w:cs="宋体"/>
                <w:color w:val="auto"/>
                <w:sz w:val="24"/>
                <w:szCs w:val="24"/>
              </w:rPr>
              <w:t>1）方孔条与安装梁：耐指纹敷铝锌板；</w:t>
            </w:r>
          </w:p>
          <w:p w14:paraId="2714F262">
            <w:pPr>
              <w:spacing w:line="360" w:lineRule="exact"/>
              <w:jc w:val="left"/>
              <w:rPr>
                <w:rFonts w:hint="eastAsia" w:ascii="宋体" w:hAnsi="宋体" w:cs="宋体"/>
                <w:color w:val="auto"/>
                <w:sz w:val="24"/>
                <w:szCs w:val="24"/>
              </w:rPr>
            </w:pPr>
            <w:r>
              <w:rPr>
                <w:rFonts w:hint="eastAsia" w:ascii="宋体" w:hAnsi="宋体" w:cs="宋体"/>
                <w:color w:val="auto"/>
                <w:sz w:val="24"/>
                <w:szCs w:val="24"/>
              </w:rPr>
              <w:t>2）其余：SPCC优质冷轧板；</w:t>
            </w:r>
          </w:p>
          <w:p w14:paraId="5330DB70">
            <w:pPr>
              <w:widowControl/>
              <w:spacing w:line="360" w:lineRule="exact"/>
              <w:jc w:val="left"/>
              <w:textAlignment w:val="center"/>
              <w:rPr>
                <w:rFonts w:hint="eastAsia" w:ascii="宋体" w:hAnsi="宋体" w:cs="宋体"/>
                <w:color w:val="auto"/>
                <w:sz w:val="24"/>
                <w:szCs w:val="24"/>
              </w:rPr>
            </w:pPr>
            <w:r>
              <w:rPr>
                <w:rFonts w:hint="eastAsia" w:ascii="宋体" w:hAnsi="宋体" w:cs="宋体"/>
                <w:color w:val="auto"/>
                <w:sz w:val="24"/>
                <w:szCs w:val="24"/>
              </w:rPr>
              <w:t>3）厚度：方孔条2.0mm；安装梁1.5mm；其余1.2mm。</w:t>
            </w:r>
          </w:p>
        </w:tc>
        <w:tc>
          <w:tcPr>
            <w:tcW w:w="612" w:type="dxa"/>
            <w:noWrap w:val="0"/>
            <w:vAlign w:val="center"/>
          </w:tcPr>
          <w:p w14:paraId="17708918">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w:t>
            </w:r>
          </w:p>
        </w:tc>
        <w:tc>
          <w:tcPr>
            <w:tcW w:w="450" w:type="dxa"/>
            <w:noWrap w:val="0"/>
            <w:vAlign w:val="center"/>
          </w:tcPr>
          <w:p w14:paraId="3CA07C72">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套</w:t>
            </w:r>
          </w:p>
        </w:tc>
        <w:tc>
          <w:tcPr>
            <w:tcW w:w="1125" w:type="dxa"/>
            <w:noWrap w:val="0"/>
            <w:vAlign w:val="center"/>
          </w:tcPr>
          <w:p w14:paraId="6DDE1C60">
            <w:pPr>
              <w:widowControl/>
              <w:spacing w:line="360" w:lineRule="exact"/>
              <w:jc w:val="center"/>
              <w:textAlignment w:val="center"/>
              <w:rPr>
                <w:rFonts w:ascii="宋体" w:hAnsi="宋体" w:cs="宋体"/>
                <w:color w:val="auto"/>
                <w:kern w:val="0"/>
                <w:sz w:val="24"/>
                <w:szCs w:val="24"/>
                <w:lang w:bidi="ar"/>
              </w:rPr>
            </w:pPr>
            <w:r>
              <w:rPr>
                <w:rFonts w:hint="eastAsia" w:ascii="宋体" w:hAnsi="宋体" w:cs="宋体"/>
                <w:color w:val="auto"/>
                <w:kern w:val="0"/>
                <w:sz w:val="24"/>
                <w:szCs w:val="24"/>
                <w:lang w:bidi="ar"/>
              </w:rPr>
              <w:t>12304.00</w:t>
            </w:r>
          </w:p>
        </w:tc>
        <w:tc>
          <w:tcPr>
            <w:tcW w:w="1125" w:type="dxa"/>
            <w:noWrap w:val="0"/>
            <w:vAlign w:val="center"/>
          </w:tcPr>
          <w:p w14:paraId="47DB8E39">
            <w:pPr>
              <w:keepNext w:val="0"/>
              <w:keepLines w:val="0"/>
              <w:widowControl/>
              <w:suppressLineNumbers w:val="0"/>
              <w:jc w:val="center"/>
              <w:textAlignment w:val="center"/>
              <w:rPr>
                <w:rFonts w:hint="eastAsia" w:ascii="宋体" w:hAnsi="宋体" w:cs="宋体"/>
                <w:color w:val="auto"/>
                <w:kern w:val="0"/>
                <w:sz w:val="24"/>
                <w:szCs w:val="24"/>
                <w:lang w:bidi="ar"/>
              </w:rPr>
            </w:pPr>
            <w:r>
              <w:rPr>
                <w:rFonts w:hint="eastAsia" w:ascii="宋体" w:hAnsi="宋体" w:eastAsia="宋体" w:cs="宋体"/>
                <w:i w:val="0"/>
                <w:iCs w:val="0"/>
                <w:color w:val="auto"/>
                <w:kern w:val="0"/>
                <w:sz w:val="24"/>
                <w:szCs w:val="24"/>
                <w:u w:val="none"/>
                <w:lang w:val="en-US" w:eastAsia="zh-CN" w:bidi="ar"/>
              </w:rPr>
              <w:t xml:space="preserve">12304.00 </w:t>
            </w:r>
          </w:p>
        </w:tc>
      </w:tr>
      <w:tr w14:paraId="798F0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44" w:type="dxa"/>
            <w:noWrap w:val="0"/>
            <w:vAlign w:val="center"/>
          </w:tcPr>
          <w:p w14:paraId="5BF3D3AF">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6</w:t>
            </w:r>
          </w:p>
        </w:tc>
        <w:tc>
          <w:tcPr>
            <w:tcW w:w="771" w:type="dxa"/>
            <w:noWrap w:val="0"/>
            <w:vAlign w:val="center"/>
          </w:tcPr>
          <w:p w14:paraId="2F7B81E7">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机房辅材及技术服务</w:t>
            </w:r>
          </w:p>
        </w:tc>
        <w:tc>
          <w:tcPr>
            <w:tcW w:w="5164" w:type="dxa"/>
            <w:noWrap w:val="0"/>
            <w:vAlign w:val="center"/>
          </w:tcPr>
          <w:p w14:paraId="77B6109B">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1、电源线</w:t>
            </w:r>
          </w:p>
          <w:p w14:paraId="5F7C063C">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1）护套线RVV2*1.0mm2；</w:t>
            </w:r>
          </w:p>
          <w:p w14:paraId="6F44FDAC">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2）全无氧铜国标足米；</w:t>
            </w:r>
          </w:p>
          <w:p w14:paraId="78B2F32C">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3）交联聚乙烯绝缘聚氯乙烯护套；</w:t>
            </w:r>
          </w:p>
          <w:p w14:paraId="0C3F0868">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2、六类非屏蔽网线</w:t>
            </w:r>
          </w:p>
          <w:p w14:paraId="70D77C1A">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 xml:space="preserve">1）产品标准：YD/T 1019-2013《数字通信用聚烯烃绝缘水平对绞电缆》   </w:t>
            </w:r>
          </w:p>
          <w:p w14:paraId="37CC6989">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2）性能达到或超过6类/E级信道规范的要求，最大工作频率可达300MHz，支持1GMbps的网络传输速度；</w:t>
            </w:r>
          </w:p>
          <w:p w14:paraId="083D8127">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3）采用中心十字架结构，提升各线对之间串音指标富裕度；</w:t>
            </w:r>
          </w:p>
          <w:p w14:paraId="27FB4CF1">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4）导体采用优质实芯裸铜导体，导体直径≥0.57mm，满足线规23AWG；</w:t>
            </w:r>
          </w:p>
          <w:p w14:paraId="1460A69D">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5）绝缘采用优质高密度聚乙烯（HDPE）厚度≥0.225mm；</w:t>
            </w:r>
          </w:p>
          <w:p w14:paraId="28EDE8E0">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6）为区分各系统布线，护套材料可选用灰色，红色，黄色，绿色，蓝色优质PVC料厚度≥0.55mm，可满足阻燃级别CM；</w:t>
            </w:r>
          </w:p>
          <w:p w14:paraId="129F2EDE">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7）铜缆外径为￠6.1±0.3mm ；</w:t>
            </w:r>
          </w:p>
          <w:p w14:paraId="52DB1259">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8）电缆采用蜂房式成圈，护套米标0-305米；</w:t>
            </w:r>
          </w:p>
          <w:p w14:paraId="0AB54B6B">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9）安装温度： 0℃～+50℃，工作温度范围：-20 至 75度。</w:t>
            </w:r>
          </w:p>
          <w:p w14:paraId="4112385A">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10）产品合格证上有厂家防伪标签及可追溯产品条码；</w:t>
            </w:r>
          </w:p>
          <w:p w14:paraId="1420D053">
            <w:pPr>
              <w:widowControl/>
              <w:spacing w:line="360" w:lineRule="exact"/>
              <w:jc w:val="left"/>
              <w:textAlignment w:val="center"/>
              <w:rPr>
                <w:rFonts w:hint="eastAsia" w:ascii="宋体" w:hAnsi="宋体" w:cs="宋体"/>
                <w:b/>
                <w:bCs/>
                <w:color w:val="auto"/>
                <w:kern w:val="0"/>
                <w:sz w:val="24"/>
                <w:szCs w:val="24"/>
                <w:lang w:bidi="ar"/>
              </w:rPr>
            </w:pPr>
            <w:r>
              <w:rPr>
                <w:rFonts w:hint="eastAsia" w:ascii="宋体" w:hAnsi="宋体" w:cs="宋体"/>
                <w:color w:val="auto"/>
                <w:kern w:val="0"/>
                <w:sz w:val="24"/>
                <w:szCs w:val="24"/>
                <w:lang w:bidi="ar"/>
              </w:rPr>
              <w:t>11）单根导体直流电阻≤7.1 Ω/100m；线对直流电阻不平衡：线对内两导体间≤0.5% ，线对与线对间≤2%；绝缘电阻≥4.1×104 MΩ.km；</w:t>
            </w:r>
          </w:p>
          <w:p w14:paraId="0D467B11">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12）导体的断裂伸长率≥18%，护套老化后断裂伸长率≥230%；导体直径≥0.57mm。</w:t>
            </w:r>
          </w:p>
          <w:p w14:paraId="175E8B64">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3、理线器</w:t>
            </w:r>
          </w:p>
          <w:p w14:paraId="64938EC2">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1）加厚型 19英寸1U 24口 冷轧板 黑色。</w:t>
            </w:r>
          </w:p>
          <w:p w14:paraId="118861B1">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4、综合布线所需的辅材、机房设计装修（刷墙、桥架线槽、水晶头、螺丝、胶垫、扎带、电工胶布等）。</w:t>
            </w:r>
          </w:p>
          <w:p w14:paraId="0F2F84E4">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5.监控系统一套，且前后覆盖。</w:t>
            </w:r>
          </w:p>
          <w:p w14:paraId="0C84BA39">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6、系统培训、应用指导。</w:t>
            </w:r>
          </w:p>
          <w:p w14:paraId="22D5BD7F">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b/>
                <w:bCs/>
                <w:color w:val="auto"/>
                <w:kern w:val="0"/>
                <w:sz w:val="24"/>
                <w:szCs w:val="24"/>
                <w:lang w:bidi="ar"/>
              </w:rPr>
              <w:t>注：所有辅材包干。</w:t>
            </w:r>
          </w:p>
        </w:tc>
        <w:tc>
          <w:tcPr>
            <w:tcW w:w="612" w:type="dxa"/>
            <w:noWrap w:val="0"/>
            <w:vAlign w:val="center"/>
          </w:tcPr>
          <w:p w14:paraId="08376DDB">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w:t>
            </w:r>
          </w:p>
        </w:tc>
        <w:tc>
          <w:tcPr>
            <w:tcW w:w="450" w:type="dxa"/>
            <w:noWrap w:val="0"/>
            <w:vAlign w:val="center"/>
          </w:tcPr>
          <w:p w14:paraId="3CD80E69">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项</w:t>
            </w:r>
          </w:p>
        </w:tc>
        <w:tc>
          <w:tcPr>
            <w:tcW w:w="1125" w:type="dxa"/>
            <w:noWrap w:val="0"/>
            <w:vAlign w:val="center"/>
          </w:tcPr>
          <w:p w14:paraId="1710BFB5">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 xml:space="preserve">30816.00 </w:t>
            </w:r>
          </w:p>
        </w:tc>
        <w:tc>
          <w:tcPr>
            <w:tcW w:w="1125" w:type="dxa"/>
            <w:noWrap w:val="0"/>
            <w:vAlign w:val="center"/>
          </w:tcPr>
          <w:p w14:paraId="33E8F7D0">
            <w:pPr>
              <w:keepNext w:val="0"/>
              <w:keepLines w:val="0"/>
              <w:widowControl/>
              <w:suppressLineNumbers w:val="0"/>
              <w:jc w:val="center"/>
              <w:textAlignment w:val="center"/>
              <w:rPr>
                <w:rFonts w:hint="eastAsia" w:ascii="宋体" w:hAnsi="宋体" w:cs="宋体"/>
                <w:color w:val="auto"/>
                <w:kern w:val="0"/>
                <w:sz w:val="24"/>
                <w:szCs w:val="24"/>
                <w:lang w:bidi="ar"/>
              </w:rPr>
            </w:pPr>
            <w:r>
              <w:rPr>
                <w:rFonts w:hint="eastAsia" w:ascii="宋体" w:hAnsi="宋体" w:eastAsia="宋体" w:cs="宋体"/>
                <w:i w:val="0"/>
                <w:iCs w:val="0"/>
                <w:color w:val="auto"/>
                <w:kern w:val="0"/>
                <w:sz w:val="24"/>
                <w:szCs w:val="24"/>
                <w:u w:val="none"/>
                <w:lang w:val="en-US" w:eastAsia="zh-CN" w:bidi="ar"/>
              </w:rPr>
              <w:t xml:space="preserve">30816.00 </w:t>
            </w:r>
          </w:p>
        </w:tc>
      </w:tr>
      <w:tr w14:paraId="44A9E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44" w:type="dxa"/>
            <w:noWrap w:val="0"/>
            <w:vAlign w:val="center"/>
          </w:tcPr>
          <w:p w14:paraId="6316A7BC">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7</w:t>
            </w:r>
          </w:p>
        </w:tc>
        <w:tc>
          <w:tcPr>
            <w:tcW w:w="771" w:type="dxa"/>
            <w:noWrap w:val="0"/>
            <w:vAlign w:val="center"/>
          </w:tcPr>
          <w:p w14:paraId="4C5995AB">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监控摄像头</w:t>
            </w:r>
          </w:p>
        </w:tc>
        <w:tc>
          <w:tcPr>
            <w:tcW w:w="5164" w:type="dxa"/>
            <w:noWrap w:val="0"/>
            <w:vAlign w:val="center"/>
          </w:tcPr>
          <w:p w14:paraId="6E9258A1">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1）有效像素：400万像素；</w:t>
            </w:r>
          </w:p>
          <w:p w14:paraId="09595279">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2）传感器：1/3"CMOS传感器；</w:t>
            </w:r>
          </w:p>
          <w:p w14:paraId="3F70BB86">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3）分辨率：2560*1440；</w:t>
            </w:r>
          </w:p>
          <w:p w14:paraId="48911086">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4）帧率：25FPS（默认）；</w:t>
            </w:r>
          </w:p>
          <w:p w14:paraId="2E55F2A2">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5）焦距：定焦；</w:t>
            </w:r>
          </w:p>
          <w:p w14:paraId="1D6C170B">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6）视频编码：H.265 &amp; H.264，（默认H.265)；</w:t>
            </w:r>
          </w:p>
          <w:p w14:paraId="206ED83E">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7）补光光源：双光源设计（6红外6白光）；</w:t>
            </w:r>
          </w:p>
          <w:p w14:paraId="373F844F">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8）夜视距离：红外：35米；可见光：30米；</w:t>
            </w:r>
          </w:p>
          <w:p w14:paraId="143769A7">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9）麦克风：内置麦克风；</w:t>
            </w:r>
          </w:p>
          <w:p w14:paraId="436111E2">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10）拾音距离：10米；</w:t>
            </w:r>
          </w:p>
          <w:p w14:paraId="689D65AA">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11）扬声器：内置扬声器；</w:t>
            </w:r>
          </w:p>
          <w:p w14:paraId="19EE6B75">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12）扬声器功率：2W；</w:t>
            </w:r>
          </w:p>
          <w:p w14:paraId="1618313E">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13）语音对讲：支持双向语音对讲；</w:t>
            </w:r>
          </w:p>
          <w:p w14:paraId="7ED16578">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14）告警功能：支持移动侦测告警及人形侦测告警；</w:t>
            </w:r>
          </w:p>
          <w:p w14:paraId="01F35E38">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15）前端存储：支持，最大支持256G TF卡；</w:t>
            </w:r>
          </w:p>
          <w:p w14:paraId="78EFE559">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16）云存储：支持；</w:t>
            </w:r>
          </w:p>
          <w:p w14:paraId="6A367710">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17）供电方式：POE：802.3af；</w:t>
            </w:r>
          </w:p>
          <w:p w14:paraId="4D646EB9">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18）安装方式：壁装；</w:t>
            </w:r>
          </w:p>
          <w:p w14:paraId="733579D0">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19）工作温度：-30℃~60℃；</w:t>
            </w:r>
          </w:p>
          <w:p w14:paraId="60149831">
            <w:pPr>
              <w:widowControl/>
              <w:spacing w:line="360" w:lineRule="exact"/>
              <w:jc w:val="left"/>
              <w:textAlignment w:val="center"/>
              <w:rPr>
                <w:rFonts w:hint="eastAsia" w:ascii="宋体" w:hAnsi="宋体" w:cs="宋体"/>
                <w:b/>
                <w:bCs/>
                <w:color w:val="auto"/>
                <w:kern w:val="0"/>
                <w:sz w:val="24"/>
                <w:szCs w:val="24"/>
                <w:lang w:bidi="ar"/>
              </w:rPr>
            </w:pPr>
            <w:r>
              <w:rPr>
                <w:rFonts w:hint="eastAsia" w:ascii="宋体" w:hAnsi="宋体" w:cs="宋体"/>
                <w:color w:val="auto"/>
                <w:kern w:val="0"/>
                <w:sz w:val="24"/>
                <w:szCs w:val="24"/>
                <w:lang w:bidi="ar"/>
              </w:rPr>
              <w:t>20）防水防尘 IP66。</w:t>
            </w:r>
          </w:p>
        </w:tc>
        <w:tc>
          <w:tcPr>
            <w:tcW w:w="612" w:type="dxa"/>
            <w:noWrap w:val="0"/>
            <w:vAlign w:val="center"/>
          </w:tcPr>
          <w:p w14:paraId="30CFF08E">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4</w:t>
            </w:r>
          </w:p>
        </w:tc>
        <w:tc>
          <w:tcPr>
            <w:tcW w:w="450" w:type="dxa"/>
            <w:noWrap w:val="0"/>
            <w:vAlign w:val="center"/>
          </w:tcPr>
          <w:p w14:paraId="6FBC9AF4">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个</w:t>
            </w:r>
          </w:p>
        </w:tc>
        <w:tc>
          <w:tcPr>
            <w:tcW w:w="1125" w:type="dxa"/>
            <w:noWrap w:val="0"/>
            <w:vAlign w:val="center"/>
          </w:tcPr>
          <w:p w14:paraId="713D47ED">
            <w:pPr>
              <w:widowControl/>
              <w:spacing w:line="360" w:lineRule="exact"/>
              <w:jc w:val="center"/>
              <w:textAlignment w:val="center"/>
              <w:rPr>
                <w:rFonts w:ascii="宋体" w:hAnsi="宋体" w:cs="宋体"/>
                <w:color w:val="auto"/>
                <w:kern w:val="0"/>
                <w:sz w:val="24"/>
                <w:szCs w:val="24"/>
                <w:lang w:bidi="ar"/>
              </w:rPr>
            </w:pPr>
            <w:r>
              <w:rPr>
                <w:rFonts w:hint="eastAsia" w:ascii="宋体" w:hAnsi="宋体" w:cs="宋体"/>
                <w:color w:val="auto"/>
                <w:kern w:val="0"/>
                <w:sz w:val="24"/>
                <w:szCs w:val="24"/>
                <w:lang w:bidi="ar"/>
              </w:rPr>
              <w:t>500.00</w:t>
            </w:r>
          </w:p>
        </w:tc>
        <w:tc>
          <w:tcPr>
            <w:tcW w:w="1125" w:type="dxa"/>
            <w:noWrap w:val="0"/>
            <w:vAlign w:val="center"/>
          </w:tcPr>
          <w:p w14:paraId="1E08A8A2">
            <w:pPr>
              <w:keepNext w:val="0"/>
              <w:keepLines w:val="0"/>
              <w:widowControl/>
              <w:suppressLineNumbers w:val="0"/>
              <w:jc w:val="center"/>
              <w:textAlignment w:val="center"/>
              <w:rPr>
                <w:rFonts w:hint="eastAsia" w:ascii="宋体" w:hAnsi="宋体" w:cs="宋体"/>
                <w:color w:val="auto"/>
                <w:kern w:val="0"/>
                <w:sz w:val="24"/>
                <w:szCs w:val="24"/>
                <w:lang w:bidi="ar"/>
              </w:rPr>
            </w:pPr>
            <w:r>
              <w:rPr>
                <w:rFonts w:hint="eastAsia" w:ascii="宋体" w:hAnsi="宋体" w:eastAsia="宋体" w:cs="宋体"/>
                <w:i w:val="0"/>
                <w:iCs w:val="0"/>
                <w:color w:val="auto"/>
                <w:kern w:val="0"/>
                <w:sz w:val="24"/>
                <w:szCs w:val="24"/>
                <w:u w:val="none"/>
                <w:lang w:val="en-US" w:eastAsia="zh-CN" w:bidi="ar"/>
              </w:rPr>
              <w:t xml:space="preserve">2000.00 </w:t>
            </w:r>
          </w:p>
        </w:tc>
      </w:tr>
      <w:tr w14:paraId="46B80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44" w:type="dxa"/>
            <w:noWrap w:val="0"/>
            <w:vAlign w:val="center"/>
          </w:tcPr>
          <w:p w14:paraId="102D1712">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8</w:t>
            </w:r>
          </w:p>
        </w:tc>
        <w:tc>
          <w:tcPr>
            <w:tcW w:w="771" w:type="dxa"/>
            <w:noWrap w:val="0"/>
            <w:vAlign w:val="center"/>
          </w:tcPr>
          <w:p w14:paraId="1EFD33E8">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教学终端PAD</w:t>
            </w:r>
          </w:p>
        </w:tc>
        <w:tc>
          <w:tcPr>
            <w:tcW w:w="5164" w:type="dxa"/>
            <w:noWrap w:val="0"/>
            <w:vAlign w:val="center"/>
          </w:tcPr>
          <w:p w14:paraId="6A7E79D3">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一、硬件规格</w:t>
            </w:r>
          </w:p>
          <w:p w14:paraId="0AF5F9A0">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1、尺寸≥10.95英寸；</w:t>
            </w:r>
          </w:p>
          <w:p w14:paraId="6290F166">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2、CPU ≥八核2.2GHz；</w:t>
            </w:r>
          </w:p>
          <w:p w14:paraId="217B8091">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3、系统≥安卓14.0；</w:t>
            </w:r>
          </w:p>
          <w:p w14:paraId="2EED72C5">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4、内存≥6G LpDDR4X；</w:t>
            </w:r>
          </w:p>
          <w:p w14:paraId="377766E0">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5、存储≥128G eMMC；</w:t>
            </w:r>
          </w:p>
          <w:p w14:paraId="3F213D39">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6、分辨率≥1920x1200；</w:t>
            </w:r>
          </w:p>
          <w:p w14:paraId="0F7BF6F7">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7、触控≥incell 10点触摸；</w:t>
            </w:r>
          </w:p>
          <w:p w14:paraId="22791CBE">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8、电池容量≥7520mHA/3.8V；</w:t>
            </w:r>
          </w:p>
          <w:p w14:paraId="3C2E736D">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9、摄像头≥前摄500万、后摄800万；</w:t>
            </w:r>
          </w:p>
          <w:p w14:paraId="05680BBC">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10、蓝牙5.0，连接 WiFi5，单天线；</w:t>
            </w:r>
          </w:p>
          <w:p w14:paraId="4412B86D">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11、LTE网络 5G全网通；</w:t>
            </w:r>
          </w:p>
          <w:p w14:paraId="44C03DC1">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12、接口≥1*SIM卡槽、2*Type-C；</w:t>
            </w:r>
          </w:p>
          <w:p w14:paraId="75FCE6A1">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13、麦克风&amp;喇叭≥ 1个整列麦、2个腔体喇；</w:t>
            </w:r>
          </w:p>
          <w:p w14:paraId="2FC81AA4">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14外壳金属机身,重量480g含同品牌原装键盘。</w:t>
            </w:r>
          </w:p>
          <w:p w14:paraId="6C3D2E40">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二、云电脑配置（三年免费服务）</w:t>
            </w:r>
          </w:p>
          <w:p w14:paraId="3478D030">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8核16G，80GB SAS系统盘,200G SAS 数据盘。</w:t>
            </w:r>
          </w:p>
          <w:p w14:paraId="319DA655">
            <w:pPr>
              <w:widowControl/>
              <w:spacing w:line="360" w:lineRule="exact"/>
              <w:jc w:val="left"/>
              <w:textAlignment w:val="center"/>
              <w:rPr>
                <w:rFonts w:hint="eastAsia" w:ascii="宋体" w:hAnsi="宋体" w:cs="宋体"/>
                <w:color w:val="auto"/>
                <w:kern w:val="0"/>
                <w:sz w:val="24"/>
                <w:szCs w:val="24"/>
                <w:lang w:bidi="ar"/>
              </w:rPr>
            </w:pPr>
            <w:r>
              <w:rPr>
                <w:rFonts w:hint="eastAsia" w:ascii="宋体" w:hAnsi="宋体" w:cs="宋体"/>
                <w:b/>
                <w:bCs/>
                <w:color w:val="auto"/>
                <w:kern w:val="0"/>
                <w:sz w:val="24"/>
                <w:szCs w:val="24"/>
                <w:lang w:bidi="ar"/>
              </w:rPr>
              <w:t>（响应供应商须提供三年云电脑免费服务承诺函加盖供应商公章，未提供或提供不符合要求的视为无效响应。）</w:t>
            </w:r>
          </w:p>
        </w:tc>
        <w:tc>
          <w:tcPr>
            <w:tcW w:w="612" w:type="dxa"/>
            <w:noWrap w:val="0"/>
            <w:vAlign w:val="center"/>
          </w:tcPr>
          <w:p w14:paraId="443F8BDC">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320</w:t>
            </w:r>
          </w:p>
        </w:tc>
        <w:tc>
          <w:tcPr>
            <w:tcW w:w="450" w:type="dxa"/>
            <w:noWrap w:val="0"/>
            <w:vAlign w:val="center"/>
          </w:tcPr>
          <w:p w14:paraId="390127FD">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台</w:t>
            </w:r>
          </w:p>
        </w:tc>
        <w:tc>
          <w:tcPr>
            <w:tcW w:w="1125" w:type="dxa"/>
            <w:noWrap w:val="0"/>
            <w:vAlign w:val="center"/>
          </w:tcPr>
          <w:p w14:paraId="061DDE21">
            <w:pPr>
              <w:widowControl/>
              <w:spacing w:line="360" w:lineRule="exact"/>
              <w:jc w:val="center"/>
              <w:textAlignment w:val="center"/>
              <w:rPr>
                <w:rFonts w:hint="eastAsia" w:ascii="宋体" w:hAnsi="宋体" w:cs="宋体"/>
                <w:color w:val="auto"/>
                <w:kern w:val="0"/>
                <w:sz w:val="24"/>
                <w:szCs w:val="24"/>
                <w:lang w:bidi="ar"/>
              </w:rPr>
            </w:pPr>
            <w:r>
              <w:rPr>
                <w:rFonts w:hint="eastAsia" w:ascii="宋体" w:hAnsi="宋体" w:cs="宋体"/>
                <w:color w:val="auto"/>
                <w:kern w:val="0"/>
                <w:sz w:val="24"/>
                <w:szCs w:val="24"/>
                <w:lang w:bidi="ar"/>
              </w:rPr>
              <w:t xml:space="preserve">1764.00 </w:t>
            </w:r>
          </w:p>
        </w:tc>
        <w:tc>
          <w:tcPr>
            <w:tcW w:w="1125" w:type="dxa"/>
            <w:noWrap w:val="0"/>
            <w:vAlign w:val="center"/>
          </w:tcPr>
          <w:p w14:paraId="322163F7">
            <w:pPr>
              <w:keepNext w:val="0"/>
              <w:keepLines w:val="0"/>
              <w:widowControl/>
              <w:suppressLineNumbers w:val="0"/>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 xml:space="preserve">564480.00 </w:t>
            </w:r>
          </w:p>
        </w:tc>
      </w:tr>
    </w:tbl>
    <w:p w14:paraId="0D476493">
      <w:pPr>
        <w:spacing w:before="240" w:beforeLines="100" w:after="120" w:afterLines="50" w:line="360" w:lineRule="auto"/>
        <w:ind w:firstLine="542" w:firstLineChars="200"/>
        <w:rPr>
          <w:rFonts w:ascii="宋体" w:hAnsi="宋体"/>
          <w:b/>
          <w:bCs/>
          <w:color w:val="auto"/>
          <w:sz w:val="27"/>
          <w:szCs w:val="27"/>
        </w:rPr>
      </w:pPr>
      <w:r>
        <w:rPr>
          <w:rFonts w:hint="eastAsia" w:ascii="宋体" w:hAnsi="宋体"/>
          <w:b/>
          <w:bCs/>
          <w:color w:val="auto"/>
          <w:sz w:val="27"/>
          <w:szCs w:val="27"/>
        </w:rPr>
        <w:t>★（七）商务要求</w:t>
      </w:r>
    </w:p>
    <w:tbl>
      <w:tblPr>
        <w:tblStyle w:val="6"/>
        <w:tblW w:w="0" w:type="auto"/>
        <w:jc w:val="center"/>
        <w:tblCellSpacing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756"/>
        <w:gridCol w:w="1559"/>
        <w:gridCol w:w="7261"/>
      </w:tblGrid>
      <w:tr w14:paraId="26AAA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40" w:hRule="atLeast"/>
          <w:tblCellSpacing w:w="0" w:type="dxa"/>
          <w:jc w:val="center"/>
        </w:trPr>
        <w:tc>
          <w:tcPr>
            <w:tcW w:w="756" w:type="dxa"/>
            <w:noWrap/>
            <w:vAlign w:val="center"/>
          </w:tcPr>
          <w:p w14:paraId="743D5908">
            <w:pPr>
              <w:spacing w:line="400" w:lineRule="exact"/>
              <w:jc w:val="center"/>
              <w:rPr>
                <w:rFonts w:hint="eastAsia" w:ascii="宋体" w:hAnsi="宋体" w:cs="宋体"/>
                <w:b/>
                <w:bCs/>
                <w:color w:val="auto"/>
                <w:sz w:val="27"/>
                <w:szCs w:val="27"/>
              </w:rPr>
            </w:pPr>
            <w:r>
              <w:rPr>
                <w:rFonts w:hint="eastAsia" w:ascii="宋体" w:hAnsi="宋体" w:cs="宋体"/>
                <w:b/>
                <w:bCs/>
                <w:color w:val="auto"/>
                <w:sz w:val="27"/>
                <w:szCs w:val="27"/>
              </w:rPr>
              <w:t>序号</w:t>
            </w:r>
          </w:p>
        </w:tc>
        <w:tc>
          <w:tcPr>
            <w:tcW w:w="1559" w:type="dxa"/>
            <w:noWrap/>
            <w:vAlign w:val="center"/>
          </w:tcPr>
          <w:p w14:paraId="7456009B">
            <w:pPr>
              <w:spacing w:line="400" w:lineRule="exact"/>
              <w:jc w:val="center"/>
              <w:rPr>
                <w:rFonts w:hint="eastAsia" w:ascii="宋体" w:hAnsi="宋体" w:cs="宋体"/>
                <w:b/>
                <w:bCs/>
                <w:color w:val="auto"/>
                <w:sz w:val="27"/>
                <w:szCs w:val="27"/>
              </w:rPr>
            </w:pPr>
            <w:r>
              <w:rPr>
                <w:rFonts w:hint="eastAsia" w:ascii="宋体" w:hAnsi="宋体" w:cs="宋体"/>
                <w:b/>
                <w:bCs/>
                <w:color w:val="auto"/>
                <w:sz w:val="27"/>
                <w:szCs w:val="27"/>
              </w:rPr>
              <w:t>条款名称</w:t>
            </w:r>
          </w:p>
        </w:tc>
        <w:tc>
          <w:tcPr>
            <w:tcW w:w="7261" w:type="dxa"/>
            <w:noWrap/>
            <w:vAlign w:val="center"/>
          </w:tcPr>
          <w:p w14:paraId="0C4519FA">
            <w:pPr>
              <w:spacing w:line="400" w:lineRule="exact"/>
              <w:jc w:val="center"/>
              <w:rPr>
                <w:rFonts w:hint="eastAsia" w:ascii="宋体" w:hAnsi="宋体" w:cs="宋体"/>
                <w:b/>
                <w:bCs/>
                <w:color w:val="auto"/>
                <w:sz w:val="27"/>
                <w:szCs w:val="27"/>
              </w:rPr>
            </w:pPr>
            <w:r>
              <w:rPr>
                <w:rFonts w:hint="eastAsia" w:ascii="宋体" w:hAnsi="宋体" w:cs="宋体"/>
                <w:b/>
                <w:bCs/>
                <w:color w:val="auto"/>
                <w:sz w:val="27"/>
                <w:szCs w:val="27"/>
              </w:rPr>
              <w:t>需求说明</w:t>
            </w:r>
          </w:p>
        </w:tc>
      </w:tr>
      <w:tr w14:paraId="1FBEC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17" w:hRule="atLeast"/>
          <w:tblCellSpacing w:w="0" w:type="dxa"/>
          <w:jc w:val="center"/>
        </w:trPr>
        <w:tc>
          <w:tcPr>
            <w:tcW w:w="756" w:type="dxa"/>
            <w:noWrap/>
            <w:vAlign w:val="center"/>
          </w:tcPr>
          <w:p w14:paraId="2C834579">
            <w:pPr>
              <w:spacing w:line="400" w:lineRule="exact"/>
              <w:jc w:val="center"/>
              <w:rPr>
                <w:rFonts w:hint="eastAsia" w:ascii="宋体" w:hAnsi="宋体" w:cs="宋体"/>
                <w:color w:val="auto"/>
                <w:kern w:val="0"/>
                <w:sz w:val="27"/>
                <w:szCs w:val="27"/>
              </w:rPr>
            </w:pPr>
            <w:r>
              <w:rPr>
                <w:rFonts w:hint="eastAsia" w:ascii="宋体" w:hAnsi="宋体" w:cs="宋体"/>
                <w:color w:val="auto"/>
                <w:sz w:val="27"/>
                <w:szCs w:val="27"/>
              </w:rPr>
              <w:t>1</w:t>
            </w:r>
          </w:p>
        </w:tc>
        <w:tc>
          <w:tcPr>
            <w:tcW w:w="1559" w:type="dxa"/>
            <w:noWrap/>
            <w:vAlign w:val="center"/>
          </w:tcPr>
          <w:p w14:paraId="049E7505">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交货地点</w:t>
            </w:r>
          </w:p>
        </w:tc>
        <w:tc>
          <w:tcPr>
            <w:tcW w:w="7261" w:type="dxa"/>
            <w:noWrap/>
            <w:vAlign w:val="center"/>
          </w:tcPr>
          <w:p w14:paraId="27F36F10">
            <w:pPr>
              <w:spacing w:line="400" w:lineRule="exact"/>
              <w:ind w:left="53" w:leftChars="25"/>
              <w:jc w:val="left"/>
              <w:rPr>
                <w:rFonts w:hint="eastAsia" w:ascii="宋体" w:hAnsi="宋体" w:cs="宋体"/>
                <w:color w:val="auto"/>
                <w:sz w:val="27"/>
                <w:szCs w:val="27"/>
              </w:rPr>
            </w:pPr>
            <w:r>
              <w:rPr>
                <w:rFonts w:hint="eastAsia" w:ascii="宋体" w:hAnsi="宋体" w:cs="宋体"/>
                <w:color w:val="auto"/>
                <w:sz w:val="27"/>
                <w:szCs w:val="27"/>
              </w:rPr>
              <w:t>采购单位指定地点。</w:t>
            </w:r>
          </w:p>
        </w:tc>
      </w:tr>
      <w:tr w14:paraId="38523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75" w:hRule="atLeast"/>
          <w:tblCellSpacing w:w="0" w:type="dxa"/>
          <w:jc w:val="center"/>
        </w:trPr>
        <w:tc>
          <w:tcPr>
            <w:tcW w:w="756" w:type="dxa"/>
            <w:noWrap/>
            <w:vAlign w:val="center"/>
          </w:tcPr>
          <w:p w14:paraId="041D41E5">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2</w:t>
            </w:r>
          </w:p>
        </w:tc>
        <w:tc>
          <w:tcPr>
            <w:tcW w:w="1559" w:type="dxa"/>
            <w:noWrap/>
            <w:vAlign w:val="center"/>
          </w:tcPr>
          <w:p w14:paraId="77529EC3">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交货期</w:t>
            </w:r>
          </w:p>
        </w:tc>
        <w:tc>
          <w:tcPr>
            <w:tcW w:w="7261" w:type="dxa"/>
            <w:noWrap/>
            <w:vAlign w:val="center"/>
          </w:tcPr>
          <w:p w14:paraId="0746C57E">
            <w:pPr>
              <w:pStyle w:val="5"/>
              <w:spacing w:line="400" w:lineRule="exact"/>
              <w:rPr>
                <w:rFonts w:hint="eastAsia" w:cs="宋体"/>
                <w:color w:val="auto"/>
                <w:sz w:val="27"/>
                <w:szCs w:val="27"/>
                <w:lang w:val="en-US" w:eastAsia="zh-CN"/>
              </w:rPr>
            </w:pPr>
            <w:r>
              <w:rPr>
                <w:rFonts w:hint="eastAsia" w:cs="宋体"/>
                <w:color w:val="auto"/>
                <w:sz w:val="27"/>
                <w:szCs w:val="27"/>
                <w:lang w:val="en-US" w:eastAsia="zh-CN"/>
              </w:rPr>
              <w:t>在合同签订后30日内将所供货物按采购人要求运至指定地点，包括安装调试。</w:t>
            </w:r>
          </w:p>
        </w:tc>
      </w:tr>
      <w:tr w14:paraId="6231E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42" w:hRule="atLeast"/>
          <w:tblCellSpacing w:w="0" w:type="dxa"/>
          <w:jc w:val="center"/>
        </w:trPr>
        <w:tc>
          <w:tcPr>
            <w:tcW w:w="756" w:type="dxa"/>
            <w:noWrap/>
            <w:vAlign w:val="center"/>
          </w:tcPr>
          <w:p w14:paraId="26E1028A">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3</w:t>
            </w:r>
          </w:p>
        </w:tc>
        <w:tc>
          <w:tcPr>
            <w:tcW w:w="1559" w:type="dxa"/>
            <w:noWrap/>
            <w:vAlign w:val="center"/>
          </w:tcPr>
          <w:p w14:paraId="4166B449">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付款方式</w:t>
            </w:r>
          </w:p>
        </w:tc>
        <w:tc>
          <w:tcPr>
            <w:tcW w:w="7261" w:type="dxa"/>
            <w:noWrap/>
            <w:vAlign w:val="center"/>
          </w:tcPr>
          <w:p w14:paraId="2E18AD7D">
            <w:pPr>
              <w:spacing w:line="400" w:lineRule="exact"/>
              <w:jc w:val="left"/>
              <w:rPr>
                <w:rFonts w:hint="eastAsia" w:ascii="宋体" w:hAnsi="宋体" w:cs="宋体"/>
                <w:color w:val="auto"/>
                <w:sz w:val="27"/>
                <w:szCs w:val="27"/>
              </w:rPr>
            </w:pPr>
            <w:r>
              <w:rPr>
                <w:rFonts w:hint="eastAsia" w:ascii="宋体" w:hAnsi="宋体" w:cs="宋体"/>
                <w:color w:val="auto"/>
                <w:sz w:val="27"/>
                <w:szCs w:val="27"/>
              </w:rPr>
              <w:t>货物安装完成并调试成功验收合格后，采购人应当自收到发票后5个工作日内一次性支付合同金额100%，不得以机构变动、人员更替、政策调整等为由迟延付款，不得将采购文件和合同中未规定的义务作为向成交供应商付款的条件。</w:t>
            </w:r>
          </w:p>
        </w:tc>
      </w:tr>
      <w:tr w14:paraId="1B3F3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1" w:hRule="atLeast"/>
          <w:tblCellSpacing w:w="0" w:type="dxa"/>
          <w:jc w:val="center"/>
        </w:trPr>
        <w:tc>
          <w:tcPr>
            <w:tcW w:w="756" w:type="dxa"/>
            <w:noWrap/>
            <w:vAlign w:val="center"/>
          </w:tcPr>
          <w:p w14:paraId="3EDB7AFF">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4</w:t>
            </w:r>
          </w:p>
        </w:tc>
        <w:tc>
          <w:tcPr>
            <w:tcW w:w="1559" w:type="dxa"/>
            <w:noWrap/>
            <w:vAlign w:val="center"/>
          </w:tcPr>
          <w:p w14:paraId="5BBE6D9F">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履约保证金</w:t>
            </w:r>
          </w:p>
        </w:tc>
        <w:tc>
          <w:tcPr>
            <w:tcW w:w="7261" w:type="dxa"/>
            <w:noWrap/>
            <w:vAlign w:val="center"/>
          </w:tcPr>
          <w:p w14:paraId="17C25CA5">
            <w:pPr>
              <w:spacing w:line="400" w:lineRule="exact"/>
              <w:jc w:val="left"/>
              <w:rPr>
                <w:rFonts w:hint="eastAsia" w:ascii="宋体" w:hAnsi="宋体" w:cs="宋体"/>
                <w:color w:val="auto"/>
                <w:sz w:val="27"/>
                <w:szCs w:val="27"/>
              </w:rPr>
            </w:pPr>
            <w:r>
              <w:rPr>
                <w:rFonts w:hint="eastAsia" w:ascii="宋体" w:hAnsi="宋体" w:cs="宋体"/>
                <w:color w:val="auto"/>
                <w:sz w:val="27"/>
                <w:szCs w:val="27"/>
              </w:rPr>
              <w:t>本项目不收取履约保证金。</w:t>
            </w:r>
          </w:p>
        </w:tc>
      </w:tr>
      <w:tr w14:paraId="1DB84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0" w:hRule="atLeast"/>
          <w:tblCellSpacing w:w="0" w:type="dxa"/>
          <w:jc w:val="center"/>
        </w:trPr>
        <w:tc>
          <w:tcPr>
            <w:tcW w:w="756" w:type="dxa"/>
            <w:noWrap/>
            <w:vAlign w:val="center"/>
          </w:tcPr>
          <w:p w14:paraId="501DFDB2">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5</w:t>
            </w:r>
          </w:p>
        </w:tc>
        <w:tc>
          <w:tcPr>
            <w:tcW w:w="1559" w:type="dxa"/>
            <w:noWrap/>
            <w:vAlign w:val="center"/>
          </w:tcPr>
          <w:p w14:paraId="09F92301">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质保期</w:t>
            </w:r>
          </w:p>
        </w:tc>
        <w:tc>
          <w:tcPr>
            <w:tcW w:w="7261" w:type="dxa"/>
            <w:noWrap/>
            <w:vAlign w:val="top"/>
          </w:tcPr>
          <w:p w14:paraId="725746D3">
            <w:pPr>
              <w:spacing w:line="400" w:lineRule="exact"/>
              <w:jc w:val="left"/>
              <w:rPr>
                <w:rFonts w:hint="eastAsia" w:ascii="宋体" w:hAnsi="宋体" w:cs="宋体"/>
                <w:color w:val="auto"/>
                <w:sz w:val="27"/>
                <w:szCs w:val="27"/>
              </w:rPr>
            </w:pPr>
            <w:r>
              <w:rPr>
                <w:rFonts w:hint="eastAsia" w:ascii="宋体" w:hAnsi="宋体" w:cs="宋体"/>
                <w:color w:val="auto"/>
                <w:sz w:val="27"/>
                <w:szCs w:val="27"/>
              </w:rPr>
              <w:t>所投</w:t>
            </w:r>
            <w:r>
              <w:rPr>
                <w:rFonts w:hint="eastAsia" w:ascii="宋体" w:hAnsi="宋体" w:cs="宋体"/>
                <w:color w:val="auto"/>
                <w:sz w:val="27"/>
                <w:szCs w:val="27"/>
                <w:lang w:val="en-US" w:eastAsia="zh-CN"/>
              </w:rPr>
              <w:t>空调须提供陆年质保期，</w:t>
            </w:r>
            <w:r>
              <w:rPr>
                <w:rFonts w:hint="eastAsia" w:ascii="宋体" w:hAnsi="宋体" w:cs="宋体"/>
                <w:color w:val="auto"/>
                <w:sz w:val="27"/>
                <w:szCs w:val="27"/>
              </w:rPr>
              <w:t>教学一体机、计算机须提供叁年质保期，其他产品须提供壹年质保期（货物另有超过询价通知书规定的，按原规定执行）。厂家负责免费维修,从验收合格之日起计算。</w:t>
            </w:r>
          </w:p>
        </w:tc>
      </w:tr>
      <w:tr w14:paraId="20E41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39" w:hRule="atLeast"/>
          <w:tblCellSpacing w:w="0" w:type="dxa"/>
          <w:jc w:val="center"/>
        </w:trPr>
        <w:tc>
          <w:tcPr>
            <w:tcW w:w="756" w:type="dxa"/>
            <w:noWrap/>
            <w:vAlign w:val="center"/>
          </w:tcPr>
          <w:p w14:paraId="52B9F28F">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6</w:t>
            </w:r>
          </w:p>
        </w:tc>
        <w:tc>
          <w:tcPr>
            <w:tcW w:w="1559" w:type="dxa"/>
            <w:noWrap/>
            <w:vAlign w:val="center"/>
          </w:tcPr>
          <w:p w14:paraId="48B73291">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售后服务</w:t>
            </w:r>
          </w:p>
        </w:tc>
        <w:tc>
          <w:tcPr>
            <w:tcW w:w="7261" w:type="dxa"/>
            <w:noWrap/>
            <w:vAlign w:val="top"/>
          </w:tcPr>
          <w:p w14:paraId="66AF84EC">
            <w:pPr>
              <w:spacing w:line="400" w:lineRule="exact"/>
              <w:jc w:val="left"/>
              <w:rPr>
                <w:rFonts w:hint="eastAsia" w:ascii="宋体" w:hAnsi="宋体" w:cs="宋体"/>
                <w:color w:val="auto"/>
                <w:sz w:val="27"/>
                <w:szCs w:val="27"/>
              </w:rPr>
            </w:pPr>
            <w:r>
              <w:rPr>
                <w:rFonts w:hint="eastAsia" w:ascii="宋体" w:hAnsi="宋体" w:cs="宋体"/>
                <w:color w:val="auto"/>
                <w:sz w:val="27"/>
                <w:szCs w:val="27"/>
              </w:rPr>
              <w:t>成交供应商须拟派人员负责设备安装调试及现场培训，确保设备正常操作使用。因系统更新、教学软件更新须定期为学校授课老师免费培训。</w:t>
            </w:r>
          </w:p>
          <w:p w14:paraId="164234BB">
            <w:pPr>
              <w:spacing w:line="400" w:lineRule="exact"/>
              <w:jc w:val="left"/>
              <w:rPr>
                <w:rFonts w:hint="eastAsia" w:ascii="宋体" w:hAnsi="宋体" w:cs="宋体"/>
                <w:color w:val="auto"/>
                <w:sz w:val="27"/>
                <w:szCs w:val="27"/>
              </w:rPr>
            </w:pPr>
            <w:r>
              <w:rPr>
                <w:rFonts w:hint="eastAsia" w:ascii="宋体" w:hAnsi="宋体" w:cs="宋体"/>
                <w:color w:val="auto"/>
                <w:sz w:val="27"/>
                <w:szCs w:val="27"/>
              </w:rPr>
              <w:t>维修故障承诺：收到维修通知2小时内响应，6小时内维修工程师到达现场维修并在12小时内解决问题。</w:t>
            </w:r>
          </w:p>
        </w:tc>
      </w:tr>
      <w:tr w14:paraId="180B6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39" w:hRule="atLeast"/>
          <w:tblCellSpacing w:w="0" w:type="dxa"/>
          <w:jc w:val="center"/>
        </w:trPr>
        <w:tc>
          <w:tcPr>
            <w:tcW w:w="756" w:type="dxa"/>
            <w:noWrap/>
            <w:vAlign w:val="center"/>
          </w:tcPr>
          <w:p w14:paraId="73F47A23">
            <w:pPr>
              <w:spacing w:line="400" w:lineRule="exact"/>
              <w:jc w:val="center"/>
              <w:rPr>
                <w:rFonts w:hint="eastAsia" w:ascii="宋体" w:hAnsi="宋体" w:eastAsia="宋体" w:cs="宋体"/>
                <w:color w:val="auto"/>
                <w:sz w:val="27"/>
                <w:szCs w:val="27"/>
                <w:lang w:eastAsia="zh-CN"/>
              </w:rPr>
            </w:pPr>
            <w:r>
              <w:rPr>
                <w:rFonts w:hint="eastAsia" w:ascii="宋体" w:hAnsi="宋体" w:cs="宋体"/>
                <w:color w:val="auto"/>
                <w:sz w:val="27"/>
                <w:szCs w:val="27"/>
                <w:lang w:val="en-US" w:eastAsia="zh-CN"/>
              </w:rPr>
              <w:t>7</w:t>
            </w:r>
          </w:p>
        </w:tc>
        <w:tc>
          <w:tcPr>
            <w:tcW w:w="1559" w:type="dxa"/>
            <w:noWrap/>
            <w:vAlign w:val="center"/>
          </w:tcPr>
          <w:p w14:paraId="03C94B8D">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项目验收</w:t>
            </w:r>
          </w:p>
        </w:tc>
        <w:tc>
          <w:tcPr>
            <w:tcW w:w="7261" w:type="dxa"/>
            <w:noWrap/>
            <w:vAlign w:val="top"/>
          </w:tcPr>
          <w:p w14:paraId="3D733EC7">
            <w:pPr>
              <w:spacing w:line="400" w:lineRule="exact"/>
              <w:rPr>
                <w:rFonts w:hint="eastAsia" w:ascii="宋体" w:hAnsi="宋体" w:cs="宋体"/>
                <w:color w:val="auto"/>
                <w:sz w:val="27"/>
                <w:szCs w:val="27"/>
              </w:rPr>
            </w:pPr>
            <w:r>
              <w:rPr>
                <w:rFonts w:hint="eastAsia" w:ascii="宋体" w:hAnsi="宋体" w:cs="宋体"/>
                <w:color w:val="auto"/>
                <w:sz w:val="27"/>
                <w:szCs w:val="27"/>
              </w:rPr>
              <w:t>设备安装调试完成正常使用后，成交供应商可向采购单位提出验收申请，采购单位在接到验收申请后七个工作日内组织相关部门及专家人员成立验收小组，根据本项目询价通知书、成交供应商响应文件、合同、补充文件及行业标准和国家的相关法律法规对产品进行验收。验收内容包括每一项技术和商务要求的履约情况是否符合要求等。验收结束后，验收小组应当出具验收意见报告。</w:t>
            </w:r>
          </w:p>
          <w:p w14:paraId="02E70E6A">
            <w:pPr>
              <w:spacing w:line="400" w:lineRule="exact"/>
              <w:rPr>
                <w:rFonts w:hint="eastAsia" w:ascii="宋体" w:hAnsi="宋体" w:cs="宋体"/>
                <w:color w:val="auto"/>
                <w:sz w:val="27"/>
                <w:szCs w:val="27"/>
              </w:rPr>
            </w:pPr>
            <w:r>
              <w:rPr>
                <w:rFonts w:hint="eastAsia" w:ascii="宋体" w:hAnsi="宋体" w:cs="宋体"/>
                <w:color w:val="auto"/>
                <w:sz w:val="27"/>
                <w:szCs w:val="27"/>
              </w:rPr>
              <w:t>如验收达不到规定要求，采购人有权要求更换货物或拒绝付款，成交供应商若违约，采购人将依法追究相应法律责任。</w:t>
            </w:r>
          </w:p>
        </w:tc>
      </w:tr>
      <w:tr w14:paraId="71538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372" w:hRule="atLeast"/>
          <w:tblCellSpacing w:w="0" w:type="dxa"/>
          <w:jc w:val="center"/>
        </w:trPr>
        <w:tc>
          <w:tcPr>
            <w:tcW w:w="756" w:type="dxa"/>
            <w:noWrap/>
            <w:vAlign w:val="center"/>
          </w:tcPr>
          <w:p w14:paraId="7A43DE70">
            <w:pPr>
              <w:spacing w:line="400" w:lineRule="exact"/>
              <w:jc w:val="center"/>
              <w:rPr>
                <w:rFonts w:hint="eastAsia" w:ascii="宋体" w:hAnsi="宋体" w:eastAsia="宋体" w:cs="宋体"/>
                <w:color w:val="auto"/>
                <w:sz w:val="27"/>
                <w:szCs w:val="27"/>
                <w:lang w:eastAsia="zh-CN"/>
              </w:rPr>
            </w:pPr>
            <w:r>
              <w:rPr>
                <w:rFonts w:hint="eastAsia" w:ascii="宋体" w:hAnsi="宋体" w:cs="宋体"/>
                <w:color w:val="auto"/>
                <w:sz w:val="27"/>
                <w:szCs w:val="27"/>
                <w:lang w:val="en-US" w:eastAsia="zh-CN"/>
              </w:rPr>
              <w:t>8</w:t>
            </w:r>
          </w:p>
        </w:tc>
        <w:tc>
          <w:tcPr>
            <w:tcW w:w="1559" w:type="dxa"/>
            <w:noWrap/>
            <w:vAlign w:val="center"/>
          </w:tcPr>
          <w:p w14:paraId="19E7DBEE">
            <w:pPr>
              <w:spacing w:line="400" w:lineRule="exact"/>
              <w:jc w:val="center"/>
              <w:rPr>
                <w:rFonts w:hint="eastAsia" w:ascii="宋体" w:hAnsi="宋体" w:cs="宋体"/>
                <w:color w:val="auto"/>
                <w:sz w:val="27"/>
                <w:szCs w:val="27"/>
              </w:rPr>
            </w:pPr>
            <w:r>
              <w:rPr>
                <w:rFonts w:hint="eastAsia" w:ascii="宋体" w:hAnsi="宋体" w:cs="宋体"/>
                <w:color w:val="auto"/>
                <w:sz w:val="27"/>
                <w:szCs w:val="27"/>
              </w:rPr>
              <w:t>包装和装运标志</w:t>
            </w:r>
          </w:p>
        </w:tc>
        <w:tc>
          <w:tcPr>
            <w:tcW w:w="7261" w:type="dxa"/>
            <w:noWrap/>
            <w:vAlign w:val="top"/>
          </w:tcPr>
          <w:p w14:paraId="2F4DF397">
            <w:pPr>
              <w:spacing w:line="400" w:lineRule="exact"/>
              <w:jc w:val="left"/>
              <w:rPr>
                <w:rFonts w:hint="eastAsia" w:ascii="宋体" w:hAnsi="宋体" w:cs="宋体"/>
                <w:color w:val="auto"/>
                <w:sz w:val="27"/>
                <w:szCs w:val="27"/>
              </w:rPr>
            </w:pPr>
            <w:r>
              <w:rPr>
                <w:rFonts w:hint="eastAsia" w:ascii="宋体" w:hAnsi="宋体" w:cs="宋体"/>
                <w:color w:val="auto"/>
                <w:sz w:val="27"/>
                <w:szCs w:val="27"/>
              </w:rPr>
              <w:t>除合同另有规定外，成交供应商提供的全部货物，均应采用国家或专业标准保护措施进行包装，使包装应适应于海运、或空运、或陆上长距离运输，并有良好的防潮、防震、防锈和防粗暴装卸等保护措施，确保货物安全无损运抵现场。由于包装不善所引起的货物锈蚀、损坏和损失造成的后果均由成交供应商承担。每件包装箱内应附一份详细装箱单和质量合格证。除合同另有规定外，装运标志均应采用国家或专业标准进行标志。由于标志不妥所造成货物损坏和损失的后果均由成交供应商承担。</w:t>
            </w:r>
          </w:p>
        </w:tc>
      </w:tr>
    </w:tbl>
    <w:p w14:paraId="0AEB7B2E">
      <w:pPr>
        <w:rPr>
          <w:color w:val="auto"/>
        </w:rPr>
      </w:pPr>
    </w:p>
    <w:p w14:paraId="017BF19A">
      <w:bookmarkStart w:id="3" w:name="_GoBack"/>
      <w:bookmarkEnd w:id="3"/>
    </w:p>
    <w:sectPr>
      <w:pgSz w:w="11906" w:h="16838"/>
      <w:pgMar w:top="1191" w:right="1191" w:bottom="1191" w:left="1191" w:header="851" w:footer="992"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54858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keepNext/>
      <w:keepLines/>
      <w:spacing w:before="260" w:after="260" w:line="413" w:lineRule="auto"/>
      <w:ind w:firstLine="628"/>
      <w:jc w:val="center"/>
      <w:outlineLvl w:val="1"/>
    </w:pPr>
    <w:rPr>
      <w:rFonts w:ascii="Arial" w:hAnsi="Arial" w:eastAsia="黑体"/>
      <w:b/>
      <w:sz w:val="32"/>
      <w:szCs w:val="20"/>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next w:val="1"/>
    <w:uiPriority w:val="0"/>
    <w:pPr>
      <w:spacing w:after="120"/>
    </w:pPr>
    <w:rPr>
      <w:sz w:val="24"/>
      <w:szCs w:val="20"/>
    </w:rPr>
  </w:style>
  <w:style w:type="paragraph" w:styleId="4">
    <w:name w:val="Title"/>
    <w:basedOn w:val="1"/>
    <w:next w:val="1"/>
    <w:qFormat/>
    <w:uiPriority w:val="10"/>
    <w:pPr>
      <w:spacing w:before="240" w:after="60"/>
      <w:jc w:val="center"/>
      <w:outlineLvl w:val="0"/>
    </w:pPr>
    <w:rPr>
      <w:rFonts w:ascii="Cambria" w:hAnsi="Cambria"/>
      <w:b/>
      <w:bCs/>
      <w:sz w:val="32"/>
      <w:szCs w:val="32"/>
    </w:rPr>
  </w:style>
  <w:style w:type="paragraph" w:styleId="5">
    <w:name w:val="Body Text First Indent"/>
    <w:basedOn w:val="3"/>
    <w:qFormat/>
    <w:uiPriority w:val="0"/>
    <w:pPr>
      <w:spacing w:after="0"/>
    </w:pPr>
    <w:rPr>
      <w:rFonts w:ascii="宋体" w:hAnsi="宋体"/>
    </w:rPr>
  </w:style>
  <w:style w:type="character" w:customStyle="1" w:styleId="8">
    <w:name w:val="font131"/>
    <w:basedOn w:val="7"/>
    <w:uiPriority w:val="0"/>
    <w:rPr>
      <w:rFonts w:ascii="Arial" w:hAnsi="Arial" w:cs="Arial"/>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2026-05-08T02:23:45Z</dcterms:created>
  <dc:creator>Administrator</dc:creator>
  <cp:lastModifiedBy>57F</cp:lastModifiedBy>
  <dcterms:modified xsi:type="dcterms:W3CDTF">2026-05-08T02:24:10Z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eyJoZGlkIjoiMGU5MzlmYTNjM2M1ZTRkZTMzNmUyMDY2NjNiMjg2YWQiLCJ1c2VySWQiOiI0MDE2OTAyODMifQ==</vt:lpwstr>
  </property>
  <property fmtid="{D5CDD505-2E9C-101B-9397-08002B2CF9AE}" pid="4" name="ICV">
    <vt:lpwstr>03CF29666A9B49CFBA125521E287A001_12</vt:lpwstr>
  </property>
</Properties>
</file>