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0C0D51C">
      <w:pPr>
        <w:pageBreakBefore w:val="0"/>
        <w:widowControl w:val="0"/>
        <w:wordWrap/>
        <w:overflowPunct/>
        <w:topLinePunct w:val="0"/>
        <w:bidi w:val="0"/>
        <w:spacing w:line="309" w:lineRule="auto"/>
        <w:jc w:val="left"/>
        <w:rPr>
          <w:rFonts w:hint="default"/>
          <w:color w:val="auto"/>
          <w:highlight w:val="none"/>
          <w:lang w:val="en-US" w:eastAsia="zh-CN"/>
        </w:rPr>
      </w:pPr>
      <w:r>
        <w:rPr>
          <w:rFonts w:hint="eastAsia" w:ascii="宋体" w:hAnsi="宋体"/>
          <w:b/>
          <w:bCs/>
          <w:sz w:val="32"/>
          <w:szCs w:val="32"/>
          <w:highlight w:val="none"/>
          <w:lang w:val="en-US" w:eastAsia="zh-CN"/>
        </w:rPr>
        <w:t>一、</w:t>
      </w:r>
      <w:bookmarkStart w:id="1" w:name="_GoBack"/>
      <w:r>
        <w:rPr>
          <w:rFonts w:hint="eastAsia" w:ascii="宋体" w:hAnsi="宋体"/>
          <w:b/>
          <w:bCs/>
          <w:sz w:val="32"/>
          <w:szCs w:val="32"/>
          <w:highlight w:val="none"/>
        </w:rPr>
        <w:t>采购需求</w:t>
      </w:r>
      <w:bookmarkEnd w:id="1"/>
    </w:p>
    <w:p w14:paraId="0D2B94B0">
      <w:pPr>
        <w:keepNext w:val="0"/>
        <w:keepLines w:val="0"/>
        <w:widowControl/>
        <w:suppressLineNumbers w:val="0"/>
        <w:spacing w:line="360" w:lineRule="auto"/>
        <w:jc w:val="left"/>
        <w:rPr>
          <w:rFonts w:hint="eastAsia" w:ascii="宋体" w:hAnsi="宋体" w:eastAsia="宋体" w:cs="宋体"/>
          <w:sz w:val="24"/>
          <w:szCs w:val="24"/>
        </w:rPr>
      </w:pPr>
      <w:bookmarkStart w:id="0" w:name="bookmark81"/>
      <w:bookmarkEnd w:id="0"/>
      <w:r>
        <w:rPr>
          <w:rFonts w:hint="eastAsia" w:ascii="宋体" w:hAnsi="宋体" w:eastAsia="宋体" w:cs="宋体"/>
          <w:color w:val="000000"/>
          <w:kern w:val="0"/>
          <w:sz w:val="24"/>
          <w:szCs w:val="24"/>
          <w:lang w:val="en-US" w:eastAsia="zh-CN" w:bidi="ar"/>
        </w:rPr>
        <w:t>服务内容及要求</w:t>
      </w:r>
    </w:p>
    <w:p w14:paraId="328F79B7">
      <w:pPr>
        <w:keepNext w:val="0"/>
        <w:keepLines w:val="0"/>
        <w:widowControl/>
        <w:suppressLineNumbers w:val="0"/>
        <w:spacing w:line="360" w:lineRule="auto"/>
        <w:jc w:val="left"/>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（一）总体目标</w:t>
      </w:r>
    </w:p>
    <w:p w14:paraId="0D1ABE37">
      <w:pPr>
        <w:keepNext w:val="0"/>
        <w:keepLines w:val="0"/>
        <w:widowControl/>
        <w:suppressLineNumbers w:val="0"/>
        <w:spacing w:line="360" w:lineRule="auto"/>
        <w:jc w:val="left"/>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按照采购人的评估需求，提供符合《自然资源价格评估通则》（TD/T1061-2021）、《城镇土地估价规程》（GB/T18508-2014）、《国土资源部办公厅关于印发〈国有建设用地使用权出让地价评估技术规范〉的通知》（国土资厅发〔2018〕4号）等行业标准的产品及服务。</w:t>
      </w:r>
    </w:p>
    <w:p w14:paraId="31B90E34">
      <w:pPr>
        <w:keepNext w:val="0"/>
        <w:keepLines w:val="0"/>
        <w:widowControl/>
        <w:suppressLineNumbers w:val="0"/>
        <w:spacing w:line="360" w:lineRule="auto"/>
        <w:jc w:val="left"/>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（二）服务内容</w:t>
      </w:r>
    </w:p>
    <w:p w14:paraId="2E89785A">
      <w:pPr>
        <w:keepNext w:val="0"/>
        <w:keepLines w:val="0"/>
        <w:widowControl/>
        <w:suppressLineNumbers w:val="0"/>
        <w:spacing w:line="360" w:lineRule="auto"/>
        <w:jc w:val="left"/>
        <w:rPr>
          <w:rFonts w:hint="eastAsia" w:ascii="宋体" w:hAnsi="宋体" w:eastAsia="宋体" w:cs="宋体"/>
          <w:color w:val="auto"/>
          <w:sz w:val="24"/>
          <w:szCs w:val="24"/>
        </w:rPr>
      </w:pPr>
      <w:r>
        <w:rPr>
          <w:rFonts w:hint="eastAsia" w:ascii="宋体" w:hAnsi="宋体" w:eastAsia="宋体" w:cs="宋体"/>
          <w:color w:val="000000"/>
          <w:kern w:val="0"/>
          <w:sz w:val="24"/>
          <w:szCs w:val="24"/>
          <w:lang w:val="en-US" w:eastAsia="zh-CN" w:bidi="ar"/>
        </w:rPr>
        <w:t>依据《城镇土地估价规程》（GB/T18508—2014）、《自然资源价格评估通则》（TD/T1061-2021）、《国土资源部办公厅关于印发〈国有建设用地使用权出让地价评估技术规范〉的通知》（国土资厅发〔2018〕4号）等行业规范、技术标准，保证估价成果的科学性、公正性、</w:t>
      </w:r>
      <w:r>
        <w:rPr>
          <w:rFonts w:hint="eastAsia" w:ascii="宋体" w:hAnsi="宋体" w:eastAsia="宋体" w:cs="宋体"/>
          <w:color w:val="auto"/>
          <w:kern w:val="0"/>
          <w:sz w:val="24"/>
          <w:szCs w:val="24"/>
          <w:lang w:val="en-US" w:eastAsia="zh-CN" w:bidi="ar"/>
        </w:rPr>
        <w:t>权威性，并按时保质完成评估业务和提交评估报告。</w:t>
      </w:r>
    </w:p>
    <w:p w14:paraId="46132B4B">
      <w:pPr>
        <w:keepNext w:val="0"/>
        <w:keepLines w:val="0"/>
        <w:widowControl/>
        <w:suppressLineNumbers w:val="0"/>
        <w:spacing w:line="360" w:lineRule="auto"/>
        <w:jc w:val="left"/>
        <w:rPr>
          <w:rFonts w:hint="eastAsia" w:ascii="宋体" w:hAnsi="宋体" w:eastAsia="宋体" w:cs="宋体"/>
          <w:color w:val="FF0000"/>
          <w:sz w:val="24"/>
          <w:szCs w:val="24"/>
        </w:rPr>
      </w:pPr>
      <w:r>
        <w:rPr>
          <w:rFonts w:hint="eastAsia" w:ascii="宋体" w:hAnsi="宋体" w:eastAsia="宋体" w:cs="宋体"/>
          <w:color w:val="auto"/>
          <w:kern w:val="0"/>
          <w:sz w:val="24"/>
          <w:szCs w:val="24"/>
          <w:lang w:val="en-US" w:eastAsia="zh-CN" w:bidi="ar"/>
        </w:rPr>
        <w:t>服务范围：遂川县行政区域内国有建设用地使用权价格评估。包含土地出让、转让等土地使用权价格评估；地上建筑物价格评估；改变土地用途和使用权类型、增加容积率补交土地出让金价格评估；国有建设用地租赁价格评估；司法鉴定确定土地价值评估；违法用地查处土地价值评估；收储土地及地上建筑物价值评估等。</w:t>
      </w:r>
    </w:p>
    <w:p w14:paraId="570EC65F">
      <w:pPr>
        <w:keepNext w:val="0"/>
        <w:keepLines w:val="0"/>
        <w:widowControl/>
        <w:suppressLineNumbers w:val="0"/>
        <w:spacing w:line="360" w:lineRule="auto"/>
        <w:jc w:val="left"/>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 xml:space="preserve">（三）工作程序和方法 </w:t>
      </w:r>
    </w:p>
    <w:p w14:paraId="33616756">
      <w:pPr>
        <w:keepNext w:val="0"/>
        <w:keepLines w:val="0"/>
        <w:widowControl/>
        <w:suppressLineNumbers w:val="0"/>
        <w:spacing w:line="360" w:lineRule="auto"/>
        <w:jc w:val="left"/>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1.委托立项：接受委托估价方土地价格评估项目委托，进行项目立项并确定项目负责人正式进入实施。</w:t>
      </w:r>
    </w:p>
    <w:p w14:paraId="32918881">
      <w:pPr>
        <w:keepNext w:val="0"/>
        <w:keepLines w:val="0"/>
        <w:widowControl/>
        <w:suppressLineNumbers w:val="0"/>
        <w:spacing w:line="360" w:lineRule="auto"/>
        <w:jc w:val="left"/>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2.明确估价基本事项：接受委托时估价人员需与委托估价方沟通和协商，明确以下基本事项，为后续工作打好基础。</w:t>
      </w:r>
    </w:p>
    <w:p w14:paraId="1F2D8D42">
      <w:pPr>
        <w:keepNext w:val="0"/>
        <w:keepLines w:val="0"/>
        <w:widowControl/>
        <w:suppressLineNumbers w:val="0"/>
        <w:spacing w:line="360" w:lineRule="auto"/>
        <w:jc w:val="left"/>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（1）明确估价目的：估价目的由委托方提出，在估价委托书中明确。估价目的决定了价格类型，也决定了估价的依据，是实施估价的前提条件。</w:t>
      </w:r>
    </w:p>
    <w:p w14:paraId="0FCB8266">
      <w:pPr>
        <w:keepNext w:val="0"/>
        <w:keepLines w:val="0"/>
        <w:widowControl/>
        <w:suppressLineNumbers w:val="0"/>
        <w:spacing w:line="360" w:lineRule="auto"/>
        <w:jc w:val="left"/>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（2）明确估价对象：明确估价对象即明确待估宗地的物质实体状况和权益状况，对所在位置、土地范围、土地权利状况、土地利用类型、土地利用状况等进行明确界定，并应有明确的依据和理由。</w:t>
      </w:r>
    </w:p>
    <w:p w14:paraId="787B207F">
      <w:pPr>
        <w:keepNext w:val="0"/>
        <w:keepLines w:val="0"/>
        <w:widowControl/>
        <w:suppressLineNumbers w:val="0"/>
        <w:spacing w:line="360" w:lineRule="auto"/>
        <w:jc w:val="left"/>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3）明确估价期日：估价期日是指决定土地价格的具体时间点。由于同一土地价格随时间而变化，所评估的土地价格，必定是某一时点的价格。因此，在进行土地估价时，必须明确估价期日，应在委托估价书中明确，具体到年、月、日。</w:t>
      </w:r>
    </w:p>
    <w:p w14:paraId="4143079F">
      <w:pPr>
        <w:keepNext w:val="0"/>
        <w:keepLines w:val="0"/>
        <w:widowControl/>
        <w:suppressLineNumbers w:val="0"/>
        <w:spacing w:line="360" w:lineRule="auto"/>
        <w:jc w:val="left"/>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（4）明确估价日期：估价日期是进行估价的作业日期。估价日期的确定也意味着明确了估价报告书的交付日期，估价作业日期一般为估价报告书的交付日期。</w:t>
      </w:r>
    </w:p>
    <w:p w14:paraId="3F157D4D">
      <w:pPr>
        <w:keepNext w:val="0"/>
        <w:keepLines w:val="0"/>
        <w:widowControl/>
        <w:suppressLineNumbers w:val="0"/>
        <w:spacing w:line="360" w:lineRule="auto"/>
        <w:jc w:val="left"/>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3.签订委托书和估价合同或业务约定书：在明确估价基本事项的基础上，委托方向估价方签发委托估价书，如有需要可与委托方签订委托估价合同或协议。</w:t>
      </w:r>
    </w:p>
    <w:p w14:paraId="214E23FD">
      <w:pPr>
        <w:keepNext w:val="0"/>
        <w:keepLines w:val="0"/>
        <w:widowControl/>
        <w:suppressLineNumbers w:val="0"/>
        <w:spacing w:line="360" w:lineRule="auto"/>
        <w:jc w:val="left"/>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4.现场查勘、资料收集：实地查勘待估宗地及相关案例资料，充分了解掌握待估宗地及评估所用案例的坐落位置、形状、土地利用状况、基础设施条件、道路交通状况以及周围环境等情况。同时，需对待估宗地及周边情况等进行现场拍照。</w:t>
      </w:r>
    </w:p>
    <w:p w14:paraId="02638A4A">
      <w:pPr>
        <w:keepNext w:val="0"/>
        <w:keepLines w:val="0"/>
        <w:widowControl/>
        <w:suppressLineNumbers w:val="0"/>
        <w:spacing w:line="360" w:lineRule="auto"/>
        <w:jc w:val="left"/>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5.选定估价方法计算：根据评估对象、价值类型、评估资料收集情况等相关条件，分析主要土地估价方法的适用性，针对委估土地资产特点，恰当选择相应的评估方法，选取相应的公式和参数进行分析、计算和判断，最终形成评估结论。</w:t>
      </w:r>
    </w:p>
    <w:p w14:paraId="6510A011">
      <w:pPr>
        <w:keepNext w:val="0"/>
        <w:keepLines w:val="0"/>
        <w:widowControl/>
        <w:suppressLineNumbers w:val="0"/>
        <w:spacing w:line="360" w:lineRule="auto"/>
        <w:jc w:val="left"/>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6.撰写评估报告：根据上述选定的估价方法进行地价评估，确定了最终的估价额后，应撰写正式的估价报告。估价报告进行审核后，估价人员应根据审核意见修改评估报告，审核通过后确定正式评估报告。</w:t>
      </w:r>
    </w:p>
    <w:p w14:paraId="1DB1987C">
      <w:pPr>
        <w:keepNext w:val="0"/>
        <w:keepLines w:val="0"/>
        <w:widowControl/>
        <w:suppressLineNumbers w:val="0"/>
        <w:spacing w:line="360" w:lineRule="auto"/>
        <w:jc w:val="left"/>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7.提交正式评估报告。</w:t>
      </w:r>
    </w:p>
    <w:p w14:paraId="19F5D9AD">
      <w:pPr>
        <w:keepNext w:val="0"/>
        <w:keepLines w:val="0"/>
        <w:widowControl/>
        <w:suppressLineNumbers w:val="0"/>
        <w:spacing w:line="360" w:lineRule="auto"/>
        <w:jc w:val="left"/>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受托方在遂川县自然资源局出具评估委托书并提交完整的评估所需资料之日起五个工作日内完成土地评估并提交初步评估报告。如未按规定延期提供的，每延迟一日则按中标评估价格折算总评估费的1%扣减评估费。</w:t>
      </w:r>
    </w:p>
    <w:p w14:paraId="767DD8DF">
      <w:pPr>
        <w:keepNext w:val="0"/>
        <w:keepLines w:val="0"/>
        <w:widowControl/>
        <w:suppressLineNumbers w:val="0"/>
        <w:spacing w:line="360" w:lineRule="auto"/>
        <w:jc w:val="left"/>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（四）评估服务收费：</w:t>
      </w:r>
    </w:p>
    <w:p w14:paraId="36FFDA67">
      <w:pPr>
        <w:keepNext w:val="0"/>
        <w:keepLines w:val="0"/>
        <w:widowControl/>
        <w:suppressLineNumbers w:val="0"/>
        <w:spacing w:line="360" w:lineRule="auto"/>
        <w:jc w:val="left"/>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1.报价方式：投标供应商按照《关于印发〈江西省土地评估服务收费指导意见（暂行）〉的通知》（赣土协发〔2017〕18号）的标准确定费率折扣报价，</w:t>
      </w:r>
      <w:r>
        <w:rPr>
          <w:rFonts w:hint="eastAsia" w:ascii="宋体" w:hAnsi="宋体" w:eastAsia="宋体" w:cs="宋体"/>
          <w:color w:val="auto"/>
          <w:kern w:val="0"/>
          <w:sz w:val="24"/>
          <w:szCs w:val="24"/>
          <w:lang w:val="en-US" w:eastAsia="zh-CN" w:bidi="ar"/>
        </w:rPr>
        <w:t>折扣报价区间收费标准不得高于70%（含70%）为有效报价，</w:t>
      </w:r>
      <w:r>
        <w:rPr>
          <w:rFonts w:hint="eastAsia" w:ascii="宋体" w:hAnsi="宋体" w:eastAsia="宋体" w:cs="宋体"/>
          <w:color w:val="000000"/>
          <w:kern w:val="0"/>
          <w:sz w:val="24"/>
          <w:szCs w:val="24"/>
          <w:lang w:val="en-US" w:eastAsia="zh-CN" w:bidi="ar"/>
        </w:rPr>
        <w:t>投标报价应包含为完成本项目所需的一切费用。</w:t>
      </w:r>
    </w:p>
    <w:p w14:paraId="711BB94A">
      <w:pPr>
        <w:keepNext w:val="0"/>
        <w:keepLines w:val="0"/>
        <w:widowControl/>
        <w:suppressLineNumbers w:val="0"/>
        <w:spacing w:line="360" w:lineRule="auto"/>
        <w:jc w:val="left"/>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2.土地价格评估收费标准依据：投标人按照《关于印发〈江西省土地评估服务收费指导意见（暂行）〉的通知》（赣土协发〔2017〕18号）标准收取土地评估技术服务费用。</w:t>
      </w:r>
    </w:p>
    <w:p w14:paraId="5712A8DC">
      <w:pPr>
        <w:keepNext w:val="0"/>
        <w:keepLines w:val="0"/>
        <w:widowControl/>
        <w:suppressLineNumbers w:val="0"/>
        <w:spacing w:line="360" w:lineRule="auto"/>
        <w:jc w:val="left"/>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附 1：赣土协发〔2017〕18号文件确定的宗地地价评估收费标准：</w:t>
      </w:r>
    </w:p>
    <w:tbl>
      <w:tblPr>
        <w:tblStyle w:val="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93"/>
        <w:gridCol w:w="4788"/>
        <w:gridCol w:w="2841"/>
      </w:tblGrid>
      <w:tr w14:paraId="5C49D5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93" w:type="dxa"/>
          </w:tcPr>
          <w:p w14:paraId="2E68CC15">
            <w:pPr>
              <w:widowControl w:val="0"/>
              <w:spacing w:line="360" w:lineRule="auto"/>
              <w:jc w:val="both"/>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序号</w:t>
            </w:r>
          </w:p>
        </w:tc>
        <w:tc>
          <w:tcPr>
            <w:tcW w:w="4788" w:type="dxa"/>
          </w:tcPr>
          <w:p w14:paraId="7E4889EE">
            <w:pPr>
              <w:widowControl w:val="0"/>
              <w:spacing w:line="360" w:lineRule="auto"/>
              <w:jc w:val="both"/>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计费额度（万元）</w:t>
            </w:r>
          </w:p>
        </w:tc>
        <w:tc>
          <w:tcPr>
            <w:tcW w:w="2841" w:type="dxa"/>
          </w:tcPr>
          <w:p w14:paraId="565F2326">
            <w:pPr>
              <w:widowControl w:val="0"/>
              <w:spacing w:line="360" w:lineRule="auto"/>
              <w:jc w:val="both"/>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差额计费率（‰）</w:t>
            </w:r>
          </w:p>
        </w:tc>
      </w:tr>
      <w:tr w14:paraId="0F9C26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93" w:type="dxa"/>
          </w:tcPr>
          <w:p w14:paraId="04191668">
            <w:pPr>
              <w:widowControl w:val="0"/>
              <w:spacing w:line="360" w:lineRule="auto"/>
              <w:jc w:val="both"/>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1</w:t>
            </w:r>
          </w:p>
        </w:tc>
        <w:tc>
          <w:tcPr>
            <w:tcW w:w="4788" w:type="dxa"/>
          </w:tcPr>
          <w:p w14:paraId="746C5759">
            <w:pPr>
              <w:widowControl w:val="0"/>
              <w:spacing w:line="360" w:lineRule="auto"/>
              <w:jc w:val="both"/>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100万元及以下</w:t>
            </w:r>
          </w:p>
        </w:tc>
        <w:tc>
          <w:tcPr>
            <w:tcW w:w="2841" w:type="dxa"/>
          </w:tcPr>
          <w:p w14:paraId="572CB992">
            <w:pPr>
              <w:widowControl w:val="0"/>
              <w:spacing w:line="360" w:lineRule="auto"/>
              <w:jc w:val="both"/>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4</w:t>
            </w:r>
          </w:p>
        </w:tc>
      </w:tr>
      <w:tr w14:paraId="153BEA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93" w:type="dxa"/>
          </w:tcPr>
          <w:p w14:paraId="6E51777A">
            <w:pPr>
              <w:widowControl w:val="0"/>
              <w:spacing w:line="360" w:lineRule="auto"/>
              <w:jc w:val="both"/>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2</w:t>
            </w:r>
          </w:p>
        </w:tc>
        <w:tc>
          <w:tcPr>
            <w:tcW w:w="4788" w:type="dxa"/>
          </w:tcPr>
          <w:p w14:paraId="5FF3C0A0">
            <w:pPr>
              <w:widowControl w:val="0"/>
              <w:spacing w:line="360" w:lineRule="auto"/>
              <w:jc w:val="both"/>
              <w:rPr>
                <w:rFonts w:hint="eastAsia" w:ascii="宋体" w:hAnsi="宋体" w:eastAsia="宋体" w:cs="宋体"/>
                <w:sz w:val="24"/>
                <w:szCs w:val="24"/>
                <w:vertAlign w:val="baseline"/>
                <w:lang w:val="en-US"/>
              </w:rPr>
            </w:pPr>
            <w:r>
              <w:rPr>
                <w:rFonts w:hint="eastAsia" w:ascii="宋体" w:hAnsi="宋体" w:eastAsia="宋体" w:cs="宋体"/>
                <w:sz w:val="24"/>
                <w:szCs w:val="24"/>
                <w:vertAlign w:val="baseline"/>
                <w:lang w:val="en-US" w:eastAsia="zh-CN"/>
              </w:rPr>
              <w:t>100万元以上-500万元</w:t>
            </w:r>
          </w:p>
        </w:tc>
        <w:tc>
          <w:tcPr>
            <w:tcW w:w="2841" w:type="dxa"/>
          </w:tcPr>
          <w:p w14:paraId="14FB9369">
            <w:pPr>
              <w:widowControl w:val="0"/>
              <w:spacing w:line="360" w:lineRule="auto"/>
              <w:jc w:val="both"/>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3</w:t>
            </w:r>
          </w:p>
        </w:tc>
      </w:tr>
      <w:tr w14:paraId="1D41CE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93" w:type="dxa"/>
          </w:tcPr>
          <w:p w14:paraId="52867524">
            <w:pPr>
              <w:widowControl w:val="0"/>
              <w:spacing w:line="360" w:lineRule="auto"/>
              <w:jc w:val="both"/>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3</w:t>
            </w:r>
          </w:p>
        </w:tc>
        <w:tc>
          <w:tcPr>
            <w:tcW w:w="4788" w:type="dxa"/>
          </w:tcPr>
          <w:p w14:paraId="05DE851C">
            <w:pPr>
              <w:widowControl w:val="0"/>
              <w:spacing w:line="360" w:lineRule="auto"/>
              <w:jc w:val="both"/>
              <w:rPr>
                <w:rFonts w:hint="eastAsia" w:ascii="宋体" w:hAnsi="宋体" w:eastAsia="宋体" w:cs="宋体"/>
                <w:sz w:val="24"/>
                <w:szCs w:val="24"/>
                <w:vertAlign w:val="baseline"/>
              </w:rPr>
            </w:pPr>
            <w:r>
              <w:rPr>
                <w:rFonts w:hint="eastAsia" w:ascii="宋体" w:hAnsi="宋体" w:eastAsia="宋体" w:cs="宋体"/>
                <w:sz w:val="24"/>
                <w:szCs w:val="24"/>
                <w:vertAlign w:val="baseline"/>
                <w:lang w:val="en-US" w:eastAsia="zh-CN"/>
              </w:rPr>
              <w:t>500万元以上-1000万元</w:t>
            </w:r>
          </w:p>
        </w:tc>
        <w:tc>
          <w:tcPr>
            <w:tcW w:w="2841" w:type="dxa"/>
          </w:tcPr>
          <w:p w14:paraId="035F90F0">
            <w:pPr>
              <w:widowControl w:val="0"/>
              <w:spacing w:line="360" w:lineRule="auto"/>
              <w:jc w:val="both"/>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2</w:t>
            </w:r>
          </w:p>
        </w:tc>
      </w:tr>
      <w:tr w14:paraId="1EB6FB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93" w:type="dxa"/>
          </w:tcPr>
          <w:p w14:paraId="54A98643">
            <w:pPr>
              <w:widowControl w:val="0"/>
              <w:spacing w:line="360" w:lineRule="auto"/>
              <w:jc w:val="both"/>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4</w:t>
            </w:r>
          </w:p>
        </w:tc>
        <w:tc>
          <w:tcPr>
            <w:tcW w:w="4788" w:type="dxa"/>
          </w:tcPr>
          <w:p w14:paraId="0C975391">
            <w:pPr>
              <w:widowControl w:val="0"/>
              <w:spacing w:line="360" w:lineRule="auto"/>
              <w:jc w:val="both"/>
              <w:rPr>
                <w:rFonts w:hint="eastAsia" w:ascii="宋体" w:hAnsi="宋体" w:eastAsia="宋体" w:cs="宋体"/>
                <w:sz w:val="24"/>
                <w:szCs w:val="24"/>
                <w:vertAlign w:val="baseline"/>
              </w:rPr>
            </w:pPr>
            <w:r>
              <w:rPr>
                <w:rFonts w:hint="eastAsia" w:ascii="宋体" w:hAnsi="宋体" w:eastAsia="宋体" w:cs="宋体"/>
                <w:sz w:val="24"/>
                <w:szCs w:val="24"/>
                <w:vertAlign w:val="baseline"/>
                <w:lang w:val="en-US" w:eastAsia="zh-CN"/>
              </w:rPr>
              <w:t>1000万元以上-5000万元</w:t>
            </w:r>
          </w:p>
        </w:tc>
        <w:tc>
          <w:tcPr>
            <w:tcW w:w="2841" w:type="dxa"/>
          </w:tcPr>
          <w:p w14:paraId="164B2C6F">
            <w:pPr>
              <w:widowControl w:val="0"/>
              <w:spacing w:line="360" w:lineRule="auto"/>
              <w:jc w:val="both"/>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1.5</w:t>
            </w:r>
          </w:p>
        </w:tc>
      </w:tr>
      <w:tr w14:paraId="706C2D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93" w:type="dxa"/>
          </w:tcPr>
          <w:p w14:paraId="2E439BF8">
            <w:pPr>
              <w:widowControl w:val="0"/>
              <w:spacing w:line="360" w:lineRule="auto"/>
              <w:jc w:val="both"/>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5</w:t>
            </w:r>
          </w:p>
        </w:tc>
        <w:tc>
          <w:tcPr>
            <w:tcW w:w="4788" w:type="dxa"/>
          </w:tcPr>
          <w:p w14:paraId="399C7C84">
            <w:pPr>
              <w:widowControl w:val="0"/>
              <w:spacing w:line="360" w:lineRule="auto"/>
              <w:jc w:val="both"/>
              <w:rPr>
                <w:rFonts w:hint="eastAsia" w:ascii="宋体" w:hAnsi="宋体" w:eastAsia="宋体" w:cs="宋体"/>
                <w:sz w:val="24"/>
                <w:szCs w:val="24"/>
                <w:vertAlign w:val="baseline"/>
              </w:rPr>
            </w:pPr>
            <w:r>
              <w:rPr>
                <w:rFonts w:hint="eastAsia" w:ascii="宋体" w:hAnsi="宋体" w:eastAsia="宋体" w:cs="宋体"/>
                <w:sz w:val="24"/>
                <w:szCs w:val="24"/>
                <w:vertAlign w:val="baseline"/>
                <w:lang w:val="en-US" w:eastAsia="zh-CN"/>
              </w:rPr>
              <w:t>5000万元以上-1亿元</w:t>
            </w:r>
          </w:p>
        </w:tc>
        <w:tc>
          <w:tcPr>
            <w:tcW w:w="2841" w:type="dxa"/>
          </w:tcPr>
          <w:p w14:paraId="70AC7B27">
            <w:pPr>
              <w:widowControl w:val="0"/>
              <w:spacing w:line="360" w:lineRule="auto"/>
              <w:jc w:val="both"/>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0.8</w:t>
            </w:r>
          </w:p>
        </w:tc>
      </w:tr>
      <w:tr w14:paraId="104C84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93" w:type="dxa"/>
          </w:tcPr>
          <w:p w14:paraId="6005E706">
            <w:pPr>
              <w:widowControl w:val="0"/>
              <w:spacing w:line="360" w:lineRule="auto"/>
              <w:jc w:val="both"/>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6</w:t>
            </w:r>
          </w:p>
        </w:tc>
        <w:tc>
          <w:tcPr>
            <w:tcW w:w="4788" w:type="dxa"/>
          </w:tcPr>
          <w:p w14:paraId="46B9817E">
            <w:pPr>
              <w:widowControl w:val="0"/>
              <w:spacing w:line="360" w:lineRule="auto"/>
              <w:jc w:val="both"/>
              <w:rPr>
                <w:rFonts w:hint="eastAsia" w:ascii="宋体" w:hAnsi="宋体" w:eastAsia="宋体" w:cs="宋体"/>
                <w:sz w:val="24"/>
                <w:szCs w:val="24"/>
                <w:vertAlign w:val="baseline"/>
              </w:rPr>
            </w:pPr>
            <w:r>
              <w:rPr>
                <w:rFonts w:hint="eastAsia" w:ascii="宋体" w:hAnsi="宋体" w:eastAsia="宋体" w:cs="宋体"/>
                <w:sz w:val="24"/>
                <w:szCs w:val="24"/>
                <w:vertAlign w:val="baseline"/>
                <w:lang w:val="en-US" w:eastAsia="zh-CN"/>
              </w:rPr>
              <w:t>1亿元以上-5亿元</w:t>
            </w:r>
          </w:p>
        </w:tc>
        <w:tc>
          <w:tcPr>
            <w:tcW w:w="2841" w:type="dxa"/>
          </w:tcPr>
          <w:p w14:paraId="6C004E52">
            <w:pPr>
              <w:widowControl w:val="0"/>
              <w:spacing w:line="360" w:lineRule="auto"/>
              <w:jc w:val="both"/>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0.05</w:t>
            </w:r>
          </w:p>
        </w:tc>
      </w:tr>
      <w:tr w14:paraId="2A2416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93" w:type="dxa"/>
          </w:tcPr>
          <w:p w14:paraId="1CCAD5A9">
            <w:pPr>
              <w:widowControl w:val="0"/>
              <w:spacing w:line="360" w:lineRule="auto"/>
              <w:jc w:val="both"/>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7</w:t>
            </w:r>
          </w:p>
        </w:tc>
        <w:tc>
          <w:tcPr>
            <w:tcW w:w="4788" w:type="dxa"/>
          </w:tcPr>
          <w:p w14:paraId="4D14875A">
            <w:pPr>
              <w:widowControl w:val="0"/>
              <w:spacing w:line="360" w:lineRule="auto"/>
              <w:jc w:val="both"/>
              <w:rPr>
                <w:rFonts w:hint="eastAsia" w:ascii="宋体" w:hAnsi="宋体" w:eastAsia="宋体" w:cs="宋体"/>
                <w:sz w:val="24"/>
                <w:szCs w:val="24"/>
                <w:vertAlign w:val="baseline"/>
                <w:lang w:val="en-US"/>
              </w:rPr>
            </w:pPr>
            <w:r>
              <w:rPr>
                <w:rFonts w:hint="eastAsia" w:ascii="宋体" w:hAnsi="宋体" w:eastAsia="宋体" w:cs="宋体"/>
                <w:sz w:val="24"/>
                <w:szCs w:val="24"/>
                <w:vertAlign w:val="baseline"/>
                <w:lang w:val="en-US" w:eastAsia="zh-CN"/>
              </w:rPr>
              <w:t>5亿元以上</w:t>
            </w:r>
          </w:p>
        </w:tc>
        <w:tc>
          <w:tcPr>
            <w:tcW w:w="2841" w:type="dxa"/>
          </w:tcPr>
          <w:p w14:paraId="1D043C07">
            <w:pPr>
              <w:widowControl w:val="0"/>
              <w:spacing w:line="360" w:lineRule="auto"/>
              <w:jc w:val="both"/>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0.02</w:t>
            </w:r>
          </w:p>
        </w:tc>
      </w:tr>
    </w:tbl>
    <w:p w14:paraId="2CFF315F">
      <w:pPr>
        <w:keepNext w:val="0"/>
        <w:keepLines w:val="0"/>
        <w:widowControl/>
        <w:suppressLineNumbers w:val="0"/>
        <w:spacing w:line="360" w:lineRule="auto"/>
        <w:jc w:val="left"/>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说明：1.补地价评估：按照标的物的最高评估值进行计价收费。</w:t>
      </w:r>
    </w:p>
    <w:p w14:paraId="37E00850">
      <w:pPr>
        <w:keepNext w:val="0"/>
        <w:keepLines w:val="0"/>
        <w:widowControl/>
        <w:suppressLineNumbers w:val="0"/>
        <w:spacing w:line="360" w:lineRule="auto"/>
        <w:jc w:val="left"/>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2.正式出评估报告的项目收费低于2000元的按2000元计。</w:t>
      </w:r>
    </w:p>
    <w:p w14:paraId="52B49B01">
      <w:pPr>
        <w:keepNext w:val="0"/>
        <w:keepLines w:val="0"/>
        <w:widowControl/>
        <w:suppressLineNumbers w:val="0"/>
        <w:spacing w:line="360" w:lineRule="auto"/>
        <w:jc w:val="left"/>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3.多次出具同一个项目的正式报告，只计取其中一次正式报告的费用。</w:t>
      </w:r>
    </w:p>
    <w:p w14:paraId="19A41A8E">
      <w:pPr>
        <w:keepNext w:val="0"/>
        <w:keepLines w:val="0"/>
        <w:widowControl/>
        <w:suppressLineNumbers w:val="0"/>
        <w:spacing w:line="360" w:lineRule="auto"/>
        <w:jc w:val="left"/>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（五）拟投入本项目人员团队：</w:t>
      </w:r>
      <w:r>
        <w:rPr>
          <w:rFonts w:hint="eastAsia" w:ascii="宋体" w:hAnsi="宋体" w:eastAsia="宋体" w:cs="宋体"/>
          <w:color w:val="auto"/>
          <w:kern w:val="0"/>
          <w:sz w:val="24"/>
          <w:szCs w:val="24"/>
          <w:lang w:val="en-US" w:eastAsia="zh-CN" w:bidi="ar"/>
        </w:rPr>
        <w:t>项目负责人1人，具有注册不动产估价师证书（或同时具有注册土地估价师证书和注册房地产估价师证书）；</w:t>
      </w:r>
      <w:r>
        <w:rPr>
          <w:rFonts w:hint="eastAsia" w:ascii="宋体" w:hAnsi="宋体" w:eastAsia="宋体" w:cs="宋体"/>
          <w:color w:val="000000"/>
          <w:kern w:val="0"/>
          <w:sz w:val="24"/>
          <w:szCs w:val="24"/>
          <w:lang w:val="en-US" w:eastAsia="zh-CN" w:bidi="ar"/>
        </w:rPr>
        <w:t>技术负责人1人，具有注册不动产估价师证书（或同时具有注册土地估价师证书和注册房地产估价师证书）；技术团队人员应满足实施项目所需。【</w:t>
      </w:r>
      <w:r>
        <w:rPr>
          <w:rFonts w:hint="eastAsia" w:ascii="宋体" w:hAnsi="宋体" w:eastAsia="宋体" w:cs="宋体"/>
          <w:b/>
          <w:bCs/>
          <w:color w:val="000000"/>
          <w:kern w:val="0"/>
          <w:sz w:val="24"/>
          <w:szCs w:val="24"/>
          <w:lang w:val="en-US" w:eastAsia="zh-CN" w:bidi="ar"/>
        </w:rPr>
        <w:t>提供行政主管部门颁发的相关证书原件扫描件和开标前六个月内任意一个月（不含开标当月）供应商为其缴纳的社保证明材料加盖公章】</w:t>
      </w:r>
    </w:p>
    <w:p w14:paraId="582235BD"/>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8"/>
    <w:family w:val="roma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5F565B4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4">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table" w:styleId="3">
    <w:name w:val="Table Grid"/>
    <w:basedOn w:val="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0</TotalTime>
  <ScaleCrop>false</ScaleCrop>
  <LinksUpToDate>false</LinksUpToDate>
  <CharactersWithSpaces>0</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2026-05-07T09:39:12Z</dcterms:created>
  <dc:creator>Administrator</dc:creator>
  <cp:lastModifiedBy>Administrator</cp:lastModifiedBy>
  <dcterms:modified xsi:type="dcterms:W3CDTF">2026-05-07T09:39:34Z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KSOTemplateDocerSaveRecord">
    <vt:lpwstr>eyJoZGlkIjoiZmM4YTc1MDk4NGY0ZDNhZGI2ZjNhMWU0ZjVmNWQ0NmIiLCJ1c2VySWQiOiIzMzY3MzM3ODIifQ==</vt:lpwstr>
  </property>
  <property fmtid="{D5CDD505-2E9C-101B-9397-08002B2CF9AE}" pid="4" name="ICV">
    <vt:lpwstr>A6B8DD5CBB364D7D9458F0DBF85CDABD_12</vt:lpwstr>
  </property>
</Properties>
</file>