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59CC04">
      <w:pPr>
        <w:keepNext w:val="0"/>
        <w:keepLines w:val="0"/>
        <w:pageBreakBefore w:val="0"/>
        <w:widowControl/>
        <w:kinsoku w:val="0"/>
        <w:wordWrap w:val="0"/>
        <w:overflowPunct/>
        <w:topLinePunct w:val="0"/>
        <w:autoSpaceDE w:val="0"/>
        <w:autoSpaceDN w:val="0"/>
        <w:bidi w:val="0"/>
        <w:adjustRightInd w:val="0"/>
        <w:snapToGrid w:val="0"/>
        <w:spacing w:line="360" w:lineRule="auto"/>
        <w:ind w:left="0" w:firstLine="0" w:firstLineChars="0"/>
        <w:jc w:val="center"/>
        <w:textAlignment w:val="baseline"/>
        <w:outlineLvl w:val="1"/>
        <w:rPr>
          <w:rFonts w:hint="eastAsia" w:ascii="宋体" w:hAnsi="宋体" w:eastAsia="宋体" w:cs="宋体"/>
          <w:color w:val="auto"/>
          <w:sz w:val="24"/>
          <w:szCs w:val="24"/>
          <w14:textOutline w14:w="5448" w14:cap="sq" w14:cmpd="sng">
            <w14:solidFill>
              <w14:srgbClr w14:val="000000"/>
            </w14:solidFill>
            <w14:prstDash w14:val="solid"/>
            <w14:bevel/>
          </w14:textOutline>
        </w:rPr>
      </w:pPr>
      <w:bookmarkStart w:id="0" w:name="_Toc18639"/>
      <w:bookmarkStart w:id="1" w:name="_Toc19148"/>
      <w:r>
        <w:rPr>
          <w:rFonts w:hint="eastAsia" w:ascii="宋体" w:hAnsi="宋体" w:eastAsia="宋体" w:cs="宋体"/>
          <w:color w:val="auto"/>
          <w:sz w:val="24"/>
          <w:szCs w:val="24"/>
          <w14:textOutline w14:w="5448" w14:cap="sq" w14:cmpd="sng">
            <w14:solidFill>
              <w14:srgbClr w14:val="000000"/>
            </w14:solidFill>
            <w14:prstDash w14:val="solid"/>
            <w14:bevel/>
          </w14:textOutline>
        </w:rPr>
        <w:t>第一部分 技术服务要求</w:t>
      </w:r>
      <w:bookmarkEnd w:id="0"/>
      <w:bookmarkEnd w:id="1"/>
    </w:p>
    <w:p w14:paraId="478D75A7">
      <w:pPr>
        <w:pageBreakBefore w:val="0"/>
        <w:kinsoku/>
        <w:wordWrap w:val="0"/>
        <w:overflowPunct/>
        <w:topLinePunct/>
        <w:autoSpaceDE/>
        <w:autoSpaceDN/>
        <w:bidi w:val="0"/>
        <w:adjustRightInd w:val="0"/>
        <w:spacing w:line="360" w:lineRule="auto"/>
        <w:ind w:left="0"/>
        <w:jc w:val="both"/>
        <w:textAlignment w:val="baseline"/>
        <w:rPr>
          <w:rFonts w:hint="eastAsia" w:ascii="宋体" w:hAnsi="宋体" w:eastAsia="宋体" w:cs="宋体"/>
          <w:b/>
          <w:bCs/>
          <w:color w:val="auto"/>
          <w:sz w:val="24"/>
          <w:szCs w:val="24"/>
        </w:rPr>
      </w:pPr>
      <w:r>
        <w:rPr>
          <w:rFonts w:hint="eastAsia" w:ascii="宋体" w:hAnsi="宋体" w:eastAsia="宋体" w:cs="宋体"/>
          <w:b/>
          <w:bCs/>
          <w:color w:val="auto"/>
          <w:spacing w:val="10"/>
          <w:position w:val="3"/>
          <w:sz w:val="24"/>
          <w:szCs w:val="24"/>
          <w:lang w:val="en-US" w:eastAsia="zh-CN"/>
        </w:rPr>
        <w:t>一</w:t>
      </w:r>
      <w:r>
        <w:rPr>
          <w:rFonts w:hint="eastAsia" w:ascii="宋体" w:hAnsi="宋体" w:eastAsia="宋体" w:cs="宋体"/>
          <w:b/>
          <w:bCs/>
          <w:color w:val="auto"/>
          <w:spacing w:val="5"/>
          <w:position w:val="3"/>
          <w:sz w:val="24"/>
          <w:szCs w:val="24"/>
        </w:rPr>
        <w:t>、采购需求：</w:t>
      </w:r>
    </w:p>
    <w:p w14:paraId="3075831E">
      <w:pPr>
        <w:pStyle w:val="2"/>
        <w:pageBreakBefore w:val="0"/>
        <w:kinsoku/>
        <w:wordWrap w:val="0"/>
        <w:overflowPunct/>
        <w:topLinePunct/>
        <w:autoSpaceDE/>
        <w:autoSpaceDN/>
        <w:bidi w:val="0"/>
        <w:adjustRightInd w:val="0"/>
        <w:spacing w:line="360" w:lineRule="auto"/>
        <w:ind w:left="0" w:firstLine="480"/>
        <w:jc w:val="both"/>
        <w:textAlignment w:val="baseline"/>
        <w:rPr>
          <w:rFonts w:hint="eastAsia" w:ascii="宋体" w:hAnsi="宋体" w:eastAsia="宋体" w:cs="宋体"/>
          <w:color w:val="auto"/>
          <w:sz w:val="24"/>
          <w:szCs w:val="24"/>
          <w:lang w:eastAsia="zh-CN"/>
        </w:rPr>
      </w:pPr>
      <w:bookmarkStart w:id="2" w:name="_Toc27361"/>
      <w:bookmarkStart w:id="3" w:name="_Toc12153"/>
      <w:bookmarkStart w:id="4" w:name="_Toc16130"/>
      <w:r>
        <w:rPr>
          <w:rFonts w:hint="eastAsia" w:ascii="宋体" w:hAnsi="宋体" w:eastAsia="宋体" w:cs="宋体"/>
          <w:color w:val="auto"/>
          <w:sz w:val="24"/>
          <w:szCs w:val="24"/>
          <w:lang w:eastAsia="zh-CN"/>
        </w:rPr>
        <w:t>1.1项目</w:t>
      </w:r>
      <w:bookmarkEnd w:id="2"/>
      <w:r>
        <w:rPr>
          <w:rFonts w:hint="eastAsia" w:ascii="宋体" w:hAnsi="宋体" w:eastAsia="宋体" w:cs="宋体"/>
          <w:color w:val="auto"/>
          <w:sz w:val="24"/>
          <w:szCs w:val="24"/>
          <w:lang w:eastAsia="zh-CN"/>
        </w:rPr>
        <w:t>概</w:t>
      </w:r>
      <w:bookmarkEnd w:id="3"/>
      <w:r>
        <w:rPr>
          <w:rFonts w:hint="eastAsia" w:ascii="宋体" w:hAnsi="宋体" w:eastAsia="宋体" w:cs="宋体"/>
          <w:color w:val="auto"/>
          <w:sz w:val="24"/>
          <w:szCs w:val="24"/>
          <w:lang w:eastAsia="zh-CN"/>
        </w:rPr>
        <w:t>述</w:t>
      </w:r>
      <w:bookmarkEnd w:id="4"/>
    </w:p>
    <w:p w14:paraId="3B127093">
      <w:pPr>
        <w:pStyle w:val="2"/>
        <w:pageBreakBefore w:val="0"/>
        <w:kinsoku/>
        <w:wordWrap w:val="0"/>
        <w:overflowPunct/>
        <w:topLinePunct/>
        <w:autoSpaceDE/>
        <w:autoSpaceDN/>
        <w:bidi w:val="0"/>
        <w:adjustRightInd w:val="0"/>
        <w:spacing w:line="360" w:lineRule="auto"/>
        <w:ind w:left="0" w:firstLine="48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项目名称：广昌县</w:t>
      </w:r>
      <w:r>
        <w:rPr>
          <w:rFonts w:hint="eastAsia" w:ascii="宋体" w:hAnsi="宋体" w:eastAsia="宋体" w:cs="宋体"/>
          <w:color w:val="auto"/>
          <w:sz w:val="24"/>
          <w:szCs w:val="24"/>
          <w:lang w:val="en-US" w:eastAsia="zh-CN"/>
        </w:rPr>
        <w:t>2026年受污染耕地安全利用项目</w:t>
      </w:r>
    </w:p>
    <w:p w14:paraId="76017323">
      <w:pPr>
        <w:pStyle w:val="2"/>
        <w:pageBreakBefore w:val="0"/>
        <w:kinsoku/>
        <w:wordWrap w:val="0"/>
        <w:overflowPunct/>
        <w:topLinePunct/>
        <w:autoSpaceDE/>
        <w:autoSpaceDN/>
        <w:bidi w:val="0"/>
        <w:adjustRightInd w:val="0"/>
        <w:spacing w:line="360" w:lineRule="auto"/>
        <w:ind w:left="0" w:firstLine="480"/>
        <w:jc w:val="both"/>
        <w:textAlignment w:val="baseline"/>
        <w:rPr>
          <w:rFonts w:hint="eastAsia" w:ascii="宋体" w:hAnsi="宋体" w:eastAsia="宋体" w:cs="宋体"/>
          <w:color w:val="auto"/>
          <w:sz w:val="24"/>
          <w:szCs w:val="24"/>
          <w:lang w:eastAsia="zh-CN"/>
        </w:rPr>
      </w:pPr>
      <w:bookmarkStart w:id="5" w:name="_Toc15430"/>
      <w:r>
        <w:rPr>
          <w:rFonts w:hint="eastAsia" w:ascii="宋体" w:hAnsi="宋体" w:eastAsia="宋体" w:cs="宋体"/>
          <w:color w:val="auto"/>
          <w:sz w:val="24"/>
          <w:szCs w:val="24"/>
          <w:lang w:eastAsia="zh-CN"/>
        </w:rPr>
        <w:t>1.2.2项目目标</w:t>
      </w:r>
      <w:bookmarkEnd w:id="5"/>
    </w:p>
    <w:p w14:paraId="32E62689">
      <w:pPr>
        <w:pStyle w:val="2"/>
        <w:pageBreakBefore w:val="0"/>
        <w:kinsoku/>
        <w:wordWrap w:val="0"/>
        <w:overflowPunct/>
        <w:topLinePunct/>
        <w:autoSpaceDE/>
        <w:autoSpaceDN/>
        <w:bidi w:val="0"/>
        <w:adjustRightInd w:val="0"/>
        <w:spacing w:line="360" w:lineRule="auto"/>
        <w:ind w:left="0" w:firstLine="48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）安全利用实施区域水稻糙米达标率达到90%以上；</w:t>
      </w:r>
    </w:p>
    <w:p w14:paraId="6D57376E">
      <w:pPr>
        <w:pStyle w:val="2"/>
        <w:pageBreakBefore w:val="0"/>
        <w:kinsoku/>
        <w:wordWrap w:val="0"/>
        <w:overflowPunct/>
        <w:topLinePunct/>
        <w:autoSpaceDE/>
        <w:autoSpaceDN/>
        <w:bidi w:val="0"/>
        <w:adjustRightInd w:val="0"/>
        <w:spacing w:line="360" w:lineRule="auto"/>
        <w:ind w:left="0" w:firstLine="48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）安全利用区受污染耕地安全利用率达到93%以上；</w:t>
      </w:r>
    </w:p>
    <w:p w14:paraId="2BD2473A">
      <w:pPr>
        <w:pStyle w:val="2"/>
        <w:pageBreakBefore w:val="0"/>
        <w:kinsoku/>
        <w:wordWrap w:val="0"/>
        <w:overflowPunct/>
        <w:topLinePunct/>
        <w:autoSpaceDE/>
        <w:autoSpaceDN/>
        <w:bidi w:val="0"/>
        <w:adjustRightInd w:val="0"/>
        <w:spacing w:line="360" w:lineRule="auto"/>
        <w:ind w:left="0" w:firstLine="48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）实施区域水稻亩产量减产≤10%（含）；</w:t>
      </w:r>
    </w:p>
    <w:p w14:paraId="395C1088">
      <w:pPr>
        <w:pStyle w:val="2"/>
        <w:pageBreakBefore w:val="0"/>
        <w:kinsoku/>
        <w:wordWrap w:val="0"/>
        <w:overflowPunct/>
        <w:topLinePunct/>
        <w:autoSpaceDE/>
        <w:autoSpaceDN/>
        <w:bidi w:val="0"/>
        <w:adjustRightInd w:val="0"/>
        <w:spacing w:line="360" w:lineRule="auto"/>
        <w:ind w:left="0" w:firstLine="48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）投入品铅镉铬砷汞等五项重金属含量低于GB 15618-2018（</w:t>
      </w:r>
      <w:r>
        <w:rPr>
          <w:rFonts w:hint="eastAsia" w:ascii="宋体" w:hAnsi="宋体" w:eastAsia="宋体" w:cs="宋体"/>
          <w:color w:val="auto"/>
          <w:sz w:val="24"/>
          <w:szCs w:val="24"/>
          <w:lang w:val="en-US" w:eastAsia="zh-CN"/>
        </w:rPr>
        <w:t>pH≤5.5）</w:t>
      </w:r>
      <w:r>
        <w:rPr>
          <w:rFonts w:hint="eastAsia" w:ascii="宋体" w:hAnsi="宋体" w:eastAsia="宋体" w:cs="宋体"/>
          <w:color w:val="auto"/>
          <w:sz w:val="24"/>
          <w:szCs w:val="24"/>
          <w:lang w:eastAsia="zh-CN"/>
        </w:rPr>
        <w:t>规定的筛选值；</w:t>
      </w:r>
    </w:p>
    <w:p w14:paraId="5EFA2AD7">
      <w:pPr>
        <w:pStyle w:val="2"/>
        <w:pageBreakBefore w:val="0"/>
        <w:kinsoku/>
        <w:wordWrap w:val="0"/>
        <w:overflowPunct/>
        <w:topLinePunct/>
        <w:autoSpaceDE/>
        <w:autoSpaceDN/>
        <w:bidi w:val="0"/>
        <w:adjustRightInd w:val="0"/>
        <w:spacing w:line="360" w:lineRule="auto"/>
        <w:ind w:left="0" w:firstLine="480"/>
        <w:jc w:val="both"/>
        <w:textAlignment w:val="baseline"/>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推广种植低积累水稻品种2300亩。</w:t>
      </w:r>
    </w:p>
    <w:p w14:paraId="5872D1B8">
      <w:pPr>
        <w:keepNext w:val="0"/>
        <w:keepLines w:val="0"/>
        <w:pageBreakBefore w:val="0"/>
        <w:widowControl/>
        <w:kinsoku/>
        <w:wordWrap w:val="0"/>
        <w:overflowPunct/>
        <w:topLinePunct/>
        <w:autoSpaceDE/>
        <w:autoSpaceDN/>
        <w:bidi w:val="0"/>
        <w:adjustRightInd w:val="0"/>
        <w:snapToGrid w:val="0"/>
        <w:spacing w:line="360" w:lineRule="auto"/>
        <w:ind w:left="0" w:right="0" w:firstLine="520" w:firstLineChars="200"/>
        <w:jc w:val="both"/>
        <w:textAlignment w:val="baseline"/>
        <w:rPr>
          <w:rFonts w:hint="eastAsia" w:ascii="宋体" w:hAnsi="宋体" w:eastAsia="宋体" w:cs="宋体"/>
          <w:color w:val="auto"/>
          <w:sz w:val="24"/>
          <w:szCs w:val="24"/>
        </w:rPr>
      </w:pPr>
      <w:r>
        <w:rPr>
          <w:rFonts w:hint="eastAsia" w:ascii="宋体" w:hAnsi="宋体" w:eastAsia="宋体" w:cs="宋体"/>
          <w:color w:val="auto"/>
          <w:spacing w:val="10"/>
          <w:sz w:val="24"/>
          <w:szCs w:val="24"/>
        </w:rPr>
        <w:t>(</w:t>
      </w:r>
      <w:r>
        <w:rPr>
          <w:rFonts w:hint="eastAsia" w:ascii="宋体" w:hAnsi="宋体" w:eastAsia="宋体" w:cs="宋体"/>
          <w:color w:val="auto"/>
          <w:spacing w:val="10"/>
          <w:sz w:val="24"/>
          <w:szCs w:val="24"/>
          <w:lang w:val="en-US" w:eastAsia="zh-CN"/>
        </w:rPr>
        <w:t>二</w:t>
      </w:r>
      <w:r>
        <w:rPr>
          <w:rFonts w:hint="eastAsia" w:ascii="宋体" w:hAnsi="宋体" w:eastAsia="宋体" w:cs="宋体"/>
          <w:color w:val="auto"/>
          <w:spacing w:val="10"/>
          <w:sz w:val="24"/>
          <w:szCs w:val="24"/>
        </w:rPr>
        <w:t>)</w:t>
      </w:r>
      <w:r>
        <w:rPr>
          <w:rFonts w:hint="eastAsia" w:ascii="宋体" w:hAnsi="宋体" w:eastAsia="宋体" w:cs="宋体"/>
          <w:color w:val="auto"/>
          <w:spacing w:val="20"/>
          <w:sz w:val="24"/>
          <w:szCs w:val="24"/>
        </w:rPr>
        <w:t>项目要求</w:t>
      </w:r>
    </w:p>
    <w:p w14:paraId="465F06D9">
      <w:pPr>
        <w:pStyle w:val="2"/>
        <w:pageBreakBefore w:val="0"/>
        <w:kinsoku/>
        <w:wordWrap w:val="0"/>
        <w:overflowPunct/>
        <w:topLinePunct/>
        <w:autoSpaceDE/>
        <w:autoSpaceDN/>
        <w:bidi w:val="0"/>
        <w:adjustRightInd w:val="0"/>
        <w:spacing w:line="360" w:lineRule="auto"/>
        <w:ind w:left="0" w:firstLine="480"/>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任务面积：</w:t>
      </w:r>
      <w:r>
        <w:rPr>
          <w:rFonts w:hint="eastAsia" w:ascii="宋体" w:hAnsi="宋体" w:eastAsia="宋体" w:cs="宋体"/>
          <w:color w:val="auto"/>
          <w:sz w:val="24"/>
          <w:szCs w:val="24"/>
          <w:lang w:val="en-US" w:eastAsia="zh-CN"/>
        </w:rPr>
        <w:t>完成2026年广昌县受污染耕地安全利用任务工作。</w:t>
      </w:r>
    </w:p>
    <w:p w14:paraId="4CF6DD3E">
      <w:pPr>
        <w:pStyle w:val="2"/>
        <w:pageBreakBefore w:val="0"/>
        <w:kinsoku/>
        <w:wordWrap w:val="0"/>
        <w:overflowPunct/>
        <w:topLinePunct/>
        <w:autoSpaceDE/>
        <w:autoSpaceDN/>
        <w:bidi w:val="0"/>
        <w:adjustRightInd w:val="0"/>
        <w:spacing w:line="360" w:lineRule="auto"/>
        <w:ind w:left="0" w:firstLine="480"/>
        <w:jc w:val="both"/>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广昌县受污染耕地安全利用中所需的</w:t>
      </w:r>
      <w:r>
        <w:rPr>
          <w:rFonts w:hint="eastAsia" w:ascii="宋体" w:hAnsi="宋体" w:eastAsia="宋体" w:cs="宋体"/>
          <w:color w:val="auto"/>
          <w:sz w:val="24"/>
          <w:szCs w:val="24"/>
          <w:lang w:val="en-US" w:eastAsia="zh-CN"/>
        </w:rPr>
        <w:t>材料如下：</w:t>
      </w:r>
    </w:p>
    <w:tbl>
      <w:tblPr>
        <w:tblStyle w:val="4"/>
        <w:tblW w:w="4846"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79"/>
        <w:gridCol w:w="1799"/>
        <w:gridCol w:w="679"/>
        <w:gridCol w:w="967"/>
        <w:gridCol w:w="862"/>
        <w:gridCol w:w="1046"/>
        <w:gridCol w:w="2926"/>
      </w:tblGrid>
      <w:tr w14:paraId="473715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6" w:hRule="atLeast"/>
          <w:jc w:val="center"/>
        </w:trPr>
        <w:tc>
          <w:tcPr>
            <w:tcW w:w="378" w:type="pct"/>
            <w:tcBorders>
              <w:top w:val="single" w:color="000000" w:sz="4" w:space="0"/>
              <w:left w:val="single" w:color="000000" w:sz="4" w:space="0"/>
              <w:bottom w:val="single" w:color="000000" w:sz="4" w:space="0"/>
              <w:right w:val="single" w:color="000000" w:sz="4" w:space="0"/>
            </w:tcBorders>
            <w:noWrap/>
            <w:vAlign w:val="center"/>
          </w:tcPr>
          <w:p w14:paraId="60B9A284">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序号</w:t>
            </w:r>
          </w:p>
        </w:tc>
        <w:tc>
          <w:tcPr>
            <w:tcW w:w="1004" w:type="pct"/>
            <w:tcBorders>
              <w:top w:val="single" w:color="000000" w:sz="4" w:space="0"/>
              <w:left w:val="single" w:color="000000" w:sz="4" w:space="0"/>
              <w:bottom w:val="single" w:color="000000" w:sz="4" w:space="0"/>
              <w:right w:val="single" w:color="000000" w:sz="4" w:space="0"/>
            </w:tcBorders>
            <w:noWrap/>
            <w:vAlign w:val="center"/>
          </w:tcPr>
          <w:p w14:paraId="3C2F9E56">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物资名称</w:t>
            </w:r>
          </w:p>
        </w:tc>
        <w:tc>
          <w:tcPr>
            <w:tcW w:w="378" w:type="pct"/>
            <w:tcBorders>
              <w:top w:val="single" w:color="000000" w:sz="4" w:space="0"/>
              <w:left w:val="single" w:color="000000" w:sz="4" w:space="0"/>
              <w:bottom w:val="single" w:color="000000" w:sz="4" w:space="0"/>
              <w:right w:val="single" w:color="000000" w:sz="4" w:space="0"/>
            </w:tcBorders>
            <w:noWrap/>
            <w:vAlign w:val="center"/>
          </w:tcPr>
          <w:p w14:paraId="169FB45F">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单位</w:t>
            </w:r>
          </w:p>
        </w:tc>
        <w:tc>
          <w:tcPr>
            <w:tcW w:w="539" w:type="pct"/>
            <w:tcBorders>
              <w:top w:val="single" w:color="000000" w:sz="4" w:space="0"/>
              <w:left w:val="single" w:color="000000" w:sz="4" w:space="0"/>
              <w:bottom w:val="single" w:color="000000" w:sz="4" w:space="0"/>
              <w:right w:val="single" w:color="000000" w:sz="4" w:space="0"/>
            </w:tcBorders>
            <w:noWrap/>
            <w:vAlign w:val="center"/>
          </w:tcPr>
          <w:p w14:paraId="1002405C">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数量</w:t>
            </w:r>
          </w:p>
        </w:tc>
        <w:tc>
          <w:tcPr>
            <w:tcW w:w="481" w:type="pct"/>
            <w:tcBorders>
              <w:top w:val="single" w:color="000000" w:sz="4" w:space="0"/>
              <w:left w:val="single" w:color="000000" w:sz="4" w:space="0"/>
              <w:bottom w:val="single" w:color="000000" w:sz="4" w:space="0"/>
              <w:right w:val="single" w:color="000000" w:sz="4" w:space="0"/>
            </w:tcBorders>
            <w:noWrap/>
            <w:vAlign w:val="center"/>
          </w:tcPr>
          <w:p w14:paraId="1642A39F">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单价/元</w:t>
            </w:r>
          </w:p>
        </w:tc>
        <w:tc>
          <w:tcPr>
            <w:tcW w:w="583" w:type="pct"/>
            <w:tcBorders>
              <w:top w:val="single" w:color="000000" w:sz="4" w:space="0"/>
              <w:left w:val="single" w:color="000000" w:sz="4" w:space="0"/>
              <w:bottom w:val="single" w:color="000000" w:sz="4" w:space="0"/>
              <w:right w:val="single" w:color="000000" w:sz="4" w:space="0"/>
            </w:tcBorders>
            <w:noWrap/>
            <w:vAlign w:val="center"/>
          </w:tcPr>
          <w:p w14:paraId="07008225">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小计/元</w:t>
            </w:r>
          </w:p>
        </w:tc>
        <w:tc>
          <w:tcPr>
            <w:tcW w:w="1633" w:type="pct"/>
            <w:tcBorders>
              <w:top w:val="single" w:color="000000" w:sz="4" w:space="0"/>
              <w:left w:val="single" w:color="000000" w:sz="4" w:space="0"/>
              <w:bottom w:val="single" w:color="000000" w:sz="4" w:space="0"/>
              <w:right w:val="single" w:color="000000" w:sz="4" w:space="0"/>
            </w:tcBorders>
            <w:noWrap/>
            <w:vAlign w:val="center"/>
          </w:tcPr>
          <w:p w14:paraId="70E56FEE">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备注</w:t>
            </w:r>
          </w:p>
        </w:tc>
      </w:tr>
      <w:tr w14:paraId="041C84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6" w:hRule="atLeast"/>
          <w:jc w:val="center"/>
        </w:trPr>
        <w:tc>
          <w:tcPr>
            <w:tcW w:w="378" w:type="pct"/>
            <w:tcBorders>
              <w:top w:val="single" w:color="000000" w:sz="4" w:space="0"/>
              <w:left w:val="single" w:color="000000" w:sz="4" w:space="0"/>
              <w:bottom w:val="single" w:color="000000" w:sz="4" w:space="0"/>
              <w:right w:val="single" w:color="000000" w:sz="4" w:space="0"/>
            </w:tcBorders>
            <w:noWrap/>
            <w:vAlign w:val="center"/>
          </w:tcPr>
          <w:p w14:paraId="76EB0907">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1.1</w:t>
            </w:r>
          </w:p>
        </w:tc>
        <w:tc>
          <w:tcPr>
            <w:tcW w:w="1004" w:type="pct"/>
            <w:tcBorders>
              <w:top w:val="single" w:color="000000" w:sz="4" w:space="0"/>
              <w:left w:val="single" w:color="000000" w:sz="4" w:space="0"/>
              <w:bottom w:val="single" w:color="000000" w:sz="4" w:space="0"/>
              <w:right w:val="single" w:color="000000" w:sz="4" w:space="0"/>
            </w:tcBorders>
            <w:noWrap/>
            <w:vAlign w:val="center"/>
          </w:tcPr>
          <w:p w14:paraId="4D87D4A0">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调理剂购买</w:t>
            </w:r>
          </w:p>
        </w:tc>
        <w:tc>
          <w:tcPr>
            <w:tcW w:w="378" w:type="pct"/>
            <w:tcBorders>
              <w:top w:val="single" w:color="000000" w:sz="4" w:space="0"/>
              <w:left w:val="single" w:color="000000" w:sz="4" w:space="0"/>
              <w:bottom w:val="single" w:color="000000" w:sz="4" w:space="0"/>
              <w:right w:val="single" w:color="000000" w:sz="4" w:space="0"/>
            </w:tcBorders>
            <w:noWrap/>
            <w:vAlign w:val="center"/>
          </w:tcPr>
          <w:p w14:paraId="2387FE5E">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吨</w:t>
            </w:r>
          </w:p>
        </w:tc>
        <w:tc>
          <w:tcPr>
            <w:tcW w:w="539" w:type="pct"/>
            <w:tcBorders>
              <w:top w:val="single" w:color="000000" w:sz="4" w:space="0"/>
              <w:left w:val="single" w:color="000000" w:sz="4" w:space="0"/>
              <w:bottom w:val="single" w:color="000000" w:sz="4" w:space="0"/>
              <w:right w:val="single" w:color="000000" w:sz="4" w:space="0"/>
            </w:tcBorders>
            <w:noWrap/>
            <w:vAlign w:val="center"/>
          </w:tcPr>
          <w:p w14:paraId="6CE44E74">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85.074</w:t>
            </w:r>
          </w:p>
        </w:tc>
        <w:tc>
          <w:tcPr>
            <w:tcW w:w="481" w:type="pct"/>
            <w:tcBorders>
              <w:top w:val="single" w:color="000000" w:sz="4" w:space="0"/>
              <w:left w:val="single" w:color="000000" w:sz="4" w:space="0"/>
              <w:bottom w:val="single" w:color="000000" w:sz="4" w:space="0"/>
              <w:right w:val="single" w:color="000000" w:sz="4" w:space="0"/>
            </w:tcBorders>
            <w:noWrap/>
            <w:vAlign w:val="center"/>
          </w:tcPr>
          <w:p w14:paraId="39FE0F21">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p>
        </w:tc>
        <w:tc>
          <w:tcPr>
            <w:tcW w:w="583" w:type="pct"/>
            <w:tcBorders>
              <w:top w:val="single" w:color="000000" w:sz="4" w:space="0"/>
              <w:left w:val="single" w:color="000000" w:sz="4" w:space="0"/>
              <w:bottom w:val="single" w:color="000000" w:sz="4" w:space="0"/>
              <w:right w:val="single" w:color="000000" w:sz="4" w:space="0"/>
            </w:tcBorders>
            <w:noWrap/>
            <w:vAlign w:val="center"/>
          </w:tcPr>
          <w:p w14:paraId="017D65AD">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p>
        </w:tc>
        <w:tc>
          <w:tcPr>
            <w:tcW w:w="1633" w:type="pct"/>
            <w:tcBorders>
              <w:top w:val="single" w:color="000000" w:sz="4" w:space="0"/>
              <w:left w:val="single" w:color="000000" w:sz="4" w:space="0"/>
              <w:bottom w:val="single" w:color="000000" w:sz="4" w:space="0"/>
              <w:right w:val="single" w:color="000000" w:sz="4" w:space="0"/>
            </w:tcBorders>
            <w:noWrap/>
            <w:vAlign w:val="center"/>
          </w:tcPr>
          <w:p w14:paraId="70888C76">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含运输及搬运</w:t>
            </w:r>
          </w:p>
        </w:tc>
      </w:tr>
      <w:tr w14:paraId="53E0F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6" w:hRule="atLeast"/>
          <w:jc w:val="center"/>
        </w:trPr>
        <w:tc>
          <w:tcPr>
            <w:tcW w:w="378" w:type="pct"/>
            <w:tcBorders>
              <w:top w:val="single" w:color="000000" w:sz="4" w:space="0"/>
              <w:left w:val="single" w:color="000000" w:sz="4" w:space="0"/>
              <w:bottom w:val="single" w:color="000000" w:sz="4" w:space="0"/>
              <w:right w:val="single" w:color="000000" w:sz="4" w:space="0"/>
            </w:tcBorders>
            <w:noWrap/>
            <w:vAlign w:val="center"/>
          </w:tcPr>
          <w:p w14:paraId="49A74955">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1.2</w:t>
            </w:r>
          </w:p>
        </w:tc>
        <w:tc>
          <w:tcPr>
            <w:tcW w:w="1004" w:type="pct"/>
            <w:tcBorders>
              <w:top w:val="single" w:color="000000" w:sz="4" w:space="0"/>
              <w:left w:val="single" w:color="000000" w:sz="4" w:space="0"/>
              <w:bottom w:val="single" w:color="000000" w:sz="4" w:space="0"/>
              <w:right w:val="single" w:color="000000" w:sz="4" w:space="0"/>
            </w:tcBorders>
            <w:noWrap/>
            <w:vAlign w:val="center"/>
          </w:tcPr>
          <w:p w14:paraId="7AE09D02">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叶面阻控剂购买</w:t>
            </w:r>
          </w:p>
        </w:tc>
        <w:tc>
          <w:tcPr>
            <w:tcW w:w="378" w:type="pct"/>
            <w:tcBorders>
              <w:top w:val="single" w:color="000000" w:sz="4" w:space="0"/>
              <w:left w:val="single" w:color="000000" w:sz="4" w:space="0"/>
              <w:bottom w:val="single" w:color="000000" w:sz="4" w:space="0"/>
              <w:right w:val="single" w:color="000000" w:sz="4" w:space="0"/>
            </w:tcBorders>
            <w:noWrap/>
            <w:vAlign w:val="center"/>
          </w:tcPr>
          <w:p w14:paraId="35606F5E">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升</w:t>
            </w:r>
          </w:p>
        </w:tc>
        <w:tc>
          <w:tcPr>
            <w:tcW w:w="539" w:type="pct"/>
            <w:tcBorders>
              <w:top w:val="single" w:color="000000" w:sz="4" w:space="0"/>
              <w:left w:val="single" w:color="000000" w:sz="4" w:space="0"/>
              <w:bottom w:val="single" w:color="000000" w:sz="4" w:space="0"/>
              <w:right w:val="single" w:color="000000" w:sz="4" w:space="0"/>
            </w:tcBorders>
            <w:noWrap/>
            <w:vAlign w:val="center"/>
          </w:tcPr>
          <w:p w14:paraId="286C78D9">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695.546</w:t>
            </w:r>
          </w:p>
        </w:tc>
        <w:tc>
          <w:tcPr>
            <w:tcW w:w="481" w:type="pct"/>
            <w:tcBorders>
              <w:top w:val="single" w:color="000000" w:sz="4" w:space="0"/>
              <w:left w:val="single" w:color="000000" w:sz="4" w:space="0"/>
              <w:bottom w:val="single" w:color="000000" w:sz="4" w:space="0"/>
              <w:right w:val="single" w:color="000000" w:sz="4" w:space="0"/>
            </w:tcBorders>
            <w:noWrap/>
            <w:vAlign w:val="center"/>
          </w:tcPr>
          <w:p w14:paraId="676DD918">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p>
        </w:tc>
        <w:tc>
          <w:tcPr>
            <w:tcW w:w="583" w:type="pct"/>
            <w:tcBorders>
              <w:top w:val="single" w:color="000000" w:sz="4" w:space="0"/>
              <w:left w:val="single" w:color="000000" w:sz="4" w:space="0"/>
              <w:bottom w:val="single" w:color="000000" w:sz="4" w:space="0"/>
              <w:right w:val="single" w:color="000000" w:sz="4" w:space="0"/>
            </w:tcBorders>
            <w:noWrap/>
            <w:vAlign w:val="center"/>
          </w:tcPr>
          <w:p w14:paraId="07BB89BD">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p>
        </w:tc>
        <w:tc>
          <w:tcPr>
            <w:tcW w:w="1633" w:type="pct"/>
            <w:tcBorders>
              <w:top w:val="single" w:color="000000" w:sz="4" w:space="0"/>
              <w:left w:val="single" w:color="000000" w:sz="4" w:space="0"/>
              <w:bottom w:val="single" w:color="000000" w:sz="4" w:space="0"/>
              <w:right w:val="single" w:color="000000" w:sz="4" w:space="0"/>
            </w:tcBorders>
            <w:noWrap/>
            <w:vAlign w:val="center"/>
          </w:tcPr>
          <w:p w14:paraId="4188DDD8">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含运输及搬运</w:t>
            </w:r>
          </w:p>
        </w:tc>
      </w:tr>
      <w:tr w14:paraId="16164F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2" w:hRule="atLeast"/>
          <w:jc w:val="center"/>
        </w:trPr>
        <w:tc>
          <w:tcPr>
            <w:tcW w:w="378" w:type="pct"/>
            <w:tcBorders>
              <w:top w:val="single" w:color="000000" w:sz="4" w:space="0"/>
              <w:left w:val="single" w:color="000000" w:sz="4" w:space="0"/>
              <w:bottom w:val="single" w:color="000000" w:sz="4" w:space="0"/>
              <w:right w:val="single" w:color="000000" w:sz="4" w:space="0"/>
            </w:tcBorders>
            <w:noWrap/>
            <w:vAlign w:val="center"/>
          </w:tcPr>
          <w:p w14:paraId="4BEBBDE6">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1.3</w:t>
            </w:r>
          </w:p>
        </w:tc>
        <w:tc>
          <w:tcPr>
            <w:tcW w:w="1004" w:type="pct"/>
            <w:tcBorders>
              <w:top w:val="single" w:color="000000" w:sz="4" w:space="0"/>
              <w:left w:val="single" w:color="000000" w:sz="4" w:space="0"/>
              <w:bottom w:val="single" w:color="000000" w:sz="4" w:space="0"/>
              <w:right w:val="single" w:color="000000" w:sz="4" w:space="0"/>
            </w:tcBorders>
            <w:noWrap/>
            <w:vAlign w:val="center"/>
          </w:tcPr>
          <w:p w14:paraId="09469001">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低积累品种购买（</w:t>
            </w:r>
            <w:r>
              <w:rPr>
                <w:rFonts w:hint="eastAsia" w:ascii="宋体" w:hAnsi="宋体" w:eastAsia="宋体" w:cs="宋体"/>
                <w:color w:val="auto"/>
                <w:sz w:val="21"/>
                <w:szCs w:val="21"/>
                <w:highlight w:val="none"/>
                <w:lang w:val="en-US" w:eastAsia="zh-CN"/>
              </w:rPr>
              <w:t>臻两优8612</w:t>
            </w:r>
            <w:r>
              <w:rPr>
                <w:rFonts w:hint="eastAsia" w:ascii="宋体" w:hAnsi="宋体" w:eastAsia="宋体" w:cs="宋体"/>
                <w:bCs/>
                <w:color w:val="auto"/>
                <w:kern w:val="0"/>
                <w:sz w:val="21"/>
                <w:szCs w:val="21"/>
                <w:highlight w:val="none"/>
                <w:lang w:val="en-US" w:eastAsia="zh-CN" w:bidi="ar"/>
              </w:rPr>
              <w:t>）</w:t>
            </w:r>
          </w:p>
        </w:tc>
        <w:tc>
          <w:tcPr>
            <w:tcW w:w="378" w:type="pct"/>
            <w:tcBorders>
              <w:top w:val="single" w:color="000000" w:sz="4" w:space="0"/>
              <w:left w:val="single" w:color="000000" w:sz="4" w:space="0"/>
              <w:bottom w:val="single" w:color="000000" w:sz="4" w:space="0"/>
              <w:right w:val="single" w:color="000000" w:sz="4" w:space="0"/>
            </w:tcBorders>
            <w:noWrap/>
            <w:vAlign w:val="center"/>
          </w:tcPr>
          <w:p w14:paraId="47FB1E51">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公斤</w:t>
            </w:r>
          </w:p>
        </w:tc>
        <w:tc>
          <w:tcPr>
            <w:tcW w:w="539" w:type="pct"/>
            <w:tcBorders>
              <w:top w:val="single" w:color="000000" w:sz="4" w:space="0"/>
              <w:left w:val="single" w:color="000000" w:sz="4" w:space="0"/>
              <w:bottom w:val="single" w:color="000000" w:sz="4" w:space="0"/>
              <w:right w:val="single" w:color="000000" w:sz="4" w:space="0"/>
            </w:tcBorders>
            <w:noWrap/>
            <w:vAlign w:val="center"/>
          </w:tcPr>
          <w:p w14:paraId="090A29DB">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3145.66</w:t>
            </w:r>
          </w:p>
        </w:tc>
        <w:tc>
          <w:tcPr>
            <w:tcW w:w="481" w:type="pct"/>
            <w:tcBorders>
              <w:top w:val="single" w:color="000000" w:sz="4" w:space="0"/>
              <w:left w:val="single" w:color="000000" w:sz="4" w:space="0"/>
              <w:bottom w:val="single" w:color="000000" w:sz="4" w:space="0"/>
              <w:right w:val="single" w:color="000000" w:sz="4" w:space="0"/>
            </w:tcBorders>
            <w:noWrap/>
            <w:vAlign w:val="center"/>
          </w:tcPr>
          <w:p w14:paraId="2997FB3F">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p>
        </w:tc>
        <w:tc>
          <w:tcPr>
            <w:tcW w:w="583" w:type="pct"/>
            <w:tcBorders>
              <w:top w:val="single" w:color="000000" w:sz="4" w:space="0"/>
              <w:left w:val="single" w:color="000000" w:sz="4" w:space="0"/>
              <w:bottom w:val="single" w:color="000000" w:sz="4" w:space="0"/>
              <w:right w:val="single" w:color="000000" w:sz="4" w:space="0"/>
            </w:tcBorders>
            <w:noWrap/>
            <w:vAlign w:val="center"/>
          </w:tcPr>
          <w:p w14:paraId="68E9DAD5">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p>
        </w:tc>
        <w:tc>
          <w:tcPr>
            <w:tcW w:w="1633" w:type="pct"/>
            <w:tcBorders>
              <w:top w:val="single" w:color="000000" w:sz="4" w:space="0"/>
              <w:left w:val="single" w:color="000000" w:sz="4" w:space="0"/>
              <w:bottom w:val="single" w:color="000000" w:sz="4" w:space="0"/>
              <w:right w:val="single" w:color="000000" w:sz="4" w:space="0"/>
            </w:tcBorders>
            <w:noWrap/>
            <w:vAlign w:val="center"/>
          </w:tcPr>
          <w:p w14:paraId="16C9489B">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2kg/亩</w:t>
            </w:r>
          </w:p>
        </w:tc>
      </w:tr>
      <w:tr w14:paraId="00C2B6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2" w:hRule="atLeast"/>
          <w:jc w:val="center"/>
        </w:trPr>
        <w:tc>
          <w:tcPr>
            <w:tcW w:w="378" w:type="pct"/>
            <w:tcBorders>
              <w:top w:val="single" w:color="000000" w:sz="4" w:space="0"/>
              <w:left w:val="single" w:color="000000" w:sz="4" w:space="0"/>
              <w:bottom w:val="single" w:color="000000" w:sz="4" w:space="0"/>
              <w:right w:val="single" w:color="000000" w:sz="4" w:space="0"/>
            </w:tcBorders>
            <w:noWrap/>
            <w:vAlign w:val="center"/>
          </w:tcPr>
          <w:p w14:paraId="150B2299">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1.4</w:t>
            </w:r>
          </w:p>
        </w:tc>
        <w:tc>
          <w:tcPr>
            <w:tcW w:w="1004" w:type="pct"/>
            <w:tcBorders>
              <w:top w:val="single" w:color="000000" w:sz="4" w:space="0"/>
              <w:left w:val="single" w:color="000000" w:sz="4" w:space="0"/>
              <w:bottom w:val="single" w:color="000000" w:sz="4" w:space="0"/>
              <w:right w:val="single" w:color="000000" w:sz="4" w:space="0"/>
            </w:tcBorders>
            <w:noWrap/>
            <w:vAlign w:val="center"/>
          </w:tcPr>
          <w:p w14:paraId="3DB7972F">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低积累品种购买（</w:t>
            </w:r>
            <w:r>
              <w:rPr>
                <w:rFonts w:hint="eastAsia" w:ascii="宋体" w:hAnsi="宋体" w:eastAsia="宋体" w:cs="宋体"/>
                <w:color w:val="auto"/>
                <w:sz w:val="21"/>
                <w:szCs w:val="21"/>
                <w:highlight w:val="none"/>
                <w:lang w:val="en-US" w:eastAsia="zh-CN"/>
              </w:rPr>
              <w:t>清莲丝苗</w:t>
            </w:r>
            <w:r>
              <w:rPr>
                <w:rFonts w:hint="eastAsia" w:ascii="宋体" w:hAnsi="宋体" w:eastAsia="宋体" w:cs="宋体"/>
                <w:bCs/>
                <w:color w:val="auto"/>
                <w:kern w:val="0"/>
                <w:sz w:val="21"/>
                <w:szCs w:val="21"/>
                <w:highlight w:val="none"/>
                <w:lang w:val="en-US" w:eastAsia="zh-CN" w:bidi="ar"/>
              </w:rPr>
              <w:t>）</w:t>
            </w:r>
          </w:p>
        </w:tc>
        <w:tc>
          <w:tcPr>
            <w:tcW w:w="378" w:type="pct"/>
            <w:tcBorders>
              <w:top w:val="single" w:color="000000" w:sz="4" w:space="0"/>
              <w:left w:val="single" w:color="000000" w:sz="4" w:space="0"/>
              <w:bottom w:val="single" w:color="000000" w:sz="4" w:space="0"/>
              <w:right w:val="single" w:color="000000" w:sz="4" w:space="0"/>
            </w:tcBorders>
            <w:noWrap/>
            <w:vAlign w:val="center"/>
          </w:tcPr>
          <w:p w14:paraId="2AAD641C">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公斤</w:t>
            </w:r>
          </w:p>
        </w:tc>
        <w:tc>
          <w:tcPr>
            <w:tcW w:w="539" w:type="pct"/>
            <w:tcBorders>
              <w:top w:val="single" w:color="000000" w:sz="4" w:space="0"/>
              <w:left w:val="single" w:color="000000" w:sz="4" w:space="0"/>
              <w:bottom w:val="single" w:color="000000" w:sz="4" w:space="0"/>
              <w:right w:val="single" w:color="000000" w:sz="4" w:space="0"/>
            </w:tcBorders>
            <w:noWrap/>
            <w:vAlign w:val="center"/>
          </w:tcPr>
          <w:p w14:paraId="548612DA">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2181.51</w:t>
            </w:r>
          </w:p>
        </w:tc>
        <w:tc>
          <w:tcPr>
            <w:tcW w:w="481" w:type="pct"/>
            <w:tcBorders>
              <w:top w:val="single" w:color="000000" w:sz="4" w:space="0"/>
              <w:left w:val="single" w:color="000000" w:sz="4" w:space="0"/>
              <w:bottom w:val="single" w:color="000000" w:sz="4" w:space="0"/>
              <w:right w:val="single" w:color="000000" w:sz="4" w:space="0"/>
            </w:tcBorders>
            <w:noWrap/>
            <w:vAlign w:val="center"/>
          </w:tcPr>
          <w:p w14:paraId="046C238E">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p>
        </w:tc>
        <w:tc>
          <w:tcPr>
            <w:tcW w:w="583" w:type="pct"/>
            <w:tcBorders>
              <w:top w:val="single" w:color="000000" w:sz="4" w:space="0"/>
              <w:left w:val="single" w:color="000000" w:sz="4" w:space="0"/>
              <w:bottom w:val="single" w:color="000000" w:sz="4" w:space="0"/>
              <w:right w:val="single" w:color="000000" w:sz="4" w:space="0"/>
            </w:tcBorders>
            <w:noWrap/>
            <w:vAlign w:val="center"/>
          </w:tcPr>
          <w:p w14:paraId="481F721D">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p>
        </w:tc>
        <w:tc>
          <w:tcPr>
            <w:tcW w:w="1633" w:type="pct"/>
            <w:tcBorders>
              <w:top w:val="single" w:color="000000" w:sz="4" w:space="0"/>
              <w:left w:val="single" w:color="000000" w:sz="4" w:space="0"/>
              <w:bottom w:val="single" w:color="000000" w:sz="4" w:space="0"/>
              <w:right w:val="single" w:color="000000" w:sz="4" w:space="0"/>
            </w:tcBorders>
            <w:noWrap/>
            <w:vAlign w:val="center"/>
          </w:tcPr>
          <w:p w14:paraId="1F53F3D4">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3kg/亩</w:t>
            </w:r>
          </w:p>
        </w:tc>
      </w:tr>
      <w:tr w14:paraId="605161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6" w:hRule="atLeast"/>
          <w:jc w:val="center"/>
        </w:trPr>
        <w:tc>
          <w:tcPr>
            <w:tcW w:w="5000" w:type="pct"/>
            <w:gridSpan w:val="7"/>
            <w:tcBorders>
              <w:top w:val="single" w:color="000000" w:sz="4" w:space="0"/>
              <w:left w:val="single" w:color="000000" w:sz="4" w:space="0"/>
              <w:bottom w:val="single" w:color="000000" w:sz="4" w:space="0"/>
              <w:right w:val="single" w:color="000000" w:sz="4" w:space="0"/>
            </w:tcBorders>
            <w:noWrap w:val="0"/>
            <w:vAlign w:val="center"/>
          </w:tcPr>
          <w:p w14:paraId="6B3DCDD2">
            <w:pPr>
              <w:keepNext w:val="0"/>
              <w:keepLines w:val="0"/>
              <w:pageBreakBefore w:val="0"/>
              <w:widowControl/>
              <w:kinsoku/>
              <w:wordWrap/>
              <w:overflowPunct/>
              <w:topLinePunct w:val="0"/>
              <w:autoSpaceDE/>
              <w:autoSpaceDN/>
              <w:bidi w:val="0"/>
              <w:adjustRightInd/>
              <w:snapToGrid/>
              <w:spacing w:line="300" w:lineRule="exact"/>
              <w:ind w:firstLine="0" w:firstLineChars="0"/>
              <w:jc w:val="both"/>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二、项目实施费用</w:t>
            </w:r>
          </w:p>
        </w:tc>
      </w:tr>
      <w:tr w14:paraId="4C6AE2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6" w:hRule="atLeast"/>
          <w:jc w:val="center"/>
        </w:trPr>
        <w:tc>
          <w:tcPr>
            <w:tcW w:w="378" w:type="pct"/>
            <w:tcBorders>
              <w:top w:val="single" w:color="000000" w:sz="4" w:space="0"/>
              <w:left w:val="single" w:color="000000" w:sz="4" w:space="0"/>
              <w:bottom w:val="single" w:color="000000" w:sz="4" w:space="0"/>
              <w:right w:val="single" w:color="000000" w:sz="4" w:space="0"/>
            </w:tcBorders>
            <w:noWrap/>
            <w:vAlign w:val="center"/>
          </w:tcPr>
          <w:p w14:paraId="44A70327">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序号</w:t>
            </w:r>
          </w:p>
        </w:tc>
        <w:tc>
          <w:tcPr>
            <w:tcW w:w="1004" w:type="pct"/>
            <w:tcBorders>
              <w:top w:val="single" w:color="000000" w:sz="4" w:space="0"/>
              <w:left w:val="single" w:color="000000" w:sz="4" w:space="0"/>
              <w:bottom w:val="single" w:color="000000" w:sz="4" w:space="0"/>
              <w:right w:val="single" w:color="000000" w:sz="4" w:space="0"/>
            </w:tcBorders>
            <w:noWrap/>
            <w:vAlign w:val="center"/>
          </w:tcPr>
          <w:p w14:paraId="7FAB9897">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物资名称</w:t>
            </w:r>
          </w:p>
        </w:tc>
        <w:tc>
          <w:tcPr>
            <w:tcW w:w="378" w:type="pct"/>
            <w:tcBorders>
              <w:top w:val="single" w:color="000000" w:sz="4" w:space="0"/>
              <w:left w:val="single" w:color="000000" w:sz="4" w:space="0"/>
              <w:bottom w:val="single" w:color="000000" w:sz="4" w:space="0"/>
              <w:right w:val="single" w:color="000000" w:sz="4" w:space="0"/>
            </w:tcBorders>
            <w:noWrap/>
            <w:vAlign w:val="center"/>
          </w:tcPr>
          <w:p w14:paraId="020E2954">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单位</w:t>
            </w:r>
          </w:p>
        </w:tc>
        <w:tc>
          <w:tcPr>
            <w:tcW w:w="539" w:type="pct"/>
            <w:tcBorders>
              <w:top w:val="single" w:color="000000" w:sz="4" w:space="0"/>
              <w:left w:val="single" w:color="000000" w:sz="4" w:space="0"/>
              <w:bottom w:val="single" w:color="000000" w:sz="4" w:space="0"/>
              <w:right w:val="single" w:color="000000" w:sz="4" w:space="0"/>
            </w:tcBorders>
            <w:noWrap/>
            <w:vAlign w:val="center"/>
          </w:tcPr>
          <w:p w14:paraId="41999C2E">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数量</w:t>
            </w:r>
          </w:p>
        </w:tc>
        <w:tc>
          <w:tcPr>
            <w:tcW w:w="481" w:type="pct"/>
            <w:tcBorders>
              <w:top w:val="single" w:color="000000" w:sz="4" w:space="0"/>
              <w:left w:val="single" w:color="000000" w:sz="4" w:space="0"/>
              <w:bottom w:val="single" w:color="000000" w:sz="4" w:space="0"/>
              <w:right w:val="single" w:color="000000" w:sz="4" w:space="0"/>
            </w:tcBorders>
            <w:noWrap/>
            <w:vAlign w:val="center"/>
          </w:tcPr>
          <w:p w14:paraId="67CEBB32">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单价/元</w:t>
            </w:r>
          </w:p>
        </w:tc>
        <w:tc>
          <w:tcPr>
            <w:tcW w:w="583" w:type="pct"/>
            <w:tcBorders>
              <w:top w:val="single" w:color="000000" w:sz="4" w:space="0"/>
              <w:left w:val="single" w:color="000000" w:sz="4" w:space="0"/>
              <w:bottom w:val="single" w:color="000000" w:sz="4" w:space="0"/>
              <w:right w:val="single" w:color="000000" w:sz="4" w:space="0"/>
            </w:tcBorders>
            <w:noWrap/>
            <w:vAlign w:val="center"/>
          </w:tcPr>
          <w:p w14:paraId="34CA13AB">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小计/元</w:t>
            </w:r>
          </w:p>
        </w:tc>
        <w:tc>
          <w:tcPr>
            <w:tcW w:w="1633" w:type="pct"/>
            <w:tcBorders>
              <w:top w:val="single" w:color="000000" w:sz="4" w:space="0"/>
              <w:left w:val="single" w:color="000000" w:sz="4" w:space="0"/>
              <w:bottom w:val="single" w:color="000000" w:sz="4" w:space="0"/>
              <w:right w:val="single" w:color="000000" w:sz="4" w:space="0"/>
            </w:tcBorders>
            <w:noWrap/>
            <w:vAlign w:val="center"/>
          </w:tcPr>
          <w:p w14:paraId="3182E264">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备注</w:t>
            </w:r>
          </w:p>
        </w:tc>
      </w:tr>
      <w:tr w14:paraId="608676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6" w:hRule="atLeast"/>
          <w:jc w:val="center"/>
        </w:trPr>
        <w:tc>
          <w:tcPr>
            <w:tcW w:w="378" w:type="pct"/>
            <w:tcBorders>
              <w:top w:val="single" w:color="000000" w:sz="4" w:space="0"/>
              <w:left w:val="single" w:color="000000" w:sz="4" w:space="0"/>
              <w:bottom w:val="single" w:color="000000" w:sz="4" w:space="0"/>
              <w:right w:val="single" w:color="000000" w:sz="4" w:space="0"/>
            </w:tcBorders>
            <w:noWrap/>
            <w:vAlign w:val="center"/>
          </w:tcPr>
          <w:p w14:paraId="5BBD2DE7">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2.1</w:t>
            </w:r>
          </w:p>
        </w:tc>
        <w:tc>
          <w:tcPr>
            <w:tcW w:w="1004" w:type="pct"/>
            <w:tcBorders>
              <w:top w:val="single" w:color="000000" w:sz="4" w:space="0"/>
              <w:left w:val="single" w:color="000000" w:sz="4" w:space="0"/>
              <w:bottom w:val="single" w:color="000000" w:sz="4" w:space="0"/>
              <w:right w:val="single" w:color="000000" w:sz="4" w:space="0"/>
            </w:tcBorders>
            <w:noWrap/>
            <w:vAlign w:val="center"/>
          </w:tcPr>
          <w:p w14:paraId="1B483C4D">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调理剂撒施</w:t>
            </w:r>
          </w:p>
        </w:tc>
        <w:tc>
          <w:tcPr>
            <w:tcW w:w="378" w:type="pct"/>
            <w:tcBorders>
              <w:top w:val="single" w:color="000000" w:sz="4" w:space="0"/>
              <w:left w:val="single" w:color="000000" w:sz="4" w:space="0"/>
              <w:bottom w:val="single" w:color="000000" w:sz="4" w:space="0"/>
              <w:right w:val="single" w:color="000000" w:sz="4" w:space="0"/>
            </w:tcBorders>
            <w:noWrap/>
            <w:vAlign w:val="center"/>
          </w:tcPr>
          <w:p w14:paraId="552F026F">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吨</w:t>
            </w:r>
          </w:p>
        </w:tc>
        <w:tc>
          <w:tcPr>
            <w:tcW w:w="539" w:type="pct"/>
            <w:tcBorders>
              <w:top w:val="single" w:color="000000" w:sz="4" w:space="0"/>
              <w:left w:val="single" w:color="000000" w:sz="4" w:space="0"/>
              <w:bottom w:val="single" w:color="000000" w:sz="4" w:space="0"/>
              <w:right w:val="single" w:color="000000" w:sz="4" w:space="0"/>
            </w:tcBorders>
            <w:noWrap/>
            <w:vAlign w:val="center"/>
          </w:tcPr>
          <w:p w14:paraId="258F30AB">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85.074</w:t>
            </w:r>
          </w:p>
        </w:tc>
        <w:tc>
          <w:tcPr>
            <w:tcW w:w="481" w:type="pct"/>
            <w:tcBorders>
              <w:top w:val="single" w:color="000000" w:sz="4" w:space="0"/>
              <w:left w:val="single" w:color="000000" w:sz="4" w:space="0"/>
              <w:bottom w:val="single" w:color="000000" w:sz="4" w:space="0"/>
              <w:right w:val="single" w:color="000000" w:sz="4" w:space="0"/>
            </w:tcBorders>
            <w:noWrap/>
            <w:vAlign w:val="center"/>
          </w:tcPr>
          <w:p w14:paraId="246580F2">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p>
        </w:tc>
        <w:tc>
          <w:tcPr>
            <w:tcW w:w="583" w:type="pct"/>
            <w:tcBorders>
              <w:top w:val="single" w:color="000000" w:sz="4" w:space="0"/>
              <w:left w:val="single" w:color="000000" w:sz="4" w:space="0"/>
              <w:bottom w:val="single" w:color="000000" w:sz="4" w:space="0"/>
              <w:right w:val="single" w:color="000000" w:sz="4" w:space="0"/>
            </w:tcBorders>
            <w:noWrap/>
            <w:vAlign w:val="center"/>
          </w:tcPr>
          <w:p w14:paraId="4568F147">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p>
        </w:tc>
        <w:tc>
          <w:tcPr>
            <w:tcW w:w="1633" w:type="pct"/>
            <w:tcBorders>
              <w:top w:val="single" w:color="000000" w:sz="4" w:space="0"/>
              <w:left w:val="single" w:color="000000" w:sz="4" w:space="0"/>
              <w:bottom w:val="single" w:color="000000" w:sz="4" w:space="0"/>
              <w:right w:val="single" w:color="000000" w:sz="4" w:space="0"/>
            </w:tcBorders>
            <w:noWrap/>
            <w:vAlign w:val="center"/>
          </w:tcPr>
          <w:p w14:paraId="78477BF7">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p>
        </w:tc>
      </w:tr>
      <w:tr w14:paraId="459F47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6" w:hRule="atLeast"/>
          <w:jc w:val="center"/>
        </w:trPr>
        <w:tc>
          <w:tcPr>
            <w:tcW w:w="378" w:type="pct"/>
            <w:tcBorders>
              <w:top w:val="single" w:color="000000" w:sz="4" w:space="0"/>
              <w:left w:val="single" w:color="000000" w:sz="4" w:space="0"/>
              <w:bottom w:val="single" w:color="000000" w:sz="4" w:space="0"/>
              <w:right w:val="single" w:color="000000" w:sz="4" w:space="0"/>
            </w:tcBorders>
            <w:noWrap/>
            <w:vAlign w:val="center"/>
          </w:tcPr>
          <w:p w14:paraId="79899444">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2.2</w:t>
            </w:r>
          </w:p>
        </w:tc>
        <w:tc>
          <w:tcPr>
            <w:tcW w:w="1004" w:type="pct"/>
            <w:tcBorders>
              <w:top w:val="single" w:color="000000" w:sz="4" w:space="0"/>
              <w:left w:val="single" w:color="000000" w:sz="4" w:space="0"/>
              <w:bottom w:val="single" w:color="000000" w:sz="4" w:space="0"/>
              <w:right w:val="single" w:color="000000" w:sz="4" w:space="0"/>
            </w:tcBorders>
            <w:noWrap/>
            <w:vAlign w:val="center"/>
          </w:tcPr>
          <w:p w14:paraId="205C963B">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叶面阻控剂实施</w:t>
            </w:r>
          </w:p>
        </w:tc>
        <w:tc>
          <w:tcPr>
            <w:tcW w:w="378" w:type="pct"/>
            <w:tcBorders>
              <w:top w:val="single" w:color="000000" w:sz="4" w:space="0"/>
              <w:left w:val="single" w:color="000000" w:sz="4" w:space="0"/>
              <w:bottom w:val="single" w:color="000000" w:sz="4" w:space="0"/>
              <w:right w:val="single" w:color="000000" w:sz="4" w:space="0"/>
            </w:tcBorders>
            <w:noWrap/>
            <w:vAlign w:val="center"/>
          </w:tcPr>
          <w:p w14:paraId="3DF03C4C">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亩/次</w:t>
            </w:r>
          </w:p>
        </w:tc>
        <w:tc>
          <w:tcPr>
            <w:tcW w:w="539" w:type="pct"/>
            <w:tcBorders>
              <w:top w:val="single" w:color="000000" w:sz="4" w:space="0"/>
              <w:left w:val="single" w:color="000000" w:sz="4" w:space="0"/>
              <w:bottom w:val="single" w:color="000000" w:sz="4" w:space="0"/>
              <w:right w:val="single" w:color="000000" w:sz="4" w:space="0"/>
            </w:tcBorders>
            <w:noWrap/>
            <w:vAlign w:val="center"/>
          </w:tcPr>
          <w:p w14:paraId="2E2FE002">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2339.82</w:t>
            </w:r>
          </w:p>
        </w:tc>
        <w:tc>
          <w:tcPr>
            <w:tcW w:w="481" w:type="pct"/>
            <w:tcBorders>
              <w:top w:val="single" w:color="000000" w:sz="4" w:space="0"/>
              <w:left w:val="single" w:color="000000" w:sz="4" w:space="0"/>
              <w:bottom w:val="single" w:color="000000" w:sz="4" w:space="0"/>
              <w:right w:val="single" w:color="000000" w:sz="4" w:space="0"/>
            </w:tcBorders>
            <w:noWrap/>
            <w:vAlign w:val="center"/>
          </w:tcPr>
          <w:p w14:paraId="0684BA5C">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p>
        </w:tc>
        <w:tc>
          <w:tcPr>
            <w:tcW w:w="583" w:type="pct"/>
            <w:tcBorders>
              <w:top w:val="single" w:color="000000" w:sz="4" w:space="0"/>
              <w:left w:val="single" w:color="000000" w:sz="4" w:space="0"/>
              <w:bottom w:val="single" w:color="000000" w:sz="4" w:space="0"/>
              <w:right w:val="single" w:color="000000" w:sz="4" w:space="0"/>
            </w:tcBorders>
            <w:noWrap/>
            <w:vAlign w:val="center"/>
          </w:tcPr>
          <w:p w14:paraId="2A31D8E1">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p>
        </w:tc>
        <w:tc>
          <w:tcPr>
            <w:tcW w:w="1633" w:type="pct"/>
            <w:tcBorders>
              <w:top w:val="single" w:color="000000" w:sz="4" w:space="0"/>
              <w:left w:val="single" w:color="000000" w:sz="4" w:space="0"/>
              <w:bottom w:val="single" w:color="000000" w:sz="4" w:space="0"/>
              <w:right w:val="single" w:color="000000" w:sz="4" w:space="0"/>
            </w:tcBorders>
            <w:noWrap/>
            <w:vAlign w:val="center"/>
          </w:tcPr>
          <w:p w14:paraId="15439007">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2次/季</w:t>
            </w:r>
          </w:p>
        </w:tc>
      </w:tr>
      <w:tr w14:paraId="372B78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6" w:hRule="atLeast"/>
          <w:jc w:val="center"/>
        </w:trPr>
        <w:tc>
          <w:tcPr>
            <w:tcW w:w="2782" w:type="pct"/>
            <w:gridSpan w:val="5"/>
            <w:tcBorders>
              <w:top w:val="single" w:color="000000" w:sz="4" w:space="0"/>
              <w:left w:val="single" w:color="000000" w:sz="4" w:space="0"/>
              <w:bottom w:val="single" w:color="000000" w:sz="4" w:space="0"/>
              <w:right w:val="single" w:color="000000" w:sz="4" w:space="0"/>
            </w:tcBorders>
            <w:noWrap/>
            <w:vAlign w:val="center"/>
          </w:tcPr>
          <w:p w14:paraId="75D8850E">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合计</w:t>
            </w:r>
          </w:p>
        </w:tc>
        <w:tc>
          <w:tcPr>
            <w:tcW w:w="583" w:type="pct"/>
            <w:tcBorders>
              <w:top w:val="single" w:color="000000" w:sz="4" w:space="0"/>
              <w:left w:val="single" w:color="000000" w:sz="4" w:space="0"/>
              <w:bottom w:val="single" w:color="000000" w:sz="4" w:space="0"/>
              <w:right w:val="single" w:color="000000" w:sz="4" w:space="0"/>
            </w:tcBorders>
            <w:noWrap/>
            <w:vAlign w:val="center"/>
          </w:tcPr>
          <w:p w14:paraId="7E1729EC">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p>
        </w:tc>
        <w:tc>
          <w:tcPr>
            <w:tcW w:w="1633" w:type="pct"/>
            <w:tcBorders>
              <w:top w:val="single" w:color="000000" w:sz="4" w:space="0"/>
              <w:left w:val="single" w:color="000000" w:sz="4" w:space="0"/>
              <w:bottom w:val="single" w:color="000000" w:sz="4" w:space="0"/>
              <w:right w:val="single" w:color="000000" w:sz="4" w:space="0"/>
            </w:tcBorders>
            <w:noWrap/>
            <w:vAlign w:val="center"/>
          </w:tcPr>
          <w:p w14:paraId="5590A15E">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p>
        </w:tc>
      </w:tr>
      <w:tr w14:paraId="619765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6" w:hRule="atLeast"/>
          <w:jc w:val="center"/>
        </w:trPr>
        <w:tc>
          <w:tcPr>
            <w:tcW w:w="5000" w:type="pct"/>
            <w:gridSpan w:val="7"/>
            <w:tcBorders>
              <w:top w:val="single" w:color="000000" w:sz="4" w:space="0"/>
              <w:left w:val="single" w:color="000000" w:sz="4" w:space="0"/>
              <w:bottom w:val="single" w:color="000000" w:sz="4" w:space="0"/>
              <w:right w:val="single" w:color="000000" w:sz="4" w:space="0"/>
            </w:tcBorders>
            <w:noWrap w:val="0"/>
            <w:vAlign w:val="center"/>
          </w:tcPr>
          <w:p w14:paraId="125BA706">
            <w:pPr>
              <w:keepNext w:val="0"/>
              <w:keepLines w:val="0"/>
              <w:pageBreakBefore w:val="0"/>
              <w:widowControl/>
              <w:kinsoku/>
              <w:wordWrap/>
              <w:overflowPunct/>
              <w:topLinePunct w:val="0"/>
              <w:autoSpaceDE/>
              <w:autoSpaceDN/>
              <w:bidi w:val="0"/>
              <w:adjustRightInd/>
              <w:snapToGrid/>
              <w:spacing w:line="300" w:lineRule="exact"/>
              <w:ind w:firstLine="0" w:firstLineChars="0"/>
              <w:jc w:val="both"/>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三、其他费用</w:t>
            </w:r>
          </w:p>
        </w:tc>
      </w:tr>
      <w:tr w14:paraId="5D786D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6" w:hRule="atLeast"/>
          <w:jc w:val="center"/>
        </w:trPr>
        <w:tc>
          <w:tcPr>
            <w:tcW w:w="378" w:type="pct"/>
            <w:tcBorders>
              <w:top w:val="single" w:color="000000" w:sz="4" w:space="0"/>
              <w:left w:val="single" w:color="000000" w:sz="4" w:space="0"/>
              <w:bottom w:val="single" w:color="000000" w:sz="4" w:space="0"/>
              <w:right w:val="single" w:color="000000" w:sz="4" w:space="0"/>
            </w:tcBorders>
            <w:noWrap/>
            <w:vAlign w:val="center"/>
          </w:tcPr>
          <w:p w14:paraId="248A5577">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序号</w:t>
            </w:r>
          </w:p>
        </w:tc>
        <w:tc>
          <w:tcPr>
            <w:tcW w:w="1004" w:type="pct"/>
            <w:tcBorders>
              <w:top w:val="single" w:color="000000" w:sz="4" w:space="0"/>
              <w:left w:val="single" w:color="000000" w:sz="4" w:space="0"/>
              <w:bottom w:val="single" w:color="000000" w:sz="4" w:space="0"/>
              <w:right w:val="single" w:color="000000" w:sz="4" w:space="0"/>
            </w:tcBorders>
            <w:noWrap/>
            <w:vAlign w:val="center"/>
          </w:tcPr>
          <w:p w14:paraId="25C960D3">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项目名称</w:t>
            </w:r>
          </w:p>
        </w:tc>
        <w:tc>
          <w:tcPr>
            <w:tcW w:w="378" w:type="pct"/>
            <w:tcBorders>
              <w:top w:val="single" w:color="000000" w:sz="4" w:space="0"/>
              <w:left w:val="single" w:color="000000" w:sz="4" w:space="0"/>
              <w:bottom w:val="single" w:color="000000" w:sz="4" w:space="0"/>
              <w:right w:val="single" w:color="000000" w:sz="4" w:space="0"/>
            </w:tcBorders>
            <w:noWrap/>
            <w:vAlign w:val="center"/>
          </w:tcPr>
          <w:p w14:paraId="5BA0599B">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单位</w:t>
            </w:r>
          </w:p>
        </w:tc>
        <w:tc>
          <w:tcPr>
            <w:tcW w:w="539" w:type="pct"/>
            <w:tcBorders>
              <w:top w:val="single" w:color="000000" w:sz="4" w:space="0"/>
              <w:left w:val="single" w:color="000000" w:sz="4" w:space="0"/>
              <w:bottom w:val="single" w:color="000000" w:sz="4" w:space="0"/>
              <w:right w:val="single" w:color="000000" w:sz="4" w:space="0"/>
            </w:tcBorders>
            <w:noWrap/>
            <w:vAlign w:val="center"/>
          </w:tcPr>
          <w:p w14:paraId="584142B0">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数量</w:t>
            </w:r>
          </w:p>
        </w:tc>
        <w:tc>
          <w:tcPr>
            <w:tcW w:w="481" w:type="pct"/>
            <w:tcBorders>
              <w:top w:val="single" w:color="000000" w:sz="4" w:space="0"/>
              <w:left w:val="single" w:color="000000" w:sz="4" w:space="0"/>
              <w:bottom w:val="single" w:color="000000" w:sz="4" w:space="0"/>
              <w:right w:val="single" w:color="000000" w:sz="4" w:space="0"/>
            </w:tcBorders>
            <w:noWrap/>
            <w:vAlign w:val="center"/>
          </w:tcPr>
          <w:p w14:paraId="0E90AD0F">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单价/元</w:t>
            </w:r>
          </w:p>
        </w:tc>
        <w:tc>
          <w:tcPr>
            <w:tcW w:w="583" w:type="pct"/>
            <w:tcBorders>
              <w:top w:val="single" w:color="000000" w:sz="4" w:space="0"/>
              <w:left w:val="single" w:color="000000" w:sz="4" w:space="0"/>
              <w:bottom w:val="single" w:color="000000" w:sz="4" w:space="0"/>
              <w:right w:val="single" w:color="000000" w:sz="4" w:space="0"/>
            </w:tcBorders>
            <w:noWrap/>
            <w:vAlign w:val="center"/>
          </w:tcPr>
          <w:p w14:paraId="3AF98A80">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小计/元</w:t>
            </w:r>
          </w:p>
        </w:tc>
        <w:tc>
          <w:tcPr>
            <w:tcW w:w="1633" w:type="pct"/>
            <w:tcBorders>
              <w:top w:val="single" w:color="000000" w:sz="4" w:space="0"/>
              <w:left w:val="single" w:color="000000" w:sz="4" w:space="0"/>
              <w:bottom w:val="single" w:color="000000" w:sz="4" w:space="0"/>
              <w:right w:val="single" w:color="000000" w:sz="4" w:space="0"/>
            </w:tcBorders>
            <w:noWrap/>
            <w:vAlign w:val="center"/>
          </w:tcPr>
          <w:p w14:paraId="79A028D5">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备注</w:t>
            </w:r>
          </w:p>
        </w:tc>
      </w:tr>
      <w:tr w14:paraId="7130BD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jc w:val="center"/>
        </w:trPr>
        <w:tc>
          <w:tcPr>
            <w:tcW w:w="378" w:type="pct"/>
            <w:tcBorders>
              <w:top w:val="single" w:color="000000" w:sz="4" w:space="0"/>
              <w:left w:val="single" w:color="000000" w:sz="4" w:space="0"/>
              <w:bottom w:val="single" w:color="000000" w:sz="4" w:space="0"/>
              <w:right w:val="single" w:color="000000" w:sz="4" w:space="0"/>
            </w:tcBorders>
            <w:noWrap/>
            <w:vAlign w:val="center"/>
          </w:tcPr>
          <w:p w14:paraId="001247FA">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3.1</w:t>
            </w:r>
          </w:p>
        </w:tc>
        <w:tc>
          <w:tcPr>
            <w:tcW w:w="1004" w:type="pct"/>
            <w:tcBorders>
              <w:top w:val="single" w:color="000000" w:sz="4" w:space="0"/>
              <w:left w:val="single" w:color="000000" w:sz="4" w:space="0"/>
              <w:bottom w:val="single" w:color="000000" w:sz="4" w:space="0"/>
              <w:right w:val="single" w:color="000000" w:sz="4" w:space="0"/>
            </w:tcBorders>
            <w:noWrap/>
            <w:vAlign w:val="center"/>
          </w:tcPr>
          <w:p w14:paraId="58D507CA">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台账建设费</w:t>
            </w:r>
          </w:p>
        </w:tc>
        <w:tc>
          <w:tcPr>
            <w:tcW w:w="378" w:type="pct"/>
            <w:tcBorders>
              <w:top w:val="single" w:color="000000" w:sz="4" w:space="0"/>
              <w:left w:val="single" w:color="000000" w:sz="4" w:space="0"/>
              <w:bottom w:val="single" w:color="000000" w:sz="4" w:space="0"/>
              <w:right w:val="single" w:color="000000" w:sz="4" w:space="0"/>
            </w:tcBorders>
            <w:noWrap/>
            <w:vAlign w:val="center"/>
          </w:tcPr>
          <w:p w14:paraId="3456C781">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项</w:t>
            </w:r>
          </w:p>
        </w:tc>
        <w:tc>
          <w:tcPr>
            <w:tcW w:w="539" w:type="pct"/>
            <w:tcBorders>
              <w:top w:val="single" w:color="000000" w:sz="4" w:space="0"/>
              <w:left w:val="single" w:color="000000" w:sz="4" w:space="0"/>
              <w:bottom w:val="single" w:color="000000" w:sz="4" w:space="0"/>
              <w:right w:val="single" w:color="000000" w:sz="4" w:space="0"/>
            </w:tcBorders>
            <w:noWrap/>
            <w:vAlign w:val="center"/>
          </w:tcPr>
          <w:p w14:paraId="7B8E9B30">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1</w:t>
            </w:r>
          </w:p>
        </w:tc>
        <w:tc>
          <w:tcPr>
            <w:tcW w:w="481" w:type="pct"/>
            <w:tcBorders>
              <w:top w:val="single" w:color="000000" w:sz="4" w:space="0"/>
              <w:left w:val="single" w:color="000000" w:sz="4" w:space="0"/>
              <w:bottom w:val="single" w:color="000000" w:sz="4" w:space="0"/>
              <w:right w:val="single" w:color="000000" w:sz="4" w:space="0"/>
            </w:tcBorders>
            <w:noWrap/>
            <w:vAlign w:val="center"/>
          </w:tcPr>
          <w:p w14:paraId="1B2BA71E">
            <w:pPr>
              <w:keepNext w:val="0"/>
              <w:keepLines w:val="0"/>
              <w:pageBreakBefore w:val="0"/>
              <w:widowControl/>
              <w:kinsoku/>
              <w:wordWrap/>
              <w:overflowPunct/>
              <w:topLinePunct w:val="0"/>
              <w:autoSpaceDE/>
              <w:autoSpaceDN/>
              <w:bidi w:val="0"/>
              <w:adjustRightInd/>
              <w:snapToGrid/>
              <w:spacing w:line="300" w:lineRule="exact"/>
              <w:ind w:firstLine="0" w:firstLineChars="0"/>
              <w:jc w:val="center"/>
              <w:textAlignment w:val="center"/>
              <w:rPr>
                <w:rFonts w:hint="eastAsia" w:ascii="宋体" w:hAnsi="宋体" w:eastAsia="宋体" w:cs="宋体"/>
                <w:bCs/>
                <w:color w:val="auto"/>
                <w:kern w:val="0"/>
                <w:sz w:val="21"/>
                <w:szCs w:val="21"/>
                <w:highlight w:val="none"/>
                <w:lang w:val="en-US" w:eastAsia="zh-CN" w:bidi="ar"/>
              </w:rPr>
            </w:pPr>
          </w:p>
        </w:tc>
        <w:tc>
          <w:tcPr>
            <w:tcW w:w="583" w:type="pct"/>
            <w:tcBorders>
              <w:top w:val="single" w:color="000000" w:sz="4" w:space="0"/>
              <w:left w:val="single" w:color="000000" w:sz="4" w:space="0"/>
              <w:bottom w:val="single" w:color="000000" w:sz="4" w:space="0"/>
              <w:right w:val="single" w:color="000000" w:sz="4" w:space="0"/>
            </w:tcBorders>
            <w:noWrap/>
            <w:vAlign w:val="center"/>
          </w:tcPr>
          <w:p w14:paraId="7DA5AAB6">
            <w:pPr>
              <w:keepNext w:val="0"/>
              <w:keepLines w:val="0"/>
              <w:widowControl/>
              <w:suppressLineNumbers w:val="0"/>
              <w:ind w:left="0" w:leftChars="0" w:firstLine="0" w:firstLineChars="0"/>
              <w:jc w:val="center"/>
              <w:textAlignment w:val="center"/>
              <w:rPr>
                <w:rFonts w:hint="eastAsia" w:ascii="宋体" w:hAnsi="宋体" w:eastAsia="宋体" w:cs="宋体"/>
                <w:i w:val="0"/>
                <w:iCs w:val="0"/>
                <w:color w:val="000000"/>
                <w:kern w:val="2"/>
                <w:sz w:val="21"/>
                <w:szCs w:val="21"/>
                <w:u w:val="none"/>
                <w:lang w:val="en-US" w:eastAsia="zh-CN" w:bidi="ar-SA"/>
              </w:rPr>
            </w:pPr>
          </w:p>
        </w:tc>
        <w:tc>
          <w:tcPr>
            <w:tcW w:w="1633" w:type="pct"/>
            <w:tcBorders>
              <w:top w:val="single" w:color="000000" w:sz="4" w:space="0"/>
              <w:left w:val="single" w:color="000000" w:sz="4" w:space="0"/>
              <w:bottom w:val="single" w:color="000000" w:sz="4" w:space="0"/>
              <w:right w:val="single" w:color="000000" w:sz="4" w:space="0"/>
            </w:tcBorders>
            <w:noWrap/>
            <w:vAlign w:val="center"/>
          </w:tcPr>
          <w:p w14:paraId="6F3D6AAB">
            <w:pPr>
              <w:keepNext w:val="0"/>
              <w:keepLines w:val="0"/>
              <w:pageBreakBefore w:val="0"/>
              <w:widowControl/>
              <w:kinsoku/>
              <w:wordWrap/>
              <w:overflowPunct/>
              <w:topLinePunct w:val="0"/>
              <w:autoSpaceDE/>
              <w:autoSpaceDN/>
              <w:bidi w:val="0"/>
              <w:adjustRightInd/>
              <w:snapToGrid/>
              <w:spacing w:line="300" w:lineRule="exact"/>
              <w:ind w:firstLine="0" w:firstLineChars="0"/>
              <w:jc w:val="left"/>
              <w:textAlignment w:val="center"/>
              <w:rPr>
                <w:rFonts w:hint="eastAsia" w:ascii="宋体" w:hAnsi="宋体" w:eastAsia="宋体" w:cs="宋体"/>
                <w:bCs/>
                <w:color w:val="auto"/>
                <w:kern w:val="0"/>
                <w:sz w:val="21"/>
                <w:szCs w:val="21"/>
                <w:highlight w:val="none"/>
                <w:lang w:val="en-US" w:eastAsia="zh-CN" w:bidi="ar"/>
              </w:rPr>
            </w:pPr>
            <w:r>
              <w:rPr>
                <w:rFonts w:hint="eastAsia" w:ascii="宋体" w:hAnsi="宋体" w:eastAsia="宋体" w:cs="宋体"/>
                <w:bCs/>
                <w:color w:val="auto"/>
                <w:kern w:val="0"/>
                <w:sz w:val="21"/>
                <w:szCs w:val="21"/>
                <w:highlight w:val="none"/>
                <w:lang w:val="en-US" w:eastAsia="zh-CN" w:bidi="ar"/>
              </w:rPr>
              <w:t>含台账整理、打印、胶装等费用</w:t>
            </w:r>
          </w:p>
        </w:tc>
      </w:tr>
    </w:tbl>
    <w:p w14:paraId="1371368F">
      <w:pPr>
        <w:pStyle w:val="2"/>
        <w:pageBreakBefore w:val="0"/>
        <w:kinsoku/>
        <w:wordWrap w:val="0"/>
        <w:overflowPunct/>
        <w:topLinePunct/>
        <w:autoSpaceDE/>
        <w:autoSpaceDN/>
        <w:bidi w:val="0"/>
        <w:adjustRightInd w:val="0"/>
        <w:spacing w:line="360" w:lineRule="auto"/>
        <w:jc w:val="both"/>
        <w:textAlignment w:val="baseline"/>
        <w:rPr>
          <w:rFonts w:hint="eastAsia" w:ascii="宋体" w:hAnsi="宋体" w:eastAsia="宋体" w:cs="宋体"/>
          <w:color w:val="auto"/>
          <w:sz w:val="24"/>
          <w:szCs w:val="24"/>
          <w:lang w:val="en-US" w:eastAsia="zh-CN"/>
        </w:rPr>
      </w:pPr>
    </w:p>
    <w:p w14:paraId="5EBF90AF">
      <w:pPr>
        <w:keepNext w:val="0"/>
        <w:keepLines w:val="0"/>
        <w:pageBreakBefore w:val="0"/>
        <w:widowControl/>
        <w:kinsoku/>
        <w:wordWrap w:val="0"/>
        <w:overflowPunct/>
        <w:topLinePunct/>
        <w:autoSpaceDE/>
        <w:autoSpaceDN/>
        <w:bidi w:val="0"/>
        <w:adjustRightInd w:val="0"/>
        <w:snapToGrid w:val="0"/>
        <w:spacing w:line="360" w:lineRule="auto"/>
        <w:ind w:left="0" w:right="0" w:firstLine="520" w:firstLineChars="200"/>
        <w:jc w:val="both"/>
        <w:textAlignment w:val="baseline"/>
        <w:rPr>
          <w:rFonts w:hint="eastAsia" w:ascii="宋体" w:hAnsi="宋体" w:eastAsia="宋体" w:cs="宋体"/>
          <w:color w:val="auto"/>
          <w:sz w:val="24"/>
          <w:szCs w:val="24"/>
        </w:rPr>
      </w:pPr>
      <w:r>
        <w:rPr>
          <w:rFonts w:hint="eastAsia" w:ascii="宋体" w:hAnsi="宋体" w:eastAsia="宋体" w:cs="宋体"/>
          <w:color w:val="auto"/>
          <w:spacing w:val="10"/>
          <w:sz w:val="24"/>
          <w:szCs w:val="24"/>
          <w:lang w:val="en-US" w:eastAsia="zh-CN"/>
        </w:rPr>
        <w:t>3</w:t>
      </w:r>
      <w:r>
        <w:rPr>
          <w:rFonts w:hint="eastAsia" w:ascii="宋体" w:hAnsi="宋体" w:eastAsia="宋体" w:cs="宋体"/>
          <w:color w:val="auto"/>
          <w:spacing w:val="6"/>
          <w:sz w:val="24"/>
          <w:szCs w:val="24"/>
        </w:rPr>
        <w:t>、投标人提供的服务内容、执行标准及技术规范等必须符合国家相关标准</w:t>
      </w:r>
      <w:r>
        <w:rPr>
          <w:rFonts w:hint="eastAsia" w:ascii="宋体" w:hAnsi="宋体" w:eastAsia="宋体" w:cs="宋体"/>
          <w:color w:val="auto"/>
          <w:spacing w:val="16"/>
          <w:sz w:val="24"/>
          <w:szCs w:val="24"/>
        </w:rPr>
        <w:t>或</w:t>
      </w:r>
      <w:r>
        <w:rPr>
          <w:rFonts w:hint="eastAsia" w:ascii="宋体" w:hAnsi="宋体" w:eastAsia="宋体" w:cs="宋体"/>
          <w:color w:val="auto"/>
          <w:spacing w:val="14"/>
          <w:sz w:val="24"/>
          <w:szCs w:val="24"/>
        </w:rPr>
        <w:t>规</w:t>
      </w:r>
      <w:r>
        <w:rPr>
          <w:rFonts w:hint="eastAsia" w:ascii="宋体" w:hAnsi="宋体" w:eastAsia="宋体" w:cs="宋体"/>
          <w:color w:val="auto"/>
          <w:spacing w:val="8"/>
          <w:sz w:val="24"/>
          <w:szCs w:val="24"/>
        </w:rPr>
        <w:t>范要求，相关内容符合国家及行业规范标准。</w:t>
      </w:r>
    </w:p>
    <w:p w14:paraId="69E9175B">
      <w:pPr>
        <w:keepNext w:val="0"/>
        <w:keepLines w:val="0"/>
        <w:pageBreakBefore w:val="0"/>
        <w:widowControl/>
        <w:kinsoku/>
        <w:wordWrap w:val="0"/>
        <w:overflowPunct/>
        <w:topLinePunct/>
        <w:autoSpaceDE/>
        <w:autoSpaceDN/>
        <w:bidi w:val="0"/>
        <w:adjustRightInd w:val="0"/>
        <w:snapToGrid w:val="0"/>
        <w:spacing w:line="360" w:lineRule="auto"/>
        <w:ind w:left="0" w:right="0" w:firstLine="532" w:firstLineChars="200"/>
        <w:jc w:val="both"/>
        <w:textAlignment w:val="baseline"/>
        <w:rPr>
          <w:rFonts w:hint="eastAsia" w:ascii="宋体" w:hAnsi="宋体" w:eastAsia="宋体" w:cs="宋体"/>
          <w:color w:val="auto"/>
          <w:sz w:val="24"/>
          <w:szCs w:val="24"/>
        </w:rPr>
      </w:pPr>
      <w:r>
        <w:rPr>
          <w:rFonts w:hint="eastAsia" w:ascii="宋体" w:hAnsi="宋体" w:eastAsia="宋体" w:cs="宋体"/>
          <w:color w:val="auto"/>
          <w:spacing w:val="13"/>
          <w:position w:val="2"/>
          <w:sz w:val="24"/>
          <w:szCs w:val="24"/>
          <w:lang w:val="en-US" w:eastAsia="zh-CN"/>
        </w:rPr>
        <w:t>4</w:t>
      </w:r>
      <w:r>
        <w:rPr>
          <w:rFonts w:hint="eastAsia" w:ascii="宋体" w:hAnsi="宋体" w:eastAsia="宋体" w:cs="宋体"/>
          <w:color w:val="auto"/>
          <w:spacing w:val="9"/>
          <w:position w:val="2"/>
          <w:sz w:val="24"/>
          <w:szCs w:val="24"/>
        </w:rPr>
        <w:t>、所投物料均为合格产品，严禁使用散装无厂名厂址等明细的产品。</w:t>
      </w:r>
    </w:p>
    <w:p w14:paraId="44475F6D">
      <w:pPr>
        <w:keepNext w:val="0"/>
        <w:keepLines w:val="0"/>
        <w:pageBreakBefore w:val="0"/>
        <w:widowControl/>
        <w:kinsoku/>
        <w:wordWrap w:val="0"/>
        <w:overflowPunct/>
        <w:topLinePunct/>
        <w:autoSpaceDE/>
        <w:autoSpaceDN/>
        <w:bidi w:val="0"/>
        <w:adjustRightInd w:val="0"/>
        <w:snapToGrid w:val="0"/>
        <w:spacing w:line="360" w:lineRule="auto"/>
        <w:ind w:left="0" w:right="0" w:firstLine="488" w:firstLineChars="200"/>
        <w:jc w:val="both"/>
        <w:textAlignment w:val="baseline"/>
        <w:rPr>
          <w:rFonts w:hint="eastAsia" w:ascii="宋体" w:hAnsi="宋体" w:eastAsia="宋体" w:cs="宋体"/>
          <w:color w:val="auto"/>
          <w:spacing w:val="7"/>
          <w:sz w:val="24"/>
          <w:szCs w:val="24"/>
        </w:rPr>
      </w:pPr>
      <w:r>
        <w:rPr>
          <w:rFonts w:hint="eastAsia" w:ascii="宋体" w:hAnsi="宋体" w:eastAsia="宋体" w:cs="宋体"/>
          <w:color w:val="auto"/>
          <w:spacing w:val="2"/>
          <w:sz w:val="24"/>
          <w:szCs w:val="24"/>
          <w:lang w:val="en-US" w:eastAsia="zh-CN"/>
        </w:rPr>
        <w:t>5</w:t>
      </w:r>
      <w:r>
        <w:rPr>
          <w:rFonts w:hint="eastAsia" w:ascii="宋体" w:hAnsi="宋体" w:eastAsia="宋体" w:cs="宋体"/>
          <w:color w:val="auto"/>
          <w:spacing w:val="2"/>
          <w:sz w:val="24"/>
          <w:szCs w:val="24"/>
        </w:rPr>
        <w:t>、投标方需建立好并提供每季稻的采购物料发票复印件</w:t>
      </w:r>
      <w:r>
        <w:rPr>
          <w:rFonts w:hint="eastAsia" w:ascii="宋体" w:hAnsi="宋体" w:eastAsia="宋体" w:cs="宋体"/>
          <w:color w:val="auto"/>
          <w:spacing w:val="1"/>
          <w:sz w:val="24"/>
          <w:szCs w:val="24"/>
        </w:rPr>
        <w:t>、投料记录、照片、</w:t>
      </w:r>
      <w:r>
        <w:rPr>
          <w:rFonts w:hint="eastAsia" w:ascii="宋体" w:hAnsi="宋体" w:eastAsia="宋体" w:cs="宋体"/>
          <w:color w:val="auto"/>
          <w:sz w:val="24"/>
          <w:szCs w:val="24"/>
        </w:rPr>
        <w:t xml:space="preserve"> </w:t>
      </w:r>
      <w:r>
        <w:rPr>
          <w:rFonts w:hint="eastAsia" w:ascii="宋体" w:hAnsi="宋体" w:eastAsia="宋体" w:cs="宋体"/>
          <w:color w:val="auto"/>
          <w:spacing w:val="10"/>
          <w:sz w:val="24"/>
          <w:szCs w:val="24"/>
        </w:rPr>
        <w:t>技</w:t>
      </w:r>
      <w:r>
        <w:rPr>
          <w:rFonts w:hint="eastAsia" w:ascii="宋体" w:hAnsi="宋体" w:eastAsia="宋体" w:cs="宋体"/>
          <w:color w:val="auto"/>
          <w:spacing w:val="7"/>
          <w:sz w:val="24"/>
          <w:szCs w:val="24"/>
        </w:rPr>
        <w:t>术方案等工作台账。</w:t>
      </w:r>
    </w:p>
    <w:p w14:paraId="277BBAC8">
      <w:pPr>
        <w:keepNext w:val="0"/>
        <w:keepLines w:val="0"/>
        <w:pageBreakBefore w:val="0"/>
        <w:widowControl/>
        <w:kinsoku/>
        <w:wordWrap w:val="0"/>
        <w:overflowPunct/>
        <w:topLinePunct/>
        <w:autoSpaceDE/>
        <w:autoSpaceDN/>
        <w:bidi w:val="0"/>
        <w:adjustRightInd w:val="0"/>
        <w:snapToGrid w:val="0"/>
        <w:spacing w:line="360" w:lineRule="auto"/>
        <w:ind w:left="0" w:right="0" w:firstLine="508" w:firstLineChars="200"/>
        <w:jc w:val="both"/>
        <w:textAlignment w:val="baseline"/>
        <w:rPr>
          <w:rFonts w:hint="eastAsia" w:ascii="宋体" w:hAnsi="宋体" w:eastAsia="宋体" w:cs="宋体"/>
          <w:color w:val="auto"/>
          <w:spacing w:val="7"/>
          <w:sz w:val="24"/>
          <w:szCs w:val="24"/>
          <w:lang w:val="en-US" w:eastAsia="zh-CN"/>
        </w:rPr>
      </w:pPr>
      <w:r>
        <w:rPr>
          <w:rFonts w:hint="eastAsia" w:ascii="宋体" w:hAnsi="宋体" w:eastAsia="宋体" w:cs="宋体"/>
          <w:color w:val="auto"/>
          <w:spacing w:val="7"/>
          <w:sz w:val="24"/>
          <w:szCs w:val="24"/>
          <w:lang w:val="en-US" w:eastAsia="zh-CN"/>
        </w:rPr>
        <w:t>6、因数据涉密具体面积与用量清单向县农业农村局获取。</w:t>
      </w:r>
    </w:p>
    <w:p w14:paraId="44C4A1E8">
      <w:pPr>
        <w:keepNext w:val="0"/>
        <w:keepLines w:val="0"/>
        <w:pageBreakBefore w:val="0"/>
        <w:widowControl/>
        <w:kinsoku/>
        <w:wordWrap w:val="0"/>
        <w:overflowPunct/>
        <w:topLinePunct/>
        <w:autoSpaceDE/>
        <w:autoSpaceDN/>
        <w:bidi w:val="0"/>
        <w:adjustRightInd w:val="0"/>
        <w:snapToGrid w:val="0"/>
        <w:spacing w:line="360" w:lineRule="auto"/>
        <w:ind w:right="0"/>
        <w:jc w:val="both"/>
        <w:textAlignment w:val="baseline"/>
        <w:rPr>
          <w:rFonts w:hint="eastAsia" w:ascii="宋体" w:hAnsi="宋体" w:eastAsia="宋体" w:cs="宋体"/>
          <w:b/>
          <w:bCs/>
          <w:color w:val="auto"/>
          <w:spacing w:val="9"/>
          <w:sz w:val="24"/>
          <w:szCs w:val="24"/>
        </w:rPr>
      </w:pPr>
      <w:bookmarkStart w:id="6" w:name="_Toc13521"/>
      <w:r>
        <w:rPr>
          <w:rFonts w:hint="eastAsia" w:ascii="宋体" w:hAnsi="宋体" w:eastAsia="宋体" w:cs="宋体"/>
          <w:b/>
          <w:bCs/>
          <w:color w:val="auto"/>
          <w:spacing w:val="9"/>
          <w:sz w:val="24"/>
          <w:szCs w:val="24"/>
          <w:lang w:eastAsia="zh-CN"/>
        </w:rPr>
        <w:t>（</w:t>
      </w:r>
      <w:r>
        <w:rPr>
          <w:rFonts w:hint="eastAsia" w:ascii="宋体" w:hAnsi="宋体" w:eastAsia="宋体" w:cs="宋体"/>
          <w:b/>
          <w:bCs/>
          <w:color w:val="auto"/>
          <w:spacing w:val="9"/>
          <w:sz w:val="24"/>
          <w:szCs w:val="24"/>
          <w:lang w:val="en-US" w:eastAsia="zh-CN"/>
        </w:rPr>
        <w:t>三</w:t>
      </w:r>
      <w:r>
        <w:rPr>
          <w:rFonts w:hint="eastAsia" w:ascii="宋体" w:hAnsi="宋体" w:eastAsia="宋体" w:cs="宋体"/>
          <w:b/>
          <w:bCs/>
          <w:color w:val="auto"/>
          <w:spacing w:val="9"/>
          <w:sz w:val="24"/>
          <w:szCs w:val="24"/>
          <w:lang w:eastAsia="zh-CN"/>
        </w:rPr>
        <w:t>）</w:t>
      </w:r>
      <w:r>
        <w:rPr>
          <w:rFonts w:hint="eastAsia" w:ascii="宋体" w:hAnsi="宋体" w:eastAsia="宋体" w:cs="宋体"/>
          <w:b/>
          <w:bCs/>
          <w:color w:val="auto"/>
          <w:spacing w:val="9"/>
          <w:sz w:val="24"/>
          <w:szCs w:val="24"/>
        </w:rPr>
        <w:t>技术措施概述</w:t>
      </w:r>
      <w:bookmarkEnd w:id="6"/>
    </w:p>
    <w:p w14:paraId="3F638CE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ighlight w:val="none"/>
        </w:rPr>
      </w:pPr>
      <w:r>
        <w:rPr>
          <w:rFonts w:hint="eastAsia"/>
          <w:sz w:val="24"/>
          <w:szCs w:val="24"/>
          <w:highlight w:val="none"/>
        </w:rPr>
        <w:t>本次工作紧紧围绕</w:t>
      </w:r>
      <w:r>
        <w:rPr>
          <w:rFonts w:hint="eastAsia"/>
          <w:sz w:val="24"/>
          <w:szCs w:val="24"/>
          <w:highlight w:val="none"/>
          <w:lang w:eastAsia="zh-CN"/>
        </w:rPr>
        <w:t>2026年</w:t>
      </w:r>
      <w:r>
        <w:rPr>
          <w:rFonts w:hint="eastAsia"/>
          <w:sz w:val="24"/>
          <w:szCs w:val="24"/>
          <w:highlight w:val="none"/>
          <w:lang w:val="en-US" w:eastAsia="zh-CN"/>
        </w:rPr>
        <w:t>广昌</w:t>
      </w:r>
      <w:r>
        <w:rPr>
          <w:rFonts w:hint="eastAsia"/>
          <w:sz w:val="24"/>
          <w:szCs w:val="24"/>
          <w:highlight w:val="none"/>
        </w:rPr>
        <w:t>县受污染耕地安全利用任务，以保障农产品达标为目标，在进一步摸清耕地土壤污染区域分布的基础上，进行风险分级，集中优势力量，推进安全利用措施落地，即在土壤调理的基础上，配套叶面阻控、微肥调控</w:t>
      </w:r>
      <w:r>
        <w:rPr>
          <w:rFonts w:hint="eastAsia"/>
          <w:sz w:val="24"/>
          <w:szCs w:val="24"/>
          <w:highlight w:val="none"/>
          <w:lang w:eastAsia="zh-CN"/>
        </w:rPr>
        <w:t>、</w:t>
      </w:r>
      <w:r>
        <w:rPr>
          <w:rFonts w:hint="eastAsia"/>
          <w:sz w:val="24"/>
          <w:szCs w:val="24"/>
          <w:highlight w:val="none"/>
          <w:lang w:val="en-US" w:eastAsia="zh-CN"/>
        </w:rPr>
        <w:t>撒施有机肥、种植结构调整</w:t>
      </w:r>
      <w:r>
        <w:rPr>
          <w:rFonts w:hint="eastAsia"/>
          <w:sz w:val="24"/>
          <w:szCs w:val="24"/>
          <w:highlight w:val="none"/>
        </w:rPr>
        <w:t>等技术，持续推进受污染耕地安全利用。本项目根据实际情况分级治理，一区一</w:t>
      </w:r>
      <w:r>
        <w:rPr>
          <w:rFonts w:hint="eastAsia"/>
          <w:b w:val="0"/>
          <w:bCs w:val="0"/>
          <w:sz w:val="24"/>
          <w:szCs w:val="24"/>
          <w:highlight w:val="none"/>
        </w:rPr>
        <w:t>策。</w:t>
      </w:r>
      <w:r>
        <w:rPr>
          <w:rFonts w:hint="eastAsia" w:ascii="Times New Roman" w:hAnsi="Times New Roman" w:eastAsia="宋体" w:cs="Times New Roman"/>
          <w:b w:val="0"/>
          <w:bCs w:val="0"/>
          <w:color w:val="auto"/>
          <w:kern w:val="2"/>
          <w:sz w:val="24"/>
          <w:szCs w:val="28"/>
          <w:highlight w:val="none"/>
          <w:lang w:val="en-US" w:eastAsia="zh-CN"/>
        </w:rPr>
        <w:t>对近两年产出稻谷镉含量未超标（＜0.2mg/kg）的区域，可施用有机肥、种植紫云英、喷施叶面阻控剂或水分管理等培肥式安全利用措施；对近两年产出稻谷镉含量在 0.2-0.4mg/kg 以内且土壤酸碱度（pH）＜6 的区域，在确保土壤不板结的前提下，可施用熟石灰、石灰石、生物型石灰等长效缓释型材料和水肥管理等安全利用措施；对近两年稻谷镉含量≥0.4mg/kg 或土壤 pH≥6 的区域，应施用土壤调理剂为主、培肥式为辅的安全利用措施。对已采取多种防控技术措施，但产出稻谷重金属仍然超标或无法保障水稻生长灌溉需求的，可视情改种旱地粮食作物。</w:t>
      </w:r>
      <w:r>
        <w:rPr>
          <w:rFonts w:hint="default" w:ascii="Times New Roman" w:hAnsi="Times New Roman" w:eastAsia="宋体" w:cs="Times New Roman"/>
          <w:b w:val="0"/>
          <w:bCs w:val="0"/>
          <w:color w:val="auto"/>
          <w:kern w:val="2"/>
          <w:sz w:val="24"/>
          <w:szCs w:val="28"/>
          <w:highlight w:val="none"/>
          <w:lang w:val="en-US" w:eastAsia="zh-CN"/>
        </w:rPr>
        <w:t>根据不同耕地污染类型和程度，因地制宜采取品种替代、水分管控、</w:t>
      </w:r>
      <w:r>
        <w:rPr>
          <w:rFonts w:hint="default" w:ascii="Times New Roman" w:hAnsi="Times New Roman" w:eastAsia="宋体" w:cs="Times New Roman"/>
          <w:color w:val="auto"/>
          <w:kern w:val="2"/>
          <w:sz w:val="24"/>
          <w:szCs w:val="28"/>
          <w:highlight w:val="none"/>
          <w:lang w:val="en-US" w:eastAsia="zh-CN"/>
        </w:rPr>
        <w:t>叶面阻控等配套措施，增强安全利用工作成效。</w:t>
      </w:r>
    </w:p>
    <w:p w14:paraId="17673EB9">
      <w:pPr>
        <w:pStyle w:val="6"/>
        <w:spacing w:line="360" w:lineRule="auto"/>
        <w:ind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安全利用措施实施时，应避免对种植作物造成影响，同时避免对土壤、地下水、大气等周边环境造成二次污染。</w:t>
      </w:r>
    </w:p>
    <w:p w14:paraId="0379E0E2">
      <w:pPr>
        <w:widowControl/>
        <w:spacing w:line="360" w:lineRule="auto"/>
        <w:ind w:firstLine="480"/>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为科学规范推进轻中度污染耕地安全利用，农业农村部组织专家根据近年来耕地污染防治工作中积累的一些好经验、好做法，总结形成了《轻中度污染耕地安全利用与治理修复推荐技术名录（2019年版）》，其中的农艺调控类技术，包括石灰调节、优化施肥、品种调整、水分调控、叶面调控、深翻耕，属于安全利用类措施；土壤改良类技术、生物类技术、“VIP”综合调控技术，属于治理修复类措施。</w:t>
      </w:r>
    </w:p>
    <w:p w14:paraId="5F654C12">
      <w:pPr>
        <w:widowControl/>
        <w:spacing w:line="360" w:lineRule="auto"/>
        <w:ind w:firstLine="480"/>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为更好地推进受污染耕地安全利用工作，进一步提升《手册》的操作性，江西省农业农村厅结合近年工作情况，对《手册》进行了修订，删除了部分辅助性技术，突出了实践中应用较为广泛的技术，总结形成了《江西省受污染耕地安全利用技术手册》（江西省农业农村厅科技教育处，2022年2月）。技术手段主要包含：</w:t>
      </w:r>
    </w:p>
    <w:p w14:paraId="50603C2A">
      <w:pPr>
        <w:pStyle w:val="2"/>
        <w:spacing w:line="360" w:lineRule="auto"/>
        <w:ind w:firstLine="482"/>
        <w:rPr>
          <w:rFonts w:hint="eastAsia" w:asciiTheme="minorEastAsia" w:hAnsiTheme="minorEastAsia" w:eastAsiaTheme="minorEastAsia" w:cstheme="minorEastAsia"/>
          <w:b/>
          <w:bCs/>
          <w:sz w:val="24"/>
          <w:szCs w:val="24"/>
          <w:highlight w:val="none"/>
          <w:lang w:val="en-US"/>
        </w:rPr>
      </w:pPr>
      <w:r>
        <w:rPr>
          <w:rFonts w:hint="eastAsia" w:asciiTheme="minorEastAsia" w:hAnsiTheme="minorEastAsia" w:eastAsiaTheme="minorEastAsia" w:cstheme="minorEastAsia"/>
          <w:b/>
          <w:bCs/>
          <w:sz w:val="24"/>
          <w:szCs w:val="24"/>
          <w:highlight w:val="none"/>
          <w:lang w:val="en-US"/>
        </w:rPr>
        <w:t>1）种植</w:t>
      </w:r>
      <w:r>
        <w:rPr>
          <w:rFonts w:hint="eastAsia" w:asciiTheme="minorEastAsia" w:hAnsiTheme="minorEastAsia" w:eastAsiaTheme="minorEastAsia" w:cstheme="minorEastAsia"/>
          <w:b/>
          <w:bCs/>
          <w:sz w:val="24"/>
          <w:szCs w:val="24"/>
          <w:highlight w:val="none"/>
          <w:lang w:val="en-US" w:eastAsia="zh-CN"/>
        </w:rPr>
        <w:t>低积累性水稻</w:t>
      </w:r>
      <w:r>
        <w:rPr>
          <w:rFonts w:hint="eastAsia" w:asciiTheme="minorEastAsia" w:hAnsiTheme="minorEastAsia" w:eastAsiaTheme="minorEastAsia" w:cstheme="minorEastAsia"/>
          <w:b/>
          <w:bCs/>
          <w:sz w:val="24"/>
          <w:szCs w:val="24"/>
          <w:highlight w:val="none"/>
          <w:lang w:val="en-US"/>
        </w:rPr>
        <w:t>品种</w:t>
      </w:r>
    </w:p>
    <w:p w14:paraId="215E0E17">
      <w:pPr>
        <w:pStyle w:val="2"/>
        <w:keepNext w:val="0"/>
        <w:keepLines w:val="0"/>
        <w:pageBreakBefore w:val="0"/>
        <w:widowControl w:val="0"/>
        <w:kinsoku/>
        <w:overflowPunct/>
        <w:topLinePunct w:val="0"/>
        <w:autoSpaceDE/>
        <w:autoSpaceDN/>
        <w:bidi w:val="0"/>
        <w:adjustRightInd/>
        <w:snapToGrid/>
        <w:spacing w:line="360" w:lineRule="auto"/>
        <w:ind w:firstLine="480"/>
        <w:textAlignment w:val="auto"/>
        <w:rPr>
          <w:rFonts w:hint="eastAsia" w:asciiTheme="minorEastAsia" w:hAnsiTheme="minorEastAsia" w:eastAsiaTheme="minorEastAsia" w:cstheme="minorEastAsia"/>
          <w:sz w:val="24"/>
          <w:szCs w:val="24"/>
          <w:highlight w:val="none"/>
          <w:lang w:val="en-US"/>
        </w:rPr>
      </w:pPr>
      <w:r>
        <w:rPr>
          <w:rFonts w:hint="eastAsia" w:asciiTheme="minorEastAsia" w:hAnsiTheme="minorEastAsia" w:eastAsiaTheme="minorEastAsia" w:cstheme="minorEastAsia"/>
          <w:b/>
          <w:bCs/>
          <w:sz w:val="24"/>
          <w:szCs w:val="24"/>
          <w:highlight w:val="none"/>
          <w:lang w:val="en-US"/>
        </w:rPr>
        <w:t>主要技术要点：</w:t>
      </w:r>
      <w:r>
        <w:rPr>
          <w:rFonts w:hint="eastAsia" w:asciiTheme="minorEastAsia" w:hAnsiTheme="minorEastAsia" w:eastAsiaTheme="minorEastAsia" w:cstheme="minorEastAsia"/>
          <w:sz w:val="24"/>
          <w:szCs w:val="24"/>
          <w:highlight w:val="none"/>
          <w:lang w:val="en-US"/>
        </w:rPr>
        <w:t>在轻中度污染耕地种植重金属富集能力较弱的水稻品种，可以有效减少重金属进入稻谷，降低水稻的重金属污染风险。</w:t>
      </w:r>
    </w:p>
    <w:p w14:paraId="28726D0C">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b/>
          <w:bCs/>
          <w:sz w:val="24"/>
          <w:szCs w:val="24"/>
          <w:highlight w:val="none"/>
          <w:lang w:val="en-US" w:eastAsia="zh-CN"/>
        </w:rPr>
        <w:t>推广种植面积：</w:t>
      </w:r>
      <w:r>
        <w:rPr>
          <w:rFonts w:hint="eastAsia" w:asciiTheme="minorEastAsia" w:hAnsiTheme="minorEastAsia" w:eastAsiaTheme="minorEastAsia" w:cstheme="minorEastAsia"/>
          <w:sz w:val="24"/>
          <w:szCs w:val="24"/>
          <w:highlight w:val="none"/>
          <w:lang w:val="en-US" w:eastAsia="zh-CN"/>
        </w:rPr>
        <w:t>2300亩。</w:t>
      </w:r>
    </w:p>
    <w:p w14:paraId="33765ED0">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经初步研究，已筛选出一些镉污染低积累水稻品种，各地可参考种植：</w:t>
      </w:r>
    </w:p>
    <w:p w14:paraId="43D51063">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b/>
          <w:bCs/>
          <w:sz w:val="24"/>
          <w:szCs w:val="24"/>
          <w:highlight w:val="none"/>
          <w:lang w:val="en-US" w:eastAsia="zh-CN"/>
        </w:rPr>
      </w:pPr>
      <w:r>
        <w:rPr>
          <w:rFonts w:hint="eastAsia" w:asciiTheme="minorEastAsia" w:hAnsiTheme="minorEastAsia" w:eastAsiaTheme="minorEastAsia" w:cstheme="minorEastAsia"/>
          <w:b/>
          <w:bCs/>
          <w:sz w:val="24"/>
          <w:szCs w:val="24"/>
          <w:highlight w:val="none"/>
          <w:lang w:val="en-US" w:eastAsia="zh-CN"/>
        </w:rPr>
        <w:t>①早稻：中安2号、中安早35。</w:t>
      </w:r>
    </w:p>
    <w:p w14:paraId="63C956BB">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b/>
          <w:bCs/>
          <w:sz w:val="24"/>
          <w:szCs w:val="24"/>
          <w:highlight w:val="none"/>
          <w:lang w:val="en-US" w:eastAsia="zh-CN"/>
        </w:rPr>
      </w:pPr>
      <w:r>
        <w:rPr>
          <w:rFonts w:hint="eastAsia" w:asciiTheme="minorEastAsia" w:hAnsiTheme="minorEastAsia" w:eastAsiaTheme="minorEastAsia" w:cstheme="minorEastAsia"/>
          <w:b/>
          <w:bCs/>
          <w:sz w:val="24"/>
          <w:szCs w:val="24"/>
          <w:highlight w:val="none"/>
          <w:lang w:val="en-US" w:eastAsia="zh-CN"/>
        </w:rPr>
        <w:t>②中晚稻：臻两优8612、清莲丝苗、韶香100、DY3等。</w:t>
      </w:r>
    </w:p>
    <w:p w14:paraId="366A801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kern w:val="2"/>
          <w:sz w:val="24"/>
          <w:szCs w:val="24"/>
          <w:highlight w:val="none"/>
          <w:lang w:val="en-US" w:eastAsia="zh-CN" w:bidi="ar-SA"/>
        </w:rPr>
      </w:pPr>
      <w:r>
        <w:rPr>
          <w:rFonts w:hint="eastAsia" w:asciiTheme="minorEastAsia" w:hAnsiTheme="minorEastAsia" w:eastAsiaTheme="minorEastAsia" w:cstheme="minorEastAsia"/>
          <w:kern w:val="2"/>
          <w:sz w:val="24"/>
          <w:szCs w:val="24"/>
          <w:highlight w:val="none"/>
          <w:lang w:val="en-US" w:eastAsia="zh-CN" w:bidi="ar-SA"/>
        </w:rPr>
        <w:t>根据前期低积累水稻品种在本地区的探索情况，拟选择“臻两优8612”作为在本地区中稻推广种植的低积累水稻品种，用种量为2kg/亩；拟选择“清莲丝苗”作为在本地区晚稻推广种植的低积累水稻品种，用种量为3kg/亩。</w:t>
      </w:r>
    </w:p>
    <w:p w14:paraId="290AA606">
      <w:pPr>
        <w:pStyle w:val="2"/>
        <w:spacing w:line="360" w:lineRule="auto"/>
        <w:ind w:firstLine="480"/>
        <w:rPr>
          <w:rFonts w:hint="eastAsia" w:asciiTheme="minorEastAsia" w:hAnsiTheme="minorEastAsia" w:eastAsiaTheme="minorEastAsia" w:cstheme="minorEastAsia"/>
          <w:sz w:val="24"/>
          <w:szCs w:val="24"/>
          <w:highlight w:val="none"/>
          <w:lang w:val="en-US"/>
        </w:rPr>
      </w:pPr>
      <w:r>
        <w:rPr>
          <w:rFonts w:hint="eastAsia" w:asciiTheme="minorEastAsia" w:hAnsiTheme="minorEastAsia" w:eastAsiaTheme="minorEastAsia" w:cstheme="minorEastAsia"/>
          <w:b/>
          <w:bCs/>
          <w:sz w:val="24"/>
          <w:szCs w:val="24"/>
          <w:highlight w:val="none"/>
          <w:lang w:val="en-US"/>
        </w:rPr>
        <w:t>注意事项：</w:t>
      </w:r>
      <w:r>
        <w:rPr>
          <w:rFonts w:hint="eastAsia" w:asciiTheme="minorEastAsia" w:hAnsiTheme="minorEastAsia" w:eastAsiaTheme="minorEastAsia" w:cstheme="minorEastAsia"/>
          <w:sz w:val="24"/>
          <w:szCs w:val="24"/>
          <w:highlight w:val="none"/>
          <w:lang w:val="en-US"/>
        </w:rPr>
        <w:t>①水稻品种具有较强的区域性特点，每个水稻品种都有其特定的适宜种植区，只能在其适宜种植区推广，适宜种植区参考品种说明。</w:t>
      </w:r>
    </w:p>
    <w:p w14:paraId="159D8F6B">
      <w:pPr>
        <w:pStyle w:val="2"/>
        <w:spacing w:line="360" w:lineRule="auto"/>
        <w:ind w:firstLine="480"/>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rPr>
        <w:t>②水稻品种的低积累效果有明显的地域性，易受区域、季节、土壤条件、田间管理等因素影响，各地可根据本地区水稻品种种植情况，开展低积累品种筛选，摸索适合本区域的镉低积累水稻品种。</w:t>
      </w:r>
    </w:p>
    <w:p w14:paraId="4970040A">
      <w:pPr>
        <w:pStyle w:val="6"/>
        <w:spacing w:line="360" w:lineRule="auto"/>
        <w:ind w:firstLine="482" w:firstLineChars="200"/>
        <w:rPr>
          <w:rFonts w:hint="eastAsia" w:asciiTheme="minorEastAsia" w:hAnsiTheme="minorEastAsia" w:eastAsiaTheme="minorEastAsia" w:cstheme="minorEastAsia"/>
          <w:b/>
          <w:bCs/>
          <w:sz w:val="24"/>
          <w:szCs w:val="24"/>
          <w:highlight w:val="none"/>
        </w:rPr>
      </w:pPr>
      <w:r>
        <w:rPr>
          <w:rFonts w:hint="eastAsia" w:asciiTheme="minorEastAsia" w:hAnsiTheme="minorEastAsia" w:eastAsiaTheme="minorEastAsia" w:cstheme="minorEastAsia"/>
          <w:b/>
          <w:bCs/>
          <w:sz w:val="24"/>
          <w:szCs w:val="24"/>
          <w:highlight w:val="none"/>
          <w:lang w:val="en-US" w:eastAsia="zh-CN"/>
        </w:rPr>
        <w:t>2</w:t>
      </w:r>
      <w:r>
        <w:rPr>
          <w:rFonts w:hint="eastAsia" w:asciiTheme="minorEastAsia" w:hAnsiTheme="minorEastAsia" w:eastAsiaTheme="minorEastAsia" w:cstheme="minorEastAsia"/>
          <w:b/>
          <w:bCs/>
          <w:sz w:val="24"/>
          <w:szCs w:val="24"/>
          <w:highlight w:val="none"/>
        </w:rPr>
        <w:t>）叶面阻控技术</w:t>
      </w:r>
    </w:p>
    <w:p w14:paraId="5BC510F2">
      <w:pPr>
        <w:pStyle w:val="6"/>
        <w:spacing w:line="360" w:lineRule="auto"/>
        <w:ind w:firstLine="482" w:firstLineChars="200"/>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b/>
          <w:bCs/>
          <w:sz w:val="24"/>
          <w:szCs w:val="24"/>
          <w:highlight w:val="none"/>
        </w:rPr>
        <w:t>主要技术要点：</w:t>
      </w:r>
      <w:r>
        <w:rPr>
          <w:rFonts w:hint="eastAsia" w:asciiTheme="minorEastAsia" w:hAnsiTheme="minorEastAsia" w:eastAsiaTheme="minorEastAsia" w:cstheme="minorEastAsia"/>
          <w:sz w:val="24"/>
          <w:szCs w:val="24"/>
          <w:highlight w:val="none"/>
        </w:rPr>
        <w:t>含硅、锌、硒等中微量元素的水溶肥可明显提高水稻对镉吸收积累的营养拮抗作用，从而可降低重金属镉在水稻植株（含籽粒）的积累。叶面阻控剂要求剂型为水剂，适用作物须包含水稻，需取得农业农村部肥料登记证。</w:t>
      </w:r>
    </w:p>
    <w:p w14:paraId="2DD28657">
      <w:pPr>
        <w:pStyle w:val="6"/>
        <w:spacing w:line="360" w:lineRule="auto"/>
        <w:ind w:firstLine="482" w:firstLineChars="200"/>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b/>
          <w:bCs/>
          <w:sz w:val="24"/>
          <w:szCs w:val="24"/>
          <w:highlight w:val="none"/>
        </w:rPr>
        <w:t>叶面阻控剂使用时间：</w:t>
      </w:r>
      <w:r>
        <w:rPr>
          <w:rFonts w:hint="eastAsia" w:asciiTheme="minorEastAsia" w:hAnsiTheme="minorEastAsia" w:eastAsiaTheme="minorEastAsia" w:cstheme="minorEastAsia"/>
          <w:color w:val="auto"/>
          <w:kern w:val="0"/>
          <w:sz w:val="24"/>
          <w:szCs w:val="24"/>
          <w:lang w:val="en-US" w:eastAsia="zh-CN" w:bidi="ar-SA"/>
        </w:rPr>
        <w:t>盛蘖期、抽穗灌浆期各喷施1次叶面阻控剂</w:t>
      </w:r>
      <w:r>
        <w:rPr>
          <w:rFonts w:hint="eastAsia" w:asciiTheme="minorEastAsia" w:hAnsiTheme="minorEastAsia" w:eastAsiaTheme="minorEastAsia" w:cstheme="minorEastAsia"/>
          <w:sz w:val="24"/>
          <w:szCs w:val="24"/>
          <w:highlight w:val="none"/>
        </w:rPr>
        <w:t>。</w:t>
      </w:r>
    </w:p>
    <w:p w14:paraId="2D6BECFF">
      <w:pPr>
        <w:pStyle w:val="6"/>
        <w:spacing w:line="360" w:lineRule="auto"/>
        <w:ind w:firstLine="482" w:firstLineChars="200"/>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b/>
          <w:bCs/>
          <w:sz w:val="24"/>
          <w:szCs w:val="24"/>
          <w:highlight w:val="none"/>
        </w:rPr>
        <w:t>叶面阻控剂施用方式：</w:t>
      </w:r>
      <w:r>
        <w:rPr>
          <w:rFonts w:hint="eastAsia" w:asciiTheme="minorEastAsia" w:hAnsiTheme="minorEastAsia" w:eastAsiaTheme="minorEastAsia" w:cstheme="minorEastAsia"/>
          <w:sz w:val="24"/>
          <w:szCs w:val="24"/>
          <w:highlight w:val="none"/>
        </w:rPr>
        <w:t>叶面喷施，可人工喷雾或者飞防，以喷施株茎叶为准；</w:t>
      </w:r>
    </w:p>
    <w:p w14:paraId="455D7C47">
      <w:pPr>
        <w:pStyle w:val="6"/>
        <w:spacing w:line="360" w:lineRule="auto"/>
        <w:ind w:firstLine="482" w:firstLineChars="200"/>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b/>
          <w:bCs/>
          <w:sz w:val="24"/>
          <w:szCs w:val="24"/>
          <w:highlight w:val="none"/>
        </w:rPr>
        <w:t>无人机飞行高度：</w:t>
      </w:r>
      <w:r>
        <w:rPr>
          <w:rFonts w:hint="eastAsia" w:asciiTheme="minorEastAsia" w:hAnsiTheme="minorEastAsia" w:eastAsiaTheme="minorEastAsia" w:cstheme="minorEastAsia"/>
          <w:sz w:val="24"/>
          <w:szCs w:val="24"/>
          <w:highlight w:val="none"/>
        </w:rPr>
        <w:t>无人机飞行高度</w:t>
      </w:r>
      <w:r>
        <w:rPr>
          <w:rFonts w:hint="eastAsia" w:asciiTheme="minorEastAsia" w:hAnsiTheme="minorEastAsia" w:eastAsiaTheme="minorEastAsia" w:cstheme="minorEastAsia"/>
          <w:sz w:val="24"/>
          <w:szCs w:val="24"/>
          <w:highlight w:val="none"/>
          <w:lang w:val="en-US" w:eastAsia="zh-CN"/>
        </w:rPr>
        <w:t>2—3</w:t>
      </w:r>
      <w:r>
        <w:rPr>
          <w:rFonts w:hint="eastAsia" w:asciiTheme="minorEastAsia" w:hAnsiTheme="minorEastAsia" w:eastAsiaTheme="minorEastAsia" w:cstheme="minorEastAsia"/>
          <w:sz w:val="24"/>
          <w:szCs w:val="24"/>
          <w:highlight w:val="none"/>
        </w:rPr>
        <w:t>米为佳；</w:t>
      </w:r>
    </w:p>
    <w:p w14:paraId="705E56CE">
      <w:pPr>
        <w:pStyle w:val="6"/>
        <w:spacing w:line="360" w:lineRule="auto"/>
        <w:ind w:firstLine="482" w:firstLineChars="200"/>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b/>
          <w:bCs/>
          <w:sz w:val="24"/>
          <w:szCs w:val="24"/>
          <w:highlight w:val="none"/>
        </w:rPr>
        <w:t>参数要求：</w:t>
      </w:r>
      <w:r>
        <w:rPr>
          <w:rFonts w:hint="eastAsia" w:asciiTheme="minorEastAsia" w:hAnsiTheme="minorEastAsia" w:eastAsiaTheme="minorEastAsia" w:cstheme="minorEastAsia"/>
          <w:sz w:val="24"/>
          <w:szCs w:val="24"/>
          <w:highlight w:val="none"/>
        </w:rPr>
        <w:t>有机水溶肥料，有机质≥120 g/L，大量元素≥160 g/L (大量元素指 N+P2O5+K2O，)，微量元素≥15g/L (必须含有锌元素) ,水不溶物≤20g/L，剂型：水剂</w:t>
      </w:r>
    </w:p>
    <w:p w14:paraId="192B4AD6">
      <w:pPr>
        <w:pStyle w:val="2"/>
        <w:spacing w:line="360" w:lineRule="auto"/>
        <w:ind w:firstLine="480"/>
        <w:rPr>
          <w:rFonts w:hint="eastAsia" w:asciiTheme="minorEastAsia" w:hAnsiTheme="minorEastAsia" w:eastAsiaTheme="minorEastAsia" w:cstheme="minorEastAsia"/>
          <w:sz w:val="24"/>
          <w:szCs w:val="24"/>
          <w:highlight w:val="none"/>
          <w:lang w:val="en-US"/>
        </w:rPr>
      </w:pPr>
      <w:r>
        <w:rPr>
          <w:rFonts w:hint="eastAsia" w:asciiTheme="minorEastAsia" w:hAnsiTheme="minorEastAsia" w:eastAsiaTheme="minorEastAsia" w:cstheme="minorEastAsia"/>
          <w:b/>
          <w:bCs/>
          <w:sz w:val="24"/>
          <w:szCs w:val="24"/>
          <w:highlight w:val="none"/>
        </w:rPr>
        <w:t>注意事项：</w:t>
      </w:r>
      <w:r>
        <w:rPr>
          <w:rFonts w:hint="eastAsia" w:asciiTheme="minorEastAsia" w:hAnsiTheme="minorEastAsia" w:eastAsiaTheme="minorEastAsia" w:cstheme="minorEastAsia"/>
          <w:sz w:val="24"/>
          <w:szCs w:val="24"/>
          <w:highlight w:val="none"/>
        </w:rPr>
        <w:t>第一本品为碱性产品，不可混用其他酸性药剂，建议单独使用；第二，避开高温喷雾，时间为上午10点前和下午4点后；第三叶面阻控剂的喷施避免雨天喷施，叶面阻控剂避免早晨有雾和有露水时喷施，以防水稻叶片叶面阻控剂附着力下降；叶面阻控剂喷施应对着水稻40cm以上的叶片正方面喷施，叶片无蜡质层可以提高防治效果；所用“叶面阻控剂”之中微量元素水溶肥（适合叶面喷施）要求适宜作物为水稻，重金属限量指标应符合GB15618-2018筛选值。</w:t>
      </w:r>
    </w:p>
    <w:p w14:paraId="1DDC47A1">
      <w:pPr>
        <w:pStyle w:val="6"/>
        <w:spacing w:line="360" w:lineRule="auto"/>
        <w:ind w:firstLine="482" w:firstLineChars="200"/>
        <w:rPr>
          <w:rFonts w:hint="eastAsia" w:asciiTheme="minorEastAsia" w:hAnsiTheme="minorEastAsia" w:eastAsiaTheme="minorEastAsia" w:cstheme="minorEastAsia"/>
          <w:b/>
          <w:bCs/>
          <w:sz w:val="24"/>
          <w:szCs w:val="24"/>
          <w:highlight w:val="none"/>
        </w:rPr>
      </w:pPr>
      <w:bookmarkStart w:id="7" w:name="_Toc25941035"/>
      <w:bookmarkStart w:id="8" w:name="_Toc14443940"/>
      <w:bookmarkStart w:id="9" w:name="_Toc25942485"/>
      <w:bookmarkStart w:id="10" w:name="_Toc25942158"/>
      <w:bookmarkStart w:id="11" w:name="_Toc27284"/>
      <w:bookmarkStart w:id="12" w:name="_Toc15759553"/>
      <w:bookmarkStart w:id="13" w:name="_Toc6222"/>
      <w:r>
        <w:rPr>
          <w:rFonts w:hint="eastAsia" w:asciiTheme="minorEastAsia" w:hAnsiTheme="minorEastAsia" w:eastAsiaTheme="minorEastAsia" w:cstheme="minorEastAsia"/>
          <w:b/>
          <w:bCs/>
          <w:sz w:val="24"/>
          <w:szCs w:val="24"/>
          <w:highlight w:val="none"/>
          <w:lang w:val="en-US" w:eastAsia="zh-CN"/>
        </w:rPr>
        <w:t>3</w:t>
      </w:r>
      <w:r>
        <w:rPr>
          <w:rFonts w:hint="eastAsia" w:asciiTheme="minorEastAsia" w:hAnsiTheme="minorEastAsia" w:eastAsiaTheme="minorEastAsia" w:cstheme="minorEastAsia"/>
          <w:b/>
          <w:bCs/>
          <w:sz w:val="24"/>
          <w:szCs w:val="24"/>
          <w:highlight w:val="none"/>
        </w:rPr>
        <w:t>）土壤调理技术</w:t>
      </w:r>
      <w:bookmarkEnd w:id="7"/>
      <w:bookmarkEnd w:id="8"/>
      <w:bookmarkEnd w:id="9"/>
      <w:bookmarkEnd w:id="10"/>
      <w:bookmarkEnd w:id="11"/>
      <w:bookmarkEnd w:id="12"/>
      <w:bookmarkEnd w:id="13"/>
    </w:p>
    <w:p w14:paraId="1AF43215">
      <w:pPr>
        <w:pStyle w:val="6"/>
        <w:spacing w:line="360" w:lineRule="auto"/>
        <w:ind w:firstLine="482" w:firstLineChars="200"/>
        <w:rPr>
          <w:rFonts w:hint="eastAsia" w:asciiTheme="minorEastAsia" w:hAnsiTheme="minorEastAsia" w:eastAsiaTheme="minorEastAsia" w:cstheme="minorEastAsia"/>
          <w:sz w:val="24"/>
          <w:szCs w:val="24"/>
          <w:highlight w:val="none"/>
        </w:rPr>
      </w:pPr>
      <w:bookmarkStart w:id="14" w:name="_Toc14443941"/>
      <w:bookmarkStart w:id="15" w:name="_Toc9001"/>
      <w:bookmarkStart w:id="16" w:name="_Toc15759554"/>
      <w:r>
        <w:rPr>
          <w:rFonts w:hint="eastAsia" w:asciiTheme="minorEastAsia" w:hAnsiTheme="minorEastAsia" w:eastAsiaTheme="minorEastAsia" w:cstheme="minorEastAsia"/>
          <w:b/>
          <w:bCs/>
          <w:sz w:val="24"/>
          <w:szCs w:val="24"/>
          <w:highlight w:val="none"/>
        </w:rPr>
        <w:t>主要技术要点：</w:t>
      </w:r>
      <w:r>
        <w:rPr>
          <w:rFonts w:hint="eastAsia" w:asciiTheme="minorEastAsia" w:hAnsiTheme="minorEastAsia" w:eastAsiaTheme="minorEastAsia" w:cstheme="minorEastAsia"/>
          <w:sz w:val="24"/>
          <w:szCs w:val="24"/>
          <w:highlight w:val="none"/>
        </w:rPr>
        <w:t>土壤调理剂能通过吸附、沉淀、络合、离子交换和氧化还原等作用降低重金属的移动性和生物有效性，进而抑制水稻对重金属的吸收。添加调理剂虽然不能去除土壤中的重金属，但却能在一定时期内不同程度地把重金属稳定在土壤中，阻止重金属从土壤通过植物根部向农作物地上部的迁移累积，以达到治理污染土壤的一种修复技术，其具有修复速率快、稳定性好、费用低、操作简单等特点，同时不影响农业生产，可以实现边修复边生产，尤其适用于修复大面积中轻度重金属污染农田土壤。</w:t>
      </w:r>
    </w:p>
    <w:p w14:paraId="1614C267">
      <w:pPr>
        <w:pStyle w:val="6"/>
        <w:spacing w:line="360" w:lineRule="auto"/>
        <w:ind w:firstLine="482" w:firstLineChars="200"/>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b/>
          <w:bCs/>
          <w:sz w:val="24"/>
          <w:szCs w:val="24"/>
          <w:highlight w:val="none"/>
        </w:rPr>
        <w:t>施用方式</w:t>
      </w:r>
      <w:r>
        <w:rPr>
          <w:rFonts w:hint="eastAsia" w:asciiTheme="minorEastAsia" w:hAnsiTheme="minorEastAsia" w:eastAsiaTheme="minorEastAsia" w:cstheme="minorEastAsia"/>
          <w:sz w:val="24"/>
          <w:szCs w:val="24"/>
          <w:highlight w:val="none"/>
        </w:rPr>
        <w:t>：采用人工或机械化的方式，在水稻播种前7天左右，一次性撒施土壤调理剂。</w:t>
      </w:r>
    </w:p>
    <w:p w14:paraId="69DFBF3B">
      <w:pPr>
        <w:pStyle w:val="6"/>
        <w:spacing w:line="360" w:lineRule="auto"/>
        <w:ind w:firstLine="482" w:firstLineChars="200"/>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b/>
          <w:bCs/>
          <w:sz w:val="24"/>
          <w:szCs w:val="24"/>
          <w:highlight w:val="none"/>
        </w:rPr>
        <w:t>参数要求：</w:t>
      </w:r>
      <w:r>
        <w:rPr>
          <w:rFonts w:hint="eastAsia" w:asciiTheme="minorEastAsia" w:hAnsiTheme="minorEastAsia" w:eastAsiaTheme="minorEastAsia" w:cstheme="minorEastAsia"/>
          <w:b w:val="0"/>
          <w:bCs w:val="0"/>
          <w:sz w:val="24"/>
          <w:szCs w:val="24"/>
          <w:highlight w:val="none"/>
        </w:rPr>
        <w:t>土壤调理剂：CaO≥20%，PH≥10.0，剂型：粉剂，登记适宜范围适用于酸性土壤</w:t>
      </w:r>
      <w:r>
        <w:rPr>
          <w:rFonts w:hint="eastAsia" w:asciiTheme="minorEastAsia" w:hAnsiTheme="minorEastAsia" w:eastAsiaTheme="minorEastAsia" w:cstheme="minorEastAsia"/>
          <w:b w:val="0"/>
          <w:bCs w:val="0"/>
          <w:sz w:val="24"/>
          <w:szCs w:val="24"/>
          <w:highlight w:val="none"/>
          <w:lang w:eastAsia="zh-CN"/>
        </w:rPr>
        <w:t>，</w:t>
      </w:r>
      <w:r>
        <w:rPr>
          <w:rFonts w:hint="eastAsia" w:asciiTheme="minorEastAsia" w:hAnsiTheme="minorEastAsia" w:eastAsiaTheme="minorEastAsia" w:cstheme="minorEastAsia"/>
          <w:sz w:val="24"/>
          <w:szCs w:val="24"/>
          <w:highlight w:val="none"/>
        </w:rPr>
        <w:t>镉、汞、砷、铅、镉等五项重金属含量低于《土壤环境质量 农用地土壤污染风险管控标准（试行）》（GB 15618-2018）中的风险筛选值或与受污染地块土壤重金属含量相当。</w:t>
      </w:r>
    </w:p>
    <w:p w14:paraId="7C5467C3">
      <w:pPr>
        <w:pStyle w:val="6"/>
        <w:spacing w:line="360" w:lineRule="auto"/>
        <w:ind w:firstLine="482" w:firstLineChars="200"/>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b/>
          <w:bCs/>
          <w:sz w:val="24"/>
          <w:szCs w:val="24"/>
          <w:highlight w:val="none"/>
        </w:rPr>
        <w:t>注意事项：</w:t>
      </w:r>
      <w:r>
        <w:rPr>
          <w:rFonts w:hint="eastAsia" w:asciiTheme="minorEastAsia" w:hAnsiTheme="minorEastAsia" w:eastAsiaTheme="minorEastAsia" w:cstheme="minorEastAsia"/>
          <w:sz w:val="24"/>
          <w:szCs w:val="24"/>
          <w:highlight w:val="none"/>
        </w:rPr>
        <w:t>土壤调理剂应满足适用于降低土壤酸性，降低土壤镉的生物有效性，同时含有水稻生长营养元素；土壤调理剂应分批次监测重金属含量，检测方法参照GB/T 39229，严禁施用没有取得</w:t>
      </w:r>
      <w:r>
        <w:rPr>
          <w:rFonts w:hint="eastAsia" w:asciiTheme="minorEastAsia" w:hAnsiTheme="minorEastAsia" w:eastAsiaTheme="minorEastAsia" w:cstheme="minorEastAsia"/>
          <w:sz w:val="24"/>
          <w:szCs w:val="24"/>
          <w:highlight w:val="none"/>
          <w:lang w:eastAsia="zh-CN"/>
        </w:rPr>
        <w:t>农业农村部</w:t>
      </w:r>
      <w:r>
        <w:rPr>
          <w:rFonts w:hint="eastAsia" w:asciiTheme="minorEastAsia" w:hAnsiTheme="minorEastAsia" w:eastAsiaTheme="minorEastAsia" w:cstheme="minorEastAsia"/>
          <w:sz w:val="24"/>
          <w:szCs w:val="24"/>
          <w:highlight w:val="none"/>
          <w:lang w:val="en-US" w:eastAsia="zh-CN"/>
        </w:rPr>
        <w:t>产品</w:t>
      </w:r>
      <w:r>
        <w:rPr>
          <w:rFonts w:hint="eastAsia" w:asciiTheme="minorEastAsia" w:hAnsiTheme="minorEastAsia" w:eastAsiaTheme="minorEastAsia" w:cstheme="minorEastAsia"/>
          <w:sz w:val="24"/>
          <w:szCs w:val="24"/>
          <w:highlight w:val="none"/>
        </w:rPr>
        <w:t>登记证的产品。</w:t>
      </w:r>
    </w:p>
    <w:bookmarkEnd w:id="14"/>
    <w:bookmarkEnd w:id="15"/>
    <w:bookmarkEnd w:id="16"/>
    <w:p w14:paraId="2E35C523">
      <w:pPr>
        <w:pStyle w:val="6"/>
        <w:spacing w:line="360" w:lineRule="auto"/>
        <w:ind w:firstLine="482" w:firstLineChars="200"/>
        <w:rPr>
          <w:rFonts w:hint="eastAsia" w:asciiTheme="minorEastAsia" w:hAnsiTheme="minorEastAsia" w:eastAsiaTheme="minorEastAsia" w:cstheme="minorEastAsia"/>
          <w:b/>
          <w:bCs/>
          <w:sz w:val="24"/>
          <w:szCs w:val="24"/>
          <w:highlight w:val="none"/>
        </w:rPr>
      </w:pPr>
      <w:bookmarkStart w:id="17" w:name="_Toc25942160"/>
      <w:bookmarkStart w:id="18" w:name="_Toc14443942"/>
      <w:bookmarkStart w:id="19" w:name="_Toc25942487"/>
      <w:bookmarkStart w:id="20" w:name="_Toc25941037"/>
      <w:bookmarkStart w:id="21" w:name="_Toc8011"/>
      <w:bookmarkStart w:id="22" w:name="_Toc15759555"/>
      <w:bookmarkStart w:id="23" w:name="_Toc11035"/>
      <w:r>
        <w:rPr>
          <w:rFonts w:hint="eastAsia" w:asciiTheme="minorEastAsia" w:hAnsiTheme="minorEastAsia" w:eastAsiaTheme="minorEastAsia" w:cstheme="minorEastAsia"/>
          <w:b/>
          <w:bCs/>
          <w:sz w:val="24"/>
          <w:szCs w:val="24"/>
          <w:highlight w:val="none"/>
          <w:lang w:val="en-US" w:eastAsia="zh-CN"/>
        </w:rPr>
        <w:t>4</w:t>
      </w:r>
      <w:r>
        <w:rPr>
          <w:rFonts w:hint="eastAsia" w:asciiTheme="minorEastAsia" w:hAnsiTheme="minorEastAsia" w:eastAsiaTheme="minorEastAsia" w:cstheme="minorEastAsia"/>
          <w:b/>
          <w:bCs/>
          <w:sz w:val="24"/>
          <w:szCs w:val="24"/>
          <w:highlight w:val="none"/>
        </w:rPr>
        <w:t>）种植结构调整</w:t>
      </w:r>
      <w:bookmarkEnd w:id="17"/>
      <w:bookmarkEnd w:id="18"/>
      <w:bookmarkEnd w:id="19"/>
      <w:bookmarkEnd w:id="20"/>
      <w:bookmarkEnd w:id="21"/>
      <w:bookmarkEnd w:id="22"/>
      <w:bookmarkEnd w:id="23"/>
    </w:p>
    <w:p w14:paraId="2BA2D13E">
      <w:pPr>
        <w:pStyle w:val="2"/>
        <w:spacing w:line="360" w:lineRule="auto"/>
        <w:ind w:firstLine="480"/>
        <w:rPr>
          <w:rFonts w:hint="eastAsia" w:asciiTheme="minorEastAsia" w:hAnsiTheme="minorEastAsia" w:eastAsiaTheme="minorEastAsia" w:cstheme="minorEastAsia"/>
          <w:b w:val="0"/>
          <w:bCs w:val="0"/>
          <w:sz w:val="24"/>
          <w:szCs w:val="24"/>
          <w:highlight w:val="none"/>
          <w:lang w:val="en-US"/>
        </w:rPr>
      </w:pPr>
      <w:r>
        <w:rPr>
          <w:rFonts w:hint="eastAsia" w:asciiTheme="minorEastAsia" w:hAnsiTheme="minorEastAsia" w:eastAsiaTheme="minorEastAsia" w:cstheme="minorEastAsia"/>
          <w:b w:val="0"/>
          <w:bCs w:val="0"/>
          <w:sz w:val="24"/>
          <w:szCs w:val="24"/>
          <w:highlight w:val="none"/>
        </w:rPr>
        <w:t>种植结构调整是指在重金属污染的耕地为保障农产品安全生产，用农产品重金属超标风险较低的作物代替超标风险较高的作物的技术措施。主要是利用不同作物在种内及品种之间，对土壤重金属的吸收、积累和体内分配上差异，选择种植对重金属吸收能力弱或在可食用</w:t>
      </w:r>
      <w:r>
        <w:rPr>
          <w:rFonts w:hint="eastAsia" w:asciiTheme="minorEastAsia" w:hAnsiTheme="minorEastAsia" w:eastAsiaTheme="minorEastAsia" w:cstheme="minorEastAsia"/>
          <w:b w:val="0"/>
          <w:bCs w:val="0"/>
          <w:sz w:val="24"/>
          <w:szCs w:val="24"/>
          <w:highlight w:val="none"/>
          <w:lang w:val="en-US"/>
        </w:rPr>
        <w:t>部位分配少的作物。</w:t>
      </w:r>
    </w:p>
    <w:p w14:paraId="177B56DD">
      <w:pPr>
        <w:pStyle w:val="2"/>
        <w:spacing w:line="360" w:lineRule="auto"/>
        <w:ind w:firstLine="482"/>
        <w:rPr>
          <w:rFonts w:hint="eastAsia" w:asciiTheme="minorEastAsia" w:hAnsiTheme="minorEastAsia" w:eastAsiaTheme="minorEastAsia" w:cstheme="minorEastAsia"/>
          <w:b w:val="0"/>
          <w:bCs w:val="0"/>
          <w:sz w:val="24"/>
          <w:szCs w:val="24"/>
          <w:highlight w:val="none"/>
          <w:lang w:val="en-US"/>
        </w:rPr>
      </w:pPr>
      <w:r>
        <w:rPr>
          <w:rFonts w:hint="eastAsia" w:asciiTheme="minorEastAsia" w:hAnsiTheme="minorEastAsia" w:eastAsiaTheme="minorEastAsia" w:cstheme="minorEastAsia"/>
          <w:b w:val="0"/>
          <w:bCs w:val="0"/>
          <w:sz w:val="24"/>
          <w:szCs w:val="24"/>
          <w:highlight w:val="none"/>
          <w:lang w:val="en-US"/>
        </w:rPr>
        <w:t>由于水稻禾本科粮食作物对镉等积累能力强，因此调整种植重金属</w:t>
      </w:r>
      <w:r>
        <w:rPr>
          <w:rFonts w:hint="eastAsia" w:asciiTheme="minorEastAsia" w:hAnsiTheme="minorEastAsia" w:eastAsiaTheme="minorEastAsia" w:cstheme="minorEastAsia"/>
          <w:b w:val="0"/>
          <w:bCs w:val="0"/>
          <w:sz w:val="24"/>
          <w:szCs w:val="24"/>
          <w:highlight w:val="none"/>
          <w:lang w:val="en-US" w:eastAsia="zh-CN"/>
        </w:rPr>
        <w:t>低含量</w:t>
      </w:r>
      <w:r>
        <w:rPr>
          <w:rFonts w:hint="eastAsia" w:asciiTheme="minorEastAsia" w:hAnsiTheme="minorEastAsia" w:eastAsiaTheme="minorEastAsia" w:cstheme="minorEastAsia"/>
          <w:b w:val="0"/>
          <w:bCs w:val="0"/>
          <w:sz w:val="24"/>
          <w:szCs w:val="24"/>
          <w:highlight w:val="none"/>
          <w:lang w:val="en-US"/>
        </w:rPr>
        <w:t>的玉米、土豆等其他粮食作物，或者油菜、花生、西瓜、棉花、蚕桑等经济作物。此外，还可种植麻类、苗木、花卉等非食用作物。</w:t>
      </w:r>
    </w:p>
    <w:p w14:paraId="4618C759">
      <w:pPr>
        <w:pStyle w:val="2"/>
        <w:spacing w:line="360" w:lineRule="auto"/>
        <w:ind w:firstLine="480"/>
        <w:rPr>
          <w:rFonts w:hint="eastAsia" w:asciiTheme="minorEastAsia" w:hAnsiTheme="minorEastAsia" w:eastAsiaTheme="minorEastAsia" w:cstheme="minorEastAsia"/>
          <w:b w:val="0"/>
          <w:bCs w:val="0"/>
          <w:sz w:val="24"/>
          <w:szCs w:val="24"/>
          <w:highlight w:val="none"/>
          <w:lang w:val="en-US"/>
        </w:rPr>
      </w:pPr>
      <w:r>
        <w:rPr>
          <w:rFonts w:hint="eastAsia" w:asciiTheme="minorEastAsia" w:hAnsiTheme="minorEastAsia" w:eastAsiaTheme="minorEastAsia" w:cstheme="minorEastAsia"/>
          <w:b w:val="0"/>
          <w:bCs w:val="0"/>
          <w:sz w:val="24"/>
          <w:szCs w:val="24"/>
          <w:highlight w:val="none"/>
          <w:lang w:val="en-US"/>
        </w:rPr>
        <w:t>种植结构调整主要适用于污染较重的耕地，此时种植水稻、蔬菜时重金属超标风险太大，采用</w:t>
      </w:r>
      <w:r>
        <w:rPr>
          <w:rFonts w:hint="eastAsia" w:asciiTheme="minorEastAsia" w:hAnsiTheme="minorEastAsia" w:eastAsiaTheme="minorEastAsia" w:cstheme="minorEastAsia"/>
          <w:b w:val="0"/>
          <w:bCs w:val="0"/>
          <w:color w:val="auto"/>
          <w:sz w:val="24"/>
          <w:szCs w:val="24"/>
          <w:highlight w:val="none"/>
          <w:lang w:val="en-US"/>
        </w:rPr>
        <w:t>其他</w:t>
      </w:r>
      <w:r>
        <w:rPr>
          <w:rFonts w:hint="eastAsia" w:asciiTheme="minorEastAsia" w:hAnsiTheme="minorEastAsia" w:eastAsiaTheme="minorEastAsia" w:cstheme="minorEastAsia"/>
          <w:b w:val="0"/>
          <w:bCs w:val="0"/>
          <w:color w:val="auto"/>
          <w:sz w:val="24"/>
          <w:szCs w:val="24"/>
          <w:highlight w:val="none"/>
          <w:lang w:val="en-US" w:eastAsia="zh-CN"/>
        </w:rPr>
        <w:t>安全利用</w:t>
      </w:r>
      <w:r>
        <w:rPr>
          <w:rFonts w:hint="eastAsia" w:asciiTheme="minorEastAsia" w:hAnsiTheme="minorEastAsia" w:eastAsiaTheme="minorEastAsia" w:cstheme="minorEastAsia"/>
          <w:b w:val="0"/>
          <w:bCs w:val="0"/>
          <w:color w:val="auto"/>
          <w:sz w:val="24"/>
          <w:szCs w:val="24"/>
          <w:highlight w:val="none"/>
          <w:lang w:val="en-US"/>
        </w:rPr>
        <w:t>措</w:t>
      </w:r>
      <w:r>
        <w:rPr>
          <w:rFonts w:hint="eastAsia" w:asciiTheme="minorEastAsia" w:hAnsiTheme="minorEastAsia" w:eastAsiaTheme="minorEastAsia" w:cstheme="minorEastAsia"/>
          <w:b w:val="0"/>
          <w:bCs w:val="0"/>
          <w:sz w:val="24"/>
          <w:szCs w:val="24"/>
          <w:highlight w:val="none"/>
          <w:lang w:val="en-US"/>
        </w:rPr>
        <w:t>施也难以达到安全生产目标，种植结构调整可以做到安全生产，还可以给农户带来正常的收益。当前，种植结构调整已在全国各地大规模推广应用，但种植结构调整也存在改变农户种植习惯</w:t>
      </w:r>
      <w:r>
        <w:rPr>
          <w:rFonts w:hint="eastAsia" w:asciiTheme="minorEastAsia" w:hAnsiTheme="minorEastAsia" w:eastAsiaTheme="minorEastAsia" w:cstheme="minorEastAsia"/>
          <w:b w:val="0"/>
          <w:bCs w:val="0"/>
          <w:sz w:val="24"/>
          <w:szCs w:val="24"/>
          <w:highlight w:val="none"/>
          <w:lang w:val="en-US" w:eastAsia="zh-CN"/>
        </w:rPr>
        <w:t>以及</w:t>
      </w:r>
      <w:r>
        <w:rPr>
          <w:rFonts w:hint="eastAsia" w:asciiTheme="minorEastAsia" w:hAnsiTheme="minorEastAsia" w:eastAsiaTheme="minorEastAsia" w:cstheme="minorEastAsia"/>
          <w:b w:val="0"/>
          <w:bCs w:val="0"/>
          <w:sz w:val="24"/>
          <w:szCs w:val="24"/>
          <w:highlight w:val="none"/>
          <w:lang w:val="en-US"/>
        </w:rPr>
        <w:t>客观降低粮食产量、未能治理土壤污染等不利因素。</w:t>
      </w:r>
    </w:p>
    <w:p w14:paraId="393DF0CD">
      <w:pPr>
        <w:pageBreakBefore w:val="0"/>
        <w:kinsoku w:val="0"/>
        <w:wordWrap w:val="0"/>
        <w:overflowPunct/>
        <w:topLinePunct w:val="0"/>
        <w:autoSpaceDE w:val="0"/>
        <w:autoSpaceDN w:val="0"/>
        <w:bidi w:val="0"/>
        <w:adjustRightInd w:val="0"/>
        <w:spacing w:line="360" w:lineRule="auto"/>
        <w:ind w:left="0" w:firstLine="482" w:firstLineChars="200"/>
        <w:textAlignment w:val="baseline"/>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（五）人员要求：</w:t>
      </w:r>
    </w:p>
    <w:p w14:paraId="11B92CE9">
      <w:pPr>
        <w:pageBreakBefore w:val="0"/>
        <w:tabs>
          <w:tab w:val="left" w:pos="425"/>
        </w:tabs>
        <w:kinsoku w:val="0"/>
        <w:wordWrap w:val="0"/>
        <w:overflowPunct/>
        <w:topLinePunct w:val="0"/>
        <w:autoSpaceDE w:val="0"/>
        <w:autoSpaceDN w:val="0"/>
        <w:bidi w:val="0"/>
        <w:adjustRightInd w:val="0"/>
        <w:spacing w:before="0" w:after="0" w:line="360" w:lineRule="auto"/>
        <w:ind w:left="0" w:leftChars="0" w:firstLine="536" w:firstLineChars="200"/>
        <w:textAlignment w:val="baseline"/>
        <w:outlineLvl w:val="9"/>
        <w:rPr>
          <w:rFonts w:hint="eastAsia" w:ascii="宋体" w:hAnsi="宋体" w:eastAsia="宋体" w:cs="宋体"/>
          <w:b w:val="0"/>
          <w:snapToGrid w:val="0"/>
          <w:color w:val="auto"/>
          <w:spacing w:val="14"/>
          <w:kern w:val="0"/>
          <w:sz w:val="24"/>
          <w:szCs w:val="24"/>
          <w:lang w:val="en-US" w:eastAsia="zh-CN" w:bidi="ar-SA"/>
        </w:rPr>
      </w:pPr>
      <w:r>
        <w:rPr>
          <w:rFonts w:hint="eastAsia" w:ascii="宋体" w:hAnsi="宋体" w:eastAsia="宋体" w:cs="宋体"/>
          <w:b w:val="0"/>
          <w:snapToGrid w:val="0"/>
          <w:color w:val="auto"/>
          <w:spacing w:val="14"/>
          <w:kern w:val="0"/>
          <w:sz w:val="24"/>
          <w:szCs w:val="24"/>
          <w:lang w:val="en-US" w:eastAsia="zh-CN" w:bidi="ar-SA"/>
        </w:rPr>
        <w:t>本项目要求人员投入不少于5人。</w:t>
      </w:r>
    </w:p>
    <w:p w14:paraId="6BB13A1A">
      <w:pPr>
        <w:pageBreakBefore w:val="0"/>
        <w:overflowPunct/>
        <w:bidi w:val="0"/>
        <w:adjustRightInd w:val="0"/>
        <w:spacing w:line="360" w:lineRule="auto"/>
        <w:ind w:left="0"/>
        <w:textAlignment w:val="baseline"/>
        <w:rPr>
          <w:rFonts w:hint="eastAsia" w:ascii="宋体" w:hAnsi="宋体" w:eastAsia="宋体" w:cs="宋体"/>
          <w:color w:val="auto"/>
          <w:sz w:val="24"/>
          <w:szCs w:val="24"/>
          <w:lang w:eastAsia="zh-CN"/>
        </w:rPr>
      </w:pPr>
      <w:r>
        <w:rPr>
          <w:rFonts w:hint="eastAsia" w:ascii="宋体" w:hAnsi="宋体" w:eastAsia="宋体" w:cs="宋体"/>
          <w:b/>
          <w:bCs/>
          <w:color w:val="auto"/>
          <w:spacing w:val="-2"/>
          <w:sz w:val="24"/>
          <w:szCs w:val="24"/>
          <w:lang w:eastAsia="zh-CN"/>
        </w:rPr>
        <w:t>注：投标人必须全部满足或优于上述商务条件，否则视为无效响</w:t>
      </w:r>
      <w:r>
        <w:rPr>
          <w:rFonts w:hint="eastAsia" w:ascii="宋体" w:hAnsi="宋体" w:eastAsia="宋体" w:cs="宋体"/>
          <w:b/>
          <w:bCs/>
          <w:color w:val="auto"/>
          <w:spacing w:val="-3"/>
          <w:sz w:val="24"/>
          <w:szCs w:val="24"/>
          <w:lang w:eastAsia="zh-CN"/>
        </w:rPr>
        <w:t>应。</w:t>
      </w:r>
    </w:p>
    <w:p w14:paraId="2D09A24A">
      <w:pPr>
        <w:pageBreakBefore w:val="0"/>
        <w:overflowPunct/>
        <w:bidi w:val="0"/>
        <w:adjustRightInd w:val="0"/>
        <w:spacing w:line="360" w:lineRule="auto"/>
        <w:ind w:left="0"/>
        <w:textAlignment w:val="baseline"/>
        <w:rPr>
          <w:rFonts w:hint="eastAsia" w:ascii="宋体" w:hAnsi="宋体" w:eastAsia="宋体" w:cs="宋体"/>
          <w:color w:val="auto"/>
          <w:sz w:val="24"/>
          <w:szCs w:val="24"/>
          <w:lang w:eastAsia="zh-CN"/>
        </w:rPr>
        <w:sectPr>
          <w:footerReference r:id="rId3" w:type="default"/>
          <w:pgSz w:w="11906" w:h="16838"/>
          <w:pgMar w:top="1083" w:right="1440" w:bottom="1083" w:left="1440" w:header="0" w:footer="998" w:gutter="0"/>
          <w:pgNumType w:fmt="decimal"/>
          <w:cols w:space="0" w:num="1"/>
        </w:sectPr>
      </w:pPr>
    </w:p>
    <w:p w14:paraId="679AC961">
      <w:pPr>
        <w:keepNext w:val="0"/>
        <w:keepLines w:val="0"/>
        <w:pageBreakBefore/>
        <w:widowControl/>
        <w:kinsoku w:val="0"/>
        <w:wordWrap w:val="0"/>
        <w:overflowPunct/>
        <w:topLinePunct w:val="0"/>
        <w:autoSpaceDE w:val="0"/>
        <w:autoSpaceDN w:val="0"/>
        <w:bidi w:val="0"/>
        <w:adjustRightInd w:val="0"/>
        <w:snapToGrid w:val="0"/>
        <w:spacing w:line="360" w:lineRule="auto"/>
        <w:ind w:left="0" w:firstLine="0" w:firstLineChars="0"/>
        <w:jc w:val="center"/>
        <w:textAlignment w:val="baseline"/>
        <w:outlineLvl w:val="1"/>
        <w:rPr>
          <w:rFonts w:hint="eastAsia" w:ascii="宋体" w:hAnsi="宋体" w:eastAsia="宋体" w:cs="宋体"/>
          <w:sz w:val="24"/>
          <w:szCs w:val="24"/>
          <w:lang w:eastAsia="zh-CN"/>
          <w14:textOutline w14:w="5448" w14:cap="sq" w14:cmpd="sng">
            <w14:solidFill>
              <w14:srgbClr w14:val="000000"/>
            </w14:solidFill>
            <w14:prstDash w14:val="solid"/>
            <w14:bevel/>
          </w14:textOutline>
        </w:rPr>
      </w:pPr>
      <w:bookmarkStart w:id="24" w:name="_Toc18963"/>
      <w:bookmarkStart w:id="25" w:name="_Toc22440"/>
      <w:r>
        <w:rPr>
          <w:rFonts w:hint="eastAsia" w:ascii="宋体" w:hAnsi="宋体" w:eastAsia="宋体" w:cs="宋体"/>
          <w:sz w:val="24"/>
          <w:szCs w:val="24"/>
          <w14:textOutline w14:w="5448" w14:cap="sq" w14:cmpd="sng">
            <w14:solidFill>
              <w14:srgbClr w14:val="000000"/>
            </w14:solidFill>
            <w14:prstDash w14:val="solid"/>
            <w14:bevel/>
          </w14:textOutline>
        </w:rPr>
        <w:t>第二部分 商务</w:t>
      </w:r>
      <w:bookmarkEnd w:id="24"/>
      <w:bookmarkEnd w:id="25"/>
      <w:r>
        <w:rPr>
          <w:rFonts w:hint="eastAsia" w:ascii="宋体" w:hAnsi="宋体" w:eastAsia="宋体" w:cs="宋体"/>
          <w:sz w:val="24"/>
          <w:szCs w:val="24"/>
          <w:lang w:val="en-US" w:eastAsia="zh-CN"/>
          <w14:textOutline w14:w="5448" w14:cap="sq" w14:cmpd="sng">
            <w14:solidFill>
              <w14:srgbClr w14:val="000000"/>
            </w14:solidFill>
            <w14:prstDash w14:val="solid"/>
            <w14:bevel/>
          </w14:textOutline>
        </w:rPr>
        <w:t>条款</w:t>
      </w:r>
    </w:p>
    <w:p w14:paraId="046EB241">
      <w:pPr>
        <w:spacing w:before="125" w:line="219" w:lineRule="auto"/>
        <w:ind w:left="0" w:leftChars="0" w:firstLine="0" w:firstLineChars="0"/>
        <w:jc w:val="center"/>
        <w:outlineLvl w:val="9"/>
        <w:rPr>
          <w:rFonts w:hint="eastAsia" w:ascii="宋体" w:hAnsi="宋体" w:eastAsia="宋体" w:cs="宋体"/>
          <w:sz w:val="24"/>
          <w:szCs w:val="24"/>
        </w:rPr>
      </w:pPr>
      <w:r>
        <w:rPr>
          <w:rFonts w:hint="eastAsia" w:ascii="宋体" w:hAnsi="宋体" w:eastAsia="宋体" w:cs="宋体"/>
          <w:spacing w:val="-1"/>
          <w:sz w:val="24"/>
          <w:szCs w:val="24"/>
          <w14:textOutline w14:w="4358" w14:cap="sq" w14:cmpd="sng">
            <w14:solidFill>
              <w14:srgbClr w14:val="000000"/>
            </w14:solidFill>
            <w14:prstDash w14:val="solid"/>
            <w14:bevel/>
          </w14:textOutline>
        </w:rPr>
        <w:t>（合同条款中与本条款不一致的以本条款为准）</w:t>
      </w:r>
    </w:p>
    <w:tbl>
      <w:tblPr>
        <w:tblStyle w:val="9"/>
        <w:tblW w:w="9314" w:type="dxa"/>
        <w:tblInd w:w="7" w:type="dxa"/>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Layout w:type="fixed"/>
        <w:tblCellMar>
          <w:top w:w="0" w:type="dxa"/>
          <w:left w:w="0" w:type="dxa"/>
          <w:bottom w:w="0" w:type="dxa"/>
          <w:right w:w="0" w:type="dxa"/>
        </w:tblCellMar>
      </w:tblPr>
      <w:tblGrid>
        <w:gridCol w:w="577"/>
        <w:gridCol w:w="987"/>
        <w:gridCol w:w="6475"/>
        <w:gridCol w:w="1275"/>
      </w:tblGrid>
      <w:tr w14:paraId="4A3E6605">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479" w:hRule="atLeast"/>
        </w:trPr>
        <w:tc>
          <w:tcPr>
            <w:tcW w:w="577" w:type="dxa"/>
            <w:shd w:val="clear" w:color="auto" w:fill="auto"/>
            <w:vAlign w:val="top"/>
          </w:tcPr>
          <w:p w14:paraId="5BF0016B">
            <w:pPr>
              <w:pStyle w:val="8"/>
              <w:keepNext w:val="0"/>
              <w:keepLines w:val="0"/>
              <w:pageBreakBefore w:val="0"/>
              <w:overflowPunct/>
              <w:bidi w:val="0"/>
              <w:adjustRightInd w:val="0"/>
              <w:spacing w:line="400" w:lineRule="exact"/>
              <w:ind w:left="0" w:leftChars="0" w:firstLine="0" w:firstLineChars="0"/>
              <w:jc w:val="center"/>
              <w:outlineLvl w:val="9"/>
              <w:rPr>
                <w:rFonts w:hint="eastAsia" w:ascii="宋体" w:hAnsi="宋体" w:eastAsia="宋体" w:cs="宋体"/>
                <w:spacing w:val="-1"/>
                <w:sz w:val="24"/>
                <w:szCs w:val="24"/>
                <w:lang w:val="en-US" w:eastAsia="zh-CN"/>
              </w:rPr>
            </w:pPr>
            <w:r>
              <w:rPr>
                <w:rFonts w:hint="eastAsia" w:ascii="宋体" w:hAnsi="宋体" w:eastAsia="宋体" w:cs="宋体"/>
                <w:spacing w:val="-1"/>
                <w:sz w:val="24"/>
                <w:szCs w:val="24"/>
                <w:lang w:val="en-US" w:eastAsia="zh-CN"/>
              </w:rPr>
              <w:t>序号</w:t>
            </w:r>
          </w:p>
        </w:tc>
        <w:tc>
          <w:tcPr>
            <w:tcW w:w="987" w:type="dxa"/>
            <w:shd w:val="clear" w:color="auto" w:fill="auto"/>
            <w:vAlign w:val="center"/>
          </w:tcPr>
          <w:p w14:paraId="74DB862E">
            <w:pPr>
              <w:pStyle w:val="8"/>
              <w:keepNext w:val="0"/>
              <w:keepLines w:val="0"/>
              <w:pageBreakBefore w:val="0"/>
              <w:overflowPunct/>
              <w:bidi w:val="0"/>
              <w:adjustRightInd w:val="0"/>
              <w:spacing w:line="400" w:lineRule="exact"/>
              <w:ind w:left="0" w:leftChars="0" w:firstLine="0" w:firstLineChars="0"/>
              <w:jc w:val="center"/>
              <w:outlineLvl w:val="9"/>
              <w:rPr>
                <w:rFonts w:hint="eastAsia" w:ascii="宋体" w:hAnsi="宋体" w:eastAsia="宋体" w:cs="宋体"/>
                <w:spacing w:val="-1"/>
                <w:sz w:val="24"/>
                <w:szCs w:val="24"/>
              </w:rPr>
            </w:pPr>
            <w:r>
              <w:rPr>
                <w:rFonts w:hint="eastAsia" w:ascii="宋体" w:hAnsi="宋体" w:eastAsia="宋体" w:cs="宋体"/>
                <w:spacing w:val="-1"/>
                <w:sz w:val="24"/>
                <w:szCs w:val="24"/>
              </w:rPr>
              <w:t>需求名称</w:t>
            </w:r>
          </w:p>
        </w:tc>
        <w:tc>
          <w:tcPr>
            <w:tcW w:w="6475" w:type="dxa"/>
            <w:shd w:val="clear" w:color="auto" w:fill="auto"/>
            <w:vAlign w:val="top"/>
          </w:tcPr>
          <w:p w14:paraId="10E381AF">
            <w:pPr>
              <w:pStyle w:val="8"/>
              <w:keepNext w:val="0"/>
              <w:keepLines w:val="0"/>
              <w:pageBreakBefore w:val="0"/>
              <w:overflowPunct/>
              <w:bidi w:val="0"/>
              <w:adjustRightInd w:val="0"/>
              <w:spacing w:line="400" w:lineRule="exact"/>
              <w:ind w:left="0" w:leftChars="0" w:firstLine="0" w:firstLineChars="0"/>
              <w:jc w:val="center"/>
              <w:outlineLvl w:val="9"/>
              <w:rPr>
                <w:rFonts w:hint="eastAsia" w:ascii="宋体" w:hAnsi="宋体" w:eastAsia="宋体" w:cs="宋体"/>
                <w:spacing w:val="-1"/>
                <w:sz w:val="24"/>
                <w:szCs w:val="24"/>
              </w:rPr>
            </w:pPr>
            <w:r>
              <w:rPr>
                <w:rFonts w:hint="eastAsia" w:ascii="宋体" w:hAnsi="宋体" w:eastAsia="宋体" w:cs="宋体"/>
                <w:spacing w:val="-1"/>
                <w:sz w:val="24"/>
                <w:szCs w:val="24"/>
              </w:rPr>
              <w:t>需求说明</w:t>
            </w:r>
          </w:p>
        </w:tc>
        <w:tc>
          <w:tcPr>
            <w:tcW w:w="1275" w:type="dxa"/>
            <w:shd w:val="clear" w:color="auto" w:fill="auto"/>
            <w:vAlign w:val="top"/>
          </w:tcPr>
          <w:p w14:paraId="25DDAEB9">
            <w:pPr>
              <w:pStyle w:val="8"/>
              <w:keepNext w:val="0"/>
              <w:keepLines w:val="0"/>
              <w:pageBreakBefore w:val="0"/>
              <w:overflowPunct/>
              <w:bidi w:val="0"/>
              <w:adjustRightInd w:val="0"/>
              <w:spacing w:line="400" w:lineRule="exact"/>
              <w:ind w:left="0" w:leftChars="0" w:firstLine="0" w:firstLineChars="0"/>
              <w:jc w:val="center"/>
              <w:outlineLvl w:val="9"/>
              <w:rPr>
                <w:rFonts w:hint="eastAsia" w:ascii="宋体" w:hAnsi="宋体" w:eastAsia="宋体" w:cs="宋体"/>
                <w:spacing w:val="-1"/>
                <w:sz w:val="24"/>
                <w:szCs w:val="24"/>
                <w:lang w:val="en-US" w:eastAsia="zh-CN"/>
              </w:rPr>
            </w:pPr>
            <w:r>
              <w:rPr>
                <w:rFonts w:hint="eastAsia" w:ascii="宋体" w:hAnsi="宋体" w:eastAsia="宋体" w:cs="宋体"/>
                <w:spacing w:val="-1"/>
                <w:sz w:val="24"/>
                <w:szCs w:val="24"/>
                <w:lang w:val="en-US" w:eastAsia="zh-CN"/>
              </w:rPr>
              <w:t>是否偏离</w:t>
            </w:r>
          </w:p>
        </w:tc>
      </w:tr>
      <w:tr w14:paraId="7F06721B">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474" w:hRule="atLeast"/>
        </w:trPr>
        <w:tc>
          <w:tcPr>
            <w:tcW w:w="577" w:type="dxa"/>
            <w:vAlign w:val="center"/>
          </w:tcPr>
          <w:p w14:paraId="517C0D2F">
            <w:pPr>
              <w:pStyle w:val="8"/>
              <w:keepNext w:val="0"/>
              <w:keepLines w:val="0"/>
              <w:pageBreakBefore w:val="0"/>
              <w:overflowPunct/>
              <w:bidi w:val="0"/>
              <w:adjustRightInd w:val="0"/>
              <w:spacing w:line="400" w:lineRule="exact"/>
              <w:ind w:left="0" w:leftChars="0" w:firstLine="0" w:firstLineChars="0"/>
              <w:jc w:val="center"/>
              <w:outlineLvl w:val="9"/>
              <w:rPr>
                <w:rFonts w:hint="eastAsia" w:ascii="宋体" w:hAnsi="宋体" w:eastAsia="宋体" w:cs="宋体"/>
                <w:sz w:val="24"/>
                <w:szCs w:val="24"/>
              </w:rPr>
            </w:pPr>
            <w:r>
              <w:rPr>
                <w:rFonts w:hint="eastAsia" w:ascii="宋体" w:hAnsi="宋体" w:eastAsia="宋体" w:cs="宋体"/>
                <w:sz w:val="24"/>
                <w:szCs w:val="24"/>
              </w:rPr>
              <w:t>1</w:t>
            </w:r>
          </w:p>
        </w:tc>
        <w:tc>
          <w:tcPr>
            <w:tcW w:w="987" w:type="dxa"/>
            <w:vAlign w:val="center"/>
          </w:tcPr>
          <w:p w14:paraId="2ECB60CD">
            <w:pPr>
              <w:pStyle w:val="8"/>
              <w:keepNext w:val="0"/>
              <w:keepLines w:val="0"/>
              <w:pageBreakBefore w:val="0"/>
              <w:overflowPunct/>
              <w:bidi w:val="0"/>
              <w:adjustRightInd w:val="0"/>
              <w:spacing w:line="400" w:lineRule="exact"/>
              <w:ind w:left="0" w:leftChars="0" w:firstLine="0" w:firstLineChars="0"/>
              <w:jc w:val="center"/>
              <w:outlineLvl w:val="9"/>
              <w:rPr>
                <w:rFonts w:hint="eastAsia" w:ascii="宋体" w:hAnsi="宋体" w:eastAsia="宋体" w:cs="宋体"/>
                <w:sz w:val="24"/>
                <w:szCs w:val="24"/>
              </w:rPr>
            </w:pPr>
            <w:r>
              <w:rPr>
                <w:rFonts w:hint="eastAsia" w:ascii="宋体" w:hAnsi="宋体" w:eastAsia="宋体" w:cs="宋体"/>
                <w:spacing w:val="-3"/>
                <w:sz w:val="24"/>
                <w:szCs w:val="24"/>
              </w:rPr>
              <w:t>服务地点</w:t>
            </w:r>
          </w:p>
        </w:tc>
        <w:tc>
          <w:tcPr>
            <w:tcW w:w="6475" w:type="dxa"/>
            <w:vAlign w:val="center"/>
          </w:tcPr>
          <w:p w14:paraId="46084E4D">
            <w:pPr>
              <w:pStyle w:val="8"/>
              <w:keepNext w:val="0"/>
              <w:keepLines w:val="0"/>
              <w:pageBreakBefore w:val="0"/>
              <w:widowControl/>
              <w:kinsoku w:val="0"/>
              <w:wordWrap w:val="0"/>
              <w:overflowPunct/>
              <w:topLinePunct w:val="0"/>
              <w:autoSpaceDE w:val="0"/>
              <w:autoSpaceDN w:val="0"/>
              <w:bidi w:val="0"/>
              <w:adjustRightInd w:val="0"/>
              <w:snapToGrid w:val="0"/>
              <w:spacing w:line="400" w:lineRule="exact"/>
              <w:ind w:left="0" w:right="0" w:firstLine="0" w:firstLineChars="0"/>
              <w:jc w:val="left"/>
              <w:textAlignment w:val="baseline"/>
              <w:outlineLvl w:val="9"/>
              <w:rPr>
                <w:rFonts w:hint="eastAsia" w:ascii="宋体" w:hAnsi="宋体" w:eastAsia="宋体" w:cs="宋体"/>
                <w:sz w:val="24"/>
                <w:szCs w:val="24"/>
              </w:rPr>
            </w:pPr>
            <w:r>
              <w:rPr>
                <w:rFonts w:hint="eastAsia" w:ascii="宋体" w:hAnsi="宋体" w:eastAsia="宋体" w:cs="宋体"/>
                <w:spacing w:val="-1"/>
                <w:sz w:val="24"/>
                <w:szCs w:val="24"/>
              </w:rPr>
              <w:t>采购人指定地点。</w:t>
            </w:r>
          </w:p>
        </w:tc>
        <w:tc>
          <w:tcPr>
            <w:tcW w:w="1275" w:type="dxa"/>
            <w:vAlign w:val="center"/>
          </w:tcPr>
          <w:p w14:paraId="14020018">
            <w:pPr>
              <w:pStyle w:val="8"/>
              <w:keepNext w:val="0"/>
              <w:keepLines w:val="0"/>
              <w:pageBreakBefore w:val="0"/>
              <w:overflowPunct/>
              <w:bidi w:val="0"/>
              <w:adjustRightInd w:val="0"/>
              <w:spacing w:line="400" w:lineRule="exact"/>
              <w:ind w:left="0" w:leftChars="0" w:firstLine="0" w:firstLineChars="0"/>
              <w:jc w:val="center"/>
              <w:outlineLvl w:val="9"/>
              <w:rPr>
                <w:rFonts w:hint="eastAsia" w:ascii="宋体" w:hAnsi="宋体" w:eastAsia="宋体" w:cs="宋体"/>
                <w:sz w:val="24"/>
                <w:szCs w:val="24"/>
              </w:rPr>
            </w:pPr>
            <w:r>
              <w:rPr>
                <w:rFonts w:hint="eastAsia" w:ascii="宋体" w:hAnsi="宋体" w:eastAsia="宋体" w:cs="宋体"/>
                <w:spacing w:val="-3"/>
                <w:sz w:val="24"/>
                <w:szCs w:val="24"/>
              </w:rPr>
              <w:t>不可负偏离</w:t>
            </w:r>
          </w:p>
        </w:tc>
      </w:tr>
      <w:tr w14:paraId="620F05BD">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474" w:hRule="atLeast"/>
        </w:trPr>
        <w:tc>
          <w:tcPr>
            <w:tcW w:w="577" w:type="dxa"/>
            <w:vAlign w:val="center"/>
          </w:tcPr>
          <w:p w14:paraId="0BC5B017">
            <w:pPr>
              <w:pStyle w:val="8"/>
              <w:keepNext w:val="0"/>
              <w:keepLines w:val="0"/>
              <w:pageBreakBefore w:val="0"/>
              <w:overflowPunct/>
              <w:bidi w:val="0"/>
              <w:adjustRightInd w:val="0"/>
              <w:spacing w:line="400" w:lineRule="exact"/>
              <w:ind w:left="0" w:leftChars="0" w:firstLine="0" w:firstLineChars="0"/>
              <w:jc w:val="center"/>
              <w:outlineLvl w:val="9"/>
              <w:rPr>
                <w:rFonts w:hint="eastAsia" w:ascii="宋体" w:hAnsi="宋体" w:eastAsia="宋体" w:cs="宋体"/>
                <w:sz w:val="24"/>
                <w:szCs w:val="24"/>
              </w:rPr>
            </w:pPr>
            <w:r>
              <w:rPr>
                <w:rFonts w:hint="eastAsia" w:ascii="宋体" w:hAnsi="宋体" w:eastAsia="宋体" w:cs="宋体"/>
                <w:sz w:val="24"/>
                <w:szCs w:val="24"/>
              </w:rPr>
              <w:t>2</w:t>
            </w:r>
          </w:p>
        </w:tc>
        <w:tc>
          <w:tcPr>
            <w:tcW w:w="987" w:type="dxa"/>
            <w:vAlign w:val="center"/>
          </w:tcPr>
          <w:p w14:paraId="6D93673C">
            <w:pPr>
              <w:pStyle w:val="8"/>
              <w:keepNext w:val="0"/>
              <w:keepLines w:val="0"/>
              <w:pageBreakBefore w:val="0"/>
              <w:overflowPunct/>
              <w:bidi w:val="0"/>
              <w:adjustRightInd w:val="0"/>
              <w:spacing w:line="400" w:lineRule="exact"/>
              <w:ind w:left="0" w:leftChars="0" w:firstLine="0" w:firstLineChars="0"/>
              <w:jc w:val="center"/>
              <w:outlineLvl w:val="9"/>
              <w:rPr>
                <w:rFonts w:hint="eastAsia" w:ascii="宋体" w:hAnsi="宋体" w:eastAsia="宋体" w:cs="宋体"/>
                <w:sz w:val="24"/>
                <w:szCs w:val="24"/>
              </w:rPr>
            </w:pPr>
            <w:r>
              <w:rPr>
                <w:rFonts w:hint="eastAsia" w:ascii="宋体" w:hAnsi="宋体" w:eastAsia="宋体" w:cs="宋体"/>
                <w:spacing w:val="-3"/>
                <w:sz w:val="24"/>
                <w:szCs w:val="24"/>
              </w:rPr>
              <w:t>服务期限</w:t>
            </w:r>
          </w:p>
        </w:tc>
        <w:tc>
          <w:tcPr>
            <w:tcW w:w="6475" w:type="dxa"/>
            <w:vAlign w:val="center"/>
          </w:tcPr>
          <w:p w14:paraId="4DFCC7F5">
            <w:pPr>
              <w:pStyle w:val="8"/>
              <w:keepNext w:val="0"/>
              <w:keepLines w:val="0"/>
              <w:pageBreakBefore w:val="0"/>
              <w:widowControl/>
              <w:kinsoku w:val="0"/>
              <w:wordWrap w:val="0"/>
              <w:overflowPunct/>
              <w:topLinePunct w:val="0"/>
              <w:autoSpaceDE w:val="0"/>
              <w:autoSpaceDN w:val="0"/>
              <w:bidi w:val="0"/>
              <w:adjustRightInd w:val="0"/>
              <w:snapToGrid w:val="0"/>
              <w:spacing w:line="400" w:lineRule="exact"/>
              <w:ind w:left="0" w:right="0" w:firstLine="0" w:firstLineChars="0"/>
              <w:jc w:val="left"/>
              <w:textAlignment w:val="baseline"/>
              <w:outlineLvl w:val="9"/>
              <w:rPr>
                <w:rFonts w:hint="eastAsia" w:ascii="宋体" w:hAnsi="宋体" w:eastAsia="宋体" w:cs="宋体"/>
                <w:sz w:val="24"/>
                <w:szCs w:val="24"/>
              </w:rPr>
            </w:pPr>
            <w:r>
              <w:rPr>
                <w:rFonts w:hint="eastAsia" w:ascii="宋体" w:hAnsi="宋体" w:eastAsia="宋体" w:cs="宋体"/>
                <w:spacing w:val="-2"/>
                <w:sz w:val="24"/>
                <w:szCs w:val="24"/>
              </w:rPr>
              <w:t>自</w:t>
            </w:r>
            <w:r>
              <w:rPr>
                <w:rFonts w:hint="eastAsia" w:ascii="宋体" w:hAnsi="宋体" w:eastAsia="宋体" w:cs="宋体"/>
                <w:spacing w:val="-1"/>
                <w:sz w:val="24"/>
                <w:szCs w:val="24"/>
              </w:rPr>
              <w:t xml:space="preserve">合同签订之日至 </w:t>
            </w:r>
            <w:r>
              <w:rPr>
                <w:rFonts w:hint="eastAsia" w:ascii="宋体" w:hAnsi="宋体" w:eastAsia="宋体" w:cs="宋体"/>
                <w:spacing w:val="-1"/>
                <w:sz w:val="24"/>
                <w:szCs w:val="24"/>
                <w:lang w:eastAsia="zh-CN"/>
              </w:rPr>
              <w:t>202</w:t>
            </w:r>
            <w:r>
              <w:rPr>
                <w:rFonts w:hint="eastAsia" w:ascii="宋体" w:hAnsi="宋体" w:eastAsia="宋体" w:cs="宋体"/>
                <w:spacing w:val="-1"/>
                <w:sz w:val="24"/>
                <w:szCs w:val="24"/>
                <w:lang w:val="en-US" w:eastAsia="zh-CN"/>
              </w:rPr>
              <w:t>6</w:t>
            </w:r>
            <w:r>
              <w:rPr>
                <w:rFonts w:hint="eastAsia" w:ascii="宋体" w:hAnsi="宋体" w:eastAsia="宋体" w:cs="宋体"/>
                <w:spacing w:val="-1"/>
                <w:sz w:val="24"/>
                <w:szCs w:val="24"/>
              </w:rPr>
              <w:t>年12月31日</w:t>
            </w:r>
          </w:p>
        </w:tc>
        <w:tc>
          <w:tcPr>
            <w:tcW w:w="1275" w:type="dxa"/>
            <w:vAlign w:val="center"/>
          </w:tcPr>
          <w:p w14:paraId="330C96CD">
            <w:pPr>
              <w:pStyle w:val="8"/>
              <w:keepNext w:val="0"/>
              <w:keepLines w:val="0"/>
              <w:pageBreakBefore w:val="0"/>
              <w:overflowPunct/>
              <w:bidi w:val="0"/>
              <w:adjustRightInd w:val="0"/>
              <w:spacing w:line="400" w:lineRule="exact"/>
              <w:ind w:left="0" w:leftChars="0" w:firstLine="0" w:firstLineChars="0"/>
              <w:jc w:val="center"/>
              <w:outlineLvl w:val="9"/>
              <w:rPr>
                <w:rFonts w:hint="eastAsia" w:ascii="宋体" w:hAnsi="宋体" w:eastAsia="宋体" w:cs="宋体"/>
                <w:sz w:val="24"/>
                <w:szCs w:val="24"/>
              </w:rPr>
            </w:pPr>
            <w:r>
              <w:rPr>
                <w:rFonts w:hint="eastAsia" w:ascii="宋体" w:hAnsi="宋体" w:eastAsia="宋体" w:cs="宋体"/>
                <w:spacing w:val="-3"/>
                <w:sz w:val="24"/>
                <w:szCs w:val="24"/>
              </w:rPr>
              <w:t>不可负偏离</w:t>
            </w:r>
          </w:p>
        </w:tc>
      </w:tr>
      <w:tr w14:paraId="2C4921B3">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1289" w:hRule="atLeast"/>
        </w:trPr>
        <w:tc>
          <w:tcPr>
            <w:tcW w:w="577" w:type="dxa"/>
            <w:vAlign w:val="center"/>
          </w:tcPr>
          <w:p w14:paraId="33D6269D">
            <w:pPr>
              <w:keepNext w:val="0"/>
              <w:keepLines w:val="0"/>
              <w:pageBreakBefore w:val="0"/>
              <w:overflowPunct/>
              <w:bidi w:val="0"/>
              <w:adjustRightInd w:val="0"/>
              <w:spacing w:line="400" w:lineRule="exact"/>
              <w:ind w:left="0" w:leftChars="0" w:firstLine="0" w:firstLineChars="0"/>
              <w:jc w:val="center"/>
              <w:outlineLvl w:val="9"/>
              <w:rPr>
                <w:rFonts w:hint="eastAsia" w:ascii="宋体" w:hAnsi="宋体" w:eastAsia="宋体" w:cs="宋体"/>
                <w:sz w:val="24"/>
                <w:szCs w:val="24"/>
              </w:rPr>
            </w:pPr>
            <w:r>
              <w:rPr>
                <w:rFonts w:hint="eastAsia" w:ascii="宋体" w:hAnsi="宋体" w:eastAsia="宋体" w:cs="宋体"/>
                <w:sz w:val="24"/>
                <w:szCs w:val="24"/>
                <w:lang w:val="en-US" w:eastAsia="zh-CN"/>
              </w:rPr>
              <w:t>3</w:t>
            </w:r>
          </w:p>
        </w:tc>
        <w:tc>
          <w:tcPr>
            <w:tcW w:w="987" w:type="dxa"/>
            <w:vAlign w:val="center"/>
          </w:tcPr>
          <w:p w14:paraId="4B800719">
            <w:pPr>
              <w:pStyle w:val="8"/>
              <w:keepNext w:val="0"/>
              <w:keepLines w:val="0"/>
              <w:pageBreakBefore w:val="0"/>
              <w:overflowPunct/>
              <w:bidi w:val="0"/>
              <w:adjustRightInd w:val="0"/>
              <w:spacing w:line="400" w:lineRule="exact"/>
              <w:ind w:left="0" w:leftChars="0" w:firstLine="0" w:firstLineChars="0"/>
              <w:jc w:val="center"/>
              <w:outlineLvl w:val="9"/>
              <w:rPr>
                <w:rFonts w:hint="eastAsia" w:ascii="宋体" w:hAnsi="宋体" w:eastAsia="宋体" w:cs="宋体"/>
                <w:sz w:val="24"/>
                <w:szCs w:val="24"/>
              </w:rPr>
            </w:pPr>
            <w:r>
              <w:rPr>
                <w:rFonts w:hint="eastAsia" w:ascii="宋体" w:hAnsi="宋体" w:eastAsia="宋体" w:cs="宋体"/>
                <w:spacing w:val="-3"/>
                <w:sz w:val="24"/>
                <w:szCs w:val="24"/>
              </w:rPr>
              <w:t>付款方式</w:t>
            </w:r>
          </w:p>
        </w:tc>
        <w:tc>
          <w:tcPr>
            <w:tcW w:w="6475" w:type="dxa"/>
            <w:vAlign w:val="center"/>
          </w:tcPr>
          <w:p w14:paraId="5B46A71C">
            <w:pPr>
              <w:pStyle w:val="8"/>
              <w:keepNext w:val="0"/>
              <w:keepLines w:val="0"/>
              <w:pageBreakBefore w:val="0"/>
              <w:widowControl/>
              <w:kinsoku w:val="0"/>
              <w:wordWrap w:val="0"/>
              <w:overflowPunct/>
              <w:topLinePunct w:val="0"/>
              <w:autoSpaceDE w:val="0"/>
              <w:autoSpaceDN w:val="0"/>
              <w:bidi w:val="0"/>
              <w:adjustRightInd w:val="0"/>
              <w:snapToGrid w:val="0"/>
              <w:spacing w:line="400" w:lineRule="exact"/>
              <w:ind w:left="0" w:right="0" w:firstLine="0" w:firstLineChars="0"/>
              <w:jc w:val="left"/>
              <w:textAlignment w:val="baseline"/>
              <w:outlineLvl w:val="9"/>
              <w:rPr>
                <w:rFonts w:hint="eastAsia" w:ascii="宋体" w:hAnsi="宋体" w:eastAsia="宋体" w:cs="宋体"/>
                <w:sz w:val="24"/>
                <w:szCs w:val="24"/>
              </w:rPr>
            </w:pPr>
            <w:r>
              <w:rPr>
                <w:rFonts w:hint="eastAsia" w:ascii="宋体" w:hAnsi="宋体" w:eastAsia="宋体" w:cs="宋体"/>
                <w:spacing w:val="-1"/>
                <w:sz w:val="24"/>
                <w:szCs w:val="24"/>
              </w:rPr>
              <w:t>合同生效且具备实施条件后5个工作</w:t>
            </w:r>
            <w:bookmarkStart w:id="26" w:name="_GoBack"/>
            <w:bookmarkEnd w:id="26"/>
            <w:r>
              <w:rPr>
                <w:rFonts w:hint="eastAsia" w:ascii="宋体" w:hAnsi="宋体" w:eastAsia="宋体" w:cs="宋体"/>
                <w:spacing w:val="-1"/>
                <w:sz w:val="24"/>
                <w:szCs w:val="24"/>
              </w:rPr>
              <w:t>日内支付20%，晚稻叶面阻控剂喷洒完成后拨付合同金额的50%，余款30%需通过验收合格后一个月内全部付清。</w:t>
            </w:r>
          </w:p>
        </w:tc>
        <w:tc>
          <w:tcPr>
            <w:tcW w:w="1275" w:type="dxa"/>
            <w:vAlign w:val="center"/>
          </w:tcPr>
          <w:p w14:paraId="69D95765">
            <w:pPr>
              <w:pStyle w:val="8"/>
              <w:keepNext w:val="0"/>
              <w:keepLines w:val="0"/>
              <w:pageBreakBefore w:val="0"/>
              <w:overflowPunct/>
              <w:bidi w:val="0"/>
              <w:adjustRightInd w:val="0"/>
              <w:spacing w:line="400" w:lineRule="exact"/>
              <w:ind w:left="0" w:leftChars="0" w:firstLine="0" w:firstLineChars="0"/>
              <w:jc w:val="center"/>
              <w:outlineLvl w:val="9"/>
              <w:rPr>
                <w:rFonts w:hint="eastAsia" w:ascii="宋体" w:hAnsi="宋体" w:eastAsia="宋体" w:cs="宋体"/>
                <w:sz w:val="24"/>
                <w:szCs w:val="24"/>
              </w:rPr>
            </w:pPr>
            <w:r>
              <w:rPr>
                <w:rFonts w:hint="eastAsia" w:ascii="宋体" w:hAnsi="宋体" w:eastAsia="宋体" w:cs="宋体"/>
                <w:spacing w:val="-3"/>
                <w:sz w:val="24"/>
                <w:szCs w:val="24"/>
              </w:rPr>
              <w:t>不可负偏离</w:t>
            </w:r>
          </w:p>
        </w:tc>
      </w:tr>
      <w:tr w14:paraId="22AF20B7">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3271" w:hRule="atLeast"/>
        </w:trPr>
        <w:tc>
          <w:tcPr>
            <w:tcW w:w="577" w:type="dxa"/>
            <w:vAlign w:val="center"/>
          </w:tcPr>
          <w:p w14:paraId="4335DCE5">
            <w:pPr>
              <w:keepNext w:val="0"/>
              <w:keepLines w:val="0"/>
              <w:pageBreakBefore w:val="0"/>
              <w:overflowPunct/>
              <w:bidi w:val="0"/>
              <w:adjustRightInd w:val="0"/>
              <w:spacing w:line="400" w:lineRule="exact"/>
              <w:ind w:left="0" w:leftChars="0" w:firstLine="0" w:firstLineChars="0"/>
              <w:jc w:val="center"/>
              <w:outlineLvl w:val="9"/>
              <w:rPr>
                <w:rFonts w:hint="eastAsia" w:ascii="宋体" w:hAnsi="宋体" w:eastAsia="宋体" w:cs="宋体"/>
                <w:sz w:val="24"/>
                <w:szCs w:val="24"/>
              </w:rPr>
            </w:pPr>
            <w:r>
              <w:rPr>
                <w:rFonts w:hint="eastAsia" w:ascii="宋体" w:hAnsi="宋体" w:eastAsia="宋体" w:cs="宋体"/>
                <w:sz w:val="24"/>
                <w:szCs w:val="24"/>
                <w:lang w:val="en-US" w:eastAsia="zh-CN"/>
              </w:rPr>
              <w:t>4</w:t>
            </w:r>
          </w:p>
        </w:tc>
        <w:tc>
          <w:tcPr>
            <w:tcW w:w="987" w:type="dxa"/>
            <w:vAlign w:val="center"/>
          </w:tcPr>
          <w:p w14:paraId="368283C6">
            <w:pPr>
              <w:pStyle w:val="8"/>
              <w:keepNext w:val="0"/>
              <w:keepLines w:val="0"/>
              <w:pageBreakBefore w:val="0"/>
              <w:overflowPunct/>
              <w:bidi w:val="0"/>
              <w:adjustRightInd w:val="0"/>
              <w:spacing w:line="400" w:lineRule="exact"/>
              <w:ind w:left="0" w:leftChars="0" w:firstLine="0" w:firstLineChars="0"/>
              <w:jc w:val="center"/>
              <w:outlineLvl w:val="9"/>
              <w:rPr>
                <w:rFonts w:hint="eastAsia" w:ascii="宋体" w:hAnsi="宋体" w:eastAsia="宋体" w:cs="宋体"/>
                <w:sz w:val="24"/>
                <w:szCs w:val="24"/>
              </w:rPr>
            </w:pPr>
            <w:r>
              <w:rPr>
                <w:rFonts w:hint="eastAsia" w:ascii="宋体" w:hAnsi="宋体" w:eastAsia="宋体" w:cs="宋体"/>
                <w:spacing w:val="-2"/>
                <w:sz w:val="24"/>
                <w:szCs w:val="24"/>
              </w:rPr>
              <w:t>报价方式</w:t>
            </w:r>
          </w:p>
        </w:tc>
        <w:tc>
          <w:tcPr>
            <w:tcW w:w="6475" w:type="dxa"/>
            <w:vAlign w:val="top"/>
          </w:tcPr>
          <w:p w14:paraId="75EB4032">
            <w:pPr>
              <w:keepNext w:val="0"/>
              <w:keepLines w:val="0"/>
              <w:pageBreakBefore w:val="0"/>
              <w:widowControl/>
              <w:suppressLineNumbers w:val="0"/>
              <w:kinsoku w:val="0"/>
              <w:wordWrap w:val="0"/>
              <w:overflowPunct/>
              <w:topLinePunct/>
              <w:autoSpaceDE w:val="0"/>
              <w:autoSpaceDN w:val="0"/>
              <w:bidi w:val="0"/>
              <w:adjustRightInd w:val="0"/>
              <w:snapToGrid w:val="0"/>
              <w:spacing w:line="400" w:lineRule="exact"/>
              <w:ind w:left="0" w:leftChars="0" w:firstLine="0" w:firstLineChars="0"/>
              <w:jc w:val="left"/>
              <w:textAlignment w:val="baseline"/>
              <w:rPr>
                <w:rFonts w:hint="eastAsia" w:ascii="宋体" w:hAnsi="宋体" w:eastAsia="宋体" w:cs="宋体"/>
                <w:snapToGrid w:val="0"/>
                <w:color w:val="000000"/>
                <w:spacing w:val="-2"/>
                <w:kern w:val="0"/>
                <w:sz w:val="24"/>
                <w:szCs w:val="24"/>
                <w:lang w:val="en-US" w:eastAsia="en-US" w:bidi="ar-SA"/>
              </w:rPr>
            </w:pPr>
            <w:r>
              <w:rPr>
                <w:rFonts w:hint="eastAsia" w:ascii="宋体" w:hAnsi="宋体" w:eastAsia="宋体" w:cs="宋体"/>
                <w:snapToGrid w:val="0"/>
                <w:color w:val="000000"/>
                <w:spacing w:val="-2"/>
                <w:kern w:val="0"/>
                <w:sz w:val="24"/>
                <w:szCs w:val="24"/>
                <w:lang w:val="en-US" w:eastAsia="zh-CN" w:bidi="ar-SA"/>
              </w:rPr>
              <w:t>1.投标人必须完成所有相关的服务工作，提供所有服务，要求达到安全及其相关规范要求。投标总价即为交付使用的价格。总报价应包括人工、材料、专家评审费、验收、车辆、差旅、配合、机械设备、保险、利润、税金、通讯、办公设备、后续服务、代理服务费政策性文件规定及合同包含的所有风险、责任等完成本项目相关服务的全部费用。投标人只允许有一个方案报价，且所有内容必须报全，采购人和采购代理机构不接受有任何选择性的报价。</w:t>
            </w:r>
          </w:p>
          <w:p w14:paraId="538000A3">
            <w:pPr>
              <w:pStyle w:val="8"/>
              <w:keepNext w:val="0"/>
              <w:keepLines w:val="0"/>
              <w:pageBreakBefore w:val="0"/>
              <w:widowControl/>
              <w:kinsoku w:val="0"/>
              <w:wordWrap w:val="0"/>
              <w:overflowPunct/>
              <w:topLinePunct w:val="0"/>
              <w:autoSpaceDE w:val="0"/>
              <w:autoSpaceDN w:val="0"/>
              <w:bidi w:val="0"/>
              <w:adjustRightInd w:val="0"/>
              <w:snapToGrid w:val="0"/>
              <w:spacing w:line="400" w:lineRule="exact"/>
              <w:ind w:left="0" w:right="0" w:firstLine="0" w:firstLineChars="0"/>
              <w:jc w:val="left"/>
              <w:textAlignment w:val="baseline"/>
              <w:outlineLvl w:val="9"/>
              <w:rPr>
                <w:rFonts w:hint="eastAsia" w:ascii="宋体" w:hAnsi="宋体" w:eastAsia="宋体" w:cs="宋体"/>
                <w:sz w:val="24"/>
                <w:szCs w:val="24"/>
              </w:rPr>
            </w:pPr>
            <w:r>
              <w:rPr>
                <w:rFonts w:hint="eastAsia" w:ascii="宋体" w:hAnsi="宋体" w:eastAsia="宋体" w:cs="宋体"/>
                <w:spacing w:val="-2"/>
                <w:sz w:val="24"/>
                <w:szCs w:val="24"/>
              </w:rPr>
              <w:t>2.招标文件未列明，而投标人认为必须的费用也需列入报价。投标人</w:t>
            </w:r>
            <w:r>
              <w:rPr>
                <w:rFonts w:hint="eastAsia" w:ascii="宋体" w:hAnsi="宋体" w:eastAsia="宋体" w:cs="宋体"/>
                <w:spacing w:val="17"/>
                <w:sz w:val="24"/>
                <w:szCs w:val="24"/>
              </w:rPr>
              <w:t xml:space="preserve"> </w:t>
            </w:r>
            <w:r>
              <w:rPr>
                <w:rFonts w:hint="eastAsia" w:ascii="宋体" w:hAnsi="宋体" w:eastAsia="宋体" w:cs="宋体"/>
                <w:spacing w:val="-2"/>
                <w:sz w:val="24"/>
                <w:szCs w:val="24"/>
              </w:rPr>
              <w:t>漏报或不报，采购人将视为有关费用已包括在本项目的其它单价及合价中而不予支付。</w:t>
            </w:r>
          </w:p>
        </w:tc>
        <w:tc>
          <w:tcPr>
            <w:tcW w:w="1275" w:type="dxa"/>
            <w:vAlign w:val="center"/>
          </w:tcPr>
          <w:p w14:paraId="3F4EE489">
            <w:pPr>
              <w:pStyle w:val="8"/>
              <w:keepNext w:val="0"/>
              <w:keepLines w:val="0"/>
              <w:pageBreakBefore w:val="0"/>
              <w:overflowPunct/>
              <w:bidi w:val="0"/>
              <w:adjustRightInd w:val="0"/>
              <w:spacing w:line="400" w:lineRule="exact"/>
              <w:ind w:left="0" w:leftChars="0" w:firstLine="0" w:firstLineChars="0"/>
              <w:jc w:val="center"/>
              <w:outlineLvl w:val="9"/>
              <w:rPr>
                <w:rFonts w:hint="eastAsia" w:ascii="宋体" w:hAnsi="宋体" w:eastAsia="宋体" w:cs="宋体"/>
                <w:sz w:val="24"/>
                <w:szCs w:val="24"/>
              </w:rPr>
            </w:pPr>
            <w:r>
              <w:rPr>
                <w:rFonts w:hint="eastAsia" w:ascii="宋体" w:hAnsi="宋体" w:eastAsia="宋体" w:cs="宋体"/>
                <w:spacing w:val="-3"/>
                <w:sz w:val="24"/>
                <w:szCs w:val="24"/>
              </w:rPr>
              <w:t>不可负偏离</w:t>
            </w:r>
          </w:p>
        </w:tc>
      </w:tr>
      <w:tr w14:paraId="49077FDB">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685" w:hRule="atLeast"/>
        </w:trPr>
        <w:tc>
          <w:tcPr>
            <w:tcW w:w="577" w:type="dxa"/>
            <w:vAlign w:val="center"/>
          </w:tcPr>
          <w:p w14:paraId="24EEB58A">
            <w:pPr>
              <w:keepNext w:val="0"/>
              <w:keepLines w:val="0"/>
              <w:pageBreakBefore w:val="0"/>
              <w:overflowPunct/>
              <w:bidi w:val="0"/>
              <w:adjustRightInd w:val="0"/>
              <w:spacing w:line="400" w:lineRule="exact"/>
              <w:ind w:left="0" w:leftChars="0" w:firstLine="0" w:firstLineChars="0"/>
              <w:jc w:val="center"/>
              <w:outlineLvl w:val="9"/>
              <w:rPr>
                <w:rFonts w:hint="eastAsia" w:ascii="宋体" w:hAnsi="宋体" w:eastAsia="宋体" w:cs="宋体"/>
                <w:sz w:val="24"/>
                <w:szCs w:val="24"/>
              </w:rPr>
            </w:pPr>
            <w:r>
              <w:rPr>
                <w:rFonts w:hint="eastAsia" w:ascii="宋体" w:hAnsi="宋体" w:eastAsia="宋体" w:cs="宋体"/>
                <w:sz w:val="24"/>
                <w:szCs w:val="24"/>
                <w:lang w:val="en-US" w:eastAsia="zh-CN"/>
              </w:rPr>
              <w:t>5</w:t>
            </w:r>
          </w:p>
        </w:tc>
        <w:tc>
          <w:tcPr>
            <w:tcW w:w="987" w:type="dxa"/>
            <w:vAlign w:val="center"/>
          </w:tcPr>
          <w:p w14:paraId="018B0BA9">
            <w:pPr>
              <w:keepNext w:val="0"/>
              <w:keepLines w:val="0"/>
              <w:pageBreakBefore w:val="0"/>
              <w:overflowPunct/>
              <w:bidi w:val="0"/>
              <w:adjustRightInd w:val="0"/>
              <w:spacing w:line="400" w:lineRule="exact"/>
              <w:ind w:left="0" w:leftChars="0" w:firstLine="0" w:firstLineChars="0"/>
              <w:jc w:val="center"/>
              <w:outlineLvl w:val="9"/>
              <w:rPr>
                <w:rFonts w:hint="eastAsia" w:ascii="宋体" w:hAnsi="宋体" w:eastAsia="宋体" w:cs="宋体"/>
                <w:sz w:val="24"/>
                <w:szCs w:val="24"/>
              </w:rPr>
            </w:pPr>
            <w:r>
              <w:rPr>
                <w:rFonts w:hint="eastAsia" w:ascii="宋体" w:hAnsi="宋体" w:eastAsia="宋体" w:cs="宋体"/>
                <w:spacing w:val="-2"/>
                <w:sz w:val="24"/>
                <w:szCs w:val="24"/>
              </w:rPr>
              <w:t>验收</w:t>
            </w:r>
          </w:p>
        </w:tc>
        <w:tc>
          <w:tcPr>
            <w:tcW w:w="6475" w:type="dxa"/>
            <w:vAlign w:val="top"/>
          </w:tcPr>
          <w:p w14:paraId="252C10FE">
            <w:pPr>
              <w:keepNext w:val="0"/>
              <w:keepLines w:val="0"/>
              <w:pageBreakBefore w:val="0"/>
              <w:widowControl w:val="0"/>
              <w:kinsoku/>
              <w:wordWrap/>
              <w:overflowPunct/>
              <w:topLinePunct w:val="0"/>
              <w:autoSpaceDE/>
              <w:autoSpaceDN/>
              <w:bidi w:val="0"/>
              <w:adjustRightInd w:val="0"/>
              <w:snapToGrid/>
              <w:spacing w:beforeAutospacing="0" w:afterAutospacing="0" w:line="400" w:lineRule="exact"/>
              <w:ind w:left="0" w:leftChars="0" w:firstLine="0" w:firstLineChars="0"/>
              <w:textAlignment w:val="auto"/>
              <w:outlineLvl w:val="9"/>
              <w:rPr>
                <w:rFonts w:hint="eastAsia" w:ascii="宋体" w:hAnsi="宋体" w:eastAsia="宋体" w:cs="宋体"/>
                <w:sz w:val="24"/>
                <w:szCs w:val="24"/>
              </w:rPr>
            </w:pPr>
            <w:r>
              <w:rPr>
                <w:rFonts w:hint="eastAsia" w:ascii="宋体" w:hAnsi="宋体" w:eastAsia="宋体" w:cs="宋体"/>
                <w:color w:val="auto"/>
                <w:spacing w:val="-2"/>
                <w:sz w:val="24"/>
                <w:szCs w:val="24"/>
              </w:rPr>
              <w:t>配合效果评价单位对项目进行效果评价，效果评价报告及实施过程材料通过专家评审合格或达标为验收通过。</w:t>
            </w:r>
          </w:p>
        </w:tc>
        <w:tc>
          <w:tcPr>
            <w:tcW w:w="1275" w:type="dxa"/>
            <w:vAlign w:val="center"/>
          </w:tcPr>
          <w:p w14:paraId="42A8FA59">
            <w:pPr>
              <w:pStyle w:val="8"/>
              <w:keepNext w:val="0"/>
              <w:keepLines w:val="0"/>
              <w:pageBreakBefore w:val="0"/>
              <w:overflowPunct/>
              <w:bidi w:val="0"/>
              <w:adjustRightInd w:val="0"/>
              <w:spacing w:line="400" w:lineRule="exact"/>
              <w:ind w:left="0" w:leftChars="0" w:firstLine="0" w:firstLineChars="0"/>
              <w:jc w:val="center"/>
              <w:outlineLvl w:val="9"/>
              <w:rPr>
                <w:rFonts w:hint="eastAsia" w:ascii="宋体" w:hAnsi="宋体" w:eastAsia="宋体" w:cs="宋体"/>
                <w:sz w:val="24"/>
                <w:szCs w:val="24"/>
              </w:rPr>
            </w:pPr>
            <w:r>
              <w:rPr>
                <w:rFonts w:hint="eastAsia" w:ascii="宋体" w:hAnsi="宋体" w:eastAsia="宋体" w:cs="宋体"/>
                <w:spacing w:val="-3"/>
                <w:sz w:val="24"/>
                <w:szCs w:val="24"/>
              </w:rPr>
              <w:t>不可负偏离</w:t>
            </w:r>
          </w:p>
        </w:tc>
      </w:tr>
      <w:tr w14:paraId="2497BC72">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398" w:hRule="atLeast"/>
        </w:trPr>
        <w:tc>
          <w:tcPr>
            <w:tcW w:w="577" w:type="dxa"/>
            <w:vAlign w:val="center"/>
          </w:tcPr>
          <w:p w14:paraId="704FA829">
            <w:pPr>
              <w:keepNext w:val="0"/>
              <w:keepLines w:val="0"/>
              <w:pageBreakBefore w:val="0"/>
              <w:overflowPunct/>
              <w:bidi w:val="0"/>
              <w:adjustRightInd w:val="0"/>
              <w:spacing w:line="400" w:lineRule="exact"/>
              <w:ind w:left="0" w:leftChars="0" w:firstLine="0" w:firstLineChars="0"/>
              <w:jc w:val="center"/>
              <w:outlineLvl w:val="9"/>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w:t>
            </w:r>
          </w:p>
        </w:tc>
        <w:tc>
          <w:tcPr>
            <w:tcW w:w="987" w:type="dxa"/>
            <w:vAlign w:val="top"/>
          </w:tcPr>
          <w:p w14:paraId="0CF3E81B">
            <w:pPr>
              <w:pStyle w:val="8"/>
              <w:keepNext w:val="0"/>
              <w:keepLines w:val="0"/>
              <w:pageBreakBefore w:val="0"/>
              <w:overflowPunct/>
              <w:bidi w:val="0"/>
              <w:adjustRightInd w:val="0"/>
              <w:spacing w:line="400" w:lineRule="exact"/>
              <w:ind w:left="0" w:leftChars="0" w:firstLine="0" w:firstLineChars="0"/>
              <w:jc w:val="both"/>
              <w:outlineLvl w:val="9"/>
              <w:rPr>
                <w:rFonts w:hint="eastAsia" w:ascii="宋体" w:hAnsi="宋体" w:eastAsia="宋体" w:cs="宋体"/>
                <w:snapToGrid w:val="0"/>
                <w:color w:val="auto"/>
                <w:spacing w:val="-2"/>
                <w:kern w:val="0"/>
                <w:sz w:val="24"/>
                <w:szCs w:val="24"/>
                <w:lang w:val="en-US" w:eastAsia="en-US" w:bidi="ar-SA"/>
              </w:rPr>
            </w:pPr>
            <w:r>
              <w:rPr>
                <w:rFonts w:hint="eastAsia" w:ascii="宋体" w:hAnsi="宋体" w:eastAsia="宋体" w:cs="宋体"/>
                <w:snapToGrid w:val="0"/>
                <w:color w:val="auto"/>
                <w:spacing w:val="-2"/>
                <w:kern w:val="0"/>
                <w:sz w:val="24"/>
                <w:szCs w:val="24"/>
                <w:lang w:val="en-US" w:eastAsia="en-US" w:bidi="ar-SA"/>
              </w:rPr>
              <w:t>合同签订</w:t>
            </w:r>
          </w:p>
        </w:tc>
        <w:tc>
          <w:tcPr>
            <w:tcW w:w="6475" w:type="dxa"/>
            <w:vAlign w:val="center"/>
          </w:tcPr>
          <w:p w14:paraId="64425711">
            <w:pPr>
              <w:keepNext w:val="0"/>
              <w:keepLines w:val="0"/>
              <w:pageBreakBefore w:val="0"/>
              <w:widowControl w:val="0"/>
              <w:kinsoku/>
              <w:wordWrap/>
              <w:overflowPunct/>
              <w:topLinePunct w:val="0"/>
              <w:autoSpaceDE/>
              <w:autoSpaceDN/>
              <w:bidi w:val="0"/>
              <w:adjustRightInd w:val="0"/>
              <w:snapToGrid/>
              <w:spacing w:beforeAutospacing="0" w:afterAutospacing="0" w:line="400" w:lineRule="exact"/>
              <w:ind w:left="0" w:leftChars="0" w:firstLine="0" w:firstLineChars="0"/>
              <w:jc w:val="both"/>
              <w:textAlignment w:val="auto"/>
              <w:outlineLvl w:val="9"/>
              <w:rPr>
                <w:rFonts w:hint="eastAsia" w:ascii="宋体" w:hAnsi="宋体" w:eastAsia="宋体" w:cs="宋体"/>
                <w:snapToGrid w:val="0"/>
                <w:color w:val="auto"/>
                <w:spacing w:val="-2"/>
                <w:kern w:val="0"/>
                <w:sz w:val="24"/>
                <w:szCs w:val="24"/>
                <w:lang w:val="en-US" w:eastAsia="en-US" w:bidi="ar-SA"/>
              </w:rPr>
            </w:pPr>
            <w:r>
              <w:rPr>
                <w:rFonts w:hint="eastAsia" w:ascii="宋体" w:hAnsi="宋体" w:eastAsia="宋体" w:cs="宋体"/>
                <w:snapToGrid w:val="0"/>
                <w:color w:val="auto"/>
                <w:spacing w:val="-2"/>
                <w:kern w:val="0"/>
                <w:sz w:val="24"/>
                <w:szCs w:val="24"/>
                <w:lang w:val="en-US" w:eastAsia="en-US" w:bidi="ar-SA"/>
              </w:rPr>
              <w:t>本项目合同须在成交通知书发出之日起 10 日内签订。</w:t>
            </w:r>
          </w:p>
        </w:tc>
        <w:tc>
          <w:tcPr>
            <w:tcW w:w="1275" w:type="dxa"/>
            <w:vAlign w:val="center"/>
          </w:tcPr>
          <w:p w14:paraId="657614A7">
            <w:pPr>
              <w:pStyle w:val="8"/>
              <w:keepNext w:val="0"/>
              <w:keepLines w:val="0"/>
              <w:pageBreakBefore w:val="0"/>
              <w:overflowPunct/>
              <w:bidi w:val="0"/>
              <w:adjustRightInd w:val="0"/>
              <w:spacing w:line="400" w:lineRule="exact"/>
              <w:ind w:left="0" w:leftChars="0" w:firstLine="0" w:firstLineChars="0"/>
              <w:jc w:val="center"/>
              <w:outlineLvl w:val="9"/>
              <w:rPr>
                <w:rFonts w:hint="eastAsia" w:ascii="宋体" w:hAnsi="宋体" w:eastAsia="宋体" w:cs="宋体"/>
                <w:spacing w:val="-3"/>
                <w:sz w:val="24"/>
                <w:szCs w:val="24"/>
              </w:rPr>
            </w:pPr>
            <w:r>
              <w:rPr>
                <w:rFonts w:hint="eastAsia" w:ascii="宋体" w:hAnsi="宋体" w:eastAsia="宋体" w:cs="宋体"/>
                <w:spacing w:val="-3"/>
                <w:sz w:val="24"/>
                <w:szCs w:val="24"/>
              </w:rPr>
              <w:t>不可负偏离</w:t>
            </w:r>
          </w:p>
        </w:tc>
      </w:tr>
      <w:tr w14:paraId="0272572B">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1978" w:hRule="atLeast"/>
        </w:trPr>
        <w:tc>
          <w:tcPr>
            <w:tcW w:w="577" w:type="dxa"/>
            <w:vAlign w:val="center"/>
          </w:tcPr>
          <w:p w14:paraId="2C7D4D57">
            <w:pPr>
              <w:keepNext w:val="0"/>
              <w:keepLines w:val="0"/>
              <w:pageBreakBefore w:val="0"/>
              <w:overflowPunct/>
              <w:bidi w:val="0"/>
              <w:adjustRightInd w:val="0"/>
              <w:spacing w:line="400" w:lineRule="exact"/>
              <w:ind w:left="0" w:leftChars="0" w:firstLine="0" w:firstLineChars="0"/>
              <w:jc w:val="center"/>
              <w:outlineLvl w:val="9"/>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w:t>
            </w:r>
          </w:p>
        </w:tc>
        <w:tc>
          <w:tcPr>
            <w:tcW w:w="987" w:type="dxa"/>
            <w:vAlign w:val="top"/>
          </w:tcPr>
          <w:p w14:paraId="7B5B2B50">
            <w:pPr>
              <w:pStyle w:val="8"/>
              <w:keepNext w:val="0"/>
              <w:keepLines w:val="0"/>
              <w:pageBreakBefore w:val="0"/>
              <w:overflowPunct/>
              <w:bidi w:val="0"/>
              <w:adjustRightInd w:val="0"/>
              <w:spacing w:line="400" w:lineRule="exact"/>
              <w:ind w:left="0" w:leftChars="0" w:firstLine="0" w:firstLineChars="0"/>
              <w:jc w:val="both"/>
              <w:outlineLvl w:val="9"/>
              <w:rPr>
                <w:rFonts w:hint="eastAsia" w:ascii="宋体" w:hAnsi="宋体" w:eastAsia="宋体" w:cs="宋体"/>
                <w:snapToGrid w:val="0"/>
                <w:color w:val="auto"/>
                <w:spacing w:val="-2"/>
                <w:kern w:val="0"/>
                <w:sz w:val="24"/>
                <w:szCs w:val="24"/>
                <w:lang w:val="en-US" w:eastAsia="en-US" w:bidi="ar-SA"/>
              </w:rPr>
            </w:pPr>
            <w:r>
              <w:rPr>
                <w:rFonts w:hint="eastAsia" w:ascii="宋体" w:hAnsi="宋体" w:eastAsia="宋体" w:cs="宋体"/>
                <w:snapToGrid w:val="0"/>
                <w:color w:val="auto"/>
                <w:spacing w:val="-2"/>
                <w:kern w:val="0"/>
                <w:sz w:val="24"/>
                <w:szCs w:val="24"/>
                <w:lang w:val="en-US" w:eastAsia="en-US" w:bidi="ar-SA"/>
              </w:rPr>
              <w:t>安全责任要求</w:t>
            </w:r>
          </w:p>
        </w:tc>
        <w:tc>
          <w:tcPr>
            <w:tcW w:w="6475" w:type="dxa"/>
            <w:vAlign w:val="center"/>
          </w:tcPr>
          <w:p w14:paraId="5EE78D89">
            <w:pPr>
              <w:keepNext w:val="0"/>
              <w:keepLines w:val="0"/>
              <w:pageBreakBefore w:val="0"/>
              <w:widowControl w:val="0"/>
              <w:kinsoku/>
              <w:wordWrap/>
              <w:overflowPunct/>
              <w:topLinePunct w:val="0"/>
              <w:autoSpaceDE/>
              <w:autoSpaceDN/>
              <w:bidi w:val="0"/>
              <w:adjustRightInd w:val="0"/>
              <w:snapToGrid/>
              <w:spacing w:beforeAutospacing="0" w:afterAutospacing="0" w:line="400" w:lineRule="exact"/>
              <w:ind w:left="0" w:leftChars="0" w:firstLine="0" w:firstLineChars="0"/>
              <w:jc w:val="both"/>
              <w:textAlignment w:val="auto"/>
              <w:outlineLvl w:val="9"/>
              <w:rPr>
                <w:rFonts w:hint="eastAsia" w:ascii="宋体" w:hAnsi="宋体" w:eastAsia="宋体" w:cs="宋体"/>
                <w:snapToGrid w:val="0"/>
                <w:color w:val="auto"/>
                <w:spacing w:val="-2"/>
                <w:kern w:val="0"/>
                <w:sz w:val="24"/>
                <w:szCs w:val="24"/>
                <w:lang w:val="en-US" w:eastAsia="en-US" w:bidi="ar-SA"/>
              </w:rPr>
            </w:pPr>
            <w:r>
              <w:rPr>
                <w:rFonts w:hint="eastAsia" w:ascii="宋体" w:hAnsi="宋体" w:eastAsia="宋体" w:cs="宋体"/>
                <w:snapToGrid w:val="0"/>
                <w:color w:val="auto"/>
                <w:spacing w:val="-2"/>
                <w:kern w:val="0"/>
                <w:sz w:val="24"/>
                <w:szCs w:val="24"/>
                <w:lang w:val="en-US" w:eastAsia="zh-CN" w:bidi="ar-SA"/>
              </w:rPr>
              <w:t xml:space="preserve">投标人在投标前，如需踏勘现场，有关费用自理，踏勘期间发生的意外自负。中标人从事本项目的所有人员在成果交付时间间发生任何人身伤亡、人身疾病及财产损失或涉及其他法律问题，与招标人无关，均由中标人承担全部责任并自行负责解决，招标人不承担任何法律责任和费用。 </w:t>
            </w:r>
          </w:p>
        </w:tc>
        <w:tc>
          <w:tcPr>
            <w:tcW w:w="1275" w:type="dxa"/>
            <w:vAlign w:val="center"/>
          </w:tcPr>
          <w:p w14:paraId="2D2461D0">
            <w:pPr>
              <w:pStyle w:val="8"/>
              <w:keepNext w:val="0"/>
              <w:keepLines w:val="0"/>
              <w:pageBreakBefore w:val="0"/>
              <w:overflowPunct/>
              <w:bidi w:val="0"/>
              <w:adjustRightInd w:val="0"/>
              <w:spacing w:line="400" w:lineRule="exact"/>
              <w:ind w:left="0" w:leftChars="0" w:firstLine="0" w:firstLineChars="0"/>
              <w:jc w:val="center"/>
              <w:outlineLvl w:val="9"/>
              <w:rPr>
                <w:rFonts w:hint="eastAsia" w:ascii="宋体" w:hAnsi="宋体" w:eastAsia="宋体" w:cs="宋体"/>
                <w:spacing w:val="-3"/>
                <w:sz w:val="24"/>
                <w:szCs w:val="24"/>
              </w:rPr>
            </w:pPr>
            <w:r>
              <w:rPr>
                <w:rFonts w:hint="eastAsia" w:ascii="宋体" w:hAnsi="宋体" w:eastAsia="宋体" w:cs="宋体"/>
                <w:spacing w:val="-3"/>
                <w:sz w:val="24"/>
                <w:szCs w:val="24"/>
              </w:rPr>
              <w:t>不可负偏离</w:t>
            </w:r>
          </w:p>
        </w:tc>
      </w:tr>
      <w:tr w14:paraId="42B90EAC">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1263" w:hRule="atLeast"/>
        </w:trPr>
        <w:tc>
          <w:tcPr>
            <w:tcW w:w="577" w:type="dxa"/>
            <w:vAlign w:val="center"/>
          </w:tcPr>
          <w:p w14:paraId="3128A525">
            <w:pPr>
              <w:keepNext w:val="0"/>
              <w:keepLines w:val="0"/>
              <w:pageBreakBefore w:val="0"/>
              <w:overflowPunct/>
              <w:bidi w:val="0"/>
              <w:adjustRightInd w:val="0"/>
              <w:spacing w:line="400" w:lineRule="exact"/>
              <w:ind w:left="0" w:leftChars="0" w:firstLine="0" w:firstLineChars="0"/>
              <w:jc w:val="center"/>
              <w:outlineLvl w:val="9"/>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8</w:t>
            </w:r>
          </w:p>
        </w:tc>
        <w:tc>
          <w:tcPr>
            <w:tcW w:w="987" w:type="dxa"/>
            <w:vAlign w:val="center"/>
          </w:tcPr>
          <w:p w14:paraId="61395535">
            <w:pPr>
              <w:keepNext w:val="0"/>
              <w:keepLines w:val="0"/>
              <w:pageBreakBefore w:val="0"/>
              <w:overflowPunct/>
              <w:bidi w:val="0"/>
              <w:adjustRightInd w:val="0"/>
              <w:spacing w:line="400" w:lineRule="exact"/>
              <w:ind w:left="0" w:leftChars="0" w:firstLine="0" w:firstLineChars="0"/>
              <w:jc w:val="center"/>
              <w:outlineLvl w:val="9"/>
              <w:rPr>
                <w:rFonts w:hint="eastAsia" w:ascii="宋体" w:hAnsi="宋体" w:eastAsia="宋体" w:cs="宋体"/>
                <w:snapToGrid w:val="0"/>
                <w:color w:val="FF0000"/>
                <w:spacing w:val="-2"/>
                <w:kern w:val="0"/>
                <w:sz w:val="24"/>
                <w:szCs w:val="24"/>
                <w:lang w:val="en-US" w:eastAsia="en-US" w:bidi="ar-SA"/>
              </w:rPr>
            </w:pPr>
            <w:r>
              <w:rPr>
                <w:rFonts w:hint="eastAsia" w:ascii="宋体" w:hAnsi="宋体" w:eastAsia="宋体" w:cs="宋体"/>
                <w:snapToGrid w:val="0"/>
                <w:color w:val="FF0000"/>
                <w:spacing w:val="-2"/>
                <w:kern w:val="0"/>
                <w:sz w:val="24"/>
                <w:szCs w:val="24"/>
                <w:lang w:val="en-US" w:eastAsia="zh-CN" w:bidi="ar-SA"/>
              </w:rPr>
              <w:t>售后服务</w:t>
            </w:r>
          </w:p>
        </w:tc>
        <w:tc>
          <w:tcPr>
            <w:tcW w:w="6475" w:type="dxa"/>
            <w:vAlign w:val="center"/>
          </w:tcPr>
          <w:p w14:paraId="3B33D341">
            <w:pPr>
              <w:keepNext w:val="0"/>
              <w:keepLines w:val="0"/>
              <w:pageBreakBefore w:val="0"/>
              <w:overflowPunct/>
              <w:bidi w:val="0"/>
              <w:adjustRightInd w:val="0"/>
              <w:spacing w:line="400" w:lineRule="exact"/>
              <w:ind w:left="0" w:leftChars="0" w:firstLine="0" w:firstLineChars="0"/>
              <w:rPr>
                <w:rFonts w:hint="eastAsia" w:ascii="宋体" w:hAnsi="宋体" w:eastAsia="宋体" w:cs="宋体"/>
                <w:color w:val="FF0000"/>
                <w:sz w:val="24"/>
                <w:szCs w:val="24"/>
              </w:rPr>
            </w:pPr>
            <w:r>
              <w:rPr>
                <w:rFonts w:hint="eastAsia" w:ascii="宋体" w:hAnsi="宋体" w:eastAsia="宋体" w:cs="宋体"/>
                <w:color w:val="FF0000"/>
                <w:spacing w:val="-15"/>
                <w:sz w:val="24"/>
                <w:szCs w:val="24"/>
                <w:lang w:val="en-US" w:eastAsia="zh-CN"/>
              </w:rPr>
              <w:t>1.</w:t>
            </w:r>
            <w:r>
              <w:rPr>
                <w:rFonts w:hint="eastAsia" w:ascii="宋体" w:hAnsi="宋体" w:eastAsia="宋体" w:cs="宋体"/>
                <w:color w:val="FF0000"/>
                <w:spacing w:val="-15"/>
                <w:sz w:val="24"/>
                <w:szCs w:val="24"/>
              </w:rPr>
              <w:t>全方位技术支持；7*24小时电话响应；</w:t>
            </w:r>
          </w:p>
          <w:p w14:paraId="3BF2D835">
            <w:pPr>
              <w:keepNext w:val="0"/>
              <w:keepLines w:val="0"/>
              <w:pageBreakBefore w:val="0"/>
              <w:overflowPunct/>
              <w:bidi w:val="0"/>
              <w:adjustRightInd w:val="0"/>
              <w:spacing w:line="400" w:lineRule="exact"/>
              <w:ind w:left="0" w:leftChars="0" w:firstLine="0" w:firstLineChars="0"/>
              <w:rPr>
                <w:rFonts w:hint="eastAsia" w:ascii="宋体" w:hAnsi="宋体" w:eastAsia="宋体" w:cs="宋体"/>
                <w:color w:val="FF0000"/>
                <w:sz w:val="24"/>
                <w:szCs w:val="24"/>
              </w:rPr>
            </w:pPr>
            <w:r>
              <w:rPr>
                <w:rFonts w:hint="eastAsia" w:ascii="宋体" w:hAnsi="宋体" w:eastAsia="宋体" w:cs="宋体"/>
                <w:color w:val="FF0000"/>
                <w:spacing w:val="-2"/>
                <w:sz w:val="24"/>
                <w:szCs w:val="24"/>
                <w:lang w:val="en-US" w:eastAsia="zh-CN"/>
              </w:rPr>
              <w:t>2.</w:t>
            </w:r>
            <w:r>
              <w:rPr>
                <w:rFonts w:hint="eastAsia" w:ascii="宋体" w:hAnsi="宋体" w:eastAsia="宋体" w:cs="宋体"/>
                <w:color w:val="FF0000"/>
                <w:spacing w:val="-2"/>
                <w:sz w:val="24"/>
                <w:szCs w:val="24"/>
              </w:rPr>
              <w:t>出现问题时，接通知60分钟内响应，</w:t>
            </w:r>
            <w:r>
              <w:rPr>
                <w:rFonts w:hint="eastAsia" w:ascii="宋体" w:hAnsi="宋体" w:eastAsia="宋体" w:cs="宋体"/>
                <w:color w:val="FF0000"/>
                <w:spacing w:val="-2"/>
                <w:sz w:val="24"/>
                <w:szCs w:val="24"/>
                <w:lang w:val="en-US" w:eastAsia="zh-CN"/>
              </w:rPr>
              <w:t>24</w:t>
            </w:r>
            <w:r>
              <w:rPr>
                <w:rFonts w:hint="eastAsia" w:ascii="宋体" w:hAnsi="宋体" w:eastAsia="宋体" w:cs="宋体"/>
                <w:color w:val="FF0000"/>
                <w:spacing w:val="-2"/>
                <w:sz w:val="24"/>
                <w:szCs w:val="24"/>
              </w:rPr>
              <w:t>小时赶到现场；</w:t>
            </w:r>
          </w:p>
          <w:p w14:paraId="144D5BB8">
            <w:pPr>
              <w:keepNext w:val="0"/>
              <w:keepLines w:val="0"/>
              <w:pageBreakBefore w:val="0"/>
              <w:overflowPunct/>
              <w:bidi w:val="0"/>
              <w:adjustRightInd w:val="0"/>
              <w:spacing w:line="400" w:lineRule="exact"/>
              <w:ind w:left="0" w:leftChars="0" w:firstLine="0" w:firstLineChars="0"/>
              <w:rPr>
                <w:rFonts w:hint="eastAsia" w:ascii="宋体" w:hAnsi="宋体" w:eastAsia="宋体" w:cs="宋体"/>
                <w:color w:val="FF0000"/>
                <w:spacing w:val="-2"/>
                <w:sz w:val="24"/>
                <w:szCs w:val="24"/>
                <w:lang w:val="en-US" w:eastAsia="en-US"/>
              </w:rPr>
            </w:pPr>
            <w:r>
              <w:rPr>
                <w:rFonts w:hint="eastAsia" w:ascii="宋体" w:hAnsi="宋体" w:eastAsia="宋体" w:cs="宋体"/>
                <w:color w:val="FF0000"/>
                <w:spacing w:val="-14"/>
                <w:sz w:val="24"/>
                <w:szCs w:val="24"/>
                <w:lang w:val="en-US" w:eastAsia="zh-CN"/>
              </w:rPr>
              <w:t>3.48</w:t>
            </w:r>
            <w:r>
              <w:rPr>
                <w:rFonts w:hint="eastAsia" w:ascii="宋体" w:hAnsi="宋体" w:eastAsia="宋体" w:cs="宋体"/>
                <w:color w:val="FF0000"/>
                <w:spacing w:val="-14"/>
                <w:sz w:val="24"/>
                <w:szCs w:val="24"/>
              </w:rPr>
              <w:t>小时内解决问题；</w:t>
            </w:r>
            <w:r>
              <w:rPr>
                <w:rFonts w:hint="eastAsia" w:ascii="宋体" w:hAnsi="宋体" w:eastAsia="宋体" w:cs="宋体"/>
                <w:color w:val="FF0000"/>
                <w:spacing w:val="-14"/>
                <w:sz w:val="24"/>
                <w:szCs w:val="24"/>
                <w:lang w:val="en-US" w:eastAsia="zh-CN"/>
              </w:rPr>
              <w:t>4.</w:t>
            </w:r>
            <w:r>
              <w:rPr>
                <w:rFonts w:hint="eastAsia" w:ascii="宋体" w:hAnsi="宋体" w:eastAsia="宋体" w:cs="宋体"/>
                <w:color w:val="FF0000"/>
                <w:spacing w:val="-14"/>
                <w:sz w:val="24"/>
                <w:szCs w:val="24"/>
              </w:rPr>
              <w:t>服务技术单</w:t>
            </w:r>
            <w:r>
              <w:rPr>
                <w:rFonts w:hint="eastAsia" w:ascii="宋体" w:hAnsi="宋体" w:eastAsia="宋体" w:cs="宋体"/>
                <w:color w:val="FF0000"/>
                <w:spacing w:val="-15"/>
                <w:sz w:val="24"/>
                <w:szCs w:val="24"/>
              </w:rPr>
              <w:t>位承诺的其他服务；</w:t>
            </w:r>
          </w:p>
        </w:tc>
        <w:tc>
          <w:tcPr>
            <w:tcW w:w="1275" w:type="dxa"/>
            <w:vAlign w:val="center"/>
          </w:tcPr>
          <w:p w14:paraId="7BCB4B97">
            <w:pPr>
              <w:pStyle w:val="8"/>
              <w:keepNext w:val="0"/>
              <w:keepLines w:val="0"/>
              <w:pageBreakBefore w:val="0"/>
              <w:overflowPunct/>
              <w:bidi w:val="0"/>
              <w:adjustRightInd w:val="0"/>
              <w:spacing w:line="400" w:lineRule="exact"/>
              <w:ind w:left="0" w:leftChars="0" w:firstLine="0" w:firstLineChars="0"/>
              <w:jc w:val="center"/>
              <w:outlineLvl w:val="9"/>
              <w:rPr>
                <w:rFonts w:hint="eastAsia" w:ascii="宋体" w:hAnsi="宋体" w:eastAsia="宋体" w:cs="宋体"/>
                <w:spacing w:val="-3"/>
                <w:sz w:val="24"/>
                <w:szCs w:val="24"/>
              </w:rPr>
            </w:pPr>
            <w:r>
              <w:rPr>
                <w:rFonts w:hint="eastAsia" w:ascii="宋体" w:hAnsi="宋体" w:eastAsia="宋体" w:cs="宋体"/>
                <w:spacing w:val="-3"/>
                <w:sz w:val="24"/>
                <w:szCs w:val="24"/>
              </w:rPr>
              <w:t>不可负偏离</w:t>
            </w:r>
          </w:p>
        </w:tc>
      </w:tr>
      <w:tr w14:paraId="6DE75387">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90" w:hRule="atLeast"/>
        </w:trPr>
        <w:tc>
          <w:tcPr>
            <w:tcW w:w="577" w:type="dxa"/>
            <w:vAlign w:val="center"/>
          </w:tcPr>
          <w:p w14:paraId="2626D8B9">
            <w:pPr>
              <w:keepNext w:val="0"/>
              <w:keepLines w:val="0"/>
              <w:pageBreakBefore w:val="0"/>
              <w:overflowPunct/>
              <w:bidi w:val="0"/>
              <w:adjustRightInd w:val="0"/>
              <w:spacing w:line="400" w:lineRule="exact"/>
              <w:ind w:left="0" w:leftChars="0" w:firstLine="0" w:firstLineChars="0"/>
              <w:jc w:val="center"/>
              <w:outlineLvl w:val="9"/>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9</w:t>
            </w:r>
          </w:p>
        </w:tc>
        <w:tc>
          <w:tcPr>
            <w:tcW w:w="987" w:type="dxa"/>
            <w:vAlign w:val="center"/>
          </w:tcPr>
          <w:p w14:paraId="73152167">
            <w:pPr>
              <w:keepNext w:val="0"/>
              <w:keepLines w:val="0"/>
              <w:pageBreakBefore w:val="0"/>
              <w:overflowPunct/>
              <w:bidi w:val="0"/>
              <w:adjustRightInd w:val="0"/>
              <w:spacing w:line="400" w:lineRule="exact"/>
              <w:ind w:left="0" w:leftChars="0" w:firstLine="0" w:firstLineChars="0"/>
              <w:rPr>
                <w:rFonts w:hint="eastAsia" w:ascii="宋体" w:hAnsi="宋体" w:eastAsia="宋体" w:cs="宋体"/>
                <w:color w:val="auto"/>
                <w:spacing w:val="-15"/>
                <w:sz w:val="24"/>
                <w:szCs w:val="24"/>
                <w:lang w:val="en-US" w:eastAsia="zh-CN"/>
              </w:rPr>
            </w:pPr>
            <w:r>
              <w:rPr>
                <w:rFonts w:hint="eastAsia" w:ascii="宋体" w:hAnsi="宋体" w:eastAsia="宋体" w:cs="宋体"/>
                <w:color w:val="auto"/>
                <w:spacing w:val="-15"/>
                <w:sz w:val="24"/>
                <w:szCs w:val="24"/>
              </w:rPr>
              <w:t>其他</w:t>
            </w:r>
          </w:p>
        </w:tc>
        <w:tc>
          <w:tcPr>
            <w:tcW w:w="6475" w:type="dxa"/>
            <w:vAlign w:val="center"/>
          </w:tcPr>
          <w:p w14:paraId="35F4FB90">
            <w:pPr>
              <w:keepNext w:val="0"/>
              <w:keepLines w:val="0"/>
              <w:pageBreakBefore w:val="0"/>
              <w:overflowPunct/>
              <w:bidi w:val="0"/>
              <w:adjustRightInd w:val="0"/>
              <w:spacing w:line="400" w:lineRule="exact"/>
              <w:ind w:left="0" w:leftChars="0" w:firstLine="0" w:firstLineChars="0"/>
              <w:rPr>
                <w:rFonts w:hint="eastAsia" w:ascii="宋体" w:hAnsi="宋体" w:eastAsia="宋体" w:cs="宋体"/>
                <w:color w:val="auto"/>
                <w:spacing w:val="-15"/>
                <w:sz w:val="24"/>
                <w:szCs w:val="24"/>
                <w:lang w:val="en-US" w:eastAsia="zh-CN"/>
              </w:rPr>
            </w:pPr>
            <w:r>
              <w:rPr>
                <w:rFonts w:hint="eastAsia" w:ascii="宋体" w:hAnsi="宋体" w:eastAsia="宋体" w:cs="宋体"/>
                <w:color w:val="auto"/>
                <w:spacing w:val="-15"/>
                <w:sz w:val="24"/>
                <w:szCs w:val="24"/>
              </w:rPr>
              <w:t>其他未尽事宜，采购合同中另行约定</w:t>
            </w:r>
          </w:p>
        </w:tc>
        <w:tc>
          <w:tcPr>
            <w:tcW w:w="1275" w:type="dxa"/>
            <w:vAlign w:val="center"/>
          </w:tcPr>
          <w:p w14:paraId="2C32E378">
            <w:pPr>
              <w:pStyle w:val="8"/>
              <w:keepNext w:val="0"/>
              <w:keepLines w:val="0"/>
              <w:pageBreakBefore w:val="0"/>
              <w:overflowPunct/>
              <w:bidi w:val="0"/>
              <w:adjustRightInd w:val="0"/>
              <w:spacing w:line="400" w:lineRule="exact"/>
              <w:ind w:left="0" w:leftChars="0" w:firstLine="0" w:firstLineChars="0"/>
              <w:jc w:val="center"/>
              <w:outlineLvl w:val="9"/>
              <w:rPr>
                <w:rFonts w:hint="eastAsia" w:ascii="宋体" w:hAnsi="宋体" w:eastAsia="宋体" w:cs="宋体"/>
                <w:spacing w:val="-3"/>
                <w:sz w:val="24"/>
                <w:szCs w:val="24"/>
              </w:rPr>
            </w:pPr>
          </w:p>
        </w:tc>
      </w:tr>
    </w:tbl>
    <w:p w14:paraId="07BF4DB2">
      <w:pPr>
        <w:spacing w:before="78" w:line="220" w:lineRule="auto"/>
        <w:ind w:left="0" w:leftChars="0" w:firstLine="0" w:firstLineChars="0"/>
        <w:outlineLvl w:val="9"/>
        <w:rPr>
          <w:rFonts w:hint="eastAsia" w:ascii="宋体" w:hAnsi="宋体" w:eastAsia="宋体" w:cs="宋体"/>
        </w:rPr>
      </w:pPr>
      <w:r>
        <w:rPr>
          <w:rFonts w:hint="eastAsia" w:ascii="宋体" w:hAnsi="宋体" w:eastAsia="宋体" w:cs="宋体"/>
          <w:sz w:val="24"/>
          <w:szCs w:val="24"/>
          <w14:textOutline w14:w="4358" w14:cap="sq" w14:cmpd="sng">
            <w14:solidFill>
              <w14:srgbClr w14:val="000000"/>
            </w14:solidFill>
            <w14:prstDash w14:val="solid"/>
            <w14:bevel/>
          </w14:textOutline>
        </w:rPr>
        <w:t>注：1.以上商务条款投标人必须完全响应，否则作无效投标处理；</w:t>
      </w:r>
    </w:p>
    <w:p w14:paraId="181F2B6C">
      <w:pPr>
        <w:spacing w:before="78" w:line="219" w:lineRule="auto"/>
        <w:ind w:left="0" w:leftChars="0" w:firstLine="0" w:firstLineChars="0"/>
        <w:outlineLvl w:val="9"/>
      </w:pPr>
      <w:r>
        <w:rPr>
          <w:rFonts w:hint="eastAsia" w:ascii="宋体" w:hAnsi="宋体" w:eastAsia="宋体" w:cs="宋体"/>
          <w:spacing w:val="-5"/>
          <w:sz w:val="24"/>
          <w:szCs w:val="24"/>
          <w14:textOutline w14:w="4358" w14:cap="sq" w14:cmpd="sng">
            <w14:solidFill>
              <w14:srgbClr w14:val="000000"/>
            </w14:solidFill>
            <w14:prstDash w14:val="solid"/>
            <w14:bevel/>
          </w14:textOutline>
        </w:rPr>
        <w:t>2.若无特殊说明，本招标文件中所述及的“</w:t>
      </w:r>
      <w:r>
        <w:rPr>
          <w:rFonts w:hint="eastAsia" w:ascii="宋体" w:hAnsi="宋体" w:eastAsia="宋体" w:cs="宋体"/>
          <w:spacing w:val="-53"/>
          <w:sz w:val="24"/>
          <w:szCs w:val="24"/>
        </w:rPr>
        <w:t xml:space="preserve"> </w:t>
      </w:r>
      <w:r>
        <w:rPr>
          <w:rFonts w:hint="eastAsia" w:ascii="宋体" w:hAnsi="宋体" w:eastAsia="宋体" w:cs="宋体"/>
          <w:spacing w:val="-5"/>
          <w:sz w:val="24"/>
          <w:szCs w:val="24"/>
          <w14:textOutline w14:w="4358" w14:cap="sq" w14:cmpd="sng">
            <w14:solidFill>
              <w14:srgbClr w14:val="000000"/>
            </w14:solidFill>
            <w14:prstDash w14:val="solid"/>
            <w14:bevel/>
          </w14:textOutline>
        </w:rPr>
        <w:t>日</w:t>
      </w:r>
      <w:r>
        <w:rPr>
          <w:rFonts w:hint="eastAsia" w:ascii="宋体" w:hAnsi="宋体" w:eastAsia="宋体" w:cs="宋体"/>
          <w:spacing w:val="-86"/>
          <w:sz w:val="24"/>
          <w:szCs w:val="24"/>
        </w:rPr>
        <w:t xml:space="preserve"> </w:t>
      </w:r>
      <w:r>
        <w:rPr>
          <w:rFonts w:hint="eastAsia" w:ascii="宋体" w:hAnsi="宋体" w:eastAsia="宋体" w:cs="宋体"/>
          <w:spacing w:val="-5"/>
          <w:sz w:val="24"/>
          <w:szCs w:val="24"/>
          <w14:textOutline w14:w="4358" w14:cap="sq" w14:cmpd="sng">
            <w14:solidFill>
              <w14:srgbClr w14:val="000000"/>
            </w14:solidFill>
            <w14:prstDash w14:val="solid"/>
            <w14:bevel/>
          </w14:textOutline>
        </w:rPr>
        <w:t>”和“天</w:t>
      </w:r>
      <w:r>
        <w:rPr>
          <w:rFonts w:hint="eastAsia" w:ascii="宋体" w:hAnsi="宋体" w:eastAsia="宋体" w:cs="宋体"/>
          <w:spacing w:val="-86"/>
          <w:sz w:val="24"/>
          <w:szCs w:val="24"/>
        </w:rPr>
        <w:t xml:space="preserve"> </w:t>
      </w:r>
      <w:r>
        <w:rPr>
          <w:rFonts w:hint="eastAsia" w:ascii="宋体" w:hAnsi="宋体" w:eastAsia="宋体" w:cs="宋体"/>
          <w:spacing w:val="-5"/>
          <w:sz w:val="24"/>
          <w:szCs w:val="24"/>
          <w14:textOutline w14:w="4358" w14:cap="sq" w14:cmpd="sng">
            <w14:solidFill>
              <w14:srgbClr w14:val="000000"/>
            </w14:solidFill>
            <w14:prstDash w14:val="solid"/>
            <w14:bevel/>
          </w14:textOutline>
        </w:rPr>
        <w:t>”均指“</w:t>
      </w:r>
      <w:r>
        <w:rPr>
          <w:rFonts w:hint="eastAsia" w:ascii="宋体" w:hAnsi="宋体" w:eastAsia="宋体" w:cs="宋体"/>
          <w:spacing w:val="-69"/>
          <w:sz w:val="24"/>
          <w:szCs w:val="24"/>
        </w:rPr>
        <w:t xml:space="preserve"> </w:t>
      </w:r>
      <w:r>
        <w:rPr>
          <w:rFonts w:hint="eastAsia" w:ascii="宋体" w:hAnsi="宋体" w:eastAsia="宋体" w:cs="宋体"/>
          <w:spacing w:val="-5"/>
          <w:sz w:val="24"/>
          <w:szCs w:val="24"/>
          <w14:textOutline w14:w="4358" w14:cap="sq" w14:cmpd="sng">
            <w14:solidFill>
              <w14:srgbClr w14:val="000000"/>
            </w14:solidFill>
            <w14:prstDash w14:val="solid"/>
            <w14:bevel/>
          </w14:textOutline>
        </w:rPr>
        <w:t>日历日</w:t>
      </w:r>
      <w:r>
        <w:rPr>
          <w:rFonts w:hint="eastAsia" w:ascii="宋体" w:hAnsi="宋体" w:eastAsia="宋体" w:cs="宋体"/>
          <w:spacing w:val="-88"/>
          <w:sz w:val="24"/>
          <w:szCs w:val="24"/>
        </w:rPr>
        <w:t xml:space="preserve"> </w:t>
      </w:r>
      <w:r>
        <w:rPr>
          <w:rFonts w:hint="eastAsia" w:ascii="宋体" w:hAnsi="宋体" w:eastAsia="宋体" w:cs="宋体"/>
          <w:spacing w:val="-5"/>
          <w:sz w:val="24"/>
          <w:szCs w:val="24"/>
          <w14:textOutline w14:w="4358" w14:cap="sq" w14:cmpd="sng">
            <w14:solidFill>
              <w14:srgbClr w14:val="000000"/>
            </w14:solidFill>
            <w14:prstDash w14:val="solid"/>
            <w14:bevel/>
          </w14:textOutline>
        </w:rPr>
        <w:t>”。</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2"/>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A3AB02">
    <w:pPr>
      <w:pStyle w:val="2"/>
      <w:spacing w:line="184" w:lineRule="auto"/>
      <w:ind w:left="4540"/>
      <w:rPr>
        <w:rFonts w:hint="eastAsia"/>
        <w:sz w:val="18"/>
        <w:szCs w:val="18"/>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B144F40">
                          <w:pPr>
                            <w:pStyle w:val="3"/>
                          </w:pPr>
                          <w:r>
                            <w:fldChar w:fldCharType="begin"/>
                          </w:r>
                          <w:r>
                            <w:instrText xml:space="preserve"> PAGE  \* MERGEFORMAT </w:instrText>
                          </w:r>
                          <w:r>
                            <w:fldChar w:fldCharType="separate"/>
                          </w:r>
                          <w:r>
                            <w:t>52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14:paraId="7B144F40">
                    <w:pPr>
                      <w:pStyle w:val="3"/>
                    </w:pPr>
                    <w:r>
                      <w:fldChar w:fldCharType="begin"/>
                    </w:r>
                    <w:r>
                      <w:instrText xml:space="preserve"> PAGE  \* MERGEFORMAT </w:instrText>
                    </w:r>
                    <w:r>
                      <w:fldChar w:fldCharType="separate"/>
                    </w:r>
                    <w:r>
                      <w:t>52</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91A3888"/>
    <w:rsid w:val="091A3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rPr>
      <w:rFonts w:ascii="仿宋" w:hAnsi="仿宋" w:eastAsia="仿宋" w:cs="仿宋"/>
      <w:sz w:val="30"/>
      <w:szCs w:val="30"/>
    </w:rPr>
  </w:style>
  <w:style w:type="paragraph" w:styleId="3">
    <w:name w:val="footer"/>
    <w:basedOn w:val="1"/>
    <w:qFormat/>
    <w:uiPriority w:val="0"/>
    <w:pPr>
      <w:tabs>
        <w:tab w:val="center" w:pos="4153"/>
        <w:tab w:val="right" w:pos="8306"/>
      </w:tabs>
    </w:pPr>
    <w:rPr>
      <w:sz w:val="18"/>
    </w:rPr>
  </w:style>
  <w:style w:type="paragraph" w:customStyle="1" w:styleId="6">
    <w:name w:val="正文（无缩进）"/>
    <w:basedOn w:val="7"/>
    <w:qFormat/>
    <w:uiPriority w:val="0"/>
    <w:pPr>
      <w:ind w:firstLine="0" w:firstLineChars="0"/>
    </w:pPr>
  </w:style>
  <w:style w:type="paragraph" w:customStyle="1" w:styleId="7">
    <w:name w:val="正文（缩进）"/>
    <w:basedOn w:val="1"/>
    <w:qFormat/>
    <w:uiPriority w:val="0"/>
    <w:pPr>
      <w:widowControl w:val="0"/>
      <w:autoSpaceDE w:val="0"/>
      <w:autoSpaceDN w:val="0"/>
      <w:snapToGrid/>
      <w:ind w:firstLine="560"/>
      <w:jc w:val="both"/>
    </w:pPr>
    <w:rPr>
      <w:rFonts w:cs="微软雅黑"/>
      <w:color w:val="000000"/>
      <w:szCs w:val="18"/>
    </w:rPr>
  </w:style>
  <w:style w:type="paragraph" w:customStyle="1" w:styleId="8">
    <w:name w:val="Table Text"/>
    <w:basedOn w:val="1"/>
    <w:semiHidden/>
    <w:qFormat/>
    <w:uiPriority w:val="0"/>
  </w:style>
  <w:style w:type="table" w:customStyle="1" w:styleId="9">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2026-04-29T07:46:00Z</dcterms:created>
  <dc:creator>雪华</dc:creator>
  <cp:lastModifiedBy>雪华</cp:lastModifiedBy>
  <dcterms:modified xsi:type="dcterms:W3CDTF">2026-04-29T07:49:07Z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934B3CB6CD194EA6A498F3CF34E39709_11</vt:lpwstr>
  </property>
  <property fmtid="{D5CDD505-2E9C-101B-9397-08002B2CF9AE}" pid="4" name="KSOTemplateDocerSaveRecord">
    <vt:lpwstr>eyJoZGlkIjoiYjRhMGViMzJlZDhhYzAwNWNkMWIyNmUyNjM3ZDQ3ZTAiLCJ1c2VySWQiOiI1MjA2OTk3MDUifQ==</vt:lpwstr>
  </property>
</Properties>
</file>