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cs="宋体"/>
          <w:b/>
          <w:bCs/>
          <w:i w:val="0"/>
          <w:caps w:val="0"/>
          <w:color w:val="auto"/>
          <w:spacing w:val="0"/>
          <w:sz w:val="32"/>
          <w:szCs w:val="32"/>
          <w:lang w:val="en-US" w:eastAsia="zh-CN"/>
        </w:rPr>
      </w:pPr>
      <w:r>
        <w:rPr>
          <w:rFonts w:hint="eastAsia" w:ascii="宋体" w:hAnsi="宋体" w:cs="宋体"/>
          <w:b/>
          <w:bCs/>
          <w:i w:val="0"/>
          <w:caps w:val="0"/>
          <w:color w:val="auto"/>
          <w:spacing w:val="0"/>
          <w:sz w:val="32"/>
          <w:szCs w:val="32"/>
          <w:lang w:val="en-US" w:eastAsia="zh-CN"/>
        </w:rPr>
        <w:t>全南县南迳镇2025-2026年度松材线虫病防治项目采购需求</w:t>
      </w:r>
    </w:p>
    <w:tbl>
      <w:tblPr>
        <w:tblStyle w:val="9"/>
        <w:tblW w:w="1474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9"/>
        <w:gridCol w:w="11623"/>
        <w:gridCol w:w="414"/>
        <w:gridCol w:w="433"/>
        <w:gridCol w:w="12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jc w:val="center"/>
        </w:trPr>
        <w:tc>
          <w:tcPr>
            <w:tcW w:w="1059" w:type="dxa"/>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项目</w:t>
            </w:r>
          </w:p>
          <w:p>
            <w:pPr>
              <w:jc w:val="center"/>
              <w:rPr>
                <w:rFonts w:hint="eastAsia" w:ascii="宋体" w:hAnsi="宋体" w:eastAsia="宋体" w:cs="宋体"/>
                <w:b/>
                <w:bCs/>
                <w:sz w:val="24"/>
                <w:szCs w:val="24"/>
              </w:rPr>
            </w:pPr>
            <w:r>
              <w:rPr>
                <w:rFonts w:hint="eastAsia" w:ascii="宋体" w:hAnsi="宋体" w:eastAsia="宋体" w:cs="宋体"/>
                <w:b/>
                <w:bCs/>
                <w:sz w:val="24"/>
                <w:szCs w:val="24"/>
              </w:rPr>
              <w:t>名称</w:t>
            </w:r>
          </w:p>
        </w:tc>
        <w:tc>
          <w:tcPr>
            <w:tcW w:w="11623" w:type="dxa"/>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主要服务内容</w:t>
            </w:r>
          </w:p>
        </w:tc>
        <w:tc>
          <w:tcPr>
            <w:tcW w:w="414" w:type="dxa"/>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单位</w:t>
            </w:r>
          </w:p>
        </w:tc>
        <w:tc>
          <w:tcPr>
            <w:tcW w:w="433" w:type="dxa"/>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数量</w:t>
            </w:r>
          </w:p>
        </w:tc>
        <w:tc>
          <w:tcPr>
            <w:tcW w:w="1219" w:type="dxa"/>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预算金额（</w:t>
            </w:r>
            <w:r>
              <w:rPr>
                <w:rFonts w:hint="eastAsia" w:ascii="宋体" w:hAnsi="宋体" w:eastAsia="宋体" w:cs="宋体"/>
                <w:b/>
                <w:bCs/>
                <w:sz w:val="24"/>
                <w:szCs w:val="24"/>
                <w:lang w:val="en-US" w:eastAsia="zh-CN"/>
              </w:rPr>
              <w:t>万</w:t>
            </w:r>
            <w:r>
              <w:rPr>
                <w:rFonts w:hint="eastAsia" w:ascii="宋体" w:hAnsi="宋体" w:eastAsia="宋体" w:cs="宋体"/>
                <w:b/>
                <w:bCs/>
                <w:sz w:val="24"/>
                <w:szCs w:val="24"/>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34" w:hRule="atLeast"/>
          <w:jc w:val="center"/>
        </w:trPr>
        <w:tc>
          <w:tcPr>
            <w:tcW w:w="1059" w:type="dxa"/>
            <w:vAlign w:val="center"/>
          </w:tcPr>
          <w:p>
            <w:pPr>
              <w:jc w:val="left"/>
              <w:rPr>
                <w:rFonts w:hint="eastAsia" w:ascii="宋体" w:hAnsi="宋体" w:eastAsia="宋体" w:cs="宋体"/>
                <w:b/>
                <w:bCs/>
                <w:sz w:val="18"/>
                <w:szCs w:val="18"/>
              </w:rPr>
            </w:pPr>
            <w:r>
              <w:rPr>
                <w:rFonts w:hint="eastAsia" w:ascii="宋体" w:hAnsi="宋体" w:eastAsia="宋体" w:cs="宋体"/>
                <w:b/>
                <w:bCs/>
                <w:sz w:val="18"/>
                <w:szCs w:val="18"/>
              </w:rPr>
              <w:t>全南县</w:t>
            </w:r>
            <w:r>
              <w:rPr>
                <w:rFonts w:hint="eastAsia" w:ascii="宋体" w:hAnsi="宋体" w:eastAsia="宋体" w:cs="宋体"/>
                <w:b/>
                <w:bCs/>
                <w:sz w:val="18"/>
                <w:szCs w:val="18"/>
                <w:lang w:val="en-US" w:eastAsia="zh-CN"/>
              </w:rPr>
              <w:t>南迳</w:t>
            </w:r>
            <w:r>
              <w:rPr>
                <w:rFonts w:hint="eastAsia" w:ascii="宋体" w:hAnsi="宋体" w:eastAsia="宋体" w:cs="宋体"/>
                <w:b/>
                <w:bCs/>
                <w:sz w:val="18"/>
                <w:szCs w:val="18"/>
              </w:rPr>
              <w:t>镇2025-2026年度松材线虫病防治</w:t>
            </w:r>
          </w:p>
        </w:tc>
        <w:tc>
          <w:tcPr>
            <w:tcW w:w="11623" w:type="dxa"/>
            <w:vAlign w:val="center"/>
          </w:tcPr>
          <w:p>
            <w:pPr>
              <w:numPr>
                <w:ilvl w:val="0"/>
                <w:numId w:val="1"/>
              </w:numPr>
              <w:shd w:val="clear"/>
              <w:spacing w:before="91" w:line="220" w:lineRule="auto"/>
              <w:rPr>
                <w:rFonts w:ascii="宋体" w:hAnsi="宋体" w:eastAsia="宋体" w:cs="宋体"/>
                <w:spacing w:val="-4"/>
                <w:sz w:val="21"/>
                <w:szCs w:val="21"/>
              </w:rPr>
            </w:pPr>
            <w:r>
              <w:rPr>
                <w:rFonts w:ascii="宋体" w:hAnsi="宋体" w:eastAsia="宋体" w:cs="宋体"/>
                <w:spacing w:val="-4"/>
                <w:sz w:val="21"/>
                <w:szCs w:val="21"/>
              </w:rPr>
              <w:t>服务需求</w:t>
            </w:r>
          </w:p>
          <w:p>
            <w:pPr>
              <w:numPr>
                <w:ilvl w:val="0"/>
                <w:numId w:val="1"/>
              </w:numPr>
              <w:shd w:val="clear"/>
              <w:spacing w:before="91" w:line="220" w:lineRule="auto"/>
              <w:rPr>
                <w:rFonts w:ascii="宋体" w:hAnsi="宋体" w:eastAsia="宋体" w:cs="宋体"/>
                <w:sz w:val="21"/>
                <w:szCs w:val="21"/>
              </w:rPr>
            </w:pPr>
            <w:r>
              <w:rPr>
                <w:rFonts w:ascii="宋体" w:hAnsi="宋体" w:eastAsia="宋体" w:cs="宋体"/>
                <w:spacing w:val="-3"/>
                <w:sz w:val="21"/>
                <w:szCs w:val="21"/>
              </w:rPr>
              <w:t>1、响应供应商须提供符合国家最新相关标准的服务。</w:t>
            </w:r>
          </w:p>
          <w:p>
            <w:pPr>
              <w:shd w:val="clear"/>
              <w:spacing w:before="91" w:line="339" w:lineRule="auto"/>
              <w:ind w:right="130"/>
              <w:rPr>
                <w:rFonts w:ascii="宋体" w:hAnsi="宋体" w:eastAsia="宋体" w:cs="宋体"/>
                <w:spacing w:val="-2"/>
                <w:sz w:val="21"/>
                <w:szCs w:val="21"/>
              </w:rPr>
            </w:pPr>
            <w:r>
              <w:rPr>
                <w:rFonts w:ascii="宋体" w:hAnsi="宋体" w:eastAsia="宋体" w:cs="宋体"/>
                <w:spacing w:val="-2"/>
                <w:sz w:val="21"/>
                <w:szCs w:val="21"/>
              </w:rPr>
              <w:t>2、服务如为某单位的专利,请响应供应商在答疑期内告知政府采购代理机构。所有服务的知识产权问题，由各响应供应商自行负责。响应供应商须保障采购人在使用该服务或其任何一部分时不受到第三方关于侵犯专利权、商标权或设计权等知识产权的指控。如有任何第三方提出侵权指控均与采购人无关，响应供应商须与第三方交涉并承担可能发生的责任与一切费用。如采购人因此而遭致损失的，响应供应商应赔偿该损失。</w:t>
            </w:r>
          </w:p>
          <w:p>
            <w:pPr>
              <w:shd w:val="clear"/>
              <w:spacing w:before="91" w:line="339" w:lineRule="auto"/>
              <w:ind w:right="130"/>
              <w:rPr>
                <w:rFonts w:ascii="宋体" w:hAnsi="宋体" w:eastAsia="宋体" w:cs="宋体"/>
                <w:spacing w:val="-5"/>
                <w:sz w:val="21"/>
                <w:szCs w:val="21"/>
              </w:rPr>
            </w:pPr>
            <w:r>
              <w:rPr>
                <w:rFonts w:ascii="宋体" w:hAnsi="宋体" w:eastAsia="宋体" w:cs="宋体"/>
                <w:spacing w:val="-2"/>
                <w:sz w:val="21"/>
                <w:szCs w:val="21"/>
              </w:rPr>
              <w:t>3、本磋商文件提出的是最低限度的要求，响应供应商的方案应达到或优于本磋商文件要求，且符合国家有关标准和规范要求</w:t>
            </w:r>
            <w:r>
              <w:rPr>
                <w:rFonts w:hint="eastAsia" w:ascii="宋体" w:hAnsi="宋体" w:eastAsia="宋体" w:cs="宋体"/>
                <w:spacing w:val="-2"/>
                <w:sz w:val="21"/>
                <w:szCs w:val="21"/>
                <w:lang w:eastAsia="zh-CN"/>
              </w:rPr>
              <w:t>。</w:t>
            </w:r>
            <w:r>
              <w:rPr>
                <w:rFonts w:ascii="宋体" w:hAnsi="宋体" w:eastAsia="宋体" w:cs="宋体"/>
                <w:spacing w:val="-4"/>
                <w:sz w:val="21"/>
                <w:szCs w:val="21"/>
              </w:rPr>
              <w:t>本部分“二、采购要求</w:t>
            </w:r>
            <w:r>
              <w:rPr>
                <w:rFonts w:ascii="宋体" w:hAnsi="宋体" w:eastAsia="宋体" w:cs="宋体"/>
                <w:spacing w:val="-95"/>
                <w:sz w:val="21"/>
                <w:szCs w:val="21"/>
              </w:rPr>
              <w:t xml:space="preserve"> </w:t>
            </w:r>
            <w:r>
              <w:rPr>
                <w:rFonts w:ascii="宋体" w:hAnsi="宋体" w:eastAsia="宋体" w:cs="宋体"/>
                <w:spacing w:val="-4"/>
                <w:sz w:val="21"/>
                <w:szCs w:val="21"/>
              </w:rPr>
              <w:t>”均属于不允许负偏离的实质性要求和</w:t>
            </w:r>
            <w:r>
              <w:rPr>
                <w:rFonts w:ascii="宋体" w:hAnsi="宋体" w:eastAsia="宋体" w:cs="宋体"/>
                <w:spacing w:val="-5"/>
                <w:sz w:val="21"/>
                <w:szCs w:val="21"/>
              </w:rPr>
              <w:t>条件。</w:t>
            </w:r>
          </w:p>
          <w:p>
            <w:pPr>
              <w:shd w:val="clear"/>
              <w:spacing w:before="213" w:line="361" w:lineRule="auto"/>
              <w:ind w:right="130"/>
              <w:rPr>
                <w:rFonts w:ascii="宋体" w:hAnsi="宋体" w:eastAsia="宋体" w:cs="宋体"/>
                <w:spacing w:val="-2"/>
                <w:sz w:val="21"/>
                <w:szCs w:val="21"/>
              </w:rPr>
            </w:pPr>
          </w:p>
          <w:p>
            <w:pPr>
              <w:shd w:val="clear"/>
              <w:spacing w:before="213" w:line="361" w:lineRule="auto"/>
              <w:ind w:right="130"/>
              <w:rPr>
                <w:rFonts w:ascii="宋体" w:hAnsi="宋体" w:eastAsia="宋体" w:cs="宋体"/>
                <w:spacing w:val="-2"/>
                <w:sz w:val="21"/>
                <w:szCs w:val="21"/>
              </w:rPr>
            </w:pPr>
          </w:p>
          <w:p>
            <w:pPr>
              <w:shd w:val="clear"/>
              <w:spacing w:before="213" w:line="361" w:lineRule="auto"/>
              <w:ind w:right="130"/>
              <w:rPr>
                <w:rFonts w:ascii="宋体" w:hAnsi="宋体" w:eastAsia="宋体" w:cs="宋体"/>
                <w:spacing w:val="-2"/>
                <w:sz w:val="21"/>
                <w:szCs w:val="21"/>
              </w:rPr>
            </w:pPr>
          </w:p>
          <w:p>
            <w:pPr>
              <w:shd w:val="clear"/>
              <w:spacing w:before="213" w:line="361" w:lineRule="auto"/>
              <w:ind w:right="130"/>
              <w:rPr>
                <w:rFonts w:ascii="宋体" w:hAnsi="宋体" w:eastAsia="宋体" w:cs="宋体"/>
                <w:spacing w:val="-2"/>
                <w:sz w:val="21"/>
                <w:szCs w:val="21"/>
              </w:rPr>
            </w:pPr>
          </w:p>
          <w:p>
            <w:pPr>
              <w:shd w:val="clear"/>
              <w:spacing w:before="213" w:line="361" w:lineRule="auto"/>
              <w:ind w:right="130"/>
              <w:rPr>
                <w:rFonts w:ascii="宋体" w:hAnsi="宋体" w:eastAsia="宋体" w:cs="宋体"/>
                <w:sz w:val="21"/>
                <w:szCs w:val="21"/>
              </w:rPr>
            </w:pPr>
            <w:r>
              <w:rPr>
                <w:rFonts w:ascii="宋体" w:hAnsi="宋体" w:eastAsia="宋体" w:cs="宋体"/>
                <w:spacing w:val="-2"/>
                <w:sz w:val="21"/>
                <w:szCs w:val="21"/>
              </w:rPr>
              <w:t>4、采购项目品目类别及采购标的对应的中小企业划分标准所</w:t>
            </w:r>
            <w:r>
              <w:rPr>
                <w:rFonts w:ascii="宋体" w:hAnsi="宋体" w:eastAsia="宋体" w:cs="宋体"/>
                <w:spacing w:val="-5"/>
                <w:sz w:val="21"/>
                <w:szCs w:val="21"/>
              </w:rPr>
              <w:t>属行业</w:t>
            </w:r>
          </w:p>
          <w:p>
            <w:pPr>
              <w:shd w:val="clear"/>
              <w:spacing w:line="69" w:lineRule="exact"/>
              <w:rPr>
                <w:sz w:val="21"/>
                <w:szCs w:val="21"/>
              </w:rPr>
            </w:pPr>
          </w:p>
          <w:tbl>
            <w:tblPr>
              <w:tblStyle w:val="12"/>
              <w:tblW w:w="861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7"/>
              <w:gridCol w:w="1839"/>
              <w:gridCol w:w="693"/>
              <w:gridCol w:w="1639"/>
              <w:gridCol w:w="356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10" w:hRule="atLeast"/>
              </w:trPr>
              <w:tc>
                <w:tcPr>
                  <w:tcW w:w="877" w:type="dxa"/>
                  <w:vAlign w:val="center"/>
                </w:tcPr>
                <w:p>
                  <w:pPr>
                    <w:pStyle w:val="11"/>
                    <w:shd w:val="clear"/>
                    <w:spacing w:before="43" w:line="221" w:lineRule="auto"/>
                    <w:ind w:left="9"/>
                    <w:jc w:val="center"/>
                    <w:rPr>
                      <w:sz w:val="21"/>
                      <w:szCs w:val="21"/>
                    </w:rPr>
                  </w:pPr>
                  <w:r>
                    <w:rPr>
                      <w:spacing w:val="-5"/>
                      <w:sz w:val="21"/>
                      <w:szCs w:val="21"/>
                    </w:rPr>
                    <w:t>序号</w:t>
                  </w:r>
                </w:p>
              </w:tc>
              <w:tc>
                <w:tcPr>
                  <w:tcW w:w="1839" w:type="dxa"/>
                  <w:vAlign w:val="center"/>
                </w:tcPr>
                <w:p>
                  <w:pPr>
                    <w:pStyle w:val="11"/>
                    <w:shd w:val="clear"/>
                    <w:spacing w:before="44" w:line="220" w:lineRule="auto"/>
                    <w:ind w:left="13"/>
                    <w:jc w:val="center"/>
                    <w:rPr>
                      <w:sz w:val="21"/>
                      <w:szCs w:val="21"/>
                    </w:rPr>
                  </w:pPr>
                  <w:r>
                    <w:rPr>
                      <w:spacing w:val="-5"/>
                      <w:sz w:val="21"/>
                      <w:szCs w:val="21"/>
                    </w:rPr>
                    <w:t>项目名称</w:t>
                  </w:r>
                </w:p>
              </w:tc>
              <w:tc>
                <w:tcPr>
                  <w:tcW w:w="693" w:type="dxa"/>
                  <w:vAlign w:val="center"/>
                </w:tcPr>
                <w:p>
                  <w:pPr>
                    <w:pStyle w:val="11"/>
                    <w:shd w:val="clear"/>
                    <w:spacing w:before="43" w:line="220" w:lineRule="auto"/>
                    <w:ind w:left="12"/>
                    <w:jc w:val="center"/>
                    <w:rPr>
                      <w:sz w:val="21"/>
                      <w:szCs w:val="21"/>
                    </w:rPr>
                  </w:pPr>
                  <w:r>
                    <w:rPr>
                      <w:spacing w:val="-7"/>
                      <w:sz w:val="21"/>
                      <w:szCs w:val="21"/>
                    </w:rPr>
                    <w:t>数量</w:t>
                  </w:r>
                </w:p>
              </w:tc>
              <w:tc>
                <w:tcPr>
                  <w:tcW w:w="1639" w:type="dxa"/>
                  <w:vAlign w:val="center"/>
                </w:tcPr>
                <w:p>
                  <w:pPr>
                    <w:pStyle w:val="11"/>
                    <w:shd w:val="clear"/>
                    <w:spacing w:before="43" w:line="220" w:lineRule="auto"/>
                    <w:ind w:left="32"/>
                    <w:jc w:val="center"/>
                    <w:rPr>
                      <w:sz w:val="21"/>
                      <w:szCs w:val="21"/>
                    </w:rPr>
                  </w:pPr>
                  <w:r>
                    <w:rPr>
                      <w:spacing w:val="-9"/>
                      <w:sz w:val="21"/>
                      <w:szCs w:val="21"/>
                    </w:rPr>
                    <w:t>品目类别</w:t>
                  </w:r>
                </w:p>
              </w:tc>
              <w:tc>
                <w:tcPr>
                  <w:tcW w:w="3567" w:type="dxa"/>
                  <w:vAlign w:val="center"/>
                </w:tcPr>
                <w:p>
                  <w:pPr>
                    <w:pStyle w:val="11"/>
                    <w:shd w:val="clear"/>
                    <w:spacing w:before="43" w:line="242" w:lineRule="auto"/>
                    <w:ind w:left="13" w:right="212" w:hanging="4"/>
                    <w:jc w:val="center"/>
                    <w:rPr>
                      <w:sz w:val="21"/>
                      <w:szCs w:val="21"/>
                    </w:rPr>
                  </w:pPr>
                  <w:r>
                    <w:rPr>
                      <w:spacing w:val="-2"/>
                      <w:sz w:val="21"/>
                      <w:szCs w:val="21"/>
                    </w:rPr>
                    <w:t>采购标的对应的中小企业划</w:t>
                  </w:r>
                  <w:r>
                    <w:rPr>
                      <w:spacing w:val="-3"/>
                      <w:sz w:val="21"/>
                      <w:szCs w:val="21"/>
                    </w:rPr>
                    <w:t>分标准所属行业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815" w:hRule="atLeast"/>
              </w:trPr>
              <w:tc>
                <w:tcPr>
                  <w:tcW w:w="877" w:type="dxa"/>
                  <w:vAlign w:val="center"/>
                </w:tcPr>
                <w:p>
                  <w:pPr>
                    <w:shd w:val="clear"/>
                    <w:spacing w:before="60" w:line="194" w:lineRule="auto"/>
                    <w:ind w:firstLine="210" w:firstLineChars="100"/>
                    <w:jc w:val="both"/>
                    <w:rPr>
                      <w:rFonts w:ascii="Arial" w:hAnsi="Arial" w:eastAsia="Arial" w:cs="Arial"/>
                      <w:sz w:val="21"/>
                      <w:szCs w:val="21"/>
                    </w:rPr>
                  </w:pPr>
                  <w:r>
                    <w:rPr>
                      <w:rFonts w:ascii="Arial" w:hAnsi="Arial" w:eastAsia="Arial" w:cs="Arial"/>
                      <w:sz w:val="21"/>
                      <w:szCs w:val="21"/>
                    </w:rPr>
                    <w:t>1</w:t>
                  </w:r>
                </w:p>
              </w:tc>
              <w:tc>
                <w:tcPr>
                  <w:tcW w:w="1839" w:type="dxa"/>
                  <w:vAlign w:val="center"/>
                </w:tcPr>
                <w:p>
                  <w:pPr>
                    <w:pStyle w:val="11"/>
                    <w:shd w:val="clear"/>
                    <w:spacing w:before="91" w:line="220" w:lineRule="auto"/>
                    <w:jc w:val="center"/>
                    <w:rPr>
                      <w:sz w:val="21"/>
                      <w:szCs w:val="21"/>
                    </w:rPr>
                  </w:pPr>
                  <w:r>
                    <w:rPr>
                      <w:spacing w:val="-3"/>
                      <w:sz w:val="21"/>
                      <w:szCs w:val="21"/>
                    </w:rPr>
                    <w:t>全南县</w:t>
                  </w:r>
                  <w:r>
                    <w:rPr>
                      <w:rFonts w:hint="eastAsia"/>
                      <w:spacing w:val="-3"/>
                      <w:sz w:val="21"/>
                      <w:szCs w:val="21"/>
                      <w:lang w:val="en-US" w:eastAsia="zh-CN"/>
                    </w:rPr>
                    <w:t>南迳</w:t>
                  </w:r>
                  <w:r>
                    <w:rPr>
                      <w:spacing w:val="-3"/>
                      <w:sz w:val="21"/>
                      <w:szCs w:val="21"/>
                    </w:rPr>
                    <w:t>镇</w:t>
                  </w:r>
                </w:p>
                <w:p>
                  <w:pPr>
                    <w:pStyle w:val="11"/>
                    <w:shd w:val="clear"/>
                    <w:spacing w:before="29" w:line="220" w:lineRule="auto"/>
                    <w:ind w:left="25"/>
                    <w:jc w:val="center"/>
                    <w:rPr>
                      <w:sz w:val="21"/>
                      <w:szCs w:val="21"/>
                    </w:rPr>
                  </w:pPr>
                  <w:r>
                    <w:rPr>
                      <w:spacing w:val="-3"/>
                      <w:sz w:val="21"/>
                      <w:szCs w:val="21"/>
                    </w:rPr>
                    <w:t>202</w:t>
                  </w:r>
                  <w:r>
                    <w:rPr>
                      <w:rFonts w:hint="eastAsia" w:eastAsia="宋体"/>
                      <w:spacing w:val="-3"/>
                      <w:sz w:val="21"/>
                      <w:szCs w:val="21"/>
                      <w:lang w:val="en-US" w:eastAsia="zh-CN"/>
                    </w:rPr>
                    <w:t>5</w:t>
                  </w:r>
                  <w:r>
                    <w:rPr>
                      <w:spacing w:val="-3"/>
                      <w:sz w:val="21"/>
                      <w:szCs w:val="21"/>
                    </w:rPr>
                    <w:t>-202</w:t>
                  </w:r>
                  <w:r>
                    <w:rPr>
                      <w:rFonts w:hint="eastAsia" w:eastAsia="宋体"/>
                      <w:spacing w:val="-3"/>
                      <w:sz w:val="21"/>
                      <w:szCs w:val="21"/>
                      <w:lang w:val="en-US" w:eastAsia="zh-CN"/>
                    </w:rPr>
                    <w:t>6</w:t>
                  </w:r>
                  <w:r>
                    <w:rPr>
                      <w:spacing w:val="-3"/>
                      <w:sz w:val="21"/>
                      <w:szCs w:val="21"/>
                    </w:rPr>
                    <w:t>年度松材线虫病防</w:t>
                  </w:r>
                  <w:r>
                    <w:rPr>
                      <w:spacing w:val="-7"/>
                      <w:sz w:val="21"/>
                      <w:szCs w:val="21"/>
                    </w:rPr>
                    <w:t>治经费</w:t>
                  </w:r>
                </w:p>
              </w:tc>
              <w:tc>
                <w:tcPr>
                  <w:tcW w:w="693" w:type="dxa"/>
                  <w:vAlign w:val="center"/>
                </w:tcPr>
                <w:p>
                  <w:pPr>
                    <w:pStyle w:val="11"/>
                    <w:shd w:val="clear"/>
                    <w:spacing w:before="91" w:line="220" w:lineRule="auto"/>
                    <w:ind w:firstLine="178" w:firstLineChars="100"/>
                    <w:jc w:val="both"/>
                    <w:rPr>
                      <w:sz w:val="21"/>
                      <w:szCs w:val="21"/>
                    </w:rPr>
                  </w:pPr>
                  <w:r>
                    <w:rPr>
                      <w:spacing w:val="-16"/>
                      <w:sz w:val="21"/>
                      <w:szCs w:val="21"/>
                    </w:rPr>
                    <w:t>1</w:t>
                  </w:r>
                  <w:r>
                    <w:rPr>
                      <w:spacing w:val="13"/>
                      <w:sz w:val="21"/>
                      <w:szCs w:val="21"/>
                    </w:rPr>
                    <w:t xml:space="preserve"> </w:t>
                  </w:r>
                  <w:r>
                    <w:rPr>
                      <w:spacing w:val="-16"/>
                      <w:sz w:val="21"/>
                      <w:szCs w:val="21"/>
                    </w:rPr>
                    <w:t>项</w:t>
                  </w:r>
                </w:p>
              </w:tc>
              <w:tc>
                <w:tcPr>
                  <w:tcW w:w="1639" w:type="dxa"/>
                  <w:vAlign w:val="center"/>
                </w:tcPr>
                <w:p>
                  <w:pPr>
                    <w:pStyle w:val="11"/>
                    <w:shd w:val="clear"/>
                    <w:spacing w:before="91" w:line="236" w:lineRule="auto"/>
                    <w:ind w:left="210" w:leftChars="100" w:right="118" w:firstLine="0" w:firstLineChars="0"/>
                    <w:jc w:val="both"/>
                    <w:rPr>
                      <w:sz w:val="21"/>
                      <w:szCs w:val="21"/>
                    </w:rPr>
                  </w:pPr>
                  <w:r>
                    <w:rPr>
                      <w:spacing w:val="-2"/>
                      <w:sz w:val="21"/>
                      <w:szCs w:val="21"/>
                    </w:rPr>
                    <w:t>C09020400</w:t>
                  </w:r>
                  <w:r>
                    <w:rPr>
                      <w:spacing w:val="-3"/>
                      <w:sz w:val="21"/>
                      <w:szCs w:val="21"/>
                    </w:rPr>
                    <w:t>林业有害生物防治服务</w:t>
                  </w:r>
                </w:p>
              </w:tc>
              <w:tc>
                <w:tcPr>
                  <w:tcW w:w="3567" w:type="dxa"/>
                  <w:vAlign w:val="center"/>
                </w:tcPr>
                <w:p>
                  <w:pPr>
                    <w:pStyle w:val="11"/>
                    <w:shd w:val="clear"/>
                    <w:spacing w:before="91" w:line="220" w:lineRule="auto"/>
                    <w:ind w:firstLine="408" w:firstLineChars="200"/>
                    <w:jc w:val="both"/>
                    <w:rPr>
                      <w:sz w:val="21"/>
                      <w:szCs w:val="21"/>
                    </w:rPr>
                  </w:pPr>
                  <w:r>
                    <w:rPr>
                      <w:spacing w:val="-3"/>
                      <w:sz w:val="21"/>
                      <w:szCs w:val="21"/>
                    </w:rPr>
                    <w:t>其他未列明行业</w:t>
                  </w:r>
                </w:p>
              </w:tc>
            </w:tr>
          </w:tbl>
          <w:p>
            <w:pPr>
              <w:shd w:val="clear"/>
              <w:spacing w:before="91" w:line="220" w:lineRule="auto"/>
              <w:ind w:left="588"/>
              <w:rPr>
                <w:rFonts w:ascii="宋体" w:hAnsi="宋体" w:eastAsia="宋体" w:cs="宋体"/>
                <w:sz w:val="21"/>
                <w:szCs w:val="21"/>
              </w:rPr>
            </w:pPr>
            <w:r>
              <w:rPr>
                <w:rFonts w:ascii="宋体" w:hAnsi="宋体" w:eastAsia="宋体" w:cs="宋体"/>
                <w:spacing w:val="-3"/>
                <w:sz w:val="21"/>
                <w:szCs w:val="21"/>
              </w:rPr>
              <w:t>5.服务内容及要求：</w:t>
            </w:r>
          </w:p>
          <w:p>
            <w:pPr>
              <w:shd w:val="clear"/>
              <w:spacing w:before="212" w:line="220" w:lineRule="auto"/>
              <w:ind w:left="632"/>
              <w:rPr>
                <w:rFonts w:ascii="宋体" w:hAnsi="宋体" w:eastAsia="宋体" w:cs="宋体"/>
                <w:sz w:val="21"/>
                <w:szCs w:val="21"/>
              </w:rPr>
            </w:pPr>
            <w:r>
              <w:rPr>
                <w:rFonts w:ascii="宋体" w:hAnsi="宋体" w:eastAsia="宋体" w:cs="宋体"/>
                <w:spacing w:val="-10"/>
                <w:sz w:val="21"/>
                <w:szCs w:val="21"/>
              </w:rPr>
              <w:t>(一)防治目标</w:t>
            </w:r>
          </w:p>
          <w:p>
            <w:pPr>
              <w:shd w:val="clear"/>
              <w:spacing w:before="210" w:line="219" w:lineRule="auto"/>
              <w:ind w:left="585"/>
              <w:rPr>
                <w:rFonts w:ascii="宋体" w:hAnsi="宋体" w:eastAsia="宋体" w:cs="宋体"/>
                <w:sz w:val="21"/>
                <w:szCs w:val="21"/>
              </w:rPr>
            </w:pPr>
            <w:r>
              <w:rPr>
                <w:rFonts w:ascii="宋体" w:hAnsi="宋体" w:eastAsia="宋体" w:cs="宋体"/>
                <w:spacing w:val="-1"/>
                <w:sz w:val="21"/>
                <w:szCs w:val="21"/>
              </w:rPr>
              <w:t>按照消除疫情存量，控制疫情增量，实现控制一批、压缩一批、拔除一批。到2025年底，尚未发生疫情</w:t>
            </w:r>
            <w:r>
              <w:rPr>
                <w:rFonts w:ascii="宋体" w:hAnsi="宋体" w:eastAsia="宋体" w:cs="宋体"/>
                <w:spacing w:val="-2"/>
                <w:sz w:val="21"/>
                <w:szCs w:val="21"/>
              </w:rPr>
              <w:t>村力争不发生疫情；确保全镇疫情发生面积、疫情小班和枯(病)死松树数量实现三下降，松林生态系统结构和功能明显改善，抗病能力显著增强。</w:t>
            </w:r>
          </w:p>
          <w:p>
            <w:pPr>
              <w:shd w:val="clear"/>
              <w:spacing w:line="219" w:lineRule="auto"/>
              <w:ind w:left="590"/>
              <w:rPr>
                <w:rFonts w:ascii="宋体" w:hAnsi="宋体" w:eastAsia="宋体" w:cs="宋体"/>
                <w:sz w:val="21"/>
                <w:szCs w:val="21"/>
              </w:rPr>
            </w:pPr>
            <w:r>
              <w:rPr>
                <w:rFonts w:ascii="宋体" w:hAnsi="宋体" w:eastAsia="宋体" w:cs="宋体"/>
                <w:spacing w:val="-4"/>
                <w:sz w:val="21"/>
                <w:szCs w:val="21"/>
              </w:rPr>
              <w:t>（二）防治任务</w:t>
            </w:r>
          </w:p>
          <w:p>
            <w:pPr>
              <w:shd w:val="clear"/>
              <w:spacing w:before="214" w:line="331" w:lineRule="auto"/>
              <w:ind w:left="27" w:right="228" w:firstLine="576"/>
              <w:rPr>
                <w:rFonts w:ascii="宋体" w:hAnsi="宋体" w:eastAsia="宋体" w:cs="宋体"/>
                <w:sz w:val="21"/>
                <w:szCs w:val="21"/>
              </w:rPr>
            </w:pPr>
            <w:r>
              <w:rPr>
                <w:rFonts w:ascii="宋体" w:hAnsi="宋体" w:eastAsia="宋体" w:cs="宋体"/>
                <w:spacing w:val="-4"/>
                <w:sz w:val="21"/>
                <w:szCs w:val="21"/>
              </w:rPr>
              <w:t>1.专项普查</w:t>
            </w:r>
            <w:r>
              <w:rPr>
                <w:rFonts w:hint="eastAsia" w:ascii="宋体" w:hAnsi="宋体" w:eastAsia="宋体" w:cs="宋体"/>
                <w:spacing w:val="-4"/>
                <w:sz w:val="21"/>
                <w:szCs w:val="21"/>
                <w:lang w:val="en-US" w:eastAsia="zh-CN"/>
              </w:rPr>
              <w:t>:</w:t>
            </w:r>
            <w:bookmarkStart w:id="0" w:name="_GoBack"/>
            <w:bookmarkEnd w:id="0"/>
            <w:r>
              <w:rPr>
                <w:rFonts w:ascii="宋体" w:hAnsi="宋体" w:eastAsia="宋体" w:cs="宋体"/>
                <w:spacing w:val="-4"/>
                <w:sz w:val="21"/>
                <w:szCs w:val="21"/>
              </w:rPr>
              <w:t>每年秋季对辖区内松林集中开展专项监测调查。</w:t>
            </w:r>
            <w:r>
              <w:rPr>
                <w:rFonts w:ascii="宋体" w:hAnsi="宋体" w:eastAsia="宋体" w:cs="宋体"/>
                <w:spacing w:val="-2"/>
                <w:sz w:val="21"/>
                <w:szCs w:val="21"/>
              </w:rPr>
              <w:t>按照松林小班进行全面踏查，并对重点地区进行详查。根据踏查结果，对可疑发病林分进行抽样、分离镜检、确认，查明病因、分布范围，发生面积和枯(病)死树数量及松褐天牛分布情况等，并在图上标出小班所在位置和绘制不同致病原因的危害面积图。</w:t>
            </w:r>
          </w:p>
          <w:p>
            <w:pPr>
              <w:shd w:val="clear"/>
              <w:spacing w:before="205" w:line="342" w:lineRule="auto"/>
              <w:ind w:left="26" w:right="228" w:firstLine="560"/>
              <w:rPr>
                <w:rFonts w:ascii="宋体" w:hAnsi="宋体" w:eastAsia="宋体" w:cs="宋体"/>
                <w:sz w:val="21"/>
                <w:szCs w:val="21"/>
              </w:rPr>
            </w:pPr>
            <w:r>
              <w:rPr>
                <w:rFonts w:ascii="宋体" w:hAnsi="宋体" w:eastAsia="宋体" w:cs="宋体"/>
                <w:spacing w:val="-4"/>
                <w:sz w:val="21"/>
                <w:szCs w:val="21"/>
              </w:rPr>
              <w:t>2.</w:t>
            </w:r>
            <w:r>
              <w:rPr>
                <w:rFonts w:ascii="宋体" w:hAnsi="宋体" w:eastAsia="宋体" w:cs="宋体"/>
                <w:spacing w:val="-68"/>
                <w:sz w:val="21"/>
                <w:szCs w:val="21"/>
              </w:rPr>
              <w:t xml:space="preserve"> </w:t>
            </w:r>
            <w:r>
              <w:rPr>
                <w:rFonts w:ascii="宋体" w:hAnsi="宋体" w:eastAsia="宋体" w:cs="宋体"/>
                <w:spacing w:val="-4"/>
                <w:sz w:val="21"/>
                <w:szCs w:val="21"/>
              </w:rPr>
              <w:t>日常监测</w:t>
            </w:r>
            <w:r>
              <w:rPr>
                <w:rFonts w:hint="eastAsia" w:ascii="宋体" w:hAnsi="宋体" w:eastAsia="宋体" w:cs="宋体"/>
                <w:spacing w:val="-4"/>
                <w:sz w:val="21"/>
                <w:szCs w:val="21"/>
                <w:lang w:val="en-US" w:eastAsia="zh-CN"/>
              </w:rPr>
              <w:t>:</w:t>
            </w:r>
            <w:r>
              <w:rPr>
                <w:rFonts w:ascii="宋体" w:hAnsi="宋体" w:eastAsia="宋体" w:cs="宋体"/>
                <w:spacing w:val="-4"/>
                <w:sz w:val="21"/>
                <w:szCs w:val="21"/>
              </w:rPr>
              <w:t>以国家中心测报点为中心和13个网点组成的监测</w:t>
            </w:r>
            <w:r>
              <w:rPr>
                <w:rFonts w:ascii="宋体" w:hAnsi="宋体" w:eastAsia="宋体" w:cs="宋体"/>
                <w:spacing w:val="-2"/>
                <w:sz w:val="21"/>
                <w:szCs w:val="21"/>
              </w:rPr>
              <w:t>预警体系，采取网格化管理模式，每个网点负责本辖区内所有松树林的日常监测。对尚未发生松材线虫病区域，每月组织专业技术人员进行巡查，凡发现松树有感病症状，立即取样分离鉴定，确定是</w:t>
            </w:r>
            <w:r>
              <w:rPr>
                <w:rFonts w:ascii="宋体" w:hAnsi="宋体" w:eastAsia="宋体" w:cs="宋体"/>
                <w:spacing w:val="-3"/>
                <w:sz w:val="21"/>
                <w:szCs w:val="21"/>
              </w:rPr>
              <w:t>否发生疫情。距离松材线虫病发生区较近的边界地区、交通沿线、</w:t>
            </w:r>
            <w:r>
              <w:rPr>
                <w:rFonts w:ascii="宋体" w:hAnsi="宋体" w:eastAsia="宋体" w:cs="宋体"/>
                <w:spacing w:val="-2"/>
                <w:sz w:val="21"/>
                <w:szCs w:val="21"/>
              </w:rPr>
              <w:t>风景区等重点预防区设立固定标准地，定期调查，发现不明原因致死松树，立即取样分离鉴定，确定是否感染松材线虫病，准确掌握虫情动态，严防松材线虫病扩散蔓延。</w:t>
            </w:r>
          </w:p>
          <w:p>
            <w:pPr>
              <w:shd w:val="clear"/>
              <w:spacing w:before="214" w:line="289" w:lineRule="auto"/>
              <w:ind w:left="23" w:right="228" w:firstLine="564"/>
              <w:rPr>
                <w:rFonts w:ascii="宋体" w:hAnsi="宋体" w:eastAsia="宋体" w:cs="宋体"/>
                <w:sz w:val="21"/>
                <w:szCs w:val="21"/>
              </w:rPr>
            </w:pPr>
            <w:r>
              <w:rPr>
                <w:rFonts w:ascii="宋体" w:hAnsi="宋体" w:eastAsia="宋体" w:cs="宋体"/>
                <w:spacing w:val="-2"/>
                <w:sz w:val="21"/>
                <w:szCs w:val="21"/>
              </w:rPr>
              <w:t>3.检疫封锁</w:t>
            </w:r>
            <w:r>
              <w:rPr>
                <w:rFonts w:hint="eastAsia" w:ascii="宋体" w:hAnsi="宋体" w:eastAsia="宋体" w:cs="宋体"/>
                <w:spacing w:val="-2"/>
                <w:sz w:val="21"/>
                <w:szCs w:val="21"/>
                <w:lang w:eastAsia="zh-CN"/>
              </w:rPr>
              <w:t>：</w:t>
            </w:r>
            <w:r>
              <w:rPr>
                <w:rFonts w:ascii="宋体" w:hAnsi="宋体" w:eastAsia="宋体" w:cs="宋体"/>
                <w:spacing w:val="-2"/>
                <w:sz w:val="21"/>
                <w:szCs w:val="21"/>
              </w:rPr>
              <w:t>加强松树苗木、松木及其制品检疫监管，未经林业部门检疫批准，不得擅自调入、调出疫区。</w:t>
            </w:r>
          </w:p>
          <w:p>
            <w:pPr>
              <w:shd w:val="clear"/>
              <w:spacing w:before="210" w:line="313" w:lineRule="auto"/>
              <w:ind w:left="26" w:right="90" w:firstLine="555"/>
              <w:rPr>
                <w:rFonts w:ascii="宋体" w:hAnsi="宋体" w:eastAsia="宋体" w:cs="宋体"/>
                <w:sz w:val="21"/>
                <w:szCs w:val="21"/>
              </w:rPr>
            </w:pPr>
            <w:r>
              <w:rPr>
                <w:rFonts w:ascii="宋体" w:hAnsi="宋体" w:eastAsia="宋体" w:cs="宋体"/>
                <w:spacing w:val="-2"/>
                <w:sz w:val="21"/>
                <w:szCs w:val="21"/>
              </w:rPr>
              <w:t>4.疫木清理</w:t>
            </w:r>
            <w:r>
              <w:rPr>
                <w:rFonts w:hint="eastAsia" w:ascii="宋体" w:hAnsi="宋体" w:eastAsia="宋体" w:cs="宋体"/>
                <w:spacing w:val="-2"/>
                <w:sz w:val="21"/>
                <w:szCs w:val="21"/>
                <w:lang w:val="en-US" w:eastAsia="zh-CN"/>
              </w:rPr>
              <w:t>:</w:t>
            </w:r>
            <w:r>
              <w:rPr>
                <w:rFonts w:ascii="宋体" w:hAnsi="宋体" w:eastAsia="宋体" w:cs="宋体"/>
                <w:spacing w:val="-2"/>
                <w:sz w:val="21"/>
                <w:szCs w:val="21"/>
              </w:rPr>
              <w:t>结合秋季普查结果，在松褐天牛等媒介昆虫非羽</w:t>
            </w:r>
            <w:r>
              <w:rPr>
                <w:rFonts w:ascii="宋体" w:hAnsi="宋体" w:eastAsia="宋体" w:cs="宋体"/>
                <w:spacing w:val="-1"/>
                <w:sz w:val="21"/>
                <w:szCs w:val="21"/>
              </w:rPr>
              <w:t>化期,组织除治队伍对辖区内枯(病)死</w:t>
            </w:r>
            <w:r>
              <w:rPr>
                <w:rFonts w:ascii="宋体" w:hAnsi="宋体" w:eastAsia="宋体" w:cs="宋体"/>
                <w:spacing w:val="-2"/>
                <w:sz w:val="21"/>
                <w:szCs w:val="21"/>
              </w:rPr>
              <w:t>松树进行集中除治，在采购人规定的时间内完成主要清理任务、开展扫尾清理和零星枯死树的巡查和清理工作；组织专业除治队伍开展常态化除治工作；清理病</w:t>
            </w:r>
            <w:r>
              <w:rPr>
                <w:rFonts w:ascii="宋体" w:hAnsi="宋体" w:eastAsia="宋体" w:cs="宋体"/>
                <w:spacing w:val="-4"/>
                <w:sz w:val="21"/>
                <w:szCs w:val="21"/>
              </w:rPr>
              <w:t>(枯)死松树并安全除害处理，确保除治质量。</w:t>
            </w:r>
          </w:p>
          <w:p>
            <w:pPr>
              <w:shd w:val="clear"/>
              <w:spacing w:before="1" w:line="359" w:lineRule="auto"/>
              <w:ind w:left="23" w:right="228" w:firstLine="564"/>
              <w:jc w:val="both"/>
              <w:rPr>
                <w:rFonts w:ascii="宋体" w:hAnsi="宋体" w:eastAsia="宋体" w:cs="宋体"/>
                <w:sz w:val="21"/>
                <w:szCs w:val="21"/>
              </w:rPr>
            </w:pPr>
            <w:r>
              <w:rPr>
                <w:rFonts w:ascii="宋体" w:hAnsi="宋体" w:eastAsia="宋体" w:cs="宋体"/>
                <w:spacing w:val="-4"/>
                <w:sz w:val="21"/>
                <w:szCs w:val="21"/>
              </w:rPr>
              <w:t>5.生态修复</w:t>
            </w:r>
            <w:r>
              <w:rPr>
                <w:rFonts w:hint="eastAsia" w:ascii="宋体" w:hAnsi="宋体" w:eastAsia="宋体" w:cs="宋体"/>
                <w:spacing w:val="-4"/>
                <w:sz w:val="21"/>
                <w:szCs w:val="21"/>
                <w:lang w:eastAsia="zh-CN"/>
              </w:rPr>
              <w:t>：</w:t>
            </w:r>
            <w:r>
              <w:rPr>
                <w:rFonts w:ascii="宋体" w:hAnsi="宋体" w:eastAsia="宋体" w:cs="宋体"/>
                <w:spacing w:val="-4"/>
                <w:sz w:val="21"/>
                <w:szCs w:val="21"/>
              </w:rPr>
              <w:t>结合低改、“</w:t>
            </w:r>
            <w:r>
              <w:rPr>
                <w:rFonts w:ascii="宋体" w:hAnsi="宋体" w:eastAsia="宋体" w:cs="宋体"/>
                <w:spacing w:val="-104"/>
                <w:sz w:val="21"/>
                <w:szCs w:val="21"/>
              </w:rPr>
              <w:t xml:space="preserve"> </w:t>
            </w:r>
            <w:r>
              <w:rPr>
                <w:rFonts w:ascii="宋体" w:hAnsi="宋体" w:eastAsia="宋体" w:cs="宋体"/>
                <w:spacing w:val="-4"/>
                <w:sz w:val="21"/>
                <w:szCs w:val="21"/>
              </w:rPr>
              <w:t>四化</w:t>
            </w:r>
            <w:r>
              <w:rPr>
                <w:rFonts w:ascii="宋体" w:hAnsi="宋体" w:eastAsia="宋体" w:cs="宋体"/>
                <w:spacing w:val="-104"/>
                <w:sz w:val="21"/>
                <w:szCs w:val="21"/>
              </w:rPr>
              <w:t xml:space="preserve"> </w:t>
            </w:r>
            <w:r>
              <w:rPr>
                <w:rFonts w:ascii="宋体" w:hAnsi="宋体" w:eastAsia="宋体" w:cs="宋体"/>
                <w:spacing w:val="-4"/>
                <w:sz w:val="21"/>
                <w:szCs w:val="21"/>
              </w:rPr>
              <w:t>”、森林质量提升</w:t>
            </w:r>
            <w:r>
              <w:rPr>
                <w:rFonts w:ascii="宋体" w:hAnsi="宋体" w:eastAsia="宋体" w:cs="宋体"/>
                <w:spacing w:val="-5"/>
                <w:sz w:val="21"/>
                <w:szCs w:val="21"/>
              </w:rPr>
              <w:t>等项目，适</w:t>
            </w:r>
            <w:r>
              <w:rPr>
                <w:rFonts w:ascii="宋体" w:hAnsi="宋体" w:eastAsia="宋体" w:cs="宋体"/>
                <w:spacing w:val="-1"/>
                <w:sz w:val="21"/>
                <w:szCs w:val="21"/>
              </w:rPr>
              <w:t>度开展松林卫生间伐、抚育改造、补植改造</w:t>
            </w:r>
            <w:r>
              <w:rPr>
                <w:rFonts w:ascii="宋体" w:hAnsi="宋体" w:eastAsia="宋体" w:cs="宋体"/>
                <w:spacing w:val="-2"/>
                <w:sz w:val="21"/>
                <w:szCs w:val="21"/>
              </w:rPr>
              <w:t>和更新改造。通过人为</w:t>
            </w:r>
            <w:r>
              <w:rPr>
                <w:rFonts w:ascii="宋体" w:hAnsi="宋体" w:eastAsia="宋体" w:cs="宋体"/>
                <w:spacing w:val="-1"/>
                <w:sz w:val="21"/>
                <w:szCs w:val="21"/>
              </w:rPr>
              <w:t>干预，逐步降低松林比例，增加乡土阔叶树</w:t>
            </w:r>
            <w:r>
              <w:rPr>
                <w:rFonts w:ascii="宋体" w:hAnsi="宋体" w:eastAsia="宋体" w:cs="宋体"/>
                <w:spacing w:val="-2"/>
                <w:sz w:val="21"/>
                <w:szCs w:val="21"/>
              </w:rPr>
              <w:t>种比例，增强森林自身</w:t>
            </w:r>
            <w:r>
              <w:rPr>
                <w:rFonts w:ascii="宋体" w:hAnsi="宋体" w:eastAsia="宋体" w:cs="宋体"/>
                <w:spacing w:val="-1"/>
                <w:sz w:val="21"/>
                <w:szCs w:val="21"/>
              </w:rPr>
              <w:t>对松材线虫病的抵御能力，提高森林生态稳</w:t>
            </w:r>
            <w:r>
              <w:rPr>
                <w:rFonts w:ascii="宋体" w:hAnsi="宋体" w:eastAsia="宋体" w:cs="宋体"/>
                <w:spacing w:val="-2"/>
                <w:sz w:val="21"/>
                <w:szCs w:val="21"/>
              </w:rPr>
              <w:t>定性，降低疫情引发的</w:t>
            </w:r>
            <w:r>
              <w:rPr>
                <w:rFonts w:ascii="宋体" w:hAnsi="宋体" w:eastAsia="宋体" w:cs="宋体"/>
                <w:spacing w:val="-1"/>
                <w:sz w:val="21"/>
                <w:szCs w:val="21"/>
              </w:rPr>
              <w:t>生态风险。清理择伐林间松树，山场质量和</w:t>
            </w:r>
            <w:r>
              <w:rPr>
                <w:rFonts w:ascii="宋体" w:hAnsi="宋体" w:eastAsia="宋体" w:cs="宋体"/>
                <w:spacing w:val="-2"/>
                <w:sz w:val="21"/>
                <w:szCs w:val="21"/>
              </w:rPr>
              <w:t>疫木、枝桠处置严格按</w:t>
            </w:r>
            <w:r>
              <w:rPr>
                <w:rFonts w:ascii="宋体" w:hAnsi="宋体" w:eastAsia="宋体" w:cs="宋体"/>
                <w:spacing w:val="-1"/>
                <w:sz w:val="21"/>
                <w:szCs w:val="21"/>
              </w:rPr>
              <w:t>照《松材线虫病防治技术方案(2022年版)》</w:t>
            </w:r>
            <w:r>
              <w:rPr>
                <w:rFonts w:ascii="宋体" w:hAnsi="宋体" w:eastAsia="宋体" w:cs="宋体"/>
                <w:spacing w:val="-2"/>
                <w:sz w:val="21"/>
                <w:szCs w:val="21"/>
              </w:rPr>
              <w:t>技术规定执行。全镇</w:t>
            </w:r>
            <w:r>
              <w:rPr>
                <w:rFonts w:ascii="宋体" w:hAnsi="宋体" w:eastAsia="宋体" w:cs="宋体"/>
                <w:spacing w:val="-1"/>
                <w:sz w:val="21"/>
                <w:szCs w:val="21"/>
              </w:rPr>
              <w:t>202</w:t>
            </w:r>
            <w:r>
              <w:rPr>
                <w:rFonts w:hint="eastAsia" w:ascii="宋体" w:hAnsi="宋体" w:eastAsia="宋体" w:cs="宋体"/>
                <w:spacing w:val="-1"/>
                <w:sz w:val="21"/>
                <w:szCs w:val="21"/>
                <w:lang w:val="en-US" w:eastAsia="zh-CN"/>
              </w:rPr>
              <w:t>5</w:t>
            </w:r>
            <w:r>
              <w:rPr>
                <w:rFonts w:ascii="宋体" w:hAnsi="宋体" w:eastAsia="宋体" w:cs="宋体"/>
                <w:spacing w:val="-1"/>
                <w:sz w:val="21"/>
                <w:szCs w:val="21"/>
              </w:rPr>
              <w:t>-202</w:t>
            </w:r>
            <w:r>
              <w:rPr>
                <w:rFonts w:hint="eastAsia" w:ascii="宋体" w:hAnsi="宋体" w:eastAsia="宋体" w:cs="宋体"/>
                <w:spacing w:val="-1"/>
                <w:sz w:val="21"/>
                <w:szCs w:val="21"/>
                <w:lang w:val="en-US" w:eastAsia="zh-CN"/>
              </w:rPr>
              <w:t>6</w:t>
            </w:r>
            <w:r>
              <w:rPr>
                <w:rFonts w:ascii="宋体" w:hAnsi="宋体" w:eastAsia="宋体" w:cs="宋体"/>
                <w:spacing w:val="-1"/>
                <w:sz w:val="21"/>
                <w:szCs w:val="21"/>
              </w:rPr>
              <w:t>年度计划实施处置疫情</w:t>
            </w:r>
            <w:r>
              <w:rPr>
                <w:rFonts w:ascii="宋体" w:hAnsi="宋体" w:eastAsia="宋体" w:cs="宋体"/>
                <w:spacing w:val="-2"/>
                <w:sz w:val="21"/>
                <w:szCs w:val="21"/>
              </w:rPr>
              <w:t>发生</w:t>
            </w:r>
            <w:r>
              <w:rPr>
                <w:rFonts w:hint="eastAsia" w:ascii="宋体" w:hAnsi="宋体" w:eastAsia="宋体" w:cs="宋体"/>
                <w:spacing w:val="-2"/>
                <w:sz w:val="21"/>
                <w:szCs w:val="21"/>
                <w:lang w:val="en-US" w:eastAsia="zh-CN"/>
              </w:rPr>
              <w:t>南迳</w:t>
            </w:r>
            <w:r>
              <w:rPr>
                <w:rFonts w:ascii="宋体" w:hAnsi="宋体" w:eastAsia="宋体" w:cs="宋体"/>
                <w:spacing w:val="-2"/>
                <w:sz w:val="21"/>
                <w:szCs w:val="21"/>
              </w:rPr>
              <w:t>镇松材线虫病防治疫情发</w:t>
            </w:r>
            <w:r>
              <w:rPr>
                <w:rFonts w:ascii="宋体" w:hAnsi="宋体" w:eastAsia="宋体" w:cs="宋体"/>
                <w:spacing w:val="-1"/>
                <w:sz w:val="21"/>
                <w:szCs w:val="21"/>
              </w:rPr>
              <w:t>生面积：</w:t>
            </w:r>
            <w:r>
              <w:rPr>
                <w:rFonts w:hint="eastAsia" w:ascii="宋体" w:hAnsi="宋体" w:eastAsia="宋体" w:cs="宋体"/>
                <w:color w:val="0000FF"/>
                <w:spacing w:val="-1"/>
                <w:sz w:val="21"/>
                <w:szCs w:val="21"/>
                <w:lang w:val="en-US" w:eastAsia="zh-CN"/>
              </w:rPr>
              <w:t>854.39</w:t>
            </w:r>
            <w:r>
              <w:rPr>
                <w:rFonts w:ascii="宋体" w:hAnsi="宋体" w:eastAsia="宋体" w:cs="宋体"/>
                <w:spacing w:val="-1"/>
                <w:sz w:val="21"/>
                <w:szCs w:val="21"/>
              </w:rPr>
              <w:t>亩，</w:t>
            </w:r>
            <w:r>
              <w:rPr>
                <w:rFonts w:ascii="宋体" w:hAnsi="宋体" w:eastAsia="宋体" w:cs="宋体"/>
                <w:spacing w:val="-2"/>
                <w:sz w:val="21"/>
                <w:szCs w:val="21"/>
              </w:rPr>
              <w:t>具体详见图</w:t>
            </w:r>
            <w:r>
              <w:rPr>
                <w:rFonts w:ascii="宋体" w:hAnsi="宋体" w:eastAsia="宋体" w:cs="宋体"/>
                <w:spacing w:val="-8"/>
                <w:sz w:val="21"/>
                <w:szCs w:val="21"/>
              </w:rPr>
              <w:t>一。</w:t>
            </w:r>
          </w:p>
          <w:p>
            <w:pPr>
              <w:spacing w:before="130" w:line="220" w:lineRule="auto"/>
              <w:ind w:left="2378"/>
              <w:rPr>
                <w:rFonts w:hint="eastAsia" w:ascii="宋体" w:hAnsi="宋体" w:eastAsia="宋体" w:cs="宋体"/>
                <w:b/>
                <w:bCs/>
                <w:spacing w:val="-3"/>
                <w:sz w:val="21"/>
                <w:szCs w:val="21"/>
                <w:lang w:val="en-US" w:eastAsia="zh-CN"/>
              </w:rPr>
            </w:pPr>
          </w:p>
          <w:p>
            <w:pPr>
              <w:spacing w:before="130" w:line="220" w:lineRule="auto"/>
              <w:ind w:left="2378"/>
              <w:rPr>
                <w:rFonts w:hint="eastAsia" w:ascii="宋体" w:hAnsi="宋体" w:eastAsia="宋体" w:cs="宋体"/>
                <w:b/>
                <w:bCs/>
                <w:spacing w:val="-3"/>
                <w:sz w:val="21"/>
                <w:szCs w:val="21"/>
                <w:lang w:val="en-US" w:eastAsia="zh-CN"/>
              </w:rPr>
            </w:pPr>
          </w:p>
          <w:p>
            <w:pPr>
              <w:spacing w:before="130" w:line="220" w:lineRule="auto"/>
              <w:ind w:left="2378"/>
              <w:rPr>
                <w:rFonts w:hint="eastAsia" w:ascii="宋体" w:hAnsi="宋体" w:eastAsia="宋体" w:cs="宋体"/>
                <w:b/>
                <w:bCs/>
                <w:spacing w:val="-3"/>
                <w:sz w:val="21"/>
                <w:szCs w:val="21"/>
                <w:lang w:val="en-US" w:eastAsia="zh-CN"/>
              </w:rPr>
            </w:pPr>
          </w:p>
          <w:p>
            <w:pPr>
              <w:spacing w:before="130" w:line="220" w:lineRule="auto"/>
              <w:ind w:left="2378"/>
              <w:rPr>
                <w:rFonts w:hint="eastAsia" w:ascii="宋体" w:hAnsi="宋体" w:eastAsia="宋体" w:cs="宋体"/>
                <w:b/>
                <w:bCs/>
                <w:spacing w:val="-3"/>
                <w:sz w:val="21"/>
                <w:szCs w:val="21"/>
                <w:lang w:val="en-US" w:eastAsia="zh-CN"/>
              </w:rPr>
            </w:pPr>
          </w:p>
          <w:p>
            <w:pPr>
              <w:spacing w:before="130" w:line="220" w:lineRule="auto"/>
              <w:ind w:left="2378"/>
              <w:rPr>
                <w:rFonts w:hint="eastAsia" w:ascii="宋体" w:hAnsi="宋体" w:eastAsia="宋体" w:cs="宋体"/>
                <w:b/>
                <w:bCs/>
                <w:spacing w:val="-3"/>
                <w:sz w:val="21"/>
                <w:szCs w:val="21"/>
                <w:lang w:val="en-US" w:eastAsia="zh-CN"/>
              </w:rPr>
            </w:pPr>
          </w:p>
          <w:p>
            <w:pPr>
              <w:spacing w:before="130" w:line="220" w:lineRule="auto"/>
              <w:ind w:firstLine="2458" w:firstLineChars="1200"/>
              <w:rPr>
                <w:rFonts w:ascii="宋体" w:hAnsi="宋体" w:eastAsia="宋体" w:cs="宋体"/>
                <w:b/>
                <w:bCs/>
                <w:spacing w:val="-3"/>
                <w:sz w:val="21"/>
                <w:szCs w:val="21"/>
              </w:rPr>
            </w:pPr>
            <w:r>
              <w:rPr>
                <w:rFonts w:hint="eastAsia" w:ascii="宋体" w:hAnsi="宋体" w:eastAsia="宋体" w:cs="宋体"/>
                <w:b/>
                <w:bCs/>
                <w:spacing w:val="-3"/>
                <w:sz w:val="21"/>
                <w:szCs w:val="21"/>
                <w:lang w:val="en-US" w:eastAsia="zh-CN"/>
              </w:rPr>
              <w:t>图一：</w:t>
            </w:r>
            <w:r>
              <w:rPr>
                <w:rFonts w:ascii="宋体" w:hAnsi="宋体" w:eastAsia="宋体" w:cs="宋体"/>
                <w:b/>
                <w:bCs/>
                <w:spacing w:val="-3"/>
                <w:sz w:val="21"/>
                <w:szCs w:val="21"/>
              </w:rPr>
              <w:t>全南县</w:t>
            </w:r>
            <w:r>
              <w:rPr>
                <w:rFonts w:ascii="宋体" w:hAnsi="宋体" w:eastAsia="宋体" w:cs="宋体"/>
                <w:spacing w:val="-3"/>
                <w:sz w:val="21"/>
                <w:szCs w:val="21"/>
              </w:rPr>
              <w:t>202</w:t>
            </w:r>
            <w:r>
              <w:rPr>
                <w:rFonts w:hint="eastAsia" w:ascii="宋体" w:hAnsi="宋体" w:eastAsia="宋体" w:cs="宋体"/>
                <w:spacing w:val="-3"/>
                <w:sz w:val="21"/>
                <w:szCs w:val="21"/>
                <w:lang w:val="en-US" w:eastAsia="zh-CN"/>
              </w:rPr>
              <w:t>5</w:t>
            </w:r>
            <w:r>
              <w:rPr>
                <w:rFonts w:ascii="宋体" w:hAnsi="宋体" w:eastAsia="宋体" w:cs="宋体"/>
                <w:spacing w:val="-3"/>
                <w:sz w:val="21"/>
                <w:szCs w:val="21"/>
              </w:rPr>
              <w:t>-202</w:t>
            </w:r>
            <w:r>
              <w:rPr>
                <w:rFonts w:hint="eastAsia" w:ascii="宋体" w:hAnsi="宋体" w:eastAsia="宋体" w:cs="宋体"/>
                <w:spacing w:val="-3"/>
                <w:sz w:val="21"/>
                <w:szCs w:val="21"/>
                <w:lang w:val="en-US" w:eastAsia="zh-CN"/>
              </w:rPr>
              <w:t>6</w:t>
            </w:r>
            <w:r>
              <w:rPr>
                <w:rFonts w:ascii="宋体" w:hAnsi="宋体" w:eastAsia="宋体" w:cs="宋体"/>
                <w:b/>
                <w:bCs/>
                <w:spacing w:val="-3"/>
                <w:sz w:val="21"/>
                <w:szCs w:val="21"/>
              </w:rPr>
              <w:t>年度松材线虫病疫情小班综合施策汇总表</w:t>
            </w:r>
          </w:p>
          <w:tbl>
            <w:tblPr>
              <w:tblStyle w:val="12"/>
              <w:tblpPr w:leftFromText="180" w:rightFromText="180" w:vertAnchor="text" w:horzAnchor="page" w:tblpX="1505" w:tblpY="648"/>
              <w:tblOverlap w:val="never"/>
              <w:tblW w:w="1146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7"/>
              <w:gridCol w:w="483"/>
              <w:gridCol w:w="600"/>
              <w:gridCol w:w="1454"/>
              <w:gridCol w:w="958"/>
              <w:gridCol w:w="971"/>
              <w:gridCol w:w="1317"/>
              <w:gridCol w:w="752"/>
              <w:gridCol w:w="757"/>
              <w:gridCol w:w="847"/>
              <w:gridCol w:w="411"/>
              <w:gridCol w:w="300"/>
              <w:gridCol w:w="333"/>
              <w:gridCol w:w="324"/>
              <w:gridCol w:w="299"/>
              <w:gridCol w:w="339"/>
              <w:gridCol w:w="438"/>
              <w:gridCol w:w="5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4" w:hRule="atLeast"/>
              </w:trPr>
              <w:tc>
                <w:tcPr>
                  <w:tcW w:w="367" w:type="dxa"/>
                  <w:vMerge w:val="restart"/>
                  <w:tcBorders>
                    <w:bottom w:val="nil"/>
                  </w:tcBorders>
                  <w:textDirection w:val="tbRlV"/>
                  <w:vAlign w:val="bottom"/>
                </w:tcPr>
                <w:p>
                  <w:pPr>
                    <w:pStyle w:val="11"/>
                    <w:spacing w:before="172" w:line="199" w:lineRule="auto"/>
                    <w:ind w:left="204"/>
                    <w:jc w:val="center"/>
                    <w:rPr>
                      <w:sz w:val="21"/>
                      <w:szCs w:val="21"/>
                    </w:rPr>
                  </w:pPr>
                  <w:r>
                    <w:rPr>
                      <w:sz w:val="21"/>
                      <w:szCs w:val="21"/>
                    </w:rPr>
                    <w:t>序号</w:t>
                  </w:r>
                </w:p>
              </w:tc>
              <w:tc>
                <w:tcPr>
                  <w:tcW w:w="483" w:type="dxa"/>
                  <w:vMerge w:val="restart"/>
                  <w:tcBorders>
                    <w:bottom w:val="nil"/>
                  </w:tcBorders>
                  <w:vAlign w:val="center"/>
                </w:tcPr>
                <w:p>
                  <w:pPr>
                    <w:spacing w:line="256" w:lineRule="auto"/>
                    <w:jc w:val="center"/>
                    <w:rPr>
                      <w:rFonts w:ascii="Arial"/>
                      <w:sz w:val="21"/>
                      <w:szCs w:val="21"/>
                    </w:rPr>
                  </w:pPr>
                </w:p>
                <w:p>
                  <w:pPr>
                    <w:pStyle w:val="11"/>
                    <w:spacing w:before="65" w:line="219" w:lineRule="auto"/>
                    <w:ind w:left="280"/>
                    <w:jc w:val="center"/>
                    <w:rPr>
                      <w:sz w:val="21"/>
                      <w:szCs w:val="21"/>
                    </w:rPr>
                  </w:pPr>
                  <w:r>
                    <w:rPr>
                      <w:spacing w:val="3"/>
                      <w:sz w:val="21"/>
                      <w:szCs w:val="21"/>
                    </w:rPr>
                    <w:t>乡镇</w:t>
                  </w:r>
                </w:p>
              </w:tc>
              <w:tc>
                <w:tcPr>
                  <w:tcW w:w="600" w:type="dxa"/>
                  <w:vMerge w:val="restart"/>
                  <w:tcBorders>
                    <w:bottom w:val="nil"/>
                  </w:tcBorders>
                  <w:vAlign w:val="center"/>
                </w:tcPr>
                <w:p>
                  <w:pPr>
                    <w:spacing w:line="255" w:lineRule="auto"/>
                    <w:jc w:val="center"/>
                    <w:rPr>
                      <w:rFonts w:ascii="Arial"/>
                      <w:sz w:val="21"/>
                      <w:szCs w:val="21"/>
                    </w:rPr>
                  </w:pPr>
                </w:p>
                <w:p>
                  <w:pPr>
                    <w:pStyle w:val="11"/>
                    <w:spacing w:before="65" w:line="219" w:lineRule="auto"/>
                    <w:ind w:left="400"/>
                    <w:jc w:val="center"/>
                    <w:rPr>
                      <w:sz w:val="21"/>
                      <w:szCs w:val="21"/>
                    </w:rPr>
                  </w:pPr>
                  <w:r>
                    <w:rPr>
                      <w:sz w:val="21"/>
                      <w:szCs w:val="21"/>
                    </w:rPr>
                    <w:t>村</w:t>
                  </w:r>
                </w:p>
              </w:tc>
              <w:tc>
                <w:tcPr>
                  <w:tcW w:w="1454" w:type="dxa"/>
                  <w:vMerge w:val="restart"/>
                  <w:tcBorders>
                    <w:bottom w:val="nil"/>
                  </w:tcBorders>
                  <w:vAlign w:val="center"/>
                </w:tcPr>
                <w:p>
                  <w:pPr>
                    <w:spacing w:line="257" w:lineRule="auto"/>
                    <w:jc w:val="center"/>
                    <w:rPr>
                      <w:rFonts w:ascii="Arial"/>
                      <w:sz w:val="21"/>
                      <w:szCs w:val="21"/>
                    </w:rPr>
                  </w:pPr>
                </w:p>
                <w:p>
                  <w:pPr>
                    <w:pStyle w:val="11"/>
                    <w:spacing w:before="65" w:line="221" w:lineRule="auto"/>
                    <w:ind w:left="601"/>
                    <w:jc w:val="center"/>
                    <w:rPr>
                      <w:sz w:val="21"/>
                      <w:szCs w:val="21"/>
                    </w:rPr>
                  </w:pPr>
                  <w:r>
                    <w:rPr>
                      <w:spacing w:val="4"/>
                      <w:sz w:val="21"/>
                      <w:szCs w:val="21"/>
                    </w:rPr>
                    <w:t>小班号</w:t>
                  </w:r>
                </w:p>
              </w:tc>
              <w:tc>
                <w:tcPr>
                  <w:tcW w:w="958" w:type="dxa"/>
                  <w:vMerge w:val="restart"/>
                  <w:tcBorders>
                    <w:bottom w:val="nil"/>
                  </w:tcBorders>
                  <w:vAlign w:val="center"/>
                </w:tcPr>
                <w:p>
                  <w:pPr>
                    <w:spacing w:line="256" w:lineRule="auto"/>
                    <w:jc w:val="center"/>
                    <w:rPr>
                      <w:rFonts w:ascii="Arial"/>
                      <w:sz w:val="21"/>
                      <w:szCs w:val="21"/>
                    </w:rPr>
                  </w:pPr>
                </w:p>
                <w:p>
                  <w:pPr>
                    <w:pStyle w:val="11"/>
                    <w:spacing w:before="65" w:line="219" w:lineRule="auto"/>
                    <w:ind w:left="263"/>
                    <w:jc w:val="center"/>
                    <w:rPr>
                      <w:sz w:val="21"/>
                      <w:szCs w:val="21"/>
                    </w:rPr>
                  </w:pPr>
                  <w:r>
                    <w:rPr>
                      <w:spacing w:val="7"/>
                      <w:sz w:val="21"/>
                      <w:szCs w:val="21"/>
                    </w:rPr>
                    <w:t>林种</w:t>
                  </w:r>
                </w:p>
              </w:tc>
              <w:tc>
                <w:tcPr>
                  <w:tcW w:w="971" w:type="dxa"/>
                  <w:vMerge w:val="restart"/>
                  <w:tcBorders>
                    <w:bottom w:val="nil"/>
                  </w:tcBorders>
                  <w:vAlign w:val="center"/>
                </w:tcPr>
                <w:p>
                  <w:pPr>
                    <w:pStyle w:val="11"/>
                    <w:spacing w:before="195" w:line="232" w:lineRule="auto"/>
                    <w:ind w:left="134" w:right="100"/>
                    <w:jc w:val="center"/>
                    <w:rPr>
                      <w:sz w:val="21"/>
                      <w:szCs w:val="21"/>
                    </w:rPr>
                  </w:pPr>
                  <w:r>
                    <w:rPr>
                      <w:spacing w:val="2"/>
                      <w:sz w:val="21"/>
                      <w:szCs w:val="21"/>
                    </w:rPr>
                    <w:t>小班面</w:t>
                  </w:r>
                  <w:r>
                    <w:rPr>
                      <w:spacing w:val="1"/>
                      <w:sz w:val="21"/>
                      <w:szCs w:val="21"/>
                    </w:rPr>
                    <w:t xml:space="preserve"> </w:t>
                  </w:r>
                  <w:r>
                    <w:rPr>
                      <w:spacing w:val="10"/>
                      <w:sz w:val="21"/>
                      <w:szCs w:val="21"/>
                    </w:rPr>
                    <w:t>积(亩)</w:t>
                  </w:r>
                </w:p>
              </w:tc>
              <w:tc>
                <w:tcPr>
                  <w:tcW w:w="1317" w:type="dxa"/>
                  <w:vMerge w:val="restart"/>
                  <w:tcBorders>
                    <w:bottom w:val="nil"/>
                  </w:tcBorders>
                  <w:vAlign w:val="center"/>
                </w:tcPr>
                <w:p>
                  <w:pPr>
                    <w:spacing w:line="256" w:lineRule="auto"/>
                    <w:jc w:val="center"/>
                    <w:rPr>
                      <w:rFonts w:ascii="Arial"/>
                      <w:sz w:val="21"/>
                      <w:szCs w:val="21"/>
                    </w:rPr>
                  </w:pPr>
                </w:p>
                <w:p>
                  <w:pPr>
                    <w:pStyle w:val="11"/>
                    <w:spacing w:before="65" w:line="219" w:lineRule="auto"/>
                    <w:ind w:left="215"/>
                    <w:jc w:val="center"/>
                    <w:rPr>
                      <w:sz w:val="21"/>
                      <w:szCs w:val="21"/>
                    </w:rPr>
                  </w:pPr>
                  <w:r>
                    <w:rPr>
                      <w:spacing w:val="-2"/>
                      <w:sz w:val="21"/>
                      <w:szCs w:val="21"/>
                    </w:rPr>
                    <w:t>树种组成</w:t>
                  </w:r>
                </w:p>
              </w:tc>
              <w:tc>
                <w:tcPr>
                  <w:tcW w:w="752" w:type="dxa"/>
                  <w:vMerge w:val="restart"/>
                  <w:tcBorders>
                    <w:bottom w:val="nil"/>
                  </w:tcBorders>
                  <w:vAlign w:val="center"/>
                </w:tcPr>
                <w:p>
                  <w:pPr>
                    <w:pStyle w:val="11"/>
                    <w:spacing w:before="12" w:line="187" w:lineRule="auto"/>
                    <w:ind w:left="176" w:right="179"/>
                    <w:jc w:val="center"/>
                    <w:rPr>
                      <w:sz w:val="21"/>
                      <w:szCs w:val="21"/>
                    </w:rPr>
                  </w:pPr>
                  <w:r>
                    <w:rPr>
                      <w:spacing w:val="-4"/>
                      <w:sz w:val="21"/>
                      <w:szCs w:val="21"/>
                    </w:rPr>
                    <w:t>病枯</w:t>
                  </w:r>
                  <w:r>
                    <w:rPr>
                      <w:sz w:val="21"/>
                      <w:szCs w:val="21"/>
                    </w:rPr>
                    <w:t xml:space="preserve"> </w:t>
                  </w:r>
                  <w:r>
                    <w:rPr>
                      <w:spacing w:val="21"/>
                      <w:sz w:val="21"/>
                      <w:szCs w:val="21"/>
                    </w:rPr>
                    <w:t>死</w:t>
                  </w:r>
                  <w:r>
                    <w:rPr>
                      <w:sz w:val="21"/>
                      <w:szCs w:val="21"/>
                    </w:rPr>
                    <w:t xml:space="preserve">  </w:t>
                  </w:r>
                  <w:r>
                    <w:rPr>
                      <w:spacing w:val="-4"/>
                      <w:sz w:val="21"/>
                      <w:szCs w:val="21"/>
                    </w:rPr>
                    <w:t>株率</w:t>
                  </w:r>
                  <w:r>
                    <w:rPr>
                      <w:sz w:val="21"/>
                      <w:szCs w:val="21"/>
                    </w:rPr>
                    <w:t xml:space="preserve"> </w:t>
                  </w:r>
                  <w:r>
                    <w:rPr>
                      <w:spacing w:val="-3"/>
                      <w:sz w:val="21"/>
                      <w:szCs w:val="21"/>
                    </w:rPr>
                    <w:t>(%)</w:t>
                  </w:r>
                </w:p>
              </w:tc>
              <w:tc>
                <w:tcPr>
                  <w:tcW w:w="757" w:type="dxa"/>
                  <w:vMerge w:val="restart"/>
                  <w:tcBorders>
                    <w:bottom w:val="nil"/>
                  </w:tcBorders>
                  <w:vAlign w:val="center"/>
                </w:tcPr>
                <w:p>
                  <w:pPr>
                    <w:spacing w:line="255" w:lineRule="auto"/>
                    <w:jc w:val="center"/>
                    <w:rPr>
                      <w:rFonts w:ascii="Arial"/>
                      <w:sz w:val="21"/>
                      <w:szCs w:val="21"/>
                    </w:rPr>
                  </w:pPr>
                </w:p>
                <w:p>
                  <w:pPr>
                    <w:pStyle w:val="11"/>
                    <w:spacing w:before="65" w:line="219" w:lineRule="auto"/>
                    <w:ind w:left="117"/>
                    <w:jc w:val="center"/>
                    <w:rPr>
                      <w:sz w:val="21"/>
                      <w:szCs w:val="21"/>
                    </w:rPr>
                  </w:pPr>
                  <w:r>
                    <w:rPr>
                      <w:spacing w:val="-2"/>
                      <w:sz w:val="21"/>
                      <w:szCs w:val="21"/>
                    </w:rPr>
                    <w:t>采伐方式</w:t>
                  </w:r>
                </w:p>
              </w:tc>
              <w:tc>
                <w:tcPr>
                  <w:tcW w:w="847" w:type="dxa"/>
                  <w:vMerge w:val="restart"/>
                  <w:tcBorders>
                    <w:bottom w:val="nil"/>
                  </w:tcBorders>
                  <w:vAlign w:val="center"/>
                </w:tcPr>
                <w:p>
                  <w:pPr>
                    <w:pStyle w:val="11"/>
                    <w:spacing w:before="91" w:line="214" w:lineRule="auto"/>
                    <w:ind w:left="138" w:right="176" w:firstLine="50"/>
                    <w:jc w:val="center"/>
                    <w:rPr>
                      <w:sz w:val="21"/>
                      <w:szCs w:val="21"/>
                    </w:rPr>
                  </w:pPr>
                  <w:r>
                    <w:rPr>
                      <w:spacing w:val="-4"/>
                      <w:sz w:val="21"/>
                      <w:szCs w:val="21"/>
                    </w:rPr>
                    <w:t>采伐</w:t>
                  </w:r>
                  <w:r>
                    <w:rPr>
                      <w:sz w:val="21"/>
                      <w:szCs w:val="21"/>
                    </w:rPr>
                    <w:t xml:space="preserve"> </w:t>
                  </w:r>
                  <w:r>
                    <w:rPr>
                      <w:spacing w:val="31"/>
                      <w:sz w:val="21"/>
                      <w:szCs w:val="21"/>
                    </w:rPr>
                    <w:t>蓄积</w:t>
                  </w:r>
                  <w:r>
                    <w:rPr>
                      <w:sz w:val="21"/>
                      <w:szCs w:val="21"/>
                    </w:rPr>
                    <w:t xml:space="preserve"> </w:t>
                  </w:r>
                  <w:r>
                    <w:rPr>
                      <w:spacing w:val="-9"/>
                      <w:sz w:val="21"/>
                      <w:szCs w:val="21"/>
                    </w:rPr>
                    <w:t>(m³)</w:t>
                  </w:r>
                </w:p>
              </w:tc>
              <w:tc>
                <w:tcPr>
                  <w:tcW w:w="2444" w:type="dxa"/>
                  <w:gridSpan w:val="7"/>
                  <w:vAlign w:val="center"/>
                </w:tcPr>
                <w:p>
                  <w:pPr>
                    <w:pStyle w:val="11"/>
                    <w:spacing w:before="53" w:line="219" w:lineRule="auto"/>
                    <w:ind w:left="1029"/>
                    <w:jc w:val="center"/>
                    <w:rPr>
                      <w:sz w:val="21"/>
                      <w:szCs w:val="21"/>
                    </w:rPr>
                  </w:pPr>
                  <w:r>
                    <w:rPr>
                      <w:spacing w:val="-2"/>
                      <w:sz w:val="21"/>
                      <w:szCs w:val="21"/>
                    </w:rPr>
                    <w:t>技术措施</w:t>
                  </w:r>
                </w:p>
              </w:tc>
              <w:tc>
                <w:tcPr>
                  <w:tcW w:w="516" w:type="dxa"/>
                  <w:vMerge w:val="restart"/>
                  <w:tcBorders>
                    <w:bottom w:val="nil"/>
                  </w:tcBorders>
                  <w:vAlign w:val="center"/>
                </w:tcPr>
                <w:p>
                  <w:pPr>
                    <w:spacing w:line="257" w:lineRule="auto"/>
                    <w:jc w:val="center"/>
                    <w:rPr>
                      <w:rFonts w:ascii="Arial"/>
                      <w:sz w:val="21"/>
                      <w:szCs w:val="21"/>
                    </w:rPr>
                  </w:pPr>
                </w:p>
                <w:p>
                  <w:pPr>
                    <w:pStyle w:val="11"/>
                    <w:spacing w:before="65" w:line="220" w:lineRule="auto"/>
                    <w:ind w:left="189"/>
                    <w:jc w:val="center"/>
                    <w:rPr>
                      <w:sz w:val="21"/>
                      <w:szCs w:val="21"/>
                    </w:rPr>
                  </w:pPr>
                  <w:r>
                    <w:rPr>
                      <w:spacing w:val="1"/>
                      <w:sz w:val="21"/>
                      <w:szCs w:val="21"/>
                    </w:rPr>
                    <w:t>目标定位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089" w:hRule="atLeast"/>
              </w:trPr>
              <w:tc>
                <w:tcPr>
                  <w:tcW w:w="367" w:type="dxa"/>
                  <w:vMerge w:val="continue"/>
                  <w:tcBorders>
                    <w:top w:val="nil"/>
                  </w:tcBorders>
                  <w:textDirection w:val="tbRlV"/>
                  <w:vAlign w:val="top"/>
                </w:tcPr>
                <w:p>
                  <w:pPr>
                    <w:jc w:val="center"/>
                    <w:rPr>
                      <w:rFonts w:ascii="Arial"/>
                      <w:sz w:val="21"/>
                      <w:szCs w:val="21"/>
                    </w:rPr>
                  </w:pPr>
                </w:p>
              </w:tc>
              <w:tc>
                <w:tcPr>
                  <w:tcW w:w="483" w:type="dxa"/>
                  <w:vMerge w:val="continue"/>
                  <w:tcBorders>
                    <w:top w:val="nil"/>
                  </w:tcBorders>
                  <w:vAlign w:val="top"/>
                </w:tcPr>
                <w:p>
                  <w:pPr>
                    <w:jc w:val="center"/>
                    <w:rPr>
                      <w:rFonts w:ascii="Arial"/>
                      <w:sz w:val="21"/>
                      <w:szCs w:val="21"/>
                    </w:rPr>
                  </w:pPr>
                </w:p>
              </w:tc>
              <w:tc>
                <w:tcPr>
                  <w:tcW w:w="600" w:type="dxa"/>
                  <w:vMerge w:val="continue"/>
                  <w:tcBorders>
                    <w:top w:val="nil"/>
                  </w:tcBorders>
                  <w:vAlign w:val="top"/>
                </w:tcPr>
                <w:p>
                  <w:pPr>
                    <w:jc w:val="center"/>
                    <w:rPr>
                      <w:rFonts w:ascii="Arial"/>
                      <w:sz w:val="21"/>
                      <w:szCs w:val="21"/>
                    </w:rPr>
                  </w:pPr>
                </w:p>
              </w:tc>
              <w:tc>
                <w:tcPr>
                  <w:tcW w:w="1454" w:type="dxa"/>
                  <w:vMerge w:val="continue"/>
                  <w:tcBorders>
                    <w:top w:val="nil"/>
                  </w:tcBorders>
                  <w:vAlign w:val="top"/>
                </w:tcPr>
                <w:p>
                  <w:pPr>
                    <w:jc w:val="center"/>
                    <w:rPr>
                      <w:rFonts w:ascii="Arial"/>
                      <w:sz w:val="21"/>
                      <w:szCs w:val="21"/>
                    </w:rPr>
                  </w:pPr>
                </w:p>
              </w:tc>
              <w:tc>
                <w:tcPr>
                  <w:tcW w:w="958" w:type="dxa"/>
                  <w:vMerge w:val="continue"/>
                  <w:tcBorders>
                    <w:top w:val="nil"/>
                  </w:tcBorders>
                  <w:vAlign w:val="top"/>
                </w:tcPr>
                <w:p>
                  <w:pPr>
                    <w:jc w:val="center"/>
                    <w:rPr>
                      <w:rFonts w:ascii="Arial"/>
                      <w:sz w:val="21"/>
                      <w:szCs w:val="21"/>
                    </w:rPr>
                  </w:pPr>
                </w:p>
              </w:tc>
              <w:tc>
                <w:tcPr>
                  <w:tcW w:w="971" w:type="dxa"/>
                  <w:vMerge w:val="continue"/>
                  <w:tcBorders>
                    <w:top w:val="nil"/>
                  </w:tcBorders>
                  <w:vAlign w:val="top"/>
                </w:tcPr>
                <w:p>
                  <w:pPr>
                    <w:jc w:val="center"/>
                    <w:rPr>
                      <w:rFonts w:ascii="Arial"/>
                      <w:sz w:val="21"/>
                      <w:szCs w:val="21"/>
                    </w:rPr>
                  </w:pPr>
                </w:p>
              </w:tc>
              <w:tc>
                <w:tcPr>
                  <w:tcW w:w="1317" w:type="dxa"/>
                  <w:vMerge w:val="continue"/>
                  <w:tcBorders>
                    <w:top w:val="nil"/>
                  </w:tcBorders>
                  <w:vAlign w:val="top"/>
                </w:tcPr>
                <w:p>
                  <w:pPr>
                    <w:jc w:val="center"/>
                    <w:rPr>
                      <w:rFonts w:ascii="Arial"/>
                      <w:sz w:val="21"/>
                      <w:szCs w:val="21"/>
                    </w:rPr>
                  </w:pPr>
                </w:p>
              </w:tc>
              <w:tc>
                <w:tcPr>
                  <w:tcW w:w="752" w:type="dxa"/>
                  <w:vMerge w:val="continue"/>
                  <w:tcBorders>
                    <w:top w:val="nil"/>
                  </w:tcBorders>
                  <w:vAlign w:val="top"/>
                </w:tcPr>
                <w:p>
                  <w:pPr>
                    <w:jc w:val="center"/>
                    <w:rPr>
                      <w:rFonts w:ascii="Arial"/>
                      <w:sz w:val="21"/>
                      <w:szCs w:val="21"/>
                    </w:rPr>
                  </w:pPr>
                </w:p>
              </w:tc>
              <w:tc>
                <w:tcPr>
                  <w:tcW w:w="757" w:type="dxa"/>
                  <w:vMerge w:val="continue"/>
                  <w:tcBorders>
                    <w:top w:val="nil"/>
                  </w:tcBorders>
                  <w:vAlign w:val="top"/>
                </w:tcPr>
                <w:p>
                  <w:pPr>
                    <w:jc w:val="center"/>
                    <w:rPr>
                      <w:rFonts w:ascii="Arial"/>
                      <w:sz w:val="21"/>
                      <w:szCs w:val="21"/>
                    </w:rPr>
                  </w:pPr>
                </w:p>
              </w:tc>
              <w:tc>
                <w:tcPr>
                  <w:tcW w:w="847" w:type="dxa"/>
                  <w:vMerge w:val="continue"/>
                  <w:tcBorders>
                    <w:top w:val="nil"/>
                  </w:tcBorders>
                  <w:vAlign w:val="top"/>
                </w:tcPr>
                <w:p>
                  <w:pPr>
                    <w:jc w:val="center"/>
                    <w:rPr>
                      <w:rFonts w:ascii="Arial"/>
                      <w:sz w:val="21"/>
                      <w:szCs w:val="21"/>
                    </w:rPr>
                  </w:pPr>
                </w:p>
              </w:tc>
              <w:tc>
                <w:tcPr>
                  <w:tcW w:w="411" w:type="dxa"/>
                  <w:vAlign w:val="center"/>
                </w:tcPr>
                <w:p>
                  <w:pPr>
                    <w:pStyle w:val="11"/>
                    <w:spacing w:before="159" w:line="220" w:lineRule="auto"/>
                    <w:ind w:left="99"/>
                    <w:jc w:val="center"/>
                    <w:rPr>
                      <w:sz w:val="21"/>
                      <w:szCs w:val="21"/>
                    </w:rPr>
                  </w:pPr>
                  <w:r>
                    <w:rPr>
                      <w:sz w:val="21"/>
                      <w:szCs w:val="21"/>
                    </w:rPr>
                    <w:t>清</w:t>
                  </w:r>
                </w:p>
              </w:tc>
              <w:tc>
                <w:tcPr>
                  <w:tcW w:w="300" w:type="dxa"/>
                  <w:vAlign w:val="center"/>
                </w:tcPr>
                <w:p>
                  <w:pPr>
                    <w:pStyle w:val="11"/>
                    <w:spacing w:before="161" w:line="221" w:lineRule="auto"/>
                    <w:ind w:left="59"/>
                    <w:jc w:val="center"/>
                    <w:rPr>
                      <w:sz w:val="21"/>
                      <w:szCs w:val="21"/>
                    </w:rPr>
                  </w:pPr>
                  <w:r>
                    <w:rPr>
                      <w:sz w:val="21"/>
                      <w:szCs w:val="21"/>
                    </w:rPr>
                    <w:t>封</w:t>
                  </w:r>
                </w:p>
              </w:tc>
              <w:tc>
                <w:tcPr>
                  <w:tcW w:w="333" w:type="dxa"/>
                  <w:vAlign w:val="center"/>
                </w:tcPr>
                <w:p>
                  <w:pPr>
                    <w:pStyle w:val="11"/>
                    <w:spacing w:before="159" w:line="219" w:lineRule="auto"/>
                    <w:ind w:left="69"/>
                    <w:jc w:val="center"/>
                    <w:rPr>
                      <w:sz w:val="21"/>
                      <w:szCs w:val="21"/>
                    </w:rPr>
                  </w:pPr>
                  <w:r>
                    <w:rPr>
                      <w:sz w:val="21"/>
                      <w:szCs w:val="21"/>
                    </w:rPr>
                    <w:t>改</w:t>
                  </w:r>
                </w:p>
              </w:tc>
              <w:tc>
                <w:tcPr>
                  <w:tcW w:w="324" w:type="dxa"/>
                  <w:vAlign w:val="center"/>
                </w:tcPr>
                <w:p>
                  <w:pPr>
                    <w:pStyle w:val="11"/>
                    <w:spacing w:before="159" w:line="220" w:lineRule="auto"/>
                    <w:ind w:left="49"/>
                    <w:jc w:val="center"/>
                    <w:rPr>
                      <w:sz w:val="21"/>
                      <w:szCs w:val="21"/>
                    </w:rPr>
                  </w:pPr>
                  <w:r>
                    <w:rPr>
                      <w:sz w:val="21"/>
                      <w:szCs w:val="21"/>
                    </w:rPr>
                    <w:t>补</w:t>
                  </w:r>
                </w:p>
              </w:tc>
              <w:tc>
                <w:tcPr>
                  <w:tcW w:w="299" w:type="dxa"/>
                  <w:vAlign w:val="center"/>
                </w:tcPr>
                <w:p>
                  <w:pPr>
                    <w:pStyle w:val="11"/>
                    <w:spacing w:before="159" w:line="220" w:lineRule="auto"/>
                    <w:ind w:left="79"/>
                    <w:jc w:val="center"/>
                    <w:rPr>
                      <w:sz w:val="21"/>
                      <w:szCs w:val="21"/>
                    </w:rPr>
                  </w:pPr>
                  <w:r>
                    <w:rPr>
                      <w:sz w:val="21"/>
                      <w:szCs w:val="21"/>
                    </w:rPr>
                    <w:t>保</w:t>
                  </w:r>
                </w:p>
              </w:tc>
              <w:tc>
                <w:tcPr>
                  <w:tcW w:w="339" w:type="dxa"/>
                  <w:vAlign w:val="center"/>
                </w:tcPr>
                <w:p>
                  <w:pPr>
                    <w:pStyle w:val="11"/>
                    <w:spacing w:before="159" w:line="220" w:lineRule="auto"/>
                    <w:ind w:left="99"/>
                    <w:jc w:val="center"/>
                    <w:rPr>
                      <w:sz w:val="21"/>
                      <w:szCs w:val="21"/>
                    </w:rPr>
                  </w:pPr>
                  <w:r>
                    <w:rPr>
                      <w:sz w:val="21"/>
                      <w:szCs w:val="21"/>
                    </w:rPr>
                    <w:t>防</w:t>
                  </w:r>
                </w:p>
              </w:tc>
              <w:tc>
                <w:tcPr>
                  <w:tcW w:w="438" w:type="dxa"/>
                  <w:vAlign w:val="center"/>
                </w:tcPr>
                <w:p>
                  <w:pPr>
                    <w:pStyle w:val="11"/>
                    <w:spacing w:before="192" w:line="227" w:lineRule="auto"/>
                    <w:ind w:left="149"/>
                    <w:jc w:val="center"/>
                    <w:rPr>
                      <w:sz w:val="21"/>
                      <w:szCs w:val="21"/>
                    </w:rPr>
                  </w:pPr>
                  <w:r>
                    <w:rPr>
                      <w:sz w:val="21"/>
                      <w:szCs w:val="21"/>
                    </w:rPr>
                    <w:t>查</w:t>
                  </w:r>
                </w:p>
              </w:tc>
              <w:tc>
                <w:tcPr>
                  <w:tcW w:w="516" w:type="dxa"/>
                  <w:vMerge w:val="continue"/>
                  <w:tcBorders>
                    <w:top w:val="nil"/>
                  </w:tcBorders>
                  <w:vAlign w:val="top"/>
                </w:tcPr>
                <w:p>
                  <w:pPr>
                    <w:jc w:val="center"/>
                    <w:rPr>
                      <w:rFonts w:ascii="Arial"/>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0" w:hRule="atLeast"/>
              </w:trPr>
              <w:tc>
                <w:tcPr>
                  <w:tcW w:w="367" w:type="dxa"/>
                  <w:vAlign w:val="top"/>
                </w:tcPr>
                <w:p>
                  <w:pPr>
                    <w:pStyle w:val="11"/>
                    <w:spacing w:before="70" w:line="203" w:lineRule="auto"/>
                    <w:ind w:left="204"/>
                    <w:jc w:val="center"/>
                    <w:rPr>
                      <w:sz w:val="21"/>
                      <w:szCs w:val="21"/>
                    </w:rPr>
                  </w:pPr>
                  <w:r>
                    <w:rPr>
                      <w:sz w:val="21"/>
                      <w:szCs w:val="21"/>
                    </w:rPr>
                    <w:t>1</w:t>
                  </w:r>
                </w:p>
              </w:tc>
              <w:tc>
                <w:tcPr>
                  <w:tcW w:w="483" w:type="dxa"/>
                  <w:vAlign w:val="top"/>
                </w:tcPr>
                <w:p>
                  <w:pPr>
                    <w:pStyle w:val="11"/>
                    <w:spacing w:before="191" w:line="219" w:lineRule="auto"/>
                    <w:ind w:left="180" w:leftChars="0"/>
                    <w:jc w:val="center"/>
                    <w:rPr>
                      <w:sz w:val="21"/>
                      <w:szCs w:val="21"/>
                    </w:rPr>
                  </w:pPr>
                  <w:r>
                    <w:rPr>
                      <w:spacing w:val="-3"/>
                      <w:sz w:val="21"/>
                      <w:szCs w:val="21"/>
                    </w:rPr>
                    <w:t>南迳镇</w:t>
                  </w:r>
                </w:p>
              </w:tc>
              <w:tc>
                <w:tcPr>
                  <w:tcW w:w="600" w:type="dxa"/>
                  <w:vAlign w:val="top"/>
                </w:tcPr>
                <w:p>
                  <w:pPr>
                    <w:pStyle w:val="11"/>
                    <w:spacing w:before="190" w:line="219" w:lineRule="auto"/>
                    <w:ind w:left="192" w:leftChars="0"/>
                    <w:jc w:val="center"/>
                    <w:rPr>
                      <w:sz w:val="21"/>
                      <w:szCs w:val="21"/>
                    </w:rPr>
                  </w:pPr>
                  <w:r>
                    <w:rPr>
                      <w:spacing w:val="3"/>
                      <w:sz w:val="21"/>
                      <w:szCs w:val="21"/>
                    </w:rPr>
                    <w:t>热水村</w:t>
                  </w:r>
                </w:p>
              </w:tc>
              <w:tc>
                <w:tcPr>
                  <w:tcW w:w="1454" w:type="dxa"/>
                  <w:vAlign w:val="top"/>
                </w:tcPr>
                <w:p>
                  <w:pPr>
                    <w:pStyle w:val="11"/>
                    <w:spacing w:before="212"/>
                    <w:ind w:left="13" w:leftChars="0"/>
                    <w:jc w:val="center"/>
                    <w:rPr>
                      <w:sz w:val="21"/>
                      <w:szCs w:val="21"/>
                    </w:rPr>
                  </w:pPr>
                  <w:r>
                    <w:rPr>
                      <w:spacing w:val="-1"/>
                      <w:sz w:val="21"/>
                      <w:szCs w:val="21"/>
                    </w:rPr>
                    <w:t>36072900400301501</w:t>
                  </w:r>
                </w:p>
              </w:tc>
              <w:tc>
                <w:tcPr>
                  <w:tcW w:w="958" w:type="dxa"/>
                  <w:vAlign w:val="top"/>
                </w:tcPr>
                <w:p>
                  <w:pPr>
                    <w:pStyle w:val="11"/>
                    <w:spacing w:before="62" w:line="227" w:lineRule="auto"/>
                    <w:ind w:left="252" w:leftChars="0" w:right="129" w:rightChars="0" w:hanging="109" w:firstLineChars="0"/>
                    <w:jc w:val="center"/>
                    <w:rPr>
                      <w:sz w:val="21"/>
                      <w:szCs w:val="21"/>
                    </w:rPr>
                  </w:pPr>
                  <w:r>
                    <w:rPr>
                      <w:rFonts w:hint="eastAsia"/>
                      <w:spacing w:val="8"/>
                      <w:sz w:val="21"/>
                      <w:szCs w:val="21"/>
                      <w:lang w:val="en-US" w:eastAsia="zh-CN"/>
                    </w:rPr>
                    <w:t xml:space="preserve"> </w:t>
                  </w:r>
                  <w:r>
                    <w:rPr>
                      <w:spacing w:val="8"/>
                      <w:sz w:val="21"/>
                      <w:szCs w:val="21"/>
                    </w:rPr>
                    <w:t>一般用</w:t>
                  </w:r>
                  <w:r>
                    <w:rPr>
                      <w:spacing w:val="-3"/>
                      <w:sz w:val="21"/>
                      <w:szCs w:val="21"/>
                    </w:rPr>
                    <w:t>材林</w:t>
                  </w:r>
                </w:p>
              </w:tc>
              <w:tc>
                <w:tcPr>
                  <w:tcW w:w="971" w:type="dxa"/>
                  <w:vAlign w:val="top"/>
                </w:tcPr>
                <w:p>
                  <w:pPr>
                    <w:pStyle w:val="11"/>
                    <w:spacing w:before="212" w:line="239" w:lineRule="auto"/>
                    <w:ind w:left="115" w:leftChars="0"/>
                    <w:jc w:val="center"/>
                    <w:rPr>
                      <w:sz w:val="21"/>
                      <w:szCs w:val="21"/>
                    </w:rPr>
                  </w:pPr>
                  <w:r>
                    <w:rPr>
                      <w:spacing w:val="-4"/>
                      <w:sz w:val="21"/>
                      <w:szCs w:val="21"/>
                    </w:rPr>
                    <w:t>136.70</w:t>
                  </w:r>
                </w:p>
              </w:tc>
              <w:tc>
                <w:tcPr>
                  <w:tcW w:w="1317" w:type="dxa"/>
                  <w:vAlign w:val="top"/>
                </w:tcPr>
                <w:p>
                  <w:pPr>
                    <w:pStyle w:val="11"/>
                    <w:spacing w:before="191" w:line="219" w:lineRule="auto"/>
                    <w:ind w:left="226" w:leftChars="0"/>
                    <w:jc w:val="center"/>
                    <w:rPr>
                      <w:sz w:val="21"/>
                      <w:szCs w:val="21"/>
                    </w:rPr>
                  </w:pPr>
                  <w:r>
                    <w:rPr>
                      <w:spacing w:val="-8"/>
                      <w:sz w:val="21"/>
                      <w:szCs w:val="21"/>
                    </w:rPr>
                    <w:t>8</w:t>
                  </w:r>
                  <w:r>
                    <w:rPr>
                      <w:spacing w:val="-31"/>
                      <w:sz w:val="21"/>
                      <w:szCs w:val="21"/>
                    </w:rPr>
                    <w:t xml:space="preserve"> </w:t>
                  </w:r>
                  <w:r>
                    <w:rPr>
                      <w:spacing w:val="-8"/>
                      <w:sz w:val="21"/>
                      <w:szCs w:val="21"/>
                    </w:rPr>
                    <w:t>杉</w:t>
                  </w:r>
                  <w:r>
                    <w:rPr>
                      <w:spacing w:val="-31"/>
                      <w:sz w:val="21"/>
                      <w:szCs w:val="21"/>
                    </w:rPr>
                    <w:t xml:space="preserve"> </w:t>
                  </w:r>
                  <w:r>
                    <w:rPr>
                      <w:spacing w:val="-8"/>
                      <w:sz w:val="21"/>
                      <w:szCs w:val="21"/>
                    </w:rPr>
                    <w:t>2</w:t>
                  </w:r>
                  <w:r>
                    <w:rPr>
                      <w:spacing w:val="-32"/>
                      <w:sz w:val="21"/>
                      <w:szCs w:val="21"/>
                    </w:rPr>
                    <w:t xml:space="preserve"> </w:t>
                  </w:r>
                  <w:r>
                    <w:rPr>
                      <w:spacing w:val="-8"/>
                      <w:sz w:val="21"/>
                      <w:szCs w:val="21"/>
                    </w:rPr>
                    <w:t>松</w:t>
                  </w:r>
                </w:p>
              </w:tc>
              <w:tc>
                <w:tcPr>
                  <w:tcW w:w="752" w:type="dxa"/>
                  <w:vAlign w:val="top"/>
                </w:tcPr>
                <w:p>
                  <w:pPr>
                    <w:pStyle w:val="11"/>
                    <w:spacing w:before="212"/>
                    <w:ind w:left="306" w:leftChars="0"/>
                    <w:jc w:val="center"/>
                    <w:rPr>
                      <w:sz w:val="21"/>
                      <w:szCs w:val="21"/>
                    </w:rPr>
                  </w:pPr>
                  <w:r>
                    <w:rPr>
                      <w:sz w:val="21"/>
                      <w:szCs w:val="21"/>
                    </w:rPr>
                    <w:t>5</w:t>
                  </w:r>
                </w:p>
              </w:tc>
              <w:tc>
                <w:tcPr>
                  <w:tcW w:w="757" w:type="dxa"/>
                  <w:vAlign w:val="top"/>
                </w:tcPr>
                <w:p>
                  <w:pPr>
                    <w:pStyle w:val="11"/>
                    <w:spacing w:before="191" w:line="219" w:lineRule="auto"/>
                    <w:ind w:left="317" w:leftChars="0"/>
                    <w:jc w:val="center"/>
                    <w:rPr>
                      <w:sz w:val="21"/>
                      <w:szCs w:val="21"/>
                    </w:rPr>
                  </w:pPr>
                  <w:r>
                    <w:rPr>
                      <w:spacing w:val="-3"/>
                      <w:sz w:val="21"/>
                      <w:szCs w:val="21"/>
                    </w:rPr>
                    <w:t>择伐</w:t>
                  </w:r>
                </w:p>
              </w:tc>
              <w:tc>
                <w:tcPr>
                  <w:tcW w:w="847" w:type="dxa"/>
                  <w:vAlign w:val="top"/>
                </w:tcPr>
                <w:p>
                  <w:pPr>
                    <w:pStyle w:val="11"/>
                    <w:spacing w:before="212"/>
                    <w:ind w:left="289" w:leftChars="0"/>
                    <w:jc w:val="center"/>
                    <w:rPr>
                      <w:sz w:val="21"/>
                      <w:szCs w:val="21"/>
                    </w:rPr>
                  </w:pPr>
                  <w:r>
                    <w:rPr>
                      <w:spacing w:val="-4"/>
                      <w:sz w:val="21"/>
                      <w:szCs w:val="21"/>
                    </w:rPr>
                    <w:t>76</w:t>
                  </w:r>
                </w:p>
              </w:tc>
              <w:tc>
                <w:tcPr>
                  <w:tcW w:w="411" w:type="dxa"/>
                  <w:vAlign w:val="top"/>
                </w:tcPr>
                <w:p>
                  <w:pPr>
                    <w:pStyle w:val="11"/>
                    <w:spacing w:before="235" w:line="238" w:lineRule="auto"/>
                    <w:ind w:left="110" w:leftChars="0"/>
                    <w:jc w:val="center"/>
                    <w:rPr>
                      <w:sz w:val="21"/>
                      <w:szCs w:val="21"/>
                    </w:rPr>
                  </w:pPr>
                  <w:r>
                    <w:rPr>
                      <w:sz w:val="16"/>
                      <w:szCs w:val="16"/>
                    </w:rPr>
                    <w:t>√</w:t>
                  </w:r>
                </w:p>
              </w:tc>
              <w:tc>
                <w:tcPr>
                  <w:tcW w:w="300" w:type="dxa"/>
                  <w:vAlign w:val="top"/>
                </w:tcPr>
                <w:p>
                  <w:pPr>
                    <w:jc w:val="center"/>
                    <w:rPr>
                      <w:rFonts w:ascii="Arial"/>
                      <w:sz w:val="21"/>
                      <w:szCs w:val="21"/>
                    </w:rPr>
                  </w:pPr>
                </w:p>
              </w:tc>
              <w:tc>
                <w:tcPr>
                  <w:tcW w:w="333" w:type="dxa"/>
                  <w:vAlign w:val="top"/>
                </w:tcPr>
                <w:p>
                  <w:pPr>
                    <w:jc w:val="center"/>
                    <w:rPr>
                      <w:rFonts w:ascii="Arial"/>
                      <w:sz w:val="21"/>
                      <w:szCs w:val="21"/>
                    </w:rPr>
                  </w:pPr>
                </w:p>
              </w:tc>
              <w:tc>
                <w:tcPr>
                  <w:tcW w:w="324" w:type="dxa"/>
                  <w:vAlign w:val="top"/>
                </w:tcPr>
                <w:p>
                  <w:pPr>
                    <w:jc w:val="center"/>
                    <w:rPr>
                      <w:rFonts w:ascii="Arial"/>
                      <w:sz w:val="21"/>
                      <w:szCs w:val="21"/>
                    </w:rPr>
                  </w:pPr>
                </w:p>
              </w:tc>
              <w:tc>
                <w:tcPr>
                  <w:tcW w:w="299" w:type="dxa"/>
                  <w:vAlign w:val="top"/>
                </w:tcPr>
                <w:p>
                  <w:pPr>
                    <w:jc w:val="center"/>
                    <w:rPr>
                      <w:rFonts w:ascii="Arial"/>
                      <w:sz w:val="21"/>
                      <w:szCs w:val="21"/>
                    </w:rPr>
                  </w:pPr>
                </w:p>
              </w:tc>
              <w:tc>
                <w:tcPr>
                  <w:tcW w:w="339" w:type="dxa"/>
                  <w:vAlign w:val="top"/>
                </w:tcPr>
                <w:p>
                  <w:pPr>
                    <w:pStyle w:val="11"/>
                    <w:spacing w:before="235" w:line="238" w:lineRule="auto"/>
                    <w:ind w:left="120" w:leftChars="0"/>
                    <w:jc w:val="center"/>
                    <w:rPr>
                      <w:sz w:val="21"/>
                      <w:szCs w:val="21"/>
                    </w:rPr>
                  </w:pPr>
                  <w:r>
                    <w:rPr>
                      <w:sz w:val="16"/>
                      <w:szCs w:val="16"/>
                    </w:rPr>
                    <w:t>√</w:t>
                  </w:r>
                </w:p>
              </w:tc>
              <w:tc>
                <w:tcPr>
                  <w:tcW w:w="438" w:type="dxa"/>
                  <w:vAlign w:val="top"/>
                </w:tcPr>
                <w:p>
                  <w:pPr>
                    <w:pStyle w:val="11"/>
                    <w:spacing w:before="235" w:line="238" w:lineRule="auto"/>
                    <w:ind w:left="140" w:leftChars="0"/>
                    <w:jc w:val="center"/>
                    <w:rPr>
                      <w:sz w:val="21"/>
                      <w:szCs w:val="21"/>
                    </w:rPr>
                  </w:pPr>
                  <w:r>
                    <w:rPr>
                      <w:sz w:val="16"/>
                      <w:szCs w:val="16"/>
                    </w:rPr>
                    <w:t>√</w:t>
                  </w:r>
                </w:p>
              </w:tc>
              <w:tc>
                <w:tcPr>
                  <w:tcW w:w="516" w:type="dxa"/>
                  <w:vAlign w:val="top"/>
                </w:tcPr>
                <w:p>
                  <w:pPr>
                    <w:pStyle w:val="11"/>
                    <w:spacing w:before="191" w:line="219" w:lineRule="auto"/>
                    <w:ind w:left="60" w:leftChars="0"/>
                    <w:jc w:val="center"/>
                    <w:rPr>
                      <w:sz w:val="21"/>
                      <w:szCs w:val="21"/>
                    </w:rPr>
                  </w:pPr>
                  <w:r>
                    <w:rPr>
                      <w:spacing w:val="-2"/>
                      <w:sz w:val="21"/>
                      <w:szCs w:val="21"/>
                    </w:rPr>
                    <w:t>病死树下降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95" w:hRule="atLeast"/>
              </w:trPr>
              <w:tc>
                <w:tcPr>
                  <w:tcW w:w="367" w:type="dxa"/>
                  <w:vAlign w:val="top"/>
                </w:tcPr>
                <w:p>
                  <w:pPr>
                    <w:pStyle w:val="11"/>
                    <w:spacing w:before="60" w:line="184" w:lineRule="auto"/>
                    <w:ind w:left="204"/>
                    <w:jc w:val="center"/>
                    <w:rPr>
                      <w:sz w:val="21"/>
                      <w:szCs w:val="21"/>
                    </w:rPr>
                  </w:pPr>
                  <w:r>
                    <w:rPr>
                      <w:sz w:val="21"/>
                      <w:szCs w:val="21"/>
                    </w:rPr>
                    <w:t>2</w:t>
                  </w:r>
                </w:p>
              </w:tc>
              <w:tc>
                <w:tcPr>
                  <w:tcW w:w="483" w:type="dxa"/>
                  <w:vAlign w:val="top"/>
                </w:tcPr>
                <w:p>
                  <w:pPr>
                    <w:pStyle w:val="11"/>
                    <w:spacing w:before="192" w:line="219" w:lineRule="auto"/>
                    <w:ind w:left="180" w:leftChars="0"/>
                    <w:jc w:val="center"/>
                    <w:rPr>
                      <w:sz w:val="21"/>
                      <w:szCs w:val="21"/>
                    </w:rPr>
                  </w:pPr>
                  <w:r>
                    <w:rPr>
                      <w:spacing w:val="-3"/>
                      <w:sz w:val="21"/>
                      <w:szCs w:val="21"/>
                    </w:rPr>
                    <w:t>南迳镇</w:t>
                  </w:r>
                </w:p>
              </w:tc>
              <w:tc>
                <w:tcPr>
                  <w:tcW w:w="600" w:type="dxa"/>
                  <w:vAlign w:val="top"/>
                </w:tcPr>
                <w:p>
                  <w:pPr>
                    <w:pStyle w:val="11"/>
                    <w:spacing w:before="191" w:line="219" w:lineRule="auto"/>
                    <w:ind w:left="91" w:leftChars="0"/>
                    <w:jc w:val="center"/>
                    <w:rPr>
                      <w:sz w:val="21"/>
                      <w:szCs w:val="21"/>
                    </w:rPr>
                  </w:pPr>
                  <w:r>
                    <w:rPr>
                      <w:spacing w:val="2"/>
                      <w:sz w:val="21"/>
                      <w:szCs w:val="21"/>
                    </w:rPr>
                    <w:t>马古塘村</w:t>
                  </w:r>
                </w:p>
              </w:tc>
              <w:tc>
                <w:tcPr>
                  <w:tcW w:w="1454" w:type="dxa"/>
                  <w:vAlign w:val="top"/>
                </w:tcPr>
                <w:p>
                  <w:pPr>
                    <w:pStyle w:val="11"/>
                    <w:spacing w:before="213"/>
                    <w:ind w:left="13" w:leftChars="0"/>
                    <w:jc w:val="center"/>
                    <w:rPr>
                      <w:sz w:val="21"/>
                      <w:szCs w:val="21"/>
                    </w:rPr>
                  </w:pPr>
                  <w:r>
                    <w:rPr>
                      <w:spacing w:val="-1"/>
                      <w:sz w:val="21"/>
                      <w:szCs w:val="21"/>
                    </w:rPr>
                    <w:t>36072900400501501</w:t>
                  </w:r>
                </w:p>
              </w:tc>
              <w:tc>
                <w:tcPr>
                  <w:tcW w:w="958" w:type="dxa"/>
                  <w:vAlign w:val="top"/>
                </w:tcPr>
                <w:p>
                  <w:pPr>
                    <w:pStyle w:val="11"/>
                    <w:spacing w:before="54" w:line="226" w:lineRule="auto"/>
                    <w:ind w:left="252" w:leftChars="0" w:right="129" w:rightChars="0" w:hanging="109" w:firstLineChars="0"/>
                    <w:jc w:val="center"/>
                    <w:rPr>
                      <w:sz w:val="21"/>
                      <w:szCs w:val="21"/>
                    </w:rPr>
                  </w:pPr>
                  <w:r>
                    <w:rPr>
                      <w:spacing w:val="8"/>
                      <w:sz w:val="21"/>
                      <w:szCs w:val="21"/>
                    </w:rPr>
                    <w:t>一般用</w:t>
                  </w:r>
                  <w:r>
                    <w:rPr>
                      <w:sz w:val="21"/>
                      <w:szCs w:val="21"/>
                    </w:rPr>
                    <w:t xml:space="preserve"> </w:t>
                  </w:r>
                  <w:r>
                    <w:rPr>
                      <w:spacing w:val="-3"/>
                      <w:sz w:val="21"/>
                      <w:szCs w:val="21"/>
                    </w:rPr>
                    <w:t>材林</w:t>
                  </w:r>
                </w:p>
              </w:tc>
              <w:tc>
                <w:tcPr>
                  <w:tcW w:w="971" w:type="dxa"/>
                  <w:vAlign w:val="top"/>
                </w:tcPr>
                <w:p>
                  <w:pPr>
                    <w:pStyle w:val="11"/>
                    <w:spacing w:before="213" w:line="239" w:lineRule="auto"/>
                    <w:ind w:left="165" w:leftChars="0"/>
                    <w:jc w:val="center"/>
                    <w:rPr>
                      <w:sz w:val="21"/>
                      <w:szCs w:val="21"/>
                    </w:rPr>
                  </w:pPr>
                  <w:r>
                    <w:rPr>
                      <w:spacing w:val="-2"/>
                      <w:sz w:val="21"/>
                      <w:szCs w:val="21"/>
                    </w:rPr>
                    <w:t>92.74</w:t>
                  </w:r>
                </w:p>
              </w:tc>
              <w:tc>
                <w:tcPr>
                  <w:tcW w:w="1317" w:type="dxa"/>
                  <w:vAlign w:val="top"/>
                </w:tcPr>
                <w:p>
                  <w:pPr>
                    <w:pStyle w:val="11"/>
                    <w:spacing w:before="192" w:line="219" w:lineRule="auto"/>
                    <w:ind w:left="315" w:leftChars="0"/>
                    <w:jc w:val="center"/>
                    <w:rPr>
                      <w:sz w:val="21"/>
                      <w:szCs w:val="21"/>
                    </w:rPr>
                  </w:pPr>
                  <w:r>
                    <w:rPr>
                      <w:spacing w:val="4"/>
                      <w:sz w:val="21"/>
                      <w:szCs w:val="21"/>
                    </w:rPr>
                    <w:t>7杉3马</w:t>
                  </w:r>
                </w:p>
              </w:tc>
              <w:tc>
                <w:tcPr>
                  <w:tcW w:w="752" w:type="dxa"/>
                  <w:vAlign w:val="top"/>
                </w:tcPr>
                <w:p>
                  <w:pPr>
                    <w:pStyle w:val="11"/>
                    <w:spacing w:before="213"/>
                    <w:ind w:left="306" w:leftChars="0"/>
                    <w:jc w:val="center"/>
                    <w:rPr>
                      <w:sz w:val="21"/>
                      <w:szCs w:val="21"/>
                    </w:rPr>
                  </w:pPr>
                  <w:r>
                    <w:rPr>
                      <w:sz w:val="21"/>
                      <w:szCs w:val="21"/>
                    </w:rPr>
                    <w:t>5</w:t>
                  </w:r>
                </w:p>
              </w:tc>
              <w:tc>
                <w:tcPr>
                  <w:tcW w:w="757" w:type="dxa"/>
                  <w:vAlign w:val="top"/>
                </w:tcPr>
                <w:p>
                  <w:pPr>
                    <w:pStyle w:val="11"/>
                    <w:spacing w:before="192" w:line="219" w:lineRule="auto"/>
                    <w:ind w:left="317" w:leftChars="0"/>
                    <w:jc w:val="center"/>
                    <w:rPr>
                      <w:sz w:val="21"/>
                      <w:szCs w:val="21"/>
                    </w:rPr>
                  </w:pPr>
                  <w:r>
                    <w:rPr>
                      <w:spacing w:val="-3"/>
                      <w:sz w:val="21"/>
                      <w:szCs w:val="21"/>
                    </w:rPr>
                    <w:t>择伐</w:t>
                  </w:r>
                </w:p>
              </w:tc>
              <w:tc>
                <w:tcPr>
                  <w:tcW w:w="847" w:type="dxa"/>
                  <w:vAlign w:val="top"/>
                </w:tcPr>
                <w:p>
                  <w:pPr>
                    <w:pStyle w:val="11"/>
                    <w:spacing w:before="213"/>
                    <w:ind w:left="289" w:leftChars="0"/>
                    <w:jc w:val="center"/>
                    <w:rPr>
                      <w:sz w:val="21"/>
                      <w:szCs w:val="21"/>
                    </w:rPr>
                  </w:pPr>
                  <w:r>
                    <w:rPr>
                      <w:spacing w:val="-3"/>
                      <w:sz w:val="21"/>
                      <w:szCs w:val="21"/>
                    </w:rPr>
                    <w:t>60</w:t>
                  </w:r>
                </w:p>
              </w:tc>
              <w:tc>
                <w:tcPr>
                  <w:tcW w:w="411" w:type="dxa"/>
                  <w:vAlign w:val="top"/>
                </w:tcPr>
                <w:p>
                  <w:pPr>
                    <w:pStyle w:val="11"/>
                    <w:spacing w:before="226" w:line="238" w:lineRule="auto"/>
                    <w:ind w:left="110" w:leftChars="0"/>
                    <w:jc w:val="center"/>
                    <w:rPr>
                      <w:sz w:val="21"/>
                      <w:szCs w:val="21"/>
                    </w:rPr>
                  </w:pPr>
                  <w:r>
                    <w:rPr>
                      <w:sz w:val="16"/>
                      <w:szCs w:val="16"/>
                    </w:rPr>
                    <w:t>√</w:t>
                  </w:r>
                </w:p>
              </w:tc>
              <w:tc>
                <w:tcPr>
                  <w:tcW w:w="300" w:type="dxa"/>
                  <w:vAlign w:val="top"/>
                </w:tcPr>
                <w:p>
                  <w:pPr>
                    <w:jc w:val="center"/>
                    <w:rPr>
                      <w:rFonts w:ascii="Arial"/>
                      <w:sz w:val="21"/>
                      <w:szCs w:val="21"/>
                    </w:rPr>
                  </w:pPr>
                </w:p>
              </w:tc>
              <w:tc>
                <w:tcPr>
                  <w:tcW w:w="333" w:type="dxa"/>
                  <w:vAlign w:val="top"/>
                </w:tcPr>
                <w:p>
                  <w:pPr>
                    <w:jc w:val="center"/>
                    <w:rPr>
                      <w:rFonts w:ascii="Arial"/>
                      <w:sz w:val="21"/>
                      <w:szCs w:val="21"/>
                    </w:rPr>
                  </w:pPr>
                </w:p>
              </w:tc>
              <w:tc>
                <w:tcPr>
                  <w:tcW w:w="324" w:type="dxa"/>
                  <w:vAlign w:val="top"/>
                </w:tcPr>
                <w:p>
                  <w:pPr>
                    <w:jc w:val="center"/>
                    <w:rPr>
                      <w:rFonts w:ascii="Arial"/>
                      <w:sz w:val="21"/>
                      <w:szCs w:val="21"/>
                    </w:rPr>
                  </w:pPr>
                </w:p>
              </w:tc>
              <w:tc>
                <w:tcPr>
                  <w:tcW w:w="299" w:type="dxa"/>
                  <w:vAlign w:val="top"/>
                </w:tcPr>
                <w:p>
                  <w:pPr>
                    <w:jc w:val="center"/>
                    <w:rPr>
                      <w:rFonts w:ascii="Arial"/>
                      <w:sz w:val="21"/>
                      <w:szCs w:val="21"/>
                    </w:rPr>
                  </w:pPr>
                </w:p>
              </w:tc>
              <w:tc>
                <w:tcPr>
                  <w:tcW w:w="339" w:type="dxa"/>
                  <w:vAlign w:val="top"/>
                </w:tcPr>
                <w:p>
                  <w:pPr>
                    <w:pStyle w:val="11"/>
                    <w:spacing w:before="226" w:line="238" w:lineRule="auto"/>
                    <w:ind w:left="120" w:leftChars="0"/>
                    <w:jc w:val="center"/>
                    <w:rPr>
                      <w:sz w:val="21"/>
                      <w:szCs w:val="21"/>
                    </w:rPr>
                  </w:pPr>
                  <w:r>
                    <w:rPr>
                      <w:sz w:val="16"/>
                      <w:szCs w:val="16"/>
                    </w:rPr>
                    <w:t>√</w:t>
                  </w:r>
                </w:p>
              </w:tc>
              <w:tc>
                <w:tcPr>
                  <w:tcW w:w="438" w:type="dxa"/>
                  <w:vAlign w:val="top"/>
                </w:tcPr>
                <w:p>
                  <w:pPr>
                    <w:pStyle w:val="11"/>
                    <w:spacing w:before="226" w:line="238" w:lineRule="auto"/>
                    <w:ind w:left="129" w:leftChars="0"/>
                    <w:jc w:val="center"/>
                    <w:rPr>
                      <w:sz w:val="21"/>
                      <w:szCs w:val="21"/>
                    </w:rPr>
                  </w:pPr>
                  <w:r>
                    <w:rPr>
                      <w:sz w:val="16"/>
                      <w:szCs w:val="16"/>
                    </w:rPr>
                    <w:t>√</w:t>
                  </w:r>
                </w:p>
              </w:tc>
              <w:tc>
                <w:tcPr>
                  <w:tcW w:w="516" w:type="dxa"/>
                  <w:vAlign w:val="top"/>
                </w:tcPr>
                <w:p>
                  <w:pPr>
                    <w:pStyle w:val="11"/>
                    <w:spacing w:before="192" w:line="219" w:lineRule="auto"/>
                    <w:ind w:left="60" w:leftChars="0"/>
                    <w:jc w:val="center"/>
                    <w:rPr>
                      <w:sz w:val="21"/>
                      <w:szCs w:val="21"/>
                    </w:rPr>
                  </w:pPr>
                  <w:r>
                    <w:rPr>
                      <w:spacing w:val="-2"/>
                      <w:sz w:val="21"/>
                      <w:szCs w:val="21"/>
                    </w:rPr>
                    <w:t>病死树下降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9" w:hRule="atLeast"/>
              </w:trPr>
              <w:tc>
                <w:tcPr>
                  <w:tcW w:w="367" w:type="dxa"/>
                  <w:vAlign w:val="top"/>
                </w:tcPr>
                <w:p>
                  <w:pPr>
                    <w:pStyle w:val="11"/>
                    <w:spacing w:before="90" w:line="211" w:lineRule="auto"/>
                    <w:ind w:left="204"/>
                    <w:jc w:val="center"/>
                    <w:rPr>
                      <w:sz w:val="21"/>
                      <w:szCs w:val="21"/>
                    </w:rPr>
                  </w:pPr>
                  <w:r>
                    <w:rPr>
                      <w:sz w:val="21"/>
                      <w:szCs w:val="21"/>
                    </w:rPr>
                    <w:t>3</w:t>
                  </w:r>
                </w:p>
              </w:tc>
              <w:tc>
                <w:tcPr>
                  <w:tcW w:w="483" w:type="dxa"/>
                  <w:vAlign w:val="top"/>
                </w:tcPr>
                <w:p>
                  <w:pPr>
                    <w:pStyle w:val="11"/>
                    <w:spacing w:before="203" w:line="219" w:lineRule="auto"/>
                    <w:ind w:left="180" w:leftChars="0"/>
                    <w:jc w:val="center"/>
                    <w:rPr>
                      <w:sz w:val="21"/>
                      <w:szCs w:val="21"/>
                    </w:rPr>
                  </w:pPr>
                  <w:r>
                    <w:rPr>
                      <w:spacing w:val="-3"/>
                      <w:sz w:val="21"/>
                      <w:szCs w:val="21"/>
                    </w:rPr>
                    <w:t>南迳镇</w:t>
                  </w:r>
                </w:p>
              </w:tc>
              <w:tc>
                <w:tcPr>
                  <w:tcW w:w="600" w:type="dxa"/>
                  <w:vAlign w:val="top"/>
                </w:tcPr>
                <w:p>
                  <w:pPr>
                    <w:pStyle w:val="11"/>
                    <w:spacing w:before="202" w:line="219" w:lineRule="auto"/>
                    <w:ind w:left="91" w:leftChars="0"/>
                    <w:jc w:val="center"/>
                    <w:rPr>
                      <w:sz w:val="21"/>
                      <w:szCs w:val="21"/>
                    </w:rPr>
                  </w:pPr>
                  <w:r>
                    <w:rPr>
                      <w:spacing w:val="2"/>
                      <w:sz w:val="21"/>
                      <w:szCs w:val="21"/>
                    </w:rPr>
                    <w:t>马古塘村</w:t>
                  </w:r>
                </w:p>
              </w:tc>
              <w:tc>
                <w:tcPr>
                  <w:tcW w:w="1454" w:type="dxa"/>
                  <w:vAlign w:val="top"/>
                </w:tcPr>
                <w:p>
                  <w:pPr>
                    <w:pStyle w:val="11"/>
                    <w:spacing w:before="224"/>
                    <w:ind w:left="13" w:leftChars="0"/>
                    <w:jc w:val="center"/>
                    <w:rPr>
                      <w:sz w:val="21"/>
                      <w:szCs w:val="21"/>
                    </w:rPr>
                  </w:pPr>
                  <w:r>
                    <w:rPr>
                      <w:spacing w:val="-1"/>
                      <w:sz w:val="21"/>
                      <w:szCs w:val="21"/>
                    </w:rPr>
                    <w:t>36072900400502704</w:t>
                  </w:r>
                </w:p>
              </w:tc>
              <w:tc>
                <w:tcPr>
                  <w:tcW w:w="958" w:type="dxa"/>
                  <w:vAlign w:val="top"/>
                </w:tcPr>
                <w:p>
                  <w:pPr>
                    <w:pStyle w:val="11"/>
                    <w:spacing w:before="65" w:line="230" w:lineRule="auto"/>
                    <w:ind w:left="252" w:leftChars="0" w:right="129" w:rightChars="0" w:hanging="109" w:firstLineChars="0"/>
                    <w:jc w:val="center"/>
                    <w:rPr>
                      <w:sz w:val="21"/>
                      <w:szCs w:val="21"/>
                    </w:rPr>
                  </w:pPr>
                  <w:r>
                    <w:rPr>
                      <w:spacing w:val="8"/>
                      <w:sz w:val="21"/>
                      <w:szCs w:val="21"/>
                    </w:rPr>
                    <w:t>一般用</w:t>
                  </w:r>
                  <w:r>
                    <w:rPr>
                      <w:sz w:val="21"/>
                      <w:szCs w:val="21"/>
                    </w:rPr>
                    <w:t xml:space="preserve"> </w:t>
                  </w:r>
                  <w:r>
                    <w:rPr>
                      <w:spacing w:val="-3"/>
                      <w:sz w:val="21"/>
                      <w:szCs w:val="21"/>
                    </w:rPr>
                    <w:t>材林</w:t>
                  </w:r>
                </w:p>
              </w:tc>
              <w:tc>
                <w:tcPr>
                  <w:tcW w:w="971" w:type="dxa"/>
                  <w:vAlign w:val="top"/>
                </w:tcPr>
                <w:p>
                  <w:pPr>
                    <w:pStyle w:val="11"/>
                    <w:spacing w:before="224" w:line="239" w:lineRule="auto"/>
                    <w:ind w:left="115" w:leftChars="0"/>
                    <w:jc w:val="center"/>
                    <w:rPr>
                      <w:sz w:val="21"/>
                      <w:szCs w:val="21"/>
                    </w:rPr>
                  </w:pPr>
                  <w:r>
                    <w:rPr>
                      <w:spacing w:val="-2"/>
                      <w:sz w:val="21"/>
                      <w:szCs w:val="21"/>
                    </w:rPr>
                    <w:t>217.54</w:t>
                  </w:r>
                </w:p>
              </w:tc>
              <w:tc>
                <w:tcPr>
                  <w:tcW w:w="1317" w:type="dxa"/>
                  <w:vAlign w:val="top"/>
                </w:tcPr>
                <w:p>
                  <w:pPr>
                    <w:pStyle w:val="11"/>
                    <w:spacing w:before="203" w:line="219" w:lineRule="auto"/>
                    <w:ind w:left="315" w:leftChars="0"/>
                    <w:jc w:val="center"/>
                    <w:rPr>
                      <w:sz w:val="21"/>
                      <w:szCs w:val="21"/>
                    </w:rPr>
                  </w:pPr>
                  <w:r>
                    <w:rPr>
                      <w:spacing w:val="4"/>
                      <w:sz w:val="21"/>
                      <w:szCs w:val="21"/>
                    </w:rPr>
                    <w:t>5杉5马</w:t>
                  </w:r>
                </w:p>
              </w:tc>
              <w:tc>
                <w:tcPr>
                  <w:tcW w:w="752" w:type="dxa"/>
                  <w:vAlign w:val="top"/>
                </w:tcPr>
                <w:p>
                  <w:pPr>
                    <w:pStyle w:val="11"/>
                    <w:spacing w:before="224"/>
                    <w:ind w:left="306" w:leftChars="0"/>
                    <w:jc w:val="center"/>
                    <w:rPr>
                      <w:sz w:val="21"/>
                      <w:szCs w:val="21"/>
                    </w:rPr>
                  </w:pPr>
                  <w:r>
                    <w:rPr>
                      <w:sz w:val="21"/>
                      <w:szCs w:val="21"/>
                    </w:rPr>
                    <w:t>5</w:t>
                  </w:r>
                </w:p>
              </w:tc>
              <w:tc>
                <w:tcPr>
                  <w:tcW w:w="757" w:type="dxa"/>
                  <w:vAlign w:val="top"/>
                </w:tcPr>
                <w:p>
                  <w:pPr>
                    <w:pStyle w:val="11"/>
                    <w:spacing w:before="203" w:line="219" w:lineRule="auto"/>
                    <w:ind w:left="317" w:leftChars="0"/>
                    <w:jc w:val="center"/>
                    <w:rPr>
                      <w:sz w:val="21"/>
                      <w:szCs w:val="21"/>
                    </w:rPr>
                  </w:pPr>
                  <w:r>
                    <w:rPr>
                      <w:spacing w:val="-3"/>
                      <w:sz w:val="21"/>
                      <w:szCs w:val="21"/>
                    </w:rPr>
                    <w:t>择伐</w:t>
                  </w:r>
                </w:p>
              </w:tc>
              <w:tc>
                <w:tcPr>
                  <w:tcW w:w="847" w:type="dxa"/>
                  <w:vAlign w:val="top"/>
                </w:tcPr>
                <w:p>
                  <w:pPr>
                    <w:pStyle w:val="11"/>
                    <w:spacing w:before="224"/>
                    <w:ind w:left="239" w:leftChars="0"/>
                    <w:jc w:val="center"/>
                    <w:rPr>
                      <w:sz w:val="21"/>
                      <w:szCs w:val="21"/>
                    </w:rPr>
                  </w:pPr>
                  <w:r>
                    <w:rPr>
                      <w:spacing w:val="-6"/>
                      <w:sz w:val="21"/>
                      <w:szCs w:val="21"/>
                    </w:rPr>
                    <w:t>135</w:t>
                  </w:r>
                </w:p>
              </w:tc>
              <w:tc>
                <w:tcPr>
                  <w:tcW w:w="411" w:type="dxa"/>
                  <w:vAlign w:val="top"/>
                </w:tcPr>
                <w:p>
                  <w:pPr>
                    <w:pStyle w:val="11"/>
                    <w:spacing w:before="237" w:line="238" w:lineRule="auto"/>
                    <w:ind w:left="110" w:leftChars="0"/>
                    <w:jc w:val="center"/>
                    <w:rPr>
                      <w:sz w:val="21"/>
                      <w:szCs w:val="21"/>
                    </w:rPr>
                  </w:pPr>
                  <w:r>
                    <w:rPr>
                      <w:sz w:val="16"/>
                      <w:szCs w:val="16"/>
                    </w:rPr>
                    <w:t>√</w:t>
                  </w:r>
                </w:p>
              </w:tc>
              <w:tc>
                <w:tcPr>
                  <w:tcW w:w="300" w:type="dxa"/>
                  <w:vAlign w:val="top"/>
                </w:tcPr>
                <w:p>
                  <w:pPr>
                    <w:jc w:val="center"/>
                    <w:rPr>
                      <w:rFonts w:ascii="Arial"/>
                      <w:sz w:val="21"/>
                      <w:szCs w:val="21"/>
                    </w:rPr>
                  </w:pPr>
                </w:p>
              </w:tc>
              <w:tc>
                <w:tcPr>
                  <w:tcW w:w="333" w:type="dxa"/>
                  <w:vAlign w:val="top"/>
                </w:tcPr>
                <w:p>
                  <w:pPr>
                    <w:jc w:val="center"/>
                    <w:rPr>
                      <w:rFonts w:ascii="Arial"/>
                      <w:sz w:val="21"/>
                      <w:szCs w:val="21"/>
                    </w:rPr>
                  </w:pPr>
                </w:p>
              </w:tc>
              <w:tc>
                <w:tcPr>
                  <w:tcW w:w="324" w:type="dxa"/>
                  <w:vAlign w:val="top"/>
                </w:tcPr>
                <w:p>
                  <w:pPr>
                    <w:jc w:val="center"/>
                    <w:rPr>
                      <w:rFonts w:ascii="Arial"/>
                      <w:sz w:val="21"/>
                      <w:szCs w:val="21"/>
                    </w:rPr>
                  </w:pPr>
                </w:p>
              </w:tc>
              <w:tc>
                <w:tcPr>
                  <w:tcW w:w="299" w:type="dxa"/>
                  <w:vAlign w:val="top"/>
                </w:tcPr>
                <w:p>
                  <w:pPr>
                    <w:jc w:val="center"/>
                    <w:rPr>
                      <w:rFonts w:ascii="Arial"/>
                      <w:sz w:val="21"/>
                      <w:szCs w:val="21"/>
                    </w:rPr>
                  </w:pPr>
                </w:p>
              </w:tc>
              <w:tc>
                <w:tcPr>
                  <w:tcW w:w="339" w:type="dxa"/>
                  <w:vAlign w:val="top"/>
                </w:tcPr>
                <w:p>
                  <w:pPr>
                    <w:pStyle w:val="11"/>
                    <w:spacing w:before="237" w:line="238" w:lineRule="auto"/>
                    <w:ind w:left="120" w:leftChars="0"/>
                    <w:jc w:val="center"/>
                    <w:rPr>
                      <w:sz w:val="21"/>
                      <w:szCs w:val="21"/>
                    </w:rPr>
                  </w:pPr>
                  <w:r>
                    <w:rPr>
                      <w:sz w:val="16"/>
                      <w:szCs w:val="16"/>
                    </w:rPr>
                    <w:t>√</w:t>
                  </w:r>
                </w:p>
              </w:tc>
              <w:tc>
                <w:tcPr>
                  <w:tcW w:w="438" w:type="dxa"/>
                  <w:vAlign w:val="top"/>
                </w:tcPr>
                <w:p>
                  <w:pPr>
                    <w:pStyle w:val="11"/>
                    <w:spacing w:before="237" w:line="238" w:lineRule="auto"/>
                    <w:ind w:left="129" w:leftChars="0"/>
                    <w:jc w:val="center"/>
                    <w:rPr>
                      <w:sz w:val="21"/>
                      <w:szCs w:val="21"/>
                    </w:rPr>
                  </w:pPr>
                  <w:r>
                    <w:rPr>
                      <w:sz w:val="16"/>
                      <w:szCs w:val="16"/>
                    </w:rPr>
                    <w:t>√</w:t>
                  </w:r>
                </w:p>
              </w:tc>
              <w:tc>
                <w:tcPr>
                  <w:tcW w:w="516" w:type="dxa"/>
                  <w:vAlign w:val="top"/>
                </w:tcPr>
                <w:p>
                  <w:pPr>
                    <w:pStyle w:val="11"/>
                    <w:spacing w:before="203" w:line="219" w:lineRule="auto"/>
                    <w:ind w:left="60" w:leftChars="0"/>
                    <w:jc w:val="center"/>
                    <w:rPr>
                      <w:sz w:val="21"/>
                      <w:szCs w:val="21"/>
                    </w:rPr>
                  </w:pPr>
                  <w:r>
                    <w:rPr>
                      <w:spacing w:val="-2"/>
                      <w:sz w:val="21"/>
                      <w:szCs w:val="21"/>
                    </w:rPr>
                    <w:t>病死树下降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0" w:hRule="atLeast"/>
              </w:trPr>
              <w:tc>
                <w:tcPr>
                  <w:tcW w:w="367" w:type="dxa"/>
                  <w:vAlign w:val="top"/>
                </w:tcPr>
                <w:p>
                  <w:pPr>
                    <w:pStyle w:val="11"/>
                    <w:spacing w:before="61" w:line="183" w:lineRule="auto"/>
                    <w:ind w:left="204"/>
                    <w:jc w:val="center"/>
                    <w:rPr>
                      <w:sz w:val="21"/>
                      <w:szCs w:val="21"/>
                    </w:rPr>
                  </w:pPr>
                  <w:r>
                    <w:rPr>
                      <w:sz w:val="21"/>
                      <w:szCs w:val="21"/>
                    </w:rPr>
                    <w:t>4</w:t>
                  </w:r>
                </w:p>
              </w:tc>
              <w:tc>
                <w:tcPr>
                  <w:tcW w:w="483" w:type="dxa"/>
                  <w:vAlign w:val="top"/>
                </w:tcPr>
                <w:p>
                  <w:pPr>
                    <w:pStyle w:val="11"/>
                    <w:spacing w:before="204" w:line="219" w:lineRule="auto"/>
                    <w:ind w:left="180" w:leftChars="0"/>
                    <w:jc w:val="center"/>
                    <w:rPr>
                      <w:sz w:val="21"/>
                      <w:szCs w:val="21"/>
                    </w:rPr>
                  </w:pPr>
                  <w:r>
                    <w:rPr>
                      <w:spacing w:val="-3"/>
                      <w:sz w:val="21"/>
                      <w:szCs w:val="21"/>
                    </w:rPr>
                    <w:t>南迳镇</w:t>
                  </w:r>
                </w:p>
              </w:tc>
              <w:tc>
                <w:tcPr>
                  <w:tcW w:w="600" w:type="dxa"/>
                  <w:vAlign w:val="top"/>
                </w:tcPr>
                <w:p>
                  <w:pPr>
                    <w:pStyle w:val="11"/>
                    <w:spacing w:before="203" w:line="219" w:lineRule="auto"/>
                    <w:ind w:left="192" w:leftChars="0"/>
                    <w:jc w:val="center"/>
                    <w:rPr>
                      <w:sz w:val="21"/>
                      <w:szCs w:val="21"/>
                    </w:rPr>
                  </w:pPr>
                  <w:r>
                    <w:rPr>
                      <w:spacing w:val="-3"/>
                      <w:sz w:val="21"/>
                      <w:szCs w:val="21"/>
                    </w:rPr>
                    <w:t>罗田村</w:t>
                  </w:r>
                </w:p>
              </w:tc>
              <w:tc>
                <w:tcPr>
                  <w:tcW w:w="1454" w:type="dxa"/>
                  <w:vAlign w:val="top"/>
                </w:tcPr>
                <w:p>
                  <w:pPr>
                    <w:pStyle w:val="11"/>
                    <w:spacing w:before="225"/>
                    <w:ind w:left="13" w:leftChars="0"/>
                    <w:jc w:val="center"/>
                    <w:rPr>
                      <w:sz w:val="21"/>
                      <w:szCs w:val="21"/>
                    </w:rPr>
                  </w:pPr>
                  <w:r>
                    <w:rPr>
                      <w:spacing w:val="-1"/>
                      <w:sz w:val="21"/>
                      <w:szCs w:val="21"/>
                    </w:rPr>
                    <w:t>36072900400701201</w:t>
                  </w:r>
                </w:p>
              </w:tc>
              <w:tc>
                <w:tcPr>
                  <w:tcW w:w="958" w:type="dxa"/>
                  <w:vAlign w:val="top"/>
                </w:tcPr>
                <w:p>
                  <w:pPr>
                    <w:pStyle w:val="11"/>
                    <w:spacing w:before="66" w:line="228" w:lineRule="auto"/>
                    <w:ind w:left="252" w:leftChars="0" w:right="129" w:rightChars="0" w:hanging="109" w:firstLineChars="0"/>
                    <w:jc w:val="center"/>
                    <w:rPr>
                      <w:sz w:val="21"/>
                      <w:szCs w:val="21"/>
                    </w:rPr>
                  </w:pPr>
                  <w:r>
                    <w:rPr>
                      <w:spacing w:val="8"/>
                      <w:sz w:val="21"/>
                      <w:szCs w:val="21"/>
                    </w:rPr>
                    <w:t>一般用</w:t>
                  </w:r>
                  <w:r>
                    <w:rPr>
                      <w:sz w:val="21"/>
                      <w:szCs w:val="21"/>
                    </w:rPr>
                    <w:t xml:space="preserve"> </w:t>
                  </w:r>
                  <w:r>
                    <w:rPr>
                      <w:spacing w:val="-3"/>
                      <w:sz w:val="21"/>
                      <w:szCs w:val="21"/>
                    </w:rPr>
                    <w:t>材林</w:t>
                  </w:r>
                </w:p>
              </w:tc>
              <w:tc>
                <w:tcPr>
                  <w:tcW w:w="971" w:type="dxa"/>
                  <w:vAlign w:val="top"/>
                </w:tcPr>
                <w:p>
                  <w:pPr>
                    <w:pStyle w:val="11"/>
                    <w:spacing w:before="225" w:line="239" w:lineRule="auto"/>
                    <w:ind w:left="115" w:leftChars="0"/>
                    <w:jc w:val="center"/>
                    <w:rPr>
                      <w:sz w:val="21"/>
                      <w:szCs w:val="21"/>
                    </w:rPr>
                  </w:pPr>
                  <w:r>
                    <w:rPr>
                      <w:spacing w:val="-4"/>
                      <w:sz w:val="21"/>
                      <w:szCs w:val="21"/>
                    </w:rPr>
                    <w:t>170.87</w:t>
                  </w:r>
                </w:p>
              </w:tc>
              <w:tc>
                <w:tcPr>
                  <w:tcW w:w="1317" w:type="dxa"/>
                  <w:vAlign w:val="top"/>
                </w:tcPr>
                <w:p>
                  <w:pPr>
                    <w:pStyle w:val="11"/>
                    <w:spacing w:before="204" w:line="219" w:lineRule="auto"/>
                    <w:ind w:left="315" w:leftChars="0"/>
                    <w:jc w:val="center"/>
                    <w:rPr>
                      <w:sz w:val="21"/>
                      <w:szCs w:val="21"/>
                    </w:rPr>
                  </w:pPr>
                  <w:r>
                    <w:rPr>
                      <w:spacing w:val="4"/>
                      <w:sz w:val="21"/>
                      <w:szCs w:val="21"/>
                    </w:rPr>
                    <w:t>5杉5马</w:t>
                  </w:r>
                </w:p>
              </w:tc>
              <w:tc>
                <w:tcPr>
                  <w:tcW w:w="752" w:type="dxa"/>
                  <w:vAlign w:val="top"/>
                </w:tcPr>
                <w:p>
                  <w:pPr>
                    <w:pStyle w:val="11"/>
                    <w:spacing w:before="225"/>
                    <w:ind w:left="306" w:leftChars="0"/>
                    <w:jc w:val="center"/>
                    <w:rPr>
                      <w:sz w:val="21"/>
                      <w:szCs w:val="21"/>
                    </w:rPr>
                  </w:pPr>
                  <w:r>
                    <w:rPr>
                      <w:sz w:val="21"/>
                      <w:szCs w:val="21"/>
                    </w:rPr>
                    <w:t>6</w:t>
                  </w:r>
                </w:p>
              </w:tc>
              <w:tc>
                <w:tcPr>
                  <w:tcW w:w="757" w:type="dxa"/>
                  <w:vAlign w:val="top"/>
                </w:tcPr>
                <w:p>
                  <w:pPr>
                    <w:pStyle w:val="11"/>
                    <w:spacing w:before="204" w:line="219" w:lineRule="auto"/>
                    <w:ind w:left="317" w:leftChars="0"/>
                    <w:jc w:val="center"/>
                    <w:rPr>
                      <w:sz w:val="21"/>
                      <w:szCs w:val="21"/>
                    </w:rPr>
                  </w:pPr>
                  <w:r>
                    <w:rPr>
                      <w:spacing w:val="-3"/>
                      <w:sz w:val="21"/>
                      <w:szCs w:val="21"/>
                    </w:rPr>
                    <w:t>择伐</w:t>
                  </w:r>
                </w:p>
              </w:tc>
              <w:tc>
                <w:tcPr>
                  <w:tcW w:w="847" w:type="dxa"/>
                  <w:vAlign w:val="top"/>
                </w:tcPr>
                <w:p>
                  <w:pPr>
                    <w:pStyle w:val="11"/>
                    <w:spacing w:before="225" w:line="241" w:lineRule="auto"/>
                    <w:ind w:left="239" w:leftChars="0"/>
                    <w:jc w:val="center"/>
                    <w:rPr>
                      <w:sz w:val="21"/>
                      <w:szCs w:val="21"/>
                    </w:rPr>
                  </w:pPr>
                  <w:r>
                    <w:rPr>
                      <w:spacing w:val="-6"/>
                      <w:sz w:val="21"/>
                      <w:szCs w:val="21"/>
                    </w:rPr>
                    <w:t>111</w:t>
                  </w:r>
                </w:p>
              </w:tc>
              <w:tc>
                <w:tcPr>
                  <w:tcW w:w="411" w:type="dxa"/>
                  <w:vAlign w:val="top"/>
                </w:tcPr>
                <w:p>
                  <w:pPr>
                    <w:pStyle w:val="11"/>
                    <w:spacing w:before="238" w:line="238" w:lineRule="auto"/>
                    <w:ind w:left="110" w:leftChars="0"/>
                    <w:jc w:val="center"/>
                    <w:rPr>
                      <w:sz w:val="21"/>
                      <w:szCs w:val="21"/>
                    </w:rPr>
                  </w:pPr>
                  <w:r>
                    <w:rPr>
                      <w:sz w:val="16"/>
                      <w:szCs w:val="16"/>
                    </w:rPr>
                    <w:t>√</w:t>
                  </w:r>
                </w:p>
              </w:tc>
              <w:tc>
                <w:tcPr>
                  <w:tcW w:w="300" w:type="dxa"/>
                  <w:vAlign w:val="top"/>
                </w:tcPr>
                <w:p>
                  <w:pPr>
                    <w:jc w:val="center"/>
                    <w:rPr>
                      <w:rFonts w:ascii="Arial"/>
                      <w:sz w:val="21"/>
                      <w:szCs w:val="21"/>
                    </w:rPr>
                  </w:pPr>
                </w:p>
              </w:tc>
              <w:tc>
                <w:tcPr>
                  <w:tcW w:w="333" w:type="dxa"/>
                  <w:vAlign w:val="top"/>
                </w:tcPr>
                <w:p>
                  <w:pPr>
                    <w:jc w:val="center"/>
                    <w:rPr>
                      <w:rFonts w:ascii="Arial"/>
                      <w:sz w:val="21"/>
                      <w:szCs w:val="21"/>
                    </w:rPr>
                  </w:pPr>
                </w:p>
              </w:tc>
              <w:tc>
                <w:tcPr>
                  <w:tcW w:w="324" w:type="dxa"/>
                  <w:vAlign w:val="top"/>
                </w:tcPr>
                <w:p>
                  <w:pPr>
                    <w:jc w:val="center"/>
                    <w:rPr>
                      <w:rFonts w:ascii="Arial"/>
                      <w:sz w:val="21"/>
                      <w:szCs w:val="21"/>
                    </w:rPr>
                  </w:pPr>
                </w:p>
              </w:tc>
              <w:tc>
                <w:tcPr>
                  <w:tcW w:w="299" w:type="dxa"/>
                  <w:vAlign w:val="top"/>
                </w:tcPr>
                <w:p>
                  <w:pPr>
                    <w:jc w:val="center"/>
                    <w:rPr>
                      <w:rFonts w:ascii="Arial"/>
                      <w:sz w:val="21"/>
                      <w:szCs w:val="21"/>
                    </w:rPr>
                  </w:pPr>
                </w:p>
              </w:tc>
              <w:tc>
                <w:tcPr>
                  <w:tcW w:w="339" w:type="dxa"/>
                  <w:vAlign w:val="top"/>
                </w:tcPr>
                <w:p>
                  <w:pPr>
                    <w:pStyle w:val="11"/>
                    <w:spacing w:before="238" w:line="238" w:lineRule="auto"/>
                    <w:ind w:left="120" w:leftChars="0"/>
                    <w:jc w:val="center"/>
                    <w:rPr>
                      <w:sz w:val="21"/>
                      <w:szCs w:val="21"/>
                    </w:rPr>
                  </w:pPr>
                  <w:r>
                    <w:rPr>
                      <w:sz w:val="16"/>
                      <w:szCs w:val="16"/>
                    </w:rPr>
                    <w:t>√</w:t>
                  </w:r>
                </w:p>
              </w:tc>
              <w:tc>
                <w:tcPr>
                  <w:tcW w:w="438" w:type="dxa"/>
                  <w:vAlign w:val="top"/>
                </w:tcPr>
                <w:p>
                  <w:pPr>
                    <w:pStyle w:val="11"/>
                    <w:spacing w:before="238" w:line="238" w:lineRule="auto"/>
                    <w:ind w:left="129" w:leftChars="0"/>
                    <w:jc w:val="center"/>
                    <w:rPr>
                      <w:sz w:val="21"/>
                      <w:szCs w:val="21"/>
                    </w:rPr>
                  </w:pPr>
                  <w:r>
                    <w:rPr>
                      <w:sz w:val="16"/>
                      <w:szCs w:val="16"/>
                    </w:rPr>
                    <w:t>√</w:t>
                  </w:r>
                </w:p>
              </w:tc>
              <w:tc>
                <w:tcPr>
                  <w:tcW w:w="516" w:type="dxa"/>
                  <w:vAlign w:val="top"/>
                </w:tcPr>
                <w:p>
                  <w:pPr>
                    <w:pStyle w:val="11"/>
                    <w:spacing w:before="204" w:line="219" w:lineRule="auto"/>
                    <w:ind w:left="60" w:leftChars="0"/>
                    <w:jc w:val="center"/>
                    <w:rPr>
                      <w:sz w:val="21"/>
                      <w:szCs w:val="21"/>
                    </w:rPr>
                  </w:pPr>
                  <w:r>
                    <w:rPr>
                      <w:spacing w:val="-2"/>
                      <w:sz w:val="21"/>
                      <w:szCs w:val="21"/>
                    </w:rPr>
                    <w:t>病死树下降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9" w:hRule="atLeast"/>
              </w:trPr>
              <w:tc>
                <w:tcPr>
                  <w:tcW w:w="367" w:type="dxa"/>
                  <w:vAlign w:val="top"/>
                </w:tcPr>
                <w:p>
                  <w:pPr>
                    <w:pStyle w:val="11"/>
                    <w:spacing w:before="91" w:line="210" w:lineRule="auto"/>
                    <w:ind w:left="204"/>
                    <w:jc w:val="center"/>
                    <w:rPr>
                      <w:sz w:val="21"/>
                      <w:szCs w:val="21"/>
                    </w:rPr>
                  </w:pPr>
                  <w:r>
                    <w:rPr>
                      <w:sz w:val="21"/>
                      <w:szCs w:val="21"/>
                    </w:rPr>
                    <w:t>5</w:t>
                  </w:r>
                </w:p>
              </w:tc>
              <w:tc>
                <w:tcPr>
                  <w:tcW w:w="483" w:type="dxa"/>
                  <w:vAlign w:val="top"/>
                </w:tcPr>
                <w:p>
                  <w:pPr>
                    <w:pStyle w:val="11"/>
                    <w:spacing w:before="195" w:line="219" w:lineRule="auto"/>
                    <w:ind w:left="180" w:leftChars="0"/>
                    <w:jc w:val="center"/>
                    <w:rPr>
                      <w:sz w:val="21"/>
                      <w:szCs w:val="21"/>
                    </w:rPr>
                  </w:pPr>
                  <w:r>
                    <w:rPr>
                      <w:spacing w:val="-3"/>
                      <w:sz w:val="21"/>
                      <w:szCs w:val="21"/>
                    </w:rPr>
                    <w:t>南迳镇</w:t>
                  </w:r>
                </w:p>
              </w:tc>
              <w:tc>
                <w:tcPr>
                  <w:tcW w:w="600" w:type="dxa"/>
                  <w:vAlign w:val="top"/>
                </w:tcPr>
                <w:p>
                  <w:pPr>
                    <w:pStyle w:val="11"/>
                    <w:spacing w:before="194" w:line="219" w:lineRule="auto"/>
                    <w:ind w:left="192" w:leftChars="0"/>
                    <w:jc w:val="center"/>
                    <w:rPr>
                      <w:sz w:val="21"/>
                      <w:szCs w:val="21"/>
                    </w:rPr>
                  </w:pPr>
                  <w:r>
                    <w:rPr>
                      <w:spacing w:val="-3"/>
                      <w:sz w:val="21"/>
                      <w:szCs w:val="21"/>
                    </w:rPr>
                    <w:t>罗田村</w:t>
                  </w:r>
                </w:p>
              </w:tc>
              <w:tc>
                <w:tcPr>
                  <w:tcW w:w="1454" w:type="dxa"/>
                  <w:vAlign w:val="top"/>
                </w:tcPr>
                <w:p>
                  <w:pPr>
                    <w:pStyle w:val="11"/>
                    <w:spacing w:before="216"/>
                    <w:ind w:left="13" w:leftChars="0"/>
                    <w:jc w:val="center"/>
                    <w:rPr>
                      <w:sz w:val="21"/>
                      <w:szCs w:val="21"/>
                    </w:rPr>
                  </w:pPr>
                  <w:r>
                    <w:rPr>
                      <w:spacing w:val="-1"/>
                      <w:sz w:val="21"/>
                      <w:szCs w:val="21"/>
                    </w:rPr>
                    <w:t>36072900400702101</w:t>
                  </w:r>
                </w:p>
              </w:tc>
              <w:tc>
                <w:tcPr>
                  <w:tcW w:w="958" w:type="dxa"/>
                  <w:vAlign w:val="top"/>
                </w:tcPr>
                <w:p>
                  <w:pPr>
                    <w:pStyle w:val="11"/>
                    <w:spacing w:before="36" w:line="234" w:lineRule="auto"/>
                    <w:ind w:left="252" w:leftChars="0" w:right="129" w:rightChars="0" w:hanging="109" w:firstLineChars="0"/>
                    <w:jc w:val="center"/>
                    <w:rPr>
                      <w:sz w:val="21"/>
                      <w:szCs w:val="21"/>
                    </w:rPr>
                  </w:pPr>
                  <w:r>
                    <w:rPr>
                      <w:spacing w:val="8"/>
                      <w:sz w:val="21"/>
                      <w:szCs w:val="21"/>
                    </w:rPr>
                    <w:t>一般用</w:t>
                  </w:r>
                  <w:r>
                    <w:rPr>
                      <w:sz w:val="21"/>
                      <w:szCs w:val="21"/>
                    </w:rPr>
                    <w:t xml:space="preserve"> </w:t>
                  </w:r>
                  <w:r>
                    <w:rPr>
                      <w:spacing w:val="-3"/>
                      <w:sz w:val="21"/>
                      <w:szCs w:val="21"/>
                    </w:rPr>
                    <w:t>材林</w:t>
                  </w:r>
                </w:p>
              </w:tc>
              <w:tc>
                <w:tcPr>
                  <w:tcW w:w="971" w:type="dxa"/>
                  <w:vAlign w:val="top"/>
                </w:tcPr>
                <w:p>
                  <w:pPr>
                    <w:pStyle w:val="11"/>
                    <w:spacing w:before="216" w:line="239" w:lineRule="auto"/>
                    <w:ind w:left="115" w:leftChars="0"/>
                    <w:jc w:val="center"/>
                    <w:rPr>
                      <w:sz w:val="21"/>
                      <w:szCs w:val="21"/>
                    </w:rPr>
                  </w:pPr>
                  <w:r>
                    <w:rPr>
                      <w:spacing w:val="-2"/>
                      <w:sz w:val="21"/>
                      <w:szCs w:val="21"/>
                    </w:rPr>
                    <w:t>230.45</w:t>
                  </w:r>
                </w:p>
              </w:tc>
              <w:tc>
                <w:tcPr>
                  <w:tcW w:w="1317" w:type="dxa"/>
                  <w:vAlign w:val="top"/>
                </w:tcPr>
                <w:p>
                  <w:pPr>
                    <w:pStyle w:val="11"/>
                    <w:spacing w:before="195" w:line="219" w:lineRule="auto"/>
                    <w:ind w:left="226" w:leftChars="0"/>
                    <w:jc w:val="center"/>
                    <w:rPr>
                      <w:sz w:val="21"/>
                      <w:szCs w:val="21"/>
                    </w:rPr>
                  </w:pPr>
                  <w:r>
                    <w:rPr>
                      <w:spacing w:val="-11"/>
                      <w:sz w:val="21"/>
                      <w:szCs w:val="21"/>
                    </w:rPr>
                    <w:t>7</w:t>
                  </w:r>
                  <w:r>
                    <w:rPr>
                      <w:spacing w:val="-24"/>
                      <w:sz w:val="21"/>
                      <w:szCs w:val="21"/>
                    </w:rPr>
                    <w:t xml:space="preserve"> </w:t>
                  </w:r>
                  <w:r>
                    <w:rPr>
                      <w:spacing w:val="-11"/>
                      <w:sz w:val="21"/>
                      <w:szCs w:val="21"/>
                    </w:rPr>
                    <w:t>马</w:t>
                  </w:r>
                  <w:r>
                    <w:rPr>
                      <w:spacing w:val="-27"/>
                      <w:sz w:val="21"/>
                      <w:szCs w:val="21"/>
                    </w:rPr>
                    <w:t xml:space="preserve"> </w:t>
                  </w:r>
                  <w:r>
                    <w:rPr>
                      <w:spacing w:val="-11"/>
                      <w:sz w:val="21"/>
                      <w:szCs w:val="21"/>
                    </w:rPr>
                    <w:t>3</w:t>
                  </w:r>
                  <w:r>
                    <w:rPr>
                      <w:spacing w:val="-31"/>
                      <w:sz w:val="21"/>
                      <w:szCs w:val="21"/>
                    </w:rPr>
                    <w:t xml:space="preserve"> </w:t>
                  </w:r>
                  <w:r>
                    <w:rPr>
                      <w:spacing w:val="-11"/>
                      <w:sz w:val="21"/>
                      <w:szCs w:val="21"/>
                    </w:rPr>
                    <w:t>杉</w:t>
                  </w:r>
                </w:p>
              </w:tc>
              <w:tc>
                <w:tcPr>
                  <w:tcW w:w="752" w:type="dxa"/>
                  <w:vAlign w:val="top"/>
                </w:tcPr>
                <w:p>
                  <w:pPr>
                    <w:pStyle w:val="11"/>
                    <w:spacing w:before="216"/>
                    <w:ind w:left="306" w:leftChars="0"/>
                    <w:jc w:val="center"/>
                    <w:rPr>
                      <w:sz w:val="21"/>
                      <w:szCs w:val="21"/>
                    </w:rPr>
                  </w:pPr>
                  <w:r>
                    <w:rPr>
                      <w:sz w:val="21"/>
                      <w:szCs w:val="21"/>
                    </w:rPr>
                    <w:t>6</w:t>
                  </w:r>
                </w:p>
              </w:tc>
              <w:tc>
                <w:tcPr>
                  <w:tcW w:w="757" w:type="dxa"/>
                  <w:vAlign w:val="top"/>
                </w:tcPr>
                <w:p>
                  <w:pPr>
                    <w:pStyle w:val="11"/>
                    <w:spacing w:before="195" w:line="219" w:lineRule="auto"/>
                    <w:ind w:left="317" w:leftChars="0"/>
                    <w:jc w:val="center"/>
                    <w:rPr>
                      <w:sz w:val="21"/>
                      <w:szCs w:val="21"/>
                    </w:rPr>
                  </w:pPr>
                  <w:r>
                    <w:rPr>
                      <w:spacing w:val="-3"/>
                      <w:sz w:val="21"/>
                      <w:szCs w:val="21"/>
                    </w:rPr>
                    <w:t>择伐</w:t>
                  </w:r>
                </w:p>
              </w:tc>
              <w:tc>
                <w:tcPr>
                  <w:tcW w:w="847" w:type="dxa"/>
                  <w:vAlign w:val="top"/>
                </w:tcPr>
                <w:p>
                  <w:pPr>
                    <w:pStyle w:val="11"/>
                    <w:spacing w:before="216"/>
                    <w:ind w:left="239" w:leftChars="0"/>
                    <w:jc w:val="center"/>
                    <w:rPr>
                      <w:sz w:val="21"/>
                      <w:szCs w:val="21"/>
                    </w:rPr>
                  </w:pPr>
                  <w:r>
                    <w:rPr>
                      <w:spacing w:val="-6"/>
                      <w:sz w:val="21"/>
                      <w:szCs w:val="21"/>
                    </w:rPr>
                    <w:t>150</w:t>
                  </w:r>
                </w:p>
              </w:tc>
              <w:tc>
                <w:tcPr>
                  <w:tcW w:w="411" w:type="dxa"/>
                  <w:vAlign w:val="top"/>
                </w:tcPr>
                <w:p>
                  <w:pPr>
                    <w:pStyle w:val="11"/>
                    <w:spacing w:before="229" w:line="238" w:lineRule="auto"/>
                    <w:ind w:left="110" w:leftChars="0"/>
                    <w:jc w:val="center"/>
                    <w:rPr>
                      <w:sz w:val="21"/>
                      <w:szCs w:val="21"/>
                    </w:rPr>
                  </w:pPr>
                  <w:r>
                    <w:rPr>
                      <w:sz w:val="16"/>
                      <w:szCs w:val="16"/>
                    </w:rPr>
                    <w:t>√</w:t>
                  </w:r>
                </w:p>
              </w:tc>
              <w:tc>
                <w:tcPr>
                  <w:tcW w:w="300" w:type="dxa"/>
                  <w:vAlign w:val="top"/>
                </w:tcPr>
                <w:p>
                  <w:pPr>
                    <w:jc w:val="center"/>
                    <w:rPr>
                      <w:rFonts w:ascii="Arial"/>
                      <w:sz w:val="21"/>
                      <w:szCs w:val="21"/>
                    </w:rPr>
                  </w:pPr>
                </w:p>
              </w:tc>
              <w:tc>
                <w:tcPr>
                  <w:tcW w:w="333" w:type="dxa"/>
                  <w:vAlign w:val="top"/>
                </w:tcPr>
                <w:p>
                  <w:pPr>
                    <w:jc w:val="center"/>
                    <w:rPr>
                      <w:rFonts w:ascii="Arial"/>
                      <w:sz w:val="21"/>
                      <w:szCs w:val="21"/>
                    </w:rPr>
                  </w:pPr>
                </w:p>
              </w:tc>
              <w:tc>
                <w:tcPr>
                  <w:tcW w:w="324" w:type="dxa"/>
                  <w:vAlign w:val="top"/>
                </w:tcPr>
                <w:p>
                  <w:pPr>
                    <w:jc w:val="center"/>
                    <w:rPr>
                      <w:rFonts w:ascii="Arial"/>
                      <w:sz w:val="21"/>
                      <w:szCs w:val="21"/>
                    </w:rPr>
                  </w:pPr>
                </w:p>
              </w:tc>
              <w:tc>
                <w:tcPr>
                  <w:tcW w:w="299" w:type="dxa"/>
                  <w:vAlign w:val="top"/>
                </w:tcPr>
                <w:p>
                  <w:pPr>
                    <w:jc w:val="center"/>
                    <w:rPr>
                      <w:rFonts w:ascii="Arial"/>
                      <w:sz w:val="21"/>
                      <w:szCs w:val="21"/>
                    </w:rPr>
                  </w:pPr>
                </w:p>
              </w:tc>
              <w:tc>
                <w:tcPr>
                  <w:tcW w:w="339" w:type="dxa"/>
                  <w:vAlign w:val="top"/>
                </w:tcPr>
                <w:p>
                  <w:pPr>
                    <w:pStyle w:val="11"/>
                    <w:spacing w:before="229" w:line="238" w:lineRule="auto"/>
                    <w:ind w:left="120" w:leftChars="0"/>
                    <w:jc w:val="center"/>
                    <w:rPr>
                      <w:sz w:val="21"/>
                      <w:szCs w:val="21"/>
                    </w:rPr>
                  </w:pPr>
                  <w:r>
                    <w:rPr>
                      <w:sz w:val="16"/>
                      <w:szCs w:val="16"/>
                    </w:rPr>
                    <w:t>√</w:t>
                  </w:r>
                </w:p>
              </w:tc>
              <w:tc>
                <w:tcPr>
                  <w:tcW w:w="438" w:type="dxa"/>
                  <w:vAlign w:val="top"/>
                </w:tcPr>
                <w:p>
                  <w:pPr>
                    <w:pStyle w:val="11"/>
                    <w:spacing w:before="229" w:line="238" w:lineRule="auto"/>
                    <w:ind w:left="129" w:leftChars="0"/>
                    <w:jc w:val="center"/>
                    <w:rPr>
                      <w:sz w:val="21"/>
                      <w:szCs w:val="21"/>
                    </w:rPr>
                  </w:pPr>
                  <w:r>
                    <w:rPr>
                      <w:sz w:val="16"/>
                      <w:szCs w:val="16"/>
                    </w:rPr>
                    <w:t>√</w:t>
                  </w:r>
                </w:p>
              </w:tc>
              <w:tc>
                <w:tcPr>
                  <w:tcW w:w="516" w:type="dxa"/>
                  <w:vAlign w:val="top"/>
                </w:tcPr>
                <w:p>
                  <w:pPr>
                    <w:pStyle w:val="11"/>
                    <w:spacing w:before="195" w:line="219" w:lineRule="auto"/>
                    <w:ind w:left="60" w:leftChars="0"/>
                    <w:jc w:val="center"/>
                    <w:rPr>
                      <w:sz w:val="21"/>
                      <w:szCs w:val="21"/>
                    </w:rPr>
                  </w:pPr>
                  <w:r>
                    <w:rPr>
                      <w:spacing w:val="-2"/>
                      <w:sz w:val="21"/>
                      <w:szCs w:val="21"/>
                    </w:rPr>
                    <w:t>病死树下降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9" w:hRule="atLeast"/>
              </w:trPr>
              <w:tc>
                <w:tcPr>
                  <w:tcW w:w="367" w:type="dxa"/>
                  <w:vAlign w:val="top"/>
                </w:tcPr>
                <w:p>
                  <w:pPr>
                    <w:pStyle w:val="11"/>
                    <w:spacing w:before="82" w:line="200" w:lineRule="auto"/>
                    <w:ind w:left="204"/>
                    <w:jc w:val="center"/>
                    <w:rPr>
                      <w:sz w:val="21"/>
                      <w:szCs w:val="21"/>
                    </w:rPr>
                  </w:pPr>
                  <w:r>
                    <w:rPr>
                      <w:sz w:val="21"/>
                      <w:szCs w:val="21"/>
                    </w:rPr>
                    <w:t>6</w:t>
                  </w:r>
                </w:p>
              </w:tc>
              <w:tc>
                <w:tcPr>
                  <w:tcW w:w="483" w:type="dxa"/>
                  <w:vAlign w:val="top"/>
                </w:tcPr>
                <w:p>
                  <w:pPr>
                    <w:pStyle w:val="11"/>
                    <w:spacing w:before="196" w:line="219" w:lineRule="auto"/>
                    <w:ind w:left="180" w:leftChars="0"/>
                    <w:jc w:val="center"/>
                    <w:rPr>
                      <w:sz w:val="21"/>
                      <w:szCs w:val="21"/>
                    </w:rPr>
                  </w:pPr>
                  <w:r>
                    <w:rPr>
                      <w:spacing w:val="-3"/>
                      <w:sz w:val="21"/>
                      <w:szCs w:val="21"/>
                    </w:rPr>
                    <w:t>南迳镇</w:t>
                  </w:r>
                </w:p>
              </w:tc>
              <w:tc>
                <w:tcPr>
                  <w:tcW w:w="600" w:type="dxa"/>
                  <w:vAlign w:val="top"/>
                </w:tcPr>
                <w:p>
                  <w:pPr>
                    <w:pStyle w:val="11"/>
                    <w:spacing w:before="195" w:line="219" w:lineRule="auto"/>
                    <w:ind w:left="192" w:leftChars="0"/>
                    <w:jc w:val="center"/>
                    <w:rPr>
                      <w:sz w:val="21"/>
                      <w:szCs w:val="21"/>
                    </w:rPr>
                  </w:pPr>
                  <w:r>
                    <w:rPr>
                      <w:spacing w:val="-3"/>
                      <w:sz w:val="21"/>
                      <w:szCs w:val="21"/>
                    </w:rPr>
                    <w:t>罗田村</w:t>
                  </w:r>
                </w:p>
              </w:tc>
              <w:tc>
                <w:tcPr>
                  <w:tcW w:w="1454" w:type="dxa"/>
                  <w:vAlign w:val="top"/>
                </w:tcPr>
                <w:p>
                  <w:pPr>
                    <w:pStyle w:val="11"/>
                    <w:spacing w:before="217"/>
                    <w:ind w:left="13" w:leftChars="0"/>
                    <w:jc w:val="center"/>
                    <w:rPr>
                      <w:sz w:val="21"/>
                      <w:szCs w:val="21"/>
                    </w:rPr>
                  </w:pPr>
                  <w:r>
                    <w:rPr>
                      <w:spacing w:val="-1"/>
                      <w:sz w:val="21"/>
                      <w:szCs w:val="21"/>
                    </w:rPr>
                    <w:t>36072900400702508</w:t>
                  </w:r>
                </w:p>
              </w:tc>
              <w:tc>
                <w:tcPr>
                  <w:tcW w:w="958" w:type="dxa"/>
                  <w:vAlign w:val="top"/>
                </w:tcPr>
                <w:p>
                  <w:pPr>
                    <w:pStyle w:val="11"/>
                    <w:spacing w:before="48" w:line="229" w:lineRule="auto"/>
                    <w:ind w:left="252" w:leftChars="0" w:right="129" w:rightChars="0" w:hanging="109" w:firstLineChars="0"/>
                    <w:jc w:val="center"/>
                    <w:rPr>
                      <w:sz w:val="21"/>
                      <w:szCs w:val="21"/>
                    </w:rPr>
                  </w:pPr>
                  <w:r>
                    <w:rPr>
                      <w:spacing w:val="8"/>
                      <w:sz w:val="21"/>
                      <w:szCs w:val="21"/>
                    </w:rPr>
                    <w:t>一般用</w:t>
                  </w:r>
                  <w:r>
                    <w:rPr>
                      <w:sz w:val="21"/>
                      <w:szCs w:val="21"/>
                    </w:rPr>
                    <w:t xml:space="preserve"> </w:t>
                  </w:r>
                  <w:r>
                    <w:rPr>
                      <w:spacing w:val="-3"/>
                      <w:sz w:val="21"/>
                      <w:szCs w:val="21"/>
                    </w:rPr>
                    <w:t>材林</w:t>
                  </w:r>
                </w:p>
              </w:tc>
              <w:tc>
                <w:tcPr>
                  <w:tcW w:w="971" w:type="dxa"/>
                  <w:vAlign w:val="top"/>
                </w:tcPr>
                <w:p>
                  <w:pPr>
                    <w:pStyle w:val="11"/>
                    <w:spacing w:before="217" w:line="239" w:lineRule="auto"/>
                    <w:ind w:left="224" w:leftChars="0"/>
                    <w:jc w:val="center"/>
                    <w:rPr>
                      <w:sz w:val="21"/>
                      <w:szCs w:val="21"/>
                    </w:rPr>
                  </w:pPr>
                  <w:r>
                    <w:rPr>
                      <w:spacing w:val="-2"/>
                      <w:sz w:val="21"/>
                      <w:szCs w:val="21"/>
                    </w:rPr>
                    <w:t>6.09</w:t>
                  </w:r>
                </w:p>
              </w:tc>
              <w:tc>
                <w:tcPr>
                  <w:tcW w:w="1317" w:type="dxa"/>
                  <w:vAlign w:val="top"/>
                </w:tcPr>
                <w:p>
                  <w:pPr>
                    <w:pStyle w:val="11"/>
                    <w:spacing w:before="196" w:line="219" w:lineRule="auto"/>
                    <w:ind w:left="315" w:leftChars="0"/>
                    <w:jc w:val="center"/>
                    <w:rPr>
                      <w:sz w:val="21"/>
                      <w:szCs w:val="21"/>
                    </w:rPr>
                  </w:pPr>
                  <w:r>
                    <w:rPr>
                      <w:spacing w:val="4"/>
                      <w:sz w:val="21"/>
                      <w:szCs w:val="21"/>
                    </w:rPr>
                    <w:t>5杉5马</w:t>
                  </w:r>
                </w:p>
              </w:tc>
              <w:tc>
                <w:tcPr>
                  <w:tcW w:w="752" w:type="dxa"/>
                  <w:vAlign w:val="top"/>
                </w:tcPr>
                <w:p>
                  <w:pPr>
                    <w:pStyle w:val="11"/>
                    <w:spacing w:before="217"/>
                    <w:ind w:left="306" w:leftChars="0"/>
                    <w:jc w:val="center"/>
                    <w:rPr>
                      <w:sz w:val="21"/>
                      <w:szCs w:val="21"/>
                    </w:rPr>
                  </w:pPr>
                  <w:r>
                    <w:rPr>
                      <w:sz w:val="21"/>
                      <w:szCs w:val="21"/>
                    </w:rPr>
                    <w:t>3</w:t>
                  </w:r>
                </w:p>
              </w:tc>
              <w:tc>
                <w:tcPr>
                  <w:tcW w:w="757" w:type="dxa"/>
                  <w:vAlign w:val="top"/>
                </w:tcPr>
                <w:p>
                  <w:pPr>
                    <w:pStyle w:val="11"/>
                    <w:spacing w:before="196" w:line="219" w:lineRule="auto"/>
                    <w:ind w:left="107" w:leftChars="0"/>
                    <w:jc w:val="center"/>
                    <w:rPr>
                      <w:sz w:val="21"/>
                      <w:szCs w:val="21"/>
                    </w:rPr>
                  </w:pPr>
                  <w:r>
                    <w:rPr>
                      <w:spacing w:val="-3"/>
                      <w:sz w:val="21"/>
                      <w:szCs w:val="21"/>
                    </w:rPr>
                    <w:t>强度择伐</w:t>
                  </w:r>
                </w:p>
              </w:tc>
              <w:tc>
                <w:tcPr>
                  <w:tcW w:w="847" w:type="dxa"/>
                  <w:vAlign w:val="top"/>
                </w:tcPr>
                <w:p>
                  <w:pPr>
                    <w:pStyle w:val="11"/>
                    <w:spacing w:before="217" w:line="241" w:lineRule="auto"/>
                    <w:ind w:left="339" w:leftChars="0"/>
                    <w:jc w:val="center"/>
                    <w:rPr>
                      <w:sz w:val="21"/>
                      <w:szCs w:val="21"/>
                    </w:rPr>
                  </w:pPr>
                  <w:r>
                    <w:rPr>
                      <w:sz w:val="21"/>
                      <w:szCs w:val="21"/>
                    </w:rPr>
                    <w:t>4</w:t>
                  </w:r>
                </w:p>
              </w:tc>
              <w:tc>
                <w:tcPr>
                  <w:tcW w:w="411" w:type="dxa"/>
                  <w:vAlign w:val="top"/>
                </w:tcPr>
                <w:p>
                  <w:pPr>
                    <w:pStyle w:val="11"/>
                    <w:spacing w:before="230" w:line="238" w:lineRule="auto"/>
                    <w:ind w:left="110" w:leftChars="0"/>
                    <w:jc w:val="center"/>
                    <w:rPr>
                      <w:sz w:val="21"/>
                      <w:szCs w:val="21"/>
                    </w:rPr>
                  </w:pPr>
                  <w:r>
                    <w:rPr>
                      <w:sz w:val="16"/>
                      <w:szCs w:val="16"/>
                    </w:rPr>
                    <w:t>√</w:t>
                  </w:r>
                </w:p>
              </w:tc>
              <w:tc>
                <w:tcPr>
                  <w:tcW w:w="300" w:type="dxa"/>
                  <w:vAlign w:val="top"/>
                </w:tcPr>
                <w:p>
                  <w:pPr>
                    <w:jc w:val="center"/>
                    <w:rPr>
                      <w:rFonts w:ascii="Arial"/>
                      <w:sz w:val="21"/>
                      <w:szCs w:val="21"/>
                    </w:rPr>
                  </w:pPr>
                </w:p>
              </w:tc>
              <w:tc>
                <w:tcPr>
                  <w:tcW w:w="333" w:type="dxa"/>
                  <w:vAlign w:val="top"/>
                </w:tcPr>
                <w:p>
                  <w:pPr>
                    <w:pStyle w:val="11"/>
                    <w:spacing w:before="230" w:line="238" w:lineRule="auto"/>
                    <w:ind w:left="149" w:leftChars="0"/>
                    <w:jc w:val="center"/>
                    <w:rPr>
                      <w:rFonts w:ascii="Arial"/>
                      <w:sz w:val="21"/>
                      <w:szCs w:val="21"/>
                    </w:rPr>
                  </w:pPr>
                  <w:r>
                    <w:rPr>
                      <w:sz w:val="16"/>
                      <w:szCs w:val="16"/>
                    </w:rPr>
                    <w:t>√</w:t>
                  </w:r>
                </w:p>
              </w:tc>
              <w:tc>
                <w:tcPr>
                  <w:tcW w:w="324" w:type="dxa"/>
                  <w:vAlign w:val="top"/>
                </w:tcPr>
                <w:p>
                  <w:pPr>
                    <w:jc w:val="center"/>
                    <w:rPr>
                      <w:rFonts w:ascii="Arial"/>
                      <w:sz w:val="21"/>
                      <w:szCs w:val="21"/>
                    </w:rPr>
                  </w:pPr>
                </w:p>
              </w:tc>
              <w:tc>
                <w:tcPr>
                  <w:tcW w:w="299" w:type="dxa"/>
                  <w:vAlign w:val="top"/>
                </w:tcPr>
                <w:p>
                  <w:pPr>
                    <w:jc w:val="center"/>
                    <w:rPr>
                      <w:rFonts w:ascii="Arial"/>
                      <w:sz w:val="21"/>
                      <w:szCs w:val="21"/>
                    </w:rPr>
                  </w:pPr>
                </w:p>
              </w:tc>
              <w:tc>
                <w:tcPr>
                  <w:tcW w:w="339" w:type="dxa"/>
                  <w:vAlign w:val="top"/>
                </w:tcPr>
                <w:p>
                  <w:pPr>
                    <w:pStyle w:val="11"/>
                    <w:spacing w:before="230" w:line="238" w:lineRule="auto"/>
                    <w:ind w:left="120" w:leftChars="0"/>
                    <w:jc w:val="center"/>
                    <w:rPr>
                      <w:sz w:val="21"/>
                      <w:szCs w:val="21"/>
                    </w:rPr>
                  </w:pPr>
                  <w:r>
                    <w:rPr>
                      <w:sz w:val="16"/>
                      <w:szCs w:val="16"/>
                    </w:rPr>
                    <w:t>√</w:t>
                  </w:r>
                </w:p>
              </w:tc>
              <w:tc>
                <w:tcPr>
                  <w:tcW w:w="438" w:type="dxa"/>
                  <w:vAlign w:val="top"/>
                </w:tcPr>
                <w:p>
                  <w:pPr>
                    <w:pStyle w:val="11"/>
                    <w:spacing w:before="230" w:line="238" w:lineRule="auto"/>
                    <w:ind w:left="129" w:leftChars="0"/>
                    <w:jc w:val="center"/>
                    <w:rPr>
                      <w:sz w:val="21"/>
                      <w:szCs w:val="21"/>
                    </w:rPr>
                  </w:pPr>
                  <w:r>
                    <w:rPr>
                      <w:sz w:val="16"/>
                      <w:szCs w:val="16"/>
                    </w:rPr>
                    <w:t>√</w:t>
                  </w:r>
                </w:p>
              </w:tc>
              <w:tc>
                <w:tcPr>
                  <w:tcW w:w="516" w:type="dxa"/>
                  <w:vAlign w:val="top"/>
                </w:tcPr>
                <w:p>
                  <w:pPr>
                    <w:pStyle w:val="11"/>
                    <w:spacing w:before="197" w:line="220" w:lineRule="auto"/>
                    <w:ind w:left="60" w:leftChars="0"/>
                    <w:jc w:val="center"/>
                    <w:rPr>
                      <w:sz w:val="21"/>
                      <w:szCs w:val="21"/>
                    </w:rPr>
                  </w:pPr>
                  <w:r>
                    <w:rPr>
                      <w:spacing w:val="1"/>
                      <w:sz w:val="21"/>
                      <w:szCs w:val="21"/>
                    </w:rPr>
                    <w:t>实现无疫情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9" w:hRule="atLeast"/>
              </w:trPr>
              <w:tc>
                <w:tcPr>
                  <w:tcW w:w="3862" w:type="dxa"/>
                  <w:gridSpan w:val="5"/>
                  <w:vAlign w:val="top"/>
                </w:tcPr>
                <w:p>
                  <w:pPr>
                    <w:pStyle w:val="11"/>
                    <w:spacing w:before="67" w:line="219" w:lineRule="auto"/>
                    <w:ind w:left="173"/>
                    <w:jc w:val="right"/>
                    <w:rPr>
                      <w:rFonts w:hint="default" w:eastAsia="宋体"/>
                      <w:spacing w:val="-3"/>
                      <w:sz w:val="21"/>
                      <w:szCs w:val="21"/>
                      <w:lang w:val="en-US" w:eastAsia="zh-CN"/>
                    </w:rPr>
                  </w:pPr>
                  <w:r>
                    <w:rPr>
                      <w:rFonts w:hint="eastAsia"/>
                      <w:spacing w:val="-3"/>
                      <w:sz w:val="21"/>
                      <w:szCs w:val="21"/>
                      <w:lang w:val="en-US" w:eastAsia="zh-CN"/>
                    </w:rPr>
                    <w:t>合计：</w:t>
                  </w:r>
                </w:p>
              </w:tc>
              <w:tc>
                <w:tcPr>
                  <w:tcW w:w="971" w:type="dxa"/>
                  <w:vAlign w:val="top"/>
                </w:tcPr>
                <w:p>
                  <w:pPr>
                    <w:pStyle w:val="11"/>
                    <w:spacing w:before="89" w:line="221" w:lineRule="auto"/>
                    <w:jc w:val="center"/>
                    <w:rPr>
                      <w:rFonts w:hint="default"/>
                      <w:spacing w:val="-3"/>
                      <w:sz w:val="21"/>
                      <w:szCs w:val="21"/>
                      <w:lang w:val="en-US" w:eastAsia="zh-CN"/>
                    </w:rPr>
                  </w:pPr>
                  <w:r>
                    <w:rPr>
                      <w:rFonts w:hint="default"/>
                      <w:spacing w:val="-3"/>
                      <w:sz w:val="21"/>
                      <w:szCs w:val="21"/>
                      <w:lang w:val="en-US" w:eastAsia="zh-CN"/>
                    </w:rPr>
                    <w:fldChar w:fldCharType="begin"/>
                  </w:r>
                  <w:r>
                    <w:rPr>
                      <w:rFonts w:hint="default"/>
                      <w:spacing w:val="-3"/>
                      <w:sz w:val="21"/>
                      <w:szCs w:val="21"/>
                      <w:lang w:val="en-US" w:eastAsia="zh-CN"/>
                    </w:rPr>
                    <w:instrText xml:space="preserve"> = sum(F3:F8) \* MERGEFORMAT </w:instrText>
                  </w:r>
                  <w:r>
                    <w:rPr>
                      <w:rFonts w:hint="default"/>
                      <w:spacing w:val="-3"/>
                      <w:sz w:val="21"/>
                      <w:szCs w:val="21"/>
                      <w:lang w:val="en-US" w:eastAsia="zh-CN"/>
                    </w:rPr>
                    <w:fldChar w:fldCharType="separate"/>
                  </w:r>
                  <w:r>
                    <w:rPr>
                      <w:rFonts w:hint="default"/>
                      <w:spacing w:val="-3"/>
                      <w:sz w:val="21"/>
                      <w:szCs w:val="21"/>
                      <w:lang w:val="en-US" w:eastAsia="zh-CN"/>
                    </w:rPr>
                    <w:t>854.39</w:t>
                  </w:r>
                  <w:r>
                    <w:rPr>
                      <w:rFonts w:hint="default"/>
                      <w:spacing w:val="-3"/>
                      <w:sz w:val="21"/>
                      <w:szCs w:val="21"/>
                      <w:lang w:val="en-US" w:eastAsia="zh-CN"/>
                    </w:rPr>
                    <w:fldChar w:fldCharType="end"/>
                  </w:r>
                </w:p>
              </w:tc>
              <w:tc>
                <w:tcPr>
                  <w:tcW w:w="1317" w:type="dxa"/>
                  <w:vAlign w:val="top"/>
                </w:tcPr>
                <w:p>
                  <w:pPr>
                    <w:pStyle w:val="11"/>
                    <w:spacing w:before="89" w:line="221" w:lineRule="auto"/>
                    <w:ind w:left="235"/>
                    <w:jc w:val="center"/>
                    <w:rPr>
                      <w:spacing w:val="-3"/>
                      <w:sz w:val="21"/>
                      <w:szCs w:val="21"/>
                    </w:rPr>
                  </w:pPr>
                </w:p>
              </w:tc>
              <w:tc>
                <w:tcPr>
                  <w:tcW w:w="752" w:type="dxa"/>
                  <w:vAlign w:val="top"/>
                </w:tcPr>
                <w:p>
                  <w:pPr>
                    <w:pStyle w:val="11"/>
                    <w:spacing w:before="89" w:line="221" w:lineRule="auto"/>
                    <w:ind w:left="317"/>
                    <w:jc w:val="both"/>
                    <w:rPr>
                      <w:sz w:val="21"/>
                      <w:szCs w:val="21"/>
                    </w:rPr>
                  </w:pPr>
                </w:p>
              </w:tc>
              <w:tc>
                <w:tcPr>
                  <w:tcW w:w="757" w:type="dxa"/>
                  <w:vAlign w:val="top"/>
                </w:tcPr>
                <w:p>
                  <w:pPr>
                    <w:pStyle w:val="11"/>
                    <w:spacing w:before="69" w:line="219" w:lineRule="auto"/>
                    <w:ind w:left="327"/>
                    <w:jc w:val="both"/>
                    <w:rPr>
                      <w:spacing w:val="-3"/>
                      <w:sz w:val="21"/>
                      <w:szCs w:val="21"/>
                    </w:rPr>
                  </w:pPr>
                </w:p>
              </w:tc>
              <w:tc>
                <w:tcPr>
                  <w:tcW w:w="847" w:type="dxa"/>
                  <w:vAlign w:val="top"/>
                </w:tcPr>
                <w:p>
                  <w:pPr>
                    <w:pStyle w:val="11"/>
                    <w:spacing w:before="89" w:line="221" w:lineRule="auto"/>
                    <w:jc w:val="both"/>
                    <w:rPr>
                      <w:sz w:val="21"/>
                      <w:szCs w:val="21"/>
                    </w:rPr>
                  </w:pPr>
                  <w:r>
                    <w:rPr>
                      <w:sz w:val="21"/>
                      <w:szCs w:val="21"/>
                    </w:rPr>
                    <w:fldChar w:fldCharType="begin"/>
                  </w:r>
                  <w:r>
                    <w:rPr>
                      <w:sz w:val="21"/>
                      <w:szCs w:val="21"/>
                    </w:rPr>
                    <w:instrText xml:space="preserve"> = sum(F3:F8) \* MERGEFORMAT </w:instrText>
                  </w:r>
                  <w:r>
                    <w:rPr>
                      <w:sz w:val="21"/>
                      <w:szCs w:val="21"/>
                    </w:rPr>
                    <w:fldChar w:fldCharType="separate"/>
                  </w:r>
                  <w:r>
                    <w:rPr>
                      <w:sz w:val="21"/>
                      <w:szCs w:val="21"/>
                    </w:rPr>
                    <w:fldChar w:fldCharType="end"/>
                  </w:r>
                </w:p>
              </w:tc>
              <w:tc>
                <w:tcPr>
                  <w:tcW w:w="411" w:type="dxa"/>
                  <w:vAlign w:val="top"/>
                </w:tcPr>
                <w:p>
                  <w:pPr>
                    <w:pStyle w:val="11"/>
                    <w:spacing w:before="103" w:line="238" w:lineRule="auto"/>
                    <w:ind w:left="159"/>
                    <w:jc w:val="both"/>
                    <w:rPr>
                      <w:sz w:val="21"/>
                      <w:szCs w:val="21"/>
                    </w:rPr>
                  </w:pPr>
                </w:p>
              </w:tc>
              <w:tc>
                <w:tcPr>
                  <w:tcW w:w="300" w:type="dxa"/>
                  <w:vAlign w:val="top"/>
                </w:tcPr>
                <w:p>
                  <w:pPr>
                    <w:jc w:val="both"/>
                    <w:rPr>
                      <w:rFonts w:ascii="Arial"/>
                      <w:sz w:val="21"/>
                      <w:szCs w:val="21"/>
                    </w:rPr>
                  </w:pPr>
                </w:p>
              </w:tc>
              <w:tc>
                <w:tcPr>
                  <w:tcW w:w="333" w:type="dxa"/>
                  <w:vAlign w:val="top"/>
                </w:tcPr>
                <w:p>
                  <w:pPr>
                    <w:jc w:val="both"/>
                    <w:rPr>
                      <w:rFonts w:ascii="Arial"/>
                      <w:sz w:val="21"/>
                      <w:szCs w:val="21"/>
                    </w:rPr>
                  </w:pPr>
                </w:p>
              </w:tc>
              <w:tc>
                <w:tcPr>
                  <w:tcW w:w="324" w:type="dxa"/>
                  <w:vAlign w:val="top"/>
                </w:tcPr>
                <w:p>
                  <w:pPr>
                    <w:jc w:val="both"/>
                    <w:rPr>
                      <w:rFonts w:ascii="Arial"/>
                      <w:sz w:val="21"/>
                      <w:szCs w:val="21"/>
                    </w:rPr>
                  </w:pPr>
                </w:p>
              </w:tc>
              <w:tc>
                <w:tcPr>
                  <w:tcW w:w="299" w:type="dxa"/>
                  <w:vAlign w:val="top"/>
                </w:tcPr>
                <w:p>
                  <w:pPr>
                    <w:jc w:val="both"/>
                    <w:rPr>
                      <w:rFonts w:ascii="Arial"/>
                      <w:sz w:val="21"/>
                      <w:szCs w:val="21"/>
                    </w:rPr>
                  </w:pPr>
                </w:p>
              </w:tc>
              <w:tc>
                <w:tcPr>
                  <w:tcW w:w="339" w:type="dxa"/>
                  <w:vAlign w:val="top"/>
                </w:tcPr>
                <w:p>
                  <w:pPr>
                    <w:pStyle w:val="11"/>
                    <w:spacing w:before="103" w:line="238" w:lineRule="auto"/>
                    <w:ind w:left="119"/>
                    <w:jc w:val="both"/>
                    <w:rPr>
                      <w:sz w:val="21"/>
                      <w:szCs w:val="21"/>
                    </w:rPr>
                  </w:pPr>
                </w:p>
              </w:tc>
              <w:tc>
                <w:tcPr>
                  <w:tcW w:w="438" w:type="dxa"/>
                  <w:vAlign w:val="top"/>
                </w:tcPr>
                <w:p>
                  <w:pPr>
                    <w:pStyle w:val="11"/>
                    <w:spacing w:before="103" w:line="238" w:lineRule="auto"/>
                    <w:ind w:left="129"/>
                    <w:jc w:val="both"/>
                    <w:rPr>
                      <w:sz w:val="21"/>
                      <w:szCs w:val="21"/>
                    </w:rPr>
                  </w:pPr>
                </w:p>
              </w:tc>
              <w:tc>
                <w:tcPr>
                  <w:tcW w:w="516" w:type="dxa"/>
                  <w:vAlign w:val="top"/>
                </w:tcPr>
                <w:p>
                  <w:pPr>
                    <w:pStyle w:val="11"/>
                    <w:spacing w:before="69" w:line="219" w:lineRule="auto"/>
                    <w:ind w:left="90"/>
                    <w:jc w:val="both"/>
                    <w:rPr>
                      <w:spacing w:val="-2"/>
                      <w:sz w:val="21"/>
                      <w:szCs w:val="21"/>
                    </w:rPr>
                  </w:pPr>
                </w:p>
              </w:tc>
            </w:tr>
          </w:tbl>
          <w:p>
            <w:pPr>
              <w:spacing w:before="130" w:line="220" w:lineRule="auto"/>
              <w:ind w:left="2378"/>
              <w:jc w:val="center"/>
              <w:rPr>
                <w:rFonts w:ascii="宋体" w:hAnsi="宋体" w:eastAsia="宋体" w:cs="宋体"/>
                <w:b/>
                <w:bCs/>
                <w:spacing w:val="-3"/>
                <w:sz w:val="21"/>
                <w:szCs w:val="21"/>
              </w:rPr>
            </w:pPr>
          </w:p>
          <w:p>
            <w:pPr>
              <w:numPr>
                <w:ilvl w:val="0"/>
                <w:numId w:val="2"/>
              </w:numPr>
              <w:spacing w:before="91" w:line="220" w:lineRule="auto"/>
              <w:ind w:firstLine="412" w:firstLineChars="200"/>
              <w:rPr>
                <w:rFonts w:ascii="宋体" w:hAnsi="宋体" w:eastAsia="宋体" w:cs="宋体"/>
                <w:spacing w:val="-2"/>
                <w:sz w:val="21"/>
                <w:szCs w:val="21"/>
              </w:rPr>
            </w:pPr>
            <w:r>
              <w:rPr>
                <w:rFonts w:ascii="宋体" w:hAnsi="宋体" w:eastAsia="宋体" w:cs="宋体"/>
                <w:spacing w:val="-2"/>
                <w:sz w:val="21"/>
                <w:szCs w:val="21"/>
              </w:rPr>
              <w:t>防治措施</w:t>
            </w:r>
          </w:p>
          <w:p>
            <w:pPr>
              <w:numPr>
                <w:ilvl w:val="0"/>
                <w:numId w:val="0"/>
              </w:numPr>
              <w:spacing w:before="91" w:line="220" w:lineRule="auto"/>
              <w:ind w:firstLine="420" w:firstLineChars="200"/>
              <w:rPr>
                <w:color w:val="auto"/>
                <w:sz w:val="21"/>
                <w:szCs w:val="21"/>
              </w:rPr>
            </w:pPr>
            <w:r>
              <w:rPr>
                <w:rFonts w:ascii="宋体" w:hAnsi="宋体" w:eastAsia="宋体" w:cs="宋体"/>
                <w:sz w:val="21"/>
                <w:szCs w:val="21"/>
              </w:rPr>
              <w:t>根据划分结果，松材线虫病疫情防控理念由单一被动除治向主动修复森林健康和</w:t>
            </w:r>
            <w:r>
              <w:rPr>
                <w:rFonts w:ascii="宋体" w:hAnsi="宋体" w:eastAsia="宋体" w:cs="宋体"/>
                <w:spacing w:val="-1"/>
                <w:sz w:val="21"/>
                <w:szCs w:val="21"/>
              </w:rPr>
              <w:t>阻击预防疫情入侵转变。采取间伐改造、调整树种改造、更替改造、强度抚育等生态修复为主的防控思路，重点突出“清</w:t>
            </w:r>
            <w:r>
              <w:rPr>
                <w:rFonts w:ascii="宋体" w:hAnsi="宋体" w:eastAsia="宋体" w:cs="宋体"/>
                <w:spacing w:val="-2"/>
                <w:sz w:val="21"/>
                <w:szCs w:val="21"/>
              </w:rPr>
              <w:t>、改、保、防、</w:t>
            </w:r>
            <w:r>
              <w:rPr>
                <w:rFonts w:ascii="宋体" w:hAnsi="宋体" w:eastAsia="宋体" w:cs="宋体"/>
                <w:sz w:val="21"/>
                <w:szCs w:val="21"/>
              </w:rPr>
              <w:t>补、查、封”七项技术措施，全面实施疫情分区分级和分类施策治理</w:t>
            </w:r>
            <w:r>
              <w:rPr>
                <w:rFonts w:ascii="宋体" w:hAnsi="宋体" w:eastAsia="宋体" w:cs="宋体"/>
                <w:color w:val="auto"/>
                <w:sz w:val="21"/>
                <w:szCs w:val="21"/>
              </w:rPr>
              <w:t>（全南县202</w:t>
            </w:r>
            <w:r>
              <w:rPr>
                <w:rFonts w:hint="eastAsia" w:ascii="宋体" w:hAnsi="宋体" w:cs="宋体"/>
                <w:color w:val="auto"/>
                <w:sz w:val="21"/>
                <w:szCs w:val="21"/>
                <w:lang w:val="en-US" w:eastAsia="zh-CN"/>
              </w:rPr>
              <w:t>5</w:t>
            </w:r>
            <w:r>
              <w:rPr>
                <w:rFonts w:ascii="宋体" w:hAnsi="宋体" w:eastAsia="宋体" w:cs="宋体"/>
                <w:color w:val="auto"/>
                <w:sz w:val="21"/>
                <w:szCs w:val="21"/>
              </w:rPr>
              <w:t>-202</w:t>
            </w:r>
            <w:r>
              <w:rPr>
                <w:rFonts w:hint="eastAsia" w:ascii="宋体" w:hAnsi="宋体" w:cs="宋体"/>
                <w:color w:val="auto"/>
                <w:sz w:val="21"/>
                <w:szCs w:val="21"/>
                <w:lang w:val="en-US" w:eastAsia="zh-CN"/>
              </w:rPr>
              <w:t>6</w:t>
            </w:r>
            <w:r>
              <w:rPr>
                <w:rFonts w:ascii="宋体" w:hAnsi="宋体" w:eastAsia="宋体" w:cs="宋体"/>
                <w:color w:val="auto"/>
                <w:spacing w:val="-1"/>
                <w:sz w:val="21"/>
                <w:szCs w:val="21"/>
              </w:rPr>
              <w:t>年度松材线虫病防治实施</w:t>
            </w:r>
            <w:r>
              <w:rPr>
                <w:rFonts w:ascii="宋体" w:hAnsi="宋体" w:eastAsia="宋体" w:cs="宋体"/>
                <w:color w:val="auto"/>
                <w:sz w:val="21"/>
                <w:szCs w:val="21"/>
              </w:rPr>
              <w:t>方案-附件3）.</w:t>
            </w:r>
          </w:p>
          <w:p>
            <w:pPr>
              <w:numPr>
                <w:ilvl w:val="0"/>
                <w:numId w:val="3"/>
              </w:numPr>
              <w:spacing w:before="91" w:line="217" w:lineRule="auto"/>
              <w:ind w:left="581"/>
              <w:rPr>
                <w:rFonts w:ascii="宋体" w:hAnsi="宋体" w:eastAsia="宋体" w:cs="宋体"/>
                <w:spacing w:val="-3"/>
                <w:sz w:val="21"/>
                <w:szCs w:val="21"/>
              </w:rPr>
            </w:pPr>
            <w:r>
              <w:rPr>
                <w:rFonts w:ascii="宋体" w:hAnsi="宋体" w:eastAsia="宋体" w:cs="宋体"/>
                <w:spacing w:val="-2"/>
                <w:sz w:val="21"/>
                <w:szCs w:val="21"/>
              </w:rPr>
              <w:t>“清”措施。主要应用疫情发生区,定</w:t>
            </w:r>
            <w:r>
              <w:rPr>
                <w:rFonts w:ascii="宋体" w:hAnsi="宋体" w:eastAsia="宋体" w:cs="宋体"/>
                <w:spacing w:val="-3"/>
                <w:sz w:val="21"/>
                <w:szCs w:val="21"/>
              </w:rPr>
              <w:t>义为清理零星病(枯)死松树，</w:t>
            </w:r>
            <w:r>
              <w:rPr>
                <w:rFonts w:ascii="宋体" w:hAnsi="宋体" w:eastAsia="宋体" w:cs="宋体"/>
                <w:sz w:val="21"/>
                <w:szCs w:val="21"/>
              </w:rPr>
              <w:t>包括“集中除治”和“即死即清”两种方式。集</w:t>
            </w:r>
            <w:r>
              <w:rPr>
                <w:rFonts w:ascii="宋体" w:hAnsi="宋体" w:eastAsia="宋体" w:cs="宋体"/>
                <w:spacing w:val="-1"/>
                <w:sz w:val="21"/>
                <w:szCs w:val="21"/>
              </w:rPr>
              <w:t>中除治期内，对未列入更替</w:t>
            </w:r>
            <w:r>
              <w:rPr>
                <w:rFonts w:ascii="宋体" w:hAnsi="宋体" w:eastAsia="宋体" w:cs="宋体"/>
                <w:sz w:val="21"/>
                <w:szCs w:val="21"/>
              </w:rPr>
              <w:t>改造、强度择伐改造、森林抚育等生态修复的疫情</w:t>
            </w:r>
            <w:r>
              <w:rPr>
                <w:rFonts w:ascii="宋体" w:hAnsi="宋体" w:eastAsia="宋体" w:cs="宋体"/>
                <w:spacing w:val="-1"/>
                <w:sz w:val="21"/>
                <w:szCs w:val="21"/>
              </w:rPr>
              <w:t>发生小班，集中采伐清理</w:t>
            </w:r>
            <w:r>
              <w:rPr>
                <w:rFonts w:ascii="宋体" w:hAnsi="宋体" w:eastAsia="宋体" w:cs="宋体"/>
                <w:sz w:val="21"/>
                <w:szCs w:val="21"/>
              </w:rPr>
              <w:t>病(枯)死松树，并在规定时间内除害处理到位。“</w:t>
            </w:r>
            <w:r>
              <w:rPr>
                <w:rFonts w:ascii="宋体" w:hAnsi="宋体" w:eastAsia="宋体" w:cs="宋体"/>
                <w:spacing w:val="-1"/>
                <w:sz w:val="21"/>
                <w:szCs w:val="21"/>
              </w:rPr>
              <w:t>即死即清”主要对重要生</w:t>
            </w:r>
            <w:r>
              <w:rPr>
                <w:rFonts w:ascii="宋体" w:hAnsi="宋体" w:eastAsia="宋体" w:cs="宋体"/>
                <w:spacing w:val="-2"/>
                <w:sz w:val="21"/>
                <w:szCs w:val="21"/>
              </w:rPr>
              <w:t>态区、重要通道和核心景区等重点区域，集中除治后又发现零</w:t>
            </w:r>
            <w:r>
              <w:rPr>
                <w:rFonts w:ascii="宋体" w:hAnsi="宋体" w:eastAsia="宋体" w:cs="宋体"/>
                <w:spacing w:val="-3"/>
                <w:sz w:val="21"/>
                <w:szCs w:val="21"/>
              </w:rPr>
              <w:t>星死亡松树，</w:t>
            </w:r>
            <w:r>
              <w:rPr>
                <w:rFonts w:ascii="宋体" w:hAnsi="宋体" w:eastAsia="宋体" w:cs="宋体"/>
                <w:sz w:val="21"/>
                <w:szCs w:val="21"/>
              </w:rPr>
              <w:t>及时采伐并进行除害处理。采伐的松木和直径</w:t>
            </w:r>
            <w:r>
              <w:rPr>
                <w:rFonts w:ascii="宋体" w:hAnsi="宋体" w:eastAsia="宋体" w:cs="宋体"/>
                <w:spacing w:val="-1"/>
                <w:sz w:val="21"/>
                <w:szCs w:val="21"/>
              </w:rPr>
              <w:t>超过1厘米的枝桠必须按</w:t>
            </w:r>
            <w:r>
              <w:rPr>
                <w:rFonts w:ascii="宋体" w:hAnsi="宋体" w:eastAsia="宋体" w:cs="宋体"/>
                <w:spacing w:val="-2"/>
                <w:sz w:val="21"/>
                <w:szCs w:val="21"/>
              </w:rPr>
              <w:t>照当日采伐当日就地粉碎(削片)或烧毁的要</w:t>
            </w:r>
            <w:r>
              <w:rPr>
                <w:rFonts w:ascii="宋体" w:hAnsi="宋体" w:eastAsia="宋体" w:cs="宋体"/>
                <w:spacing w:val="-3"/>
                <w:sz w:val="21"/>
                <w:szCs w:val="21"/>
              </w:rPr>
              <w:t>求进行处置。</w:t>
            </w:r>
          </w:p>
          <w:p>
            <w:pPr>
              <w:numPr>
                <w:ilvl w:val="0"/>
                <w:numId w:val="0"/>
              </w:numPr>
              <w:spacing w:before="91" w:line="217" w:lineRule="auto"/>
              <w:ind w:firstLine="416" w:firstLineChars="200"/>
              <w:rPr>
                <w:rFonts w:ascii="宋体" w:hAnsi="宋体" w:eastAsia="宋体" w:cs="宋体"/>
                <w:sz w:val="21"/>
                <w:szCs w:val="21"/>
              </w:rPr>
            </w:pPr>
            <w:r>
              <w:rPr>
                <w:rFonts w:ascii="宋体" w:hAnsi="宋体" w:eastAsia="宋体" w:cs="宋体"/>
                <w:spacing w:val="-1"/>
                <w:sz w:val="21"/>
                <w:szCs w:val="21"/>
              </w:rPr>
              <w:t>2.“改”措施。主要应用防护林、用材林生态修复。实施松林间伐改</w:t>
            </w:r>
            <w:r>
              <w:rPr>
                <w:rFonts w:ascii="宋体" w:hAnsi="宋体" w:eastAsia="宋体" w:cs="宋体"/>
                <w:sz w:val="21"/>
                <w:szCs w:val="21"/>
              </w:rPr>
              <w:t>造、更替改造、强度择伐等技术措施，提高森林生</w:t>
            </w:r>
            <w:r>
              <w:rPr>
                <w:rFonts w:ascii="宋体" w:hAnsi="宋体" w:eastAsia="宋体" w:cs="宋体"/>
                <w:spacing w:val="-1"/>
                <w:sz w:val="21"/>
                <w:szCs w:val="21"/>
              </w:rPr>
              <w:t>态稳定性，降低疫情引发的生态风险。“改”过程中，清理疫木严格按照《松材线虫病防治技术</w:t>
            </w:r>
            <w:r>
              <w:rPr>
                <w:rFonts w:ascii="宋体" w:hAnsi="宋体" w:eastAsia="宋体" w:cs="宋体"/>
                <w:spacing w:val="-2"/>
                <w:sz w:val="21"/>
                <w:szCs w:val="21"/>
              </w:rPr>
              <w:t>方案</w:t>
            </w:r>
            <w:r>
              <w:rPr>
                <w:rFonts w:ascii="宋体" w:hAnsi="宋体" w:eastAsia="宋体" w:cs="宋体"/>
                <w:spacing w:val="-4"/>
                <w:sz w:val="21"/>
                <w:szCs w:val="21"/>
              </w:rPr>
              <w:t>(2022年版)》规定技术标准执行。</w:t>
            </w:r>
          </w:p>
          <w:p>
            <w:pPr>
              <w:spacing w:before="213" w:line="289" w:lineRule="auto"/>
              <w:ind w:left="2" w:firstLine="564"/>
              <w:rPr>
                <w:rFonts w:ascii="宋体" w:hAnsi="宋体" w:eastAsia="宋体" w:cs="宋体"/>
                <w:sz w:val="21"/>
                <w:szCs w:val="21"/>
              </w:rPr>
            </w:pPr>
            <w:r>
              <w:rPr>
                <w:rFonts w:ascii="宋体" w:hAnsi="宋体" w:eastAsia="宋体" w:cs="宋体"/>
                <w:spacing w:val="-1"/>
                <w:sz w:val="21"/>
                <w:szCs w:val="21"/>
              </w:rPr>
              <w:t>3.“保”措施。主要应用于名松古松，重要生态区、景区景点等重点区域，以及实施了强度择伐、间伐改造的防护林中进行打孔注药保护</w:t>
            </w:r>
          </w:p>
          <w:p>
            <w:pPr>
              <w:spacing w:before="213" w:line="312" w:lineRule="auto"/>
              <w:ind w:left="22" w:firstLine="537"/>
              <w:rPr>
                <w:rFonts w:ascii="宋体" w:hAnsi="宋体" w:eastAsia="宋体" w:cs="宋体"/>
                <w:spacing w:val="-5"/>
                <w:sz w:val="21"/>
                <w:szCs w:val="21"/>
              </w:rPr>
            </w:pPr>
            <w:r>
              <w:rPr>
                <w:rFonts w:ascii="宋体" w:hAnsi="宋体" w:eastAsia="宋体" w:cs="宋体"/>
                <w:sz w:val="21"/>
                <w:szCs w:val="21"/>
              </w:rPr>
              <w:t>4.“防”措施。主要应用于实施了松林间伐改</w:t>
            </w:r>
            <w:r>
              <w:rPr>
                <w:rFonts w:ascii="宋体" w:hAnsi="宋体" w:eastAsia="宋体" w:cs="宋体"/>
                <w:spacing w:val="-1"/>
                <w:sz w:val="21"/>
                <w:szCs w:val="21"/>
              </w:rPr>
              <w:t>造、强度择伐的防护林，以及重要生态区、景区景点等重点区域，采取药物防治、生物防治，降低林</w:t>
            </w:r>
            <w:r>
              <w:rPr>
                <w:rFonts w:ascii="宋体" w:hAnsi="宋体" w:eastAsia="宋体" w:cs="宋体"/>
                <w:spacing w:val="-5"/>
                <w:sz w:val="21"/>
                <w:szCs w:val="21"/>
              </w:rPr>
              <w:t>间媒介昆虫松褐天牛虫口密度。</w:t>
            </w:r>
          </w:p>
          <w:p>
            <w:pPr>
              <w:spacing w:before="213" w:line="312" w:lineRule="auto"/>
              <w:ind w:left="22" w:firstLine="537"/>
              <w:rPr>
                <w:rFonts w:ascii="宋体" w:hAnsi="宋体" w:eastAsia="宋体" w:cs="宋体"/>
                <w:sz w:val="21"/>
                <w:szCs w:val="21"/>
              </w:rPr>
            </w:pPr>
            <w:r>
              <w:rPr>
                <w:rFonts w:ascii="宋体" w:hAnsi="宋体" w:eastAsia="宋体" w:cs="宋体"/>
                <w:spacing w:val="-1"/>
                <w:sz w:val="21"/>
                <w:szCs w:val="21"/>
              </w:rPr>
              <w:t>5.“补”措施。主要应用于零星清理过程出现30平方米以上林窗的，实</w:t>
            </w:r>
            <w:r>
              <w:rPr>
                <w:rFonts w:ascii="宋体" w:hAnsi="宋体" w:eastAsia="宋体" w:cs="宋体"/>
                <w:spacing w:val="-7"/>
                <w:sz w:val="21"/>
                <w:szCs w:val="21"/>
              </w:rPr>
              <w:t>施补植补造。</w:t>
            </w:r>
          </w:p>
          <w:p>
            <w:pPr>
              <w:spacing w:before="91" w:line="289" w:lineRule="auto"/>
              <w:ind w:left="24" w:right="140" w:firstLine="543"/>
              <w:rPr>
                <w:rFonts w:hint="eastAsia" w:ascii="宋体" w:hAnsi="宋体" w:eastAsia="宋体" w:cs="宋体"/>
                <w:spacing w:val="8"/>
                <w:sz w:val="21"/>
                <w:szCs w:val="21"/>
                <w:lang w:eastAsia="zh-CN"/>
              </w:rPr>
            </w:pPr>
            <w:r>
              <w:rPr>
                <w:rFonts w:ascii="宋体" w:hAnsi="宋体" w:eastAsia="宋体" w:cs="宋体"/>
                <w:spacing w:val="-1"/>
                <w:sz w:val="21"/>
                <w:szCs w:val="21"/>
              </w:rPr>
              <w:t>6.“查”措施。主要应用辖区所有乡(镇)。对所有松林监测调查,预防</w:t>
            </w:r>
            <w:r>
              <w:rPr>
                <w:rFonts w:ascii="宋体" w:hAnsi="宋体" w:eastAsia="宋体" w:cs="宋体"/>
                <w:sz w:val="21"/>
                <w:szCs w:val="21"/>
              </w:rPr>
              <w:t>区实行封锁和检疫阻截行动，阻击疫情严防疫情传</w:t>
            </w:r>
            <w:r>
              <w:rPr>
                <w:rFonts w:ascii="宋体" w:hAnsi="宋体" w:eastAsia="宋体" w:cs="宋体"/>
                <w:spacing w:val="-1"/>
                <w:sz w:val="21"/>
                <w:szCs w:val="21"/>
              </w:rPr>
              <w:t>入;对涉木企业(个人)开</w:t>
            </w:r>
            <w:r>
              <w:rPr>
                <w:rFonts w:ascii="宋体" w:hAnsi="宋体" w:eastAsia="宋体" w:cs="宋体"/>
                <w:sz w:val="21"/>
                <w:szCs w:val="21"/>
              </w:rPr>
              <w:t>展检疫检查，完善登记备案制度;对非法采伐、</w:t>
            </w:r>
            <w:r>
              <w:rPr>
                <w:rFonts w:ascii="宋体" w:hAnsi="宋体" w:eastAsia="宋体" w:cs="宋体"/>
                <w:spacing w:val="-1"/>
                <w:sz w:val="21"/>
                <w:szCs w:val="21"/>
              </w:rPr>
              <w:t>运输、加工、经营、利用和</w:t>
            </w:r>
            <w:r>
              <w:rPr>
                <w:rFonts w:ascii="宋体" w:hAnsi="宋体" w:eastAsia="宋体" w:cs="宋体"/>
                <w:sz w:val="21"/>
                <w:szCs w:val="21"/>
              </w:rPr>
              <w:t>使用疫木的查处力度;对工业园区松科植物及其</w:t>
            </w:r>
            <w:r>
              <w:rPr>
                <w:rFonts w:ascii="宋体" w:hAnsi="宋体" w:eastAsia="宋体" w:cs="宋体"/>
                <w:spacing w:val="-1"/>
                <w:sz w:val="21"/>
                <w:szCs w:val="21"/>
              </w:rPr>
              <w:t>制品的检疫复检频次和林地</w:t>
            </w:r>
            <w:r>
              <w:rPr>
                <w:rFonts w:ascii="宋体" w:hAnsi="宋体" w:eastAsia="宋体" w:cs="宋体"/>
                <w:sz w:val="21"/>
                <w:szCs w:val="21"/>
              </w:rPr>
              <w:t>重大建设项目设施设备包装材料的落地复检;对</w:t>
            </w:r>
            <w:r>
              <w:rPr>
                <w:rFonts w:ascii="宋体" w:hAnsi="宋体" w:eastAsia="宋体" w:cs="宋体"/>
                <w:spacing w:val="-1"/>
                <w:sz w:val="21"/>
                <w:szCs w:val="21"/>
              </w:rPr>
              <w:t>非疫情小班实行疫情监测巡</w:t>
            </w:r>
            <w:r>
              <w:rPr>
                <w:rFonts w:ascii="宋体" w:hAnsi="宋体" w:eastAsia="宋体" w:cs="宋体"/>
                <w:sz w:val="21"/>
                <w:szCs w:val="21"/>
              </w:rPr>
              <w:t>查及抽样检验常态化，确保第一时间检测鉴定发</w:t>
            </w:r>
            <w:r>
              <w:rPr>
                <w:rFonts w:ascii="宋体" w:hAnsi="宋体" w:eastAsia="宋体" w:cs="宋体"/>
                <w:spacing w:val="-1"/>
                <w:sz w:val="21"/>
                <w:szCs w:val="21"/>
              </w:rPr>
              <w:t>现疫情、第一时间除治管控</w:t>
            </w:r>
            <w:r>
              <w:rPr>
                <w:rFonts w:ascii="宋体" w:hAnsi="宋体" w:eastAsia="宋体" w:cs="宋体"/>
                <w:spacing w:val="8"/>
                <w:sz w:val="21"/>
                <w:szCs w:val="21"/>
              </w:rPr>
              <w:t>根除疫情</w:t>
            </w:r>
            <w:r>
              <w:rPr>
                <w:rFonts w:hint="eastAsia" w:ascii="宋体" w:hAnsi="宋体" w:eastAsia="宋体" w:cs="宋体"/>
                <w:spacing w:val="8"/>
                <w:sz w:val="21"/>
                <w:szCs w:val="21"/>
                <w:lang w:eastAsia="zh-CN"/>
              </w:rPr>
              <w:t>。</w:t>
            </w:r>
          </w:p>
          <w:p>
            <w:pPr>
              <w:spacing w:before="91" w:line="289" w:lineRule="auto"/>
              <w:ind w:left="24" w:right="140" w:firstLine="543"/>
              <w:rPr>
                <w:rFonts w:ascii="宋体" w:hAnsi="宋体" w:eastAsia="宋体" w:cs="宋体"/>
                <w:sz w:val="21"/>
                <w:szCs w:val="21"/>
              </w:rPr>
            </w:pPr>
            <w:r>
              <w:rPr>
                <w:rFonts w:ascii="宋体" w:hAnsi="宋体" w:eastAsia="宋体" w:cs="宋体"/>
                <w:spacing w:val="-1"/>
                <w:sz w:val="21"/>
                <w:szCs w:val="21"/>
              </w:rPr>
              <w:t>7.“封”措施。主要运用于重型疫点:人迹罕至偏远、疫木清理难度大</w:t>
            </w:r>
            <w:r>
              <w:rPr>
                <w:rFonts w:ascii="宋体" w:hAnsi="宋体" w:eastAsia="宋体" w:cs="宋体"/>
                <w:spacing w:val="-3"/>
                <w:sz w:val="21"/>
                <w:szCs w:val="21"/>
              </w:rPr>
              <w:t>的松林，或存在除治安全隐患、难以抵达除治地点的松林;“封”的同时，</w:t>
            </w:r>
            <w:r>
              <w:rPr>
                <w:rFonts w:ascii="宋体" w:hAnsi="宋体" w:eastAsia="宋体" w:cs="宋体"/>
                <w:sz w:val="21"/>
                <w:szCs w:val="21"/>
              </w:rPr>
              <w:t>采取释放天敌花绒寄甲，或对林分优势树进行打孔</w:t>
            </w:r>
            <w:r>
              <w:rPr>
                <w:rFonts w:ascii="宋体" w:hAnsi="宋体" w:eastAsia="宋体" w:cs="宋体"/>
                <w:spacing w:val="-1"/>
                <w:sz w:val="21"/>
                <w:szCs w:val="21"/>
              </w:rPr>
              <w:t>注药或对“封”的林分实</w:t>
            </w:r>
            <w:r>
              <w:rPr>
                <w:rFonts w:ascii="宋体" w:hAnsi="宋体" w:eastAsia="宋体" w:cs="宋体"/>
                <w:sz w:val="21"/>
                <w:szCs w:val="21"/>
              </w:rPr>
              <w:t>施化学防治和生物防治等应急救灾措施，以遏制松</w:t>
            </w:r>
            <w:r>
              <w:rPr>
                <w:rFonts w:ascii="宋体" w:hAnsi="宋体" w:eastAsia="宋体" w:cs="宋体"/>
                <w:spacing w:val="-1"/>
                <w:sz w:val="21"/>
                <w:szCs w:val="21"/>
              </w:rPr>
              <w:t>褐天牛种群上升，防止疫</w:t>
            </w:r>
            <w:r>
              <w:rPr>
                <w:rFonts w:ascii="宋体" w:hAnsi="宋体" w:eastAsia="宋体" w:cs="宋体"/>
                <w:spacing w:val="-10"/>
                <w:sz w:val="21"/>
                <w:szCs w:val="21"/>
              </w:rPr>
              <w:t>情外溢。</w:t>
            </w:r>
          </w:p>
          <w:p>
            <w:pPr>
              <w:spacing w:before="210" w:line="218" w:lineRule="auto"/>
              <w:ind w:left="567"/>
              <w:rPr>
                <w:rFonts w:ascii="宋体" w:hAnsi="宋体" w:eastAsia="宋体" w:cs="宋体"/>
                <w:sz w:val="21"/>
                <w:szCs w:val="21"/>
              </w:rPr>
            </w:pPr>
            <w:r>
              <w:rPr>
                <w:rFonts w:ascii="宋体" w:hAnsi="宋体" w:eastAsia="宋体" w:cs="宋体"/>
                <w:spacing w:val="-2"/>
                <w:sz w:val="21"/>
                <w:szCs w:val="21"/>
              </w:rPr>
              <w:t>7.质量验收及绩效评价</w:t>
            </w:r>
          </w:p>
          <w:p>
            <w:pPr>
              <w:spacing w:before="213" w:line="220" w:lineRule="auto"/>
              <w:ind w:left="610"/>
              <w:rPr>
                <w:rFonts w:ascii="宋体" w:hAnsi="宋体" w:eastAsia="宋体" w:cs="宋体"/>
                <w:sz w:val="21"/>
                <w:szCs w:val="21"/>
              </w:rPr>
            </w:pPr>
            <w:r>
              <w:rPr>
                <w:rFonts w:ascii="宋体" w:hAnsi="宋体" w:eastAsia="宋体" w:cs="宋体"/>
                <w:spacing w:val="-9"/>
                <w:sz w:val="21"/>
                <w:szCs w:val="21"/>
              </w:rPr>
              <w:t>(一)质量验收</w:t>
            </w:r>
          </w:p>
          <w:p>
            <w:pPr>
              <w:spacing w:before="212" w:line="289" w:lineRule="auto"/>
              <w:ind w:left="7" w:firstLine="573"/>
              <w:rPr>
                <w:rFonts w:ascii="宋体" w:hAnsi="宋体" w:eastAsia="宋体" w:cs="宋体"/>
                <w:sz w:val="21"/>
                <w:szCs w:val="21"/>
              </w:rPr>
            </w:pPr>
            <w:r>
              <w:rPr>
                <w:rFonts w:ascii="宋体" w:hAnsi="宋体" w:eastAsia="宋体" w:cs="宋体"/>
                <w:spacing w:val="-1"/>
                <w:sz w:val="21"/>
                <w:szCs w:val="21"/>
              </w:rPr>
              <w:t>1.验收工作分为平时检查和结束自查验收，平时检查发现质量问题，除治队应即查即改，实行全程监管、跟踪除治结束后对每一山场逐块自查验</w:t>
            </w:r>
          </w:p>
          <w:p>
            <w:pPr>
              <w:spacing w:before="210" w:line="313" w:lineRule="auto"/>
              <w:ind w:firstLine="10"/>
              <w:rPr>
                <w:rFonts w:ascii="宋体" w:hAnsi="宋体" w:eastAsia="宋体" w:cs="宋体"/>
                <w:sz w:val="21"/>
                <w:szCs w:val="21"/>
              </w:rPr>
            </w:pPr>
            <w:r>
              <w:rPr>
                <w:rFonts w:ascii="宋体" w:hAnsi="宋体" w:eastAsia="宋体" w:cs="宋体"/>
                <w:spacing w:val="-1"/>
                <w:sz w:val="21"/>
                <w:szCs w:val="21"/>
              </w:rPr>
              <w:t>收，全面彻底，严把质量关将自查验收结果报县松材线虫等重大外来生物灾</w:t>
            </w:r>
            <w:r>
              <w:rPr>
                <w:rFonts w:ascii="宋体" w:hAnsi="宋体" w:eastAsia="宋体" w:cs="宋体"/>
                <w:sz w:val="21"/>
                <w:szCs w:val="21"/>
              </w:rPr>
              <w:t>害预防和除治工作指挥部办公室，并申请验收。由</w:t>
            </w:r>
            <w:r>
              <w:rPr>
                <w:rFonts w:ascii="宋体" w:hAnsi="宋体" w:eastAsia="宋体" w:cs="宋体"/>
                <w:spacing w:val="-1"/>
                <w:sz w:val="21"/>
                <w:szCs w:val="21"/>
              </w:rPr>
              <w:t>县林业局牵头负责，对责</w:t>
            </w:r>
            <w:r>
              <w:rPr>
                <w:rFonts w:ascii="宋体" w:hAnsi="宋体" w:eastAsia="宋体" w:cs="宋体"/>
                <w:spacing w:val="-2"/>
                <w:sz w:val="21"/>
                <w:szCs w:val="21"/>
              </w:rPr>
              <w:t>任单位自查结果进行验收复查，结果予以全</w:t>
            </w:r>
            <w:r>
              <w:rPr>
                <w:rFonts w:ascii="宋体" w:hAnsi="宋体" w:eastAsia="宋体" w:cs="宋体"/>
                <w:spacing w:val="-3"/>
                <w:sz w:val="21"/>
                <w:szCs w:val="21"/>
              </w:rPr>
              <w:t>县通报。</w:t>
            </w:r>
          </w:p>
          <w:p>
            <w:pPr>
              <w:spacing w:before="211" w:line="289" w:lineRule="auto"/>
              <w:ind w:left="3" w:right="40" w:firstLine="561"/>
              <w:rPr>
                <w:rFonts w:ascii="宋体" w:hAnsi="宋体" w:eastAsia="宋体" w:cs="宋体"/>
                <w:sz w:val="21"/>
                <w:szCs w:val="21"/>
              </w:rPr>
            </w:pPr>
            <w:r>
              <w:rPr>
                <w:rFonts w:ascii="宋体" w:hAnsi="宋体" w:eastAsia="宋体" w:cs="宋体"/>
                <w:spacing w:val="-2"/>
                <w:sz w:val="21"/>
                <w:szCs w:val="21"/>
              </w:rPr>
              <w:t>2.检查时间。按采购人规定时间完成全县疫木集中除治核查验收工作、</w:t>
            </w:r>
            <w:r>
              <w:rPr>
                <w:rFonts w:ascii="宋体" w:hAnsi="宋体" w:eastAsia="宋体" w:cs="宋体"/>
                <w:spacing w:val="-4"/>
                <w:sz w:val="21"/>
                <w:szCs w:val="21"/>
              </w:rPr>
              <w:t>完成松材线虫病防治绩效评价工作。</w:t>
            </w:r>
          </w:p>
          <w:p>
            <w:pPr>
              <w:spacing w:before="215" w:line="289" w:lineRule="auto"/>
              <w:ind w:right="140" w:firstLine="566"/>
              <w:rPr>
                <w:rFonts w:ascii="宋体" w:hAnsi="宋体" w:eastAsia="宋体" w:cs="宋体"/>
                <w:spacing w:val="-14"/>
                <w:sz w:val="21"/>
                <w:szCs w:val="21"/>
              </w:rPr>
            </w:pPr>
            <w:r>
              <w:rPr>
                <w:rFonts w:ascii="宋体" w:hAnsi="宋体" w:eastAsia="宋体" w:cs="宋体"/>
                <w:spacing w:val="-1"/>
                <w:sz w:val="21"/>
                <w:szCs w:val="21"/>
              </w:rPr>
              <w:t>3.检查与评价内容。按照《全南县2021-2025年度松材线虫病疫木除治</w:t>
            </w:r>
            <w:r>
              <w:rPr>
                <w:rFonts w:ascii="宋体" w:hAnsi="宋体" w:eastAsia="宋体" w:cs="宋体"/>
                <w:sz w:val="21"/>
                <w:szCs w:val="21"/>
              </w:rPr>
              <w:t>验收实施方案》的要求，检查除治任务完成情况</w:t>
            </w:r>
            <w:r>
              <w:rPr>
                <w:rFonts w:ascii="宋体" w:hAnsi="宋体" w:eastAsia="宋体" w:cs="宋体"/>
                <w:spacing w:val="-1"/>
                <w:sz w:val="21"/>
                <w:szCs w:val="21"/>
              </w:rPr>
              <w:t>，除治质量和疫木处理情</w:t>
            </w:r>
            <w:r>
              <w:rPr>
                <w:rFonts w:ascii="宋体" w:hAnsi="宋体" w:eastAsia="宋体" w:cs="宋体"/>
                <w:sz w:val="21"/>
                <w:szCs w:val="21"/>
              </w:rPr>
              <w:t>况，除治作业区零星枯(病)死松树情况，</w:t>
            </w:r>
            <w:r>
              <w:rPr>
                <w:rFonts w:ascii="宋体" w:hAnsi="宋体" w:eastAsia="宋体" w:cs="宋体"/>
                <w:spacing w:val="-1"/>
                <w:sz w:val="21"/>
                <w:szCs w:val="21"/>
              </w:rPr>
              <w:t>除治作业区伐桩处理和枝桠清理情况;除治山场周边居民房前屋后薪材和木材存放情况，疫木除治监管情况</w:t>
            </w:r>
            <w:r>
              <w:rPr>
                <w:rFonts w:ascii="宋体" w:hAnsi="宋体" w:eastAsia="宋体" w:cs="宋体"/>
                <w:spacing w:val="-14"/>
                <w:sz w:val="21"/>
                <w:szCs w:val="21"/>
              </w:rPr>
              <w:t>等。</w:t>
            </w:r>
          </w:p>
          <w:p>
            <w:pPr>
              <w:spacing w:before="212" w:line="220" w:lineRule="auto"/>
              <w:ind w:left="3"/>
              <w:rPr>
                <w:rFonts w:ascii="宋体" w:hAnsi="宋体" w:eastAsia="宋体" w:cs="宋体"/>
                <w:sz w:val="21"/>
                <w:szCs w:val="21"/>
              </w:rPr>
            </w:pPr>
            <w:r>
              <w:rPr>
                <w:rFonts w:ascii="宋体" w:hAnsi="宋体" w:eastAsia="宋体" w:cs="宋体"/>
                <w:sz w:val="21"/>
                <w:szCs w:val="21"/>
              </w:rPr>
              <w:t>4.检查与评价方法。除治责任单位(乡镇)对山</w:t>
            </w:r>
            <w:r>
              <w:rPr>
                <w:rFonts w:ascii="宋体" w:hAnsi="宋体" w:eastAsia="宋体" w:cs="宋体"/>
                <w:spacing w:val="-1"/>
                <w:sz w:val="21"/>
                <w:szCs w:val="21"/>
              </w:rPr>
              <w:t>场除治地块，在除治前和</w:t>
            </w:r>
            <w:r>
              <w:rPr>
                <w:rFonts w:ascii="宋体" w:hAnsi="宋体" w:eastAsia="宋体" w:cs="宋体"/>
                <w:sz w:val="21"/>
                <w:szCs w:val="21"/>
              </w:rPr>
              <w:t>除治后分别拍摄照片(或摄像)等影像资料，用于除</w:t>
            </w:r>
            <w:r>
              <w:rPr>
                <w:rFonts w:ascii="宋体" w:hAnsi="宋体" w:eastAsia="宋体" w:cs="宋体"/>
                <w:spacing w:val="-1"/>
                <w:sz w:val="21"/>
                <w:szCs w:val="21"/>
              </w:rPr>
              <w:t>治效果对照检查，相同小</w:t>
            </w:r>
            <w:r>
              <w:rPr>
                <w:rFonts w:ascii="宋体" w:hAnsi="宋体" w:eastAsia="宋体" w:cs="宋体"/>
                <w:sz w:val="21"/>
                <w:szCs w:val="21"/>
              </w:rPr>
              <w:t>班年度枯(病)死松木数量对照分析，次年枯死树减少比</w:t>
            </w:r>
            <w:r>
              <w:rPr>
                <w:rFonts w:ascii="宋体" w:hAnsi="宋体" w:eastAsia="宋体" w:cs="宋体"/>
                <w:spacing w:val="-1"/>
                <w:sz w:val="21"/>
                <w:szCs w:val="21"/>
              </w:rPr>
              <w:t>低于全县平均值 20%以上的为优秀，处于10-20%以内得为合格</w:t>
            </w:r>
            <w:r>
              <w:rPr>
                <w:rFonts w:ascii="宋体" w:hAnsi="宋体" w:eastAsia="宋体" w:cs="宋体"/>
                <w:spacing w:val="-2"/>
                <w:sz w:val="21"/>
                <w:szCs w:val="21"/>
              </w:rPr>
              <w:t>，高于10%的为不合格。</w:t>
            </w:r>
          </w:p>
          <w:p>
            <w:pPr>
              <w:spacing w:before="212" w:line="218" w:lineRule="auto"/>
              <w:ind w:left="610"/>
              <w:rPr>
                <w:sz w:val="21"/>
                <w:szCs w:val="21"/>
              </w:rPr>
            </w:pPr>
            <w:r>
              <w:rPr>
                <w:rFonts w:ascii="宋体" w:hAnsi="宋体" w:eastAsia="宋体" w:cs="宋体"/>
                <w:spacing w:val="-9"/>
                <w:sz w:val="21"/>
                <w:szCs w:val="21"/>
              </w:rPr>
              <w:t>(二)绩效评价</w:t>
            </w:r>
          </w:p>
          <w:p>
            <w:pPr>
              <w:spacing w:before="91" w:line="359" w:lineRule="auto"/>
              <w:ind w:left="7" w:firstLine="552"/>
              <w:rPr>
                <w:rFonts w:ascii="宋体" w:hAnsi="宋体" w:eastAsia="宋体" w:cs="宋体"/>
                <w:sz w:val="21"/>
                <w:szCs w:val="21"/>
              </w:rPr>
            </w:pPr>
            <w:r>
              <w:rPr>
                <w:rFonts w:ascii="宋体" w:hAnsi="宋体" w:eastAsia="宋体" w:cs="宋体"/>
                <w:sz w:val="21"/>
                <w:szCs w:val="21"/>
              </w:rPr>
              <w:t>对照本方案拟定的应控指标目标</w:t>
            </w:r>
            <w:r>
              <w:rPr>
                <w:rFonts w:ascii="宋体" w:hAnsi="宋体" w:eastAsia="宋体" w:cs="宋体"/>
                <w:color w:val="auto"/>
                <w:sz w:val="21"/>
                <w:szCs w:val="21"/>
              </w:rPr>
              <w:t>(全南县202</w:t>
            </w:r>
            <w:r>
              <w:rPr>
                <w:rFonts w:hint="eastAsia" w:ascii="宋体" w:hAnsi="宋体" w:cs="宋体"/>
                <w:color w:val="auto"/>
                <w:sz w:val="21"/>
                <w:szCs w:val="21"/>
                <w:lang w:val="en-US" w:eastAsia="zh-CN"/>
              </w:rPr>
              <w:t>5</w:t>
            </w:r>
            <w:r>
              <w:rPr>
                <w:rFonts w:ascii="宋体" w:hAnsi="宋体" w:eastAsia="宋体" w:cs="宋体"/>
                <w:color w:val="auto"/>
                <w:sz w:val="21"/>
                <w:szCs w:val="21"/>
              </w:rPr>
              <w:t>-20</w:t>
            </w:r>
            <w:r>
              <w:rPr>
                <w:rFonts w:ascii="宋体" w:hAnsi="宋体" w:eastAsia="宋体" w:cs="宋体"/>
                <w:color w:val="auto"/>
                <w:spacing w:val="-1"/>
                <w:sz w:val="21"/>
                <w:szCs w:val="21"/>
              </w:rPr>
              <w:t>2</w:t>
            </w:r>
            <w:r>
              <w:rPr>
                <w:rFonts w:hint="eastAsia" w:ascii="宋体" w:hAnsi="宋体" w:cs="宋体"/>
                <w:color w:val="auto"/>
                <w:spacing w:val="-1"/>
                <w:sz w:val="21"/>
                <w:szCs w:val="21"/>
                <w:lang w:val="en-US" w:eastAsia="zh-CN"/>
              </w:rPr>
              <w:t>6</w:t>
            </w:r>
            <w:r>
              <w:rPr>
                <w:rFonts w:ascii="宋体" w:hAnsi="宋体" w:eastAsia="宋体" w:cs="宋体"/>
                <w:color w:val="auto"/>
                <w:spacing w:val="-1"/>
                <w:sz w:val="21"/>
                <w:szCs w:val="21"/>
              </w:rPr>
              <w:t>年度松材线虫病防治</w:t>
            </w:r>
            <w:r>
              <w:rPr>
                <w:rFonts w:ascii="宋体" w:hAnsi="宋体" w:eastAsia="宋体" w:cs="宋体"/>
                <w:color w:val="auto"/>
                <w:spacing w:val="-2"/>
                <w:sz w:val="21"/>
                <w:szCs w:val="21"/>
              </w:rPr>
              <w:t>实施方案-附件4)</w:t>
            </w:r>
            <w:r>
              <w:rPr>
                <w:rFonts w:ascii="宋体" w:hAnsi="宋体" w:eastAsia="宋体" w:cs="宋体"/>
                <w:spacing w:val="-2"/>
                <w:sz w:val="21"/>
                <w:szCs w:val="21"/>
              </w:rPr>
              <w:t>，以及山场除治质量、疫木监管等情况，综合评价乡</w:t>
            </w:r>
            <w:r>
              <w:rPr>
                <w:rFonts w:ascii="宋体" w:hAnsi="宋体" w:eastAsia="宋体" w:cs="宋体"/>
                <w:spacing w:val="-4"/>
                <w:sz w:val="21"/>
                <w:szCs w:val="21"/>
              </w:rPr>
              <w:t>(镇)202</w:t>
            </w:r>
            <w:r>
              <w:rPr>
                <w:rFonts w:hint="eastAsia" w:ascii="宋体" w:hAnsi="宋体" w:cs="宋体"/>
                <w:spacing w:val="-4"/>
                <w:sz w:val="21"/>
                <w:szCs w:val="21"/>
                <w:lang w:val="en-US" w:eastAsia="zh-CN"/>
              </w:rPr>
              <w:t>5</w:t>
            </w:r>
            <w:r>
              <w:rPr>
                <w:rFonts w:ascii="宋体" w:hAnsi="宋体" w:eastAsia="宋体" w:cs="宋体"/>
                <w:spacing w:val="-4"/>
                <w:sz w:val="21"/>
                <w:szCs w:val="21"/>
              </w:rPr>
              <w:t>-202</w:t>
            </w:r>
            <w:r>
              <w:rPr>
                <w:rFonts w:hint="eastAsia" w:ascii="宋体" w:hAnsi="宋体" w:cs="宋体"/>
                <w:spacing w:val="-4"/>
                <w:sz w:val="21"/>
                <w:szCs w:val="21"/>
                <w:lang w:val="en-US" w:eastAsia="zh-CN"/>
              </w:rPr>
              <w:t>6</w:t>
            </w:r>
            <w:r>
              <w:rPr>
                <w:rFonts w:ascii="宋体" w:hAnsi="宋体" w:eastAsia="宋体" w:cs="宋体"/>
                <w:spacing w:val="-4"/>
                <w:sz w:val="21"/>
                <w:szCs w:val="21"/>
              </w:rPr>
              <w:t>年度的松材线虫病防控工作绩效。</w:t>
            </w:r>
          </w:p>
          <w:p>
            <w:pPr>
              <w:spacing w:before="212" w:line="220" w:lineRule="auto"/>
              <w:ind w:left="568"/>
              <w:rPr>
                <w:rFonts w:ascii="宋体" w:hAnsi="宋体" w:eastAsia="宋体" w:cs="宋体"/>
                <w:sz w:val="21"/>
                <w:szCs w:val="21"/>
              </w:rPr>
            </w:pPr>
            <w:r>
              <w:rPr>
                <w:rFonts w:ascii="宋体" w:hAnsi="宋体" w:eastAsia="宋体" w:cs="宋体"/>
                <w:spacing w:val="-5"/>
                <w:sz w:val="21"/>
                <w:szCs w:val="21"/>
              </w:rPr>
              <w:t>（2）商务要求</w:t>
            </w:r>
          </w:p>
          <w:p>
            <w:pPr>
              <w:spacing w:before="211" w:line="220" w:lineRule="auto"/>
              <w:ind w:left="568"/>
              <w:rPr>
                <w:rFonts w:ascii="宋体" w:hAnsi="宋体" w:eastAsia="宋体" w:cs="宋体"/>
                <w:sz w:val="21"/>
                <w:szCs w:val="21"/>
              </w:rPr>
            </w:pPr>
            <w:r>
              <w:rPr>
                <w:rFonts w:ascii="宋体" w:hAnsi="宋体" w:eastAsia="宋体" w:cs="宋体"/>
                <w:spacing w:val="-2"/>
                <w:sz w:val="21"/>
                <w:szCs w:val="21"/>
              </w:rPr>
              <w:t>（二） 商务条件</w:t>
            </w:r>
          </w:p>
          <w:p>
            <w:pPr>
              <w:spacing w:before="211" w:line="219" w:lineRule="auto"/>
              <w:ind w:left="581"/>
              <w:rPr>
                <w:rFonts w:ascii="宋体" w:hAnsi="宋体" w:eastAsia="宋体" w:cs="宋体"/>
                <w:sz w:val="21"/>
                <w:szCs w:val="21"/>
              </w:rPr>
            </w:pPr>
            <w:r>
              <w:rPr>
                <w:rFonts w:ascii="宋体" w:hAnsi="宋体" w:eastAsia="宋体" w:cs="宋体"/>
                <w:spacing w:val="-4"/>
                <w:sz w:val="21"/>
                <w:szCs w:val="21"/>
              </w:rPr>
              <w:t>1、履行地点:全南县</w:t>
            </w:r>
            <w:r>
              <w:rPr>
                <w:rFonts w:hint="eastAsia" w:ascii="宋体" w:hAnsi="宋体" w:eastAsia="宋体" w:cs="宋体"/>
                <w:spacing w:val="-4"/>
                <w:sz w:val="21"/>
                <w:szCs w:val="21"/>
                <w:lang w:val="en-US" w:eastAsia="zh-CN"/>
              </w:rPr>
              <w:t>南迳镇</w:t>
            </w:r>
            <w:r>
              <w:rPr>
                <w:rFonts w:ascii="宋体" w:hAnsi="宋体" w:eastAsia="宋体" w:cs="宋体"/>
                <w:spacing w:val="-4"/>
                <w:sz w:val="21"/>
                <w:szCs w:val="21"/>
              </w:rPr>
              <w:t>人民政府指定地点。</w:t>
            </w:r>
          </w:p>
          <w:p>
            <w:pPr>
              <w:spacing w:before="212" w:line="220" w:lineRule="auto"/>
              <w:ind w:left="564"/>
              <w:rPr>
                <w:rFonts w:ascii="宋体" w:hAnsi="宋体" w:eastAsia="宋体" w:cs="宋体"/>
                <w:sz w:val="21"/>
                <w:szCs w:val="21"/>
              </w:rPr>
            </w:pPr>
            <w:r>
              <w:rPr>
                <w:rFonts w:ascii="宋体" w:hAnsi="宋体" w:eastAsia="宋体" w:cs="宋体"/>
                <w:spacing w:val="-2"/>
                <w:sz w:val="21"/>
                <w:szCs w:val="21"/>
              </w:rPr>
              <w:t>2、履行期限:服务期限60日历天，合同签订之日起计算。</w:t>
            </w:r>
          </w:p>
          <w:p>
            <w:pPr>
              <w:spacing w:before="211" w:line="219" w:lineRule="auto"/>
              <w:ind w:left="566"/>
              <w:rPr>
                <w:rFonts w:ascii="宋体" w:hAnsi="宋体" w:eastAsia="宋体" w:cs="宋体"/>
                <w:sz w:val="21"/>
                <w:szCs w:val="21"/>
              </w:rPr>
            </w:pPr>
            <w:r>
              <w:rPr>
                <w:rFonts w:ascii="宋体" w:hAnsi="宋体" w:eastAsia="宋体" w:cs="宋体"/>
                <w:spacing w:val="-3"/>
                <w:sz w:val="21"/>
                <w:szCs w:val="21"/>
              </w:rPr>
              <w:t>3、履约保证金:本项目不收取履约保证金。</w:t>
            </w:r>
          </w:p>
          <w:p>
            <w:pPr>
              <w:spacing w:before="214" w:line="312" w:lineRule="auto"/>
              <w:ind w:firstLine="560"/>
              <w:rPr>
                <w:rFonts w:ascii="宋体" w:hAnsi="宋体" w:eastAsia="宋体" w:cs="宋体"/>
                <w:sz w:val="21"/>
                <w:szCs w:val="21"/>
              </w:rPr>
            </w:pPr>
            <w:r>
              <w:rPr>
                <w:rFonts w:ascii="宋体" w:hAnsi="宋体" w:eastAsia="宋体" w:cs="宋体"/>
                <w:sz w:val="21"/>
                <w:szCs w:val="21"/>
              </w:rPr>
              <w:t>4、合同签订:除采购人有其他要求外，成交供</w:t>
            </w:r>
            <w:r>
              <w:rPr>
                <w:rFonts w:ascii="宋体" w:hAnsi="宋体" w:eastAsia="宋体" w:cs="宋体"/>
                <w:spacing w:val="-1"/>
                <w:sz w:val="21"/>
                <w:szCs w:val="21"/>
              </w:rPr>
              <w:t>应商应在成交通知书发出</w:t>
            </w:r>
            <w:r>
              <w:rPr>
                <w:rFonts w:ascii="宋体" w:hAnsi="宋体" w:eastAsia="宋体" w:cs="宋体"/>
                <w:sz w:val="21"/>
                <w:szCs w:val="21"/>
              </w:rPr>
              <w:t>之日起10个工作日内，按照磋商文件确定的事项与</w:t>
            </w:r>
            <w:r>
              <w:rPr>
                <w:rFonts w:ascii="宋体" w:hAnsi="宋体" w:eastAsia="宋体" w:cs="宋体"/>
                <w:spacing w:val="-1"/>
                <w:sz w:val="21"/>
                <w:szCs w:val="21"/>
              </w:rPr>
              <w:t>采购人签订合同签订政府</w:t>
            </w:r>
            <w:r>
              <w:rPr>
                <w:rFonts w:ascii="宋体" w:hAnsi="宋体" w:eastAsia="宋体" w:cs="宋体"/>
                <w:spacing w:val="-2"/>
                <w:sz w:val="21"/>
                <w:szCs w:val="21"/>
              </w:rPr>
              <w:t>采购合同。且采用线上签订的方式签订政府采购合</w:t>
            </w:r>
            <w:r>
              <w:rPr>
                <w:rFonts w:ascii="宋体" w:hAnsi="宋体" w:eastAsia="宋体" w:cs="宋体"/>
                <w:spacing w:val="-3"/>
                <w:sz w:val="21"/>
                <w:szCs w:val="21"/>
              </w:rPr>
              <w:t>同。</w:t>
            </w:r>
            <w:r>
              <w:rPr>
                <w:rFonts w:ascii="宋体" w:hAnsi="宋体" w:eastAsia="宋体" w:cs="宋体"/>
                <w:sz w:val="21"/>
                <w:szCs w:val="21"/>
              </w:rPr>
              <w:t>采购人应自政府采购合同签订之日起2个工作</w:t>
            </w:r>
            <w:r>
              <w:rPr>
                <w:rFonts w:ascii="宋体" w:hAnsi="宋体" w:eastAsia="宋体" w:cs="宋体"/>
                <w:spacing w:val="-1"/>
                <w:sz w:val="21"/>
                <w:szCs w:val="21"/>
              </w:rPr>
              <w:t>日内，将政府采购合同在</w:t>
            </w:r>
            <w:r>
              <w:rPr>
                <w:rFonts w:ascii="宋体" w:hAnsi="宋体" w:eastAsia="宋体" w:cs="宋体"/>
                <w:sz w:val="21"/>
                <w:szCs w:val="21"/>
              </w:rPr>
              <w:t>江西省公共资源交易平台上公告，但政府采</w:t>
            </w:r>
            <w:r>
              <w:rPr>
                <w:rFonts w:ascii="宋体" w:hAnsi="宋体" w:eastAsia="宋体" w:cs="宋体"/>
                <w:spacing w:val="-1"/>
                <w:sz w:val="21"/>
                <w:szCs w:val="21"/>
              </w:rPr>
              <w:t>购合同中涉及国家秘密、商业秘</w:t>
            </w:r>
            <w:r>
              <w:rPr>
                <w:rFonts w:ascii="宋体" w:hAnsi="宋体" w:eastAsia="宋体" w:cs="宋体"/>
                <w:spacing w:val="-7"/>
                <w:sz w:val="21"/>
                <w:szCs w:val="21"/>
              </w:rPr>
              <w:t>密的内容除外。</w:t>
            </w:r>
          </w:p>
          <w:p>
            <w:pPr>
              <w:spacing w:before="1" w:line="219" w:lineRule="auto"/>
              <w:ind w:firstLine="408" w:firstLineChars="200"/>
              <w:rPr>
                <w:rFonts w:ascii="宋体" w:hAnsi="宋体" w:eastAsia="宋体" w:cs="宋体"/>
                <w:sz w:val="21"/>
                <w:szCs w:val="21"/>
              </w:rPr>
            </w:pPr>
            <w:r>
              <w:rPr>
                <w:rFonts w:ascii="宋体" w:hAnsi="宋体" w:eastAsia="宋体" w:cs="宋体"/>
                <w:spacing w:val="-3"/>
                <w:sz w:val="21"/>
                <w:szCs w:val="21"/>
              </w:rPr>
              <w:t>5、付款进度和方式</w:t>
            </w:r>
            <w:r>
              <w:rPr>
                <w:rFonts w:ascii="宋体" w:hAnsi="宋体" w:eastAsia="宋体" w:cs="宋体"/>
                <w:spacing w:val="-75"/>
                <w:sz w:val="21"/>
                <w:szCs w:val="21"/>
              </w:rPr>
              <w:t xml:space="preserve"> </w:t>
            </w:r>
            <w:r>
              <w:rPr>
                <w:rFonts w:hint="eastAsia" w:ascii="宋体" w:hAnsi="宋体" w:eastAsia="宋体" w:cs="宋体"/>
                <w:spacing w:val="-75"/>
                <w:sz w:val="21"/>
                <w:szCs w:val="21"/>
                <w:lang w:eastAsia="zh-CN"/>
              </w:rPr>
              <w:t>：</w:t>
            </w:r>
            <w:r>
              <w:rPr>
                <w:rFonts w:ascii="宋体" w:hAnsi="宋体" w:eastAsia="宋体" w:cs="宋体"/>
                <w:spacing w:val="-1"/>
                <w:sz w:val="21"/>
                <w:szCs w:val="21"/>
              </w:rPr>
              <w:t>根据县财政资金拨付进度给予支付。甲方在收到县预下拨资金后拔付20%的资金给乙方，乙方按期完成工程项目经甲方核查验收出具验收报告并</w:t>
            </w:r>
            <w:r>
              <w:rPr>
                <w:rFonts w:ascii="宋体" w:hAnsi="宋体" w:eastAsia="宋体" w:cs="宋体"/>
                <w:sz w:val="21"/>
                <w:szCs w:val="21"/>
              </w:rPr>
              <w:t>得到县里抽查合格后，乙方按照验收报告确认的除</w:t>
            </w:r>
            <w:r>
              <w:rPr>
                <w:rFonts w:ascii="宋体" w:hAnsi="宋体" w:eastAsia="宋体" w:cs="宋体"/>
                <w:spacing w:val="-1"/>
                <w:sz w:val="21"/>
                <w:szCs w:val="21"/>
              </w:rPr>
              <w:t>治费用金额出具增值税票</w:t>
            </w:r>
            <w:r>
              <w:rPr>
                <w:rFonts w:ascii="宋体" w:hAnsi="宋体" w:eastAsia="宋体" w:cs="宋体"/>
                <w:sz w:val="21"/>
                <w:szCs w:val="21"/>
              </w:rPr>
              <w:t>据，由甲方财务办理支付事项。待省市验收合格后拨付3</w:t>
            </w:r>
            <w:r>
              <w:rPr>
                <w:rFonts w:ascii="宋体" w:hAnsi="宋体" w:eastAsia="宋体" w:cs="宋体"/>
                <w:spacing w:val="-1"/>
                <w:sz w:val="21"/>
                <w:szCs w:val="21"/>
              </w:rPr>
              <w:t>0%给乙方，余下50%</w:t>
            </w:r>
            <w:r>
              <w:rPr>
                <w:rFonts w:ascii="宋体" w:hAnsi="宋体" w:eastAsia="宋体" w:cs="宋体"/>
                <w:spacing w:val="-4"/>
                <w:sz w:val="21"/>
                <w:szCs w:val="21"/>
              </w:rPr>
              <w:t>秋普后申报县财政拨付完毕。</w:t>
            </w:r>
          </w:p>
          <w:p>
            <w:pPr>
              <w:spacing w:before="1" w:line="219" w:lineRule="auto"/>
              <w:ind w:left="563"/>
              <w:rPr>
                <w:rFonts w:ascii="宋体" w:hAnsi="宋体" w:eastAsia="宋体" w:cs="宋体"/>
                <w:sz w:val="21"/>
                <w:szCs w:val="21"/>
              </w:rPr>
            </w:pPr>
            <w:r>
              <w:rPr>
                <w:rFonts w:ascii="宋体" w:hAnsi="宋体" w:eastAsia="宋体" w:cs="宋体"/>
                <w:spacing w:val="-6"/>
                <w:sz w:val="21"/>
                <w:szCs w:val="21"/>
              </w:rPr>
              <w:t>6、验收</w:t>
            </w:r>
          </w:p>
          <w:p>
            <w:pPr>
              <w:pStyle w:val="2"/>
              <w:spacing w:line="260" w:lineRule="auto"/>
              <w:ind w:left="278" w:hanging="208" w:hangingChars="100"/>
              <w:rPr>
                <w:rFonts w:ascii="宋体" w:hAnsi="宋体" w:eastAsia="宋体" w:cs="宋体"/>
                <w:sz w:val="21"/>
                <w:szCs w:val="21"/>
              </w:rPr>
            </w:pPr>
            <w:r>
              <w:rPr>
                <w:rFonts w:ascii="宋体" w:hAnsi="宋体" w:eastAsia="宋体" w:cs="宋体"/>
                <w:spacing w:val="-1"/>
                <w:sz w:val="21"/>
                <w:szCs w:val="21"/>
              </w:rPr>
              <w:t>1.验收标准。甲方验收时，确保清理完成除治对象；除治山场清理完直</w:t>
            </w:r>
            <w:r>
              <w:rPr>
                <w:rFonts w:ascii="宋体" w:hAnsi="宋体" w:eastAsia="宋体" w:cs="宋体"/>
                <w:spacing w:val="-2"/>
                <w:sz w:val="21"/>
                <w:szCs w:val="21"/>
              </w:rPr>
              <w:t>径大于</w:t>
            </w:r>
            <w:r>
              <w:rPr>
                <w:rFonts w:ascii="宋体" w:hAnsi="宋体" w:eastAsia="宋体" w:cs="宋体"/>
                <w:spacing w:val="-27"/>
                <w:sz w:val="21"/>
                <w:szCs w:val="21"/>
              </w:rPr>
              <w:t xml:space="preserve"> </w:t>
            </w:r>
            <w:r>
              <w:rPr>
                <w:rFonts w:ascii="宋体" w:hAnsi="宋体" w:eastAsia="宋体" w:cs="宋体"/>
                <w:spacing w:val="-2"/>
                <w:sz w:val="21"/>
                <w:szCs w:val="21"/>
              </w:rPr>
              <w:t>1cm 枯病松树枝桠，伐桩高度不得超过</w:t>
            </w:r>
            <w:r>
              <w:rPr>
                <w:rFonts w:ascii="宋体" w:hAnsi="宋体" w:eastAsia="宋体" w:cs="宋体"/>
                <w:spacing w:val="-53"/>
                <w:sz w:val="21"/>
                <w:szCs w:val="21"/>
              </w:rPr>
              <w:t xml:space="preserve"> </w:t>
            </w:r>
            <w:r>
              <w:rPr>
                <w:rFonts w:ascii="宋体" w:hAnsi="宋体" w:eastAsia="宋体" w:cs="宋体"/>
                <w:spacing w:val="-2"/>
                <w:sz w:val="21"/>
                <w:szCs w:val="21"/>
              </w:rPr>
              <w:t>5cm,并按不同的适用范围采</w:t>
            </w:r>
            <w:r>
              <w:rPr>
                <w:rFonts w:ascii="宋体" w:hAnsi="宋体" w:eastAsia="宋体" w:cs="宋体"/>
                <w:sz w:val="21"/>
                <w:szCs w:val="21"/>
              </w:rPr>
              <w:t>取覆膜处理、钢丝网罩或剥皮处理：除治结束当</w:t>
            </w:r>
            <w:r>
              <w:rPr>
                <w:rFonts w:ascii="宋体" w:hAnsi="宋体" w:eastAsia="宋体" w:cs="宋体"/>
                <w:spacing w:val="-1"/>
                <w:sz w:val="21"/>
                <w:szCs w:val="21"/>
              </w:rPr>
              <w:t>年秋季普查时病枯死松树比例下降</w:t>
            </w:r>
            <w:r>
              <w:rPr>
                <w:rFonts w:ascii="宋体" w:hAnsi="宋体" w:eastAsia="宋体" w:cs="宋体"/>
                <w:spacing w:val="-38"/>
                <w:sz w:val="21"/>
                <w:szCs w:val="21"/>
              </w:rPr>
              <w:t xml:space="preserve"> </w:t>
            </w:r>
            <w:r>
              <w:rPr>
                <w:rFonts w:ascii="宋体" w:hAnsi="宋体" w:eastAsia="宋体" w:cs="宋体"/>
                <w:spacing w:val="-1"/>
                <w:sz w:val="21"/>
                <w:szCs w:val="21"/>
              </w:rPr>
              <w:t>15 %以上，其他原因致死除外(具体情况各地可</w:t>
            </w:r>
            <w:r>
              <w:rPr>
                <w:rFonts w:ascii="宋体" w:hAnsi="宋体" w:eastAsia="宋体" w:cs="宋体"/>
                <w:spacing w:val="-2"/>
                <w:sz w:val="21"/>
                <w:szCs w:val="21"/>
              </w:rPr>
              <w:t>根据实际自行确定)。除另有约定外，乙方在签订本合同前已充分预见知晓前述技术指标和质量要求的复杂程度，中标合同价款中已包含由此产生的费用。</w:t>
            </w:r>
          </w:p>
          <w:p>
            <w:pPr>
              <w:spacing w:before="1" w:line="312" w:lineRule="auto"/>
              <w:ind w:left="274" w:right="51" w:hanging="204" w:hangingChars="100"/>
              <w:rPr>
                <w:rFonts w:ascii="宋体" w:hAnsi="宋体" w:eastAsia="宋体" w:cs="宋体"/>
                <w:sz w:val="21"/>
                <w:szCs w:val="21"/>
              </w:rPr>
            </w:pPr>
            <w:r>
              <w:rPr>
                <w:rFonts w:ascii="宋体" w:hAnsi="宋体" w:eastAsia="宋体" w:cs="宋体"/>
                <w:spacing w:val="-3"/>
                <w:sz w:val="21"/>
                <w:szCs w:val="21"/>
              </w:rPr>
              <w:t>2.验收方法。待项目完成后，根据省市县规定时间组织人员开展验收，</w:t>
            </w:r>
            <w:r>
              <w:rPr>
                <w:rFonts w:ascii="宋体" w:hAnsi="宋体" w:eastAsia="宋体" w:cs="宋体"/>
                <w:sz w:val="21"/>
                <w:szCs w:val="21"/>
              </w:rPr>
              <w:t>验收内容包 括防治前后照片或者影像资料对比，</w:t>
            </w:r>
            <w:r>
              <w:rPr>
                <w:rFonts w:ascii="宋体" w:hAnsi="宋体" w:eastAsia="宋体" w:cs="宋体"/>
                <w:spacing w:val="-1"/>
                <w:sz w:val="21"/>
                <w:szCs w:val="21"/>
              </w:rPr>
              <w:t>施工原始记录、项目质量</w:t>
            </w:r>
            <w:r>
              <w:rPr>
                <w:rFonts w:ascii="宋体" w:hAnsi="宋体" w:eastAsia="宋体" w:cs="宋体"/>
                <w:sz w:val="21"/>
                <w:szCs w:val="21"/>
              </w:rPr>
              <w:t xml:space="preserve"> </w:t>
            </w:r>
            <w:r>
              <w:rPr>
                <w:rFonts w:ascii="宋体" w:hAnsi="宋体" w:eastAsia="宋体" w:cs="宋体"/>
                <w:spacing w:val="-2"/>
                <w:sz w:val="21"/>
                <w:szCs w:val="21"/>
              </w:rPr>
              <w:t>、项目绩效指标等。依据验收结果报县林业局、县财政。</w:t>
            </w:r>
          </w:p>
          <w:p>
            <w:pPr>
              <w:pageBreakBefore w:val="0"/>
              <w:widowControl w:val="0"/>
              <w:shd w:val="clear"/>
              <w:wordWrap/>
              <w:overflowPunct/>
              <w:topLinePunct w:val="0"/>
              <w:bidi w:val="0"/>
              <w:spacing w:line="249" w:lineRule="auto"/>
              <w:rPr>
                <w:rFonts w:hint="eastAsia" w:ascii="宋体" w:hAnsi="宋体" w:eastAsia="宋体" w:cs="宋体"/>
                <w:kern w:val="2"/>
                <w:sz w:val="21"/>
                <w:szCs w:val="21"/>
                <w:lang w:val="en-US" w:eastAsia="zh-CN" w:bidi="ar-SA"/>
              </w:rPr>
            </w:pPr>
            <w:r>
              <w:rPr>
                <w:rFonts w:ascii="宋体" w:hAnsi="宋体" w:eastAsia="宋体" w:cs="宋体"/>
                <w:spacing w:val="-1"/>
                <w:sz w:val="21"/>
                <w:szCs w:val="21"/>
              </w:rPr>
              <w:t>3.验收报告。经甲方或委托第三方核查验收结束后，在 15</w:t>
            </w:r>
            <w:r>
              <w:rPr>
                <w:rFonts w:ascii="宋体" w:hAnsi="宋体" w:eastAsia="宋体" w:cs="宋体"/>
                <w:spacing w:val="-55"/>
                <w:sz w:val="21"/>
                <w:szCs w:val="21"/>
              </w:rPr>
              <w:t xml:space="preserve"> </w:t>
            </w:r>
            <w:r>
              <w:rPr>
                <w:rFonts w:ascii="宋体" w:hAnsi="宋体" w:eastAsia="宋体" w:cs="宋体"/>
                <w:spacing w:val="-1"/>
                <w:sz w:val="21"/>
                <w:szCs w:val="21"/>
              </w:rPr>
              <w:t>个工作日内</w:t>
            </w:r>
            <w:r>
              <w:rPr>
                <w:rFonts w:ascii="宋体" w:hAnsi="宋体" w:eastAsia="宋体" w:cs="宋体"/>
                <w:spacing w:val="-7"/>
                <w:sz w:val="21"/>
                <w:szCs w:val="21"/>
              </w:rPr>
              <w:t>出具验收报告（材料）</w:t>
            </w:r>
            <w:r>
              <w:rPr>
                <w:rFonts w:hint="eastAsia" w:ascii="宋体" w:hAnsi="宋体" w:eastAsia="宋体" w:cs="宋体"/>
                <w:spacing w:val="-7"/>
                <w:sz w:val="21"/>
                <w:szCs w:val="21"/>
                <w:lang w:eastAsia="zh-CN"/>
              </w:rPr>
              <w:t>。</w:t>
            </w:r>
          </w:p>
          <w:p>
            <w:pPr>
              <w:spacing w:before="180" w:line="219" w:lineRule="auto"/>
              <w:ind w:left="19"/>
              <w:rPr>
                <w:rFonts w:hint="eastAsia" w:ascii="宋体" w:hAnsi="宋体" w:eastAsia="宋体" w:cs="宋体"/>
                <w:b/>
                <w:bCs/>
                <w:sz w:val="18"/>
                <w:szCs w:val="18"/>
              </w:rPr>
            </w:pPr>
          </w:p>
        </w:tc>
        <w:tc>
          <w:tcPr>
            <w:tcW w:w="414" w:type="dxa"/>
            <w:vAlign w:val="center"/>
          </w:tcPr>
          <w:p>
            <w:pPr>
              <w:jc w:val="center"/>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项</w:t>
            </w:r>
          </w:p>
        </w:tc>
        <w:tc>
          <w:tcPr>
            <w:tcW w:w="433" w:type="dxa"/>
            <w:vAlign w:val="center"/>
          </w:tcPr>
          <w:p>
            <w:pPr>
              <w:jc w:val="center"/>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1</w:t>
            </w:r>
          </w:p>
        </w:tc>
        <w:tc>
          <w:tcPr>
            <w:tcW w:w="1219" w:type="dxa"/>
            <w:vAlign w:val="center"/>
          </w:tcPr>
          <w:p>
            <w:pPr>
              <w:jc w:val="center"/>
              <w:rPr>
                <w:rFonts w:hint="eastAsia" w:ascii="宋体" w:hAnsi="宋体" w:eastAsia="宋体" w:cs="宋体"/>
                <w:b/>
                <w:bCs/>
                <w:sz w:val="18"/>
                <w:szCs w:val="18"/>
                <w:lang w:val="en-US" w:eastAsia="zh-CN"/>
              </w:rPr>
            </w:pPr>
          </w:p>
          <w:p>
            <w:pPr>
              <w:jc w:val="center"/>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40</w:t>
            </w:r>
          </w:p>
          <w:p>
            <w:pPr>
              <w:pStyle w:val="2"/>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682" w:type="dxa"/>
            <w:gridSpan w:val="2"/>
            <w:vAlign w:val="center"/>
          </w:tcPr>
          <w:p>
            <w:pPr>
              <w:jc w:val="center"/>
              <w:rPr>
                <w:rFonts w:hint="eastAsia" w:ascii="宋体" w:hAnsi="宋体" w:eastAsia="宋体" w:cs="宋体"/>
                <w:b/>
                <w:bCs/>
                <w:sz w:val="18"/>
                <w:szCs w:val="18"/>
                <w:lang w:val="en-US" w:eastAsia="zh-CN"/>
              </w:rPr>
            </w:pPr>
            <w:r>
              <w:rPr>
                <w:rFonts w:hint="eastAsia" w:ascii="宋体" w:hAnsi="宋体" w:eastAsia="宋体" w:cs="宋体"/>
                <w:b/>
                <w:bCs/>
                <w:sz w:val="18"/>
                <w:szCs w:val="18"/>
                <w:lang w:val="en-US" w:eastAsia="zh-CN"/>
              </w:rPr>
              <w:t>合计（万元）</w:t>
            </w:r>
          </w:p>
        </w:tc>
        <w:tc>
          <w:tcPr>
            <w:tcW w:w="2066" w:type="dxa"/>
            <w:gridSpan w:val="3"/>
            <w:vAlign w:val="center"/>
          </w:tcPr>
          <w:p>
            <w:pPr>
              <w:jc w:val="center"/>
              <w:rPr>
                <w:rFonts w:hint="default" w:ascii="宋体" w:hAnsi="宋体" w:eastAsia="宋体" w:cs="宋体"/>
                <w:b/>
                <w:bCs/>
                <w:sz w:val="18"/>
                <w:szCs w:val="18"/>
                <w:lang w:val="en-US" w:eastAsia="zh-CN"/>
              </w:rPr>
            </w:pPr>
            <w:r>
              <w:rPr>
                <w:rFonts w:hint="eastAsia" w:ascii="宋体" w:hAnsi="宋体" w:eastAsia="宋体" w:cs="宋体"/>
                <w:b/>
                <w:bCs/>
                <w:sz w:val="18"/>
                <w:szCs w:val="18"/>
                <w:lang w:val="en-US" w:eastAsia="zh-CN"/>
              </w:rPr>
              <w:t>40</w:t>
            </w:r>
          </w:p>
        </w:tc>
      </w:tr>
    </w:tbl>
    <w:p>
      <w:pPr>
        <w:pStyle w:val="2"/>
        <w:rPr>
          <w:rFonts w:hint="eastAsia"/>
          <w:lang w:val="en-US" w:eastAsia="zh-CN"/>
        </w:rPr>
      </w:pPr>
    </w:p>
    <w:p>
      <w:pPr>
        <w:jc w:val="center"/>
        <w:rPr>
          <w:rFonts w:hint="default" w:ascii="宋体" w:hAnsi="宋体" w:cs="宋体"/>
          <w:b/>
          <w:bCs/>
          <w:i w:val="0"/>
          <w:caps w:val="0"/>
          <w:color w:val="auto"/>
          <w:spacing w:val="0"/>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364213"/>
    <w:multiLevelType w:val="singleLevel"/>
    <w:tmpl w:val="86364213"/>
    <w:lvl w:ilvl="0" w:tentative="0">
      <w:start w:val="1"/>
      <w:numFmt w:val="chineseCounting"/>
      <w:suff w:val="space"/>
      <w:lvlText w:val="（%1）"/>
      <w:lvlJc w:val="left"/>
      <w:rPr>
        <w:rFonts w:hint="eastAsia"/>
      </w:rPr>
    </w:lvl>
  </w:abstractNum>
  <w:abstractNum w:abstractNumId="1">
    <w:nsid w:val="173DCFFD"/>
    <w:multiLevelType w:val="singleLevel"/>
    <w:tmpl w:val="173DCFFD"/>
    <w:lvl w:ilvl="0" w:tentative="0">
      <w:start w:val="6"/>
      <w:numFmt w:val="decimal"/>
      <w:lvlText w:val="%1."/>
      <w:lvlJc w:val="left"/>
      <w:pPr>
        <w:tabs>
          <w:tab w:val="left" w:pos="312"/>
        </w:tabs>
      </w:pPr>
    </w:lvl>
  </w:abstractNum>
  <w:abstractNum w:abstractNumId="2">
    <w:nsid w:val="27C9AE8F"/>
    <w:multiLevelType w:val="singleLevel"/>
    <w:tmpl w:val="27C9AE8F"/>
    <w:lvl w:ilvl="0" w:tentative="0">
      <w:start w:val="1"/>
      <w:numFmt w:val="decimal"/>
      <w:lvlText w:val="%1."/>
      <w:lvlJc w:val="left"/>
      <w:pPr>
        <w:tabs>
          <w:tab w:val="left" w:pos="312"/>
        </w:tabs>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I3YzRlYTcwODNlZWQzNDBiMDEzN2JjNzNkMjViNTIifQ=="/>
  </w:docVars>
  <w:rsids>
    <w:rsidRoot w:val="00000000"/>
    <w:rsid w:val="0206775A"/>
    <w:rsid w:val="09BE7BA0"/>
    <w:rsid w:val="11667A15"/>
    <w:rsid w:val="1CC928D3"/>
    <w:rsid w:val="1CE37E23"/>
    <w:rsid w:val="1D232D3E"/>
    <w:rsid w:val="1F6C54D8"/>
    <w:rsid w:val="2B3E10D3"/>
    <w:rsid w:val="2DCC5D3E"/>
    <w:rsid w:val="2ED5299B"/>
    <w:rsid w:val="32250B75"/>
    <w:rsid w:val="35C53AB9"/>
    <w:rsid w:val="37175FD8"/>
    <w:rsid w:val="3C85483C"/>
    <w:rsid w:val="42A87384"/>
    <w:rsid w:val="42EA76B9"/>
    <w:rsid w:val="435943F1"/>
    <w:rsid w:val="450345EF"/>
    <w:rsid w:val="50475987"/>
    <w:rsid w:val="53D23F31"/>
    <w:rsid w:val="561934C1"/>
    <w:rsid w:val="5AE82797"/>
    <w:rsid w:val="6B541152"/>
    <w:rsid w:val="6CBD5D1C"/>
    <w:rsid w:val="751545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0">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next w:val="3"/>
    <w:semiHidden/>
    <w:qFormat/>
    <w:uiPriority w:val="0"/>
    <w:rPr>
      <w:rFonts w:ascii="宋体" w:hAnsi="宋体" w:eastAsia="宋体" w:cs="宋体"/>
      <w:sz w:val="31"/>
      <w:szCs w:val="31"/>
      <w:lang w:val="en-US" w:eastAsia="en-US" w:bidi="ar-SA"/>
    </w:rPr>
  </w:style>
  <w:style w:type="paragraph" w:styleId="3">
    <w:name w:val="Body Text First Indent"/>
    <w:basedOn w:val="2"/>
    <w:qFormat/>
    <w:uiPriority w:val="0"/>
    <w:pPr>
      <w:ind w:firstLine="420" w:firstLineChars="100"/>
    </w:pPr>
  </w:style>
  <w:style w:type="paragraph" w:styleId="5">
    <w:name w:val="annotation text"/>
    <w:basedOn w:val="1"/>
    <w:qFormat/>
    <w:uiPriority w:val="0"/>
    <w:pPr>
      <w:jc w:val="left"/>
    </w:pPr>
  </w:style>
  <w:style w:type="paragraph" w:styleId="6">
    <w:name w:val="footer"/>
    <w:basedOn w:val="1"/>
    <w:unhideWhenUsed/>
    <w:qFormat/>
    <w:uiPriority w:val="99"/>
    <w:pPr>
      <w:tabs>
        <w:tab w:val="center" w:pos="4153"/>
        <w:tab w:val="right" w:pos="8306"/>
      </w:tabs>
      <w:snapToGrid w:val="0"/>
      <w:jc w:val="left"/>
    </w:pPr>
    <w:rPr>
      <w:sz w:val="18"/>
      <w:szCs w:val="18"/>
    </w:rPr>
  </w:style>
  <w:style w:type="paragraph" w:styleId="7">
    <w:name w:val="footnote text"/>
    <w:basedOn w:val="1"/>
    <w:qFormat/>
    <w:uiPriority w:val="0"/>
    <w:pPr>
      <w:snapToGrid w:val="0"/>
      <w:jc w:val="left"/>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1">
    <w:name w:val="Table Text"/>
    <w:basedOn w:val="1"/>
    <w:semiHidden/>
    <w:qFormat/>
    <w:uiPriority w:val="0"/>
    <w:rPr>
      <w:rFonts w:ascii="宋体" w:hAnsi="宋体" w:eastAsia="宋体" w:cs="宋体"/>
      <w:sz w:val="24"/>
      <w:szCs w:val="24"/>
      <w:lang w:val="en-US" w:eastAsia="en-US" w:bidi="ar-SA"/>
    </w:rPr>
  </w:style>
  <w:style w:type="table" w:customStyle="1" w:styleId="12">
    <w:name w:val="Table Normal"/>
    <w:semiHidden/>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3879</Words>
  <Characters>4166</Characters>
  <Lines>0</Lines>
  <Paragraphs>0</Paragraphs>
  <TotalTime>5</TotalTime>
  <ScaleCrop>false</ScaleCrop>
  <LinksUpToDate>false</LinksUpToDate>
  <CharactersWithSpaces>4202</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2025-11-24T09:26:00Z</dcterms:created>
  <dc:creator>Administrator</dc:creator>
  <cp:lastModifiedBy>嗯</cp:lastModifiedBy>
  <dcterms:modified xsi:type="dcterms:W3CDTF">2026-03-24T00:45:52Z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C20F00C66EDC4B399FC2F079FF7736B2_12</vt:lpwstr>
  </property>
  <property fmtid="{D5CDD505-2E9C-101B-9397-08002B2CF9AE}" pid="4" name="KSOTemplateDocerSaveRecord">
    <vt:lpwstr>eyJoZGlkIjoiN2UzNWEwYzU5MTViYmY2ZjM4YTA2NmY0ZTI0MWU4MjQiLCJ1c2VySWQiOiI2NjY0NTMyNTAifQ==</vt:lpwstr>
  </property>
</Properties>
</file>