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B0E438">
      <w:pPr>
        <w:pageBreakBefore w:val="0"/>
        <w:widowControl w:val="0"/>
        <w:wordWrap/>
        <w:overflowPunct/>
        <w:topLinePunct w:val="0"/>
        <w:bidi w:val="0"/>
        <w:spacing w:before="47" w:line="219" w:lineRule="auto"/>
        <w:ind w:left="3805" w:leftChars="0"/>
        <w:outlineLvl w:val="0"/>
        <w:rPr>
          <w:rFonts w:hint="eastAsia" w:ascii="仿宋" w:hAnsi="仿宋" w:eastAsia="仿宋" w:cs="仿宋"/>
          <w:color w:val="auto"/>
          <w:spacing w:val="0"/>
          <w:position w:val="0"/>
          <w:sz w:val="24"/>
          <w:szCs w:val="24"/>
          <w:highlight w:val="none"/>
        </w:rPr>
      </w:pPr>
      <w:bookmarkStart w:id="0" w:name="_Toc28707"/>
      <w:r>
        <w:rPr>
          <w:rFonts w:hint="eastAsia" w:ascii="仿宋" w:hAnsi="仿宋" w:eastAsia="仿宋" w:cs="仿宋"/>
          <w:color w:val="auto"/>
          <w:spacing w:val="0"/>
          <w:position w:val="0"/>
          <w:sz w:val="24"/>
          <w:szCs w:val="24"/>
          <w:highlight w:val="none"/>
          <w14:textOutline w14:w="4356" w14:cap="sq" w14:cmpd="sng" w14:algn="ctr">
            <w14:solidFill>
              <w14:srgbClr w14:val="000000"/>
            </w14:solidFill>
            <w14:prstDash w14:val="solid"/>
            <w14:bevel/>
          </w14:textOutline>
        </w:rPr>
        <w:t>二、采购需求</w:t>
      </w:r>
      <w:bookmarkEnd w:id="0"/>
    </w:p>
    <w:p w14:paraId="0D38ED81">
      <w:pPr>
        <w:pageBreakBefore w:val="0"/>
        <w:widowControl w:val="0"/>
        <w:wordWrap/>
        <w:overflowPunct/>
        <w:topLinePunct w:val="0"/>
        <w:bidi w:val="0"/>
        <w:spacing w:line="258" w:lineRule="auto"/>
        <w:rPr>
          <w:rFonts w:hint="eastAsia" w:ascii="仿宋" w:hAnsi="仿宋" w:eastAsia="仿宋" w:cs="仿宋"/>
          <w:color w:val="auto"/>
          <w:spacing w:val="0"/>
          <w:position w:val="0"/>
          <w:highlight w:val="none"/>
        </w:rPr>
      </w:pPr>
    </w:p>
    <w:p w14:paraId="33BB81AC">
      <w:pPr>
        <w:pageBreakBefore w:val="0"/>
        <w:widowControl w:val="0"/>
        <w:wordWrap/>
        <w:overflowPunct/>
        <w:topLinePunct w:val="0"/>
        <w:bidi w:val="0"/>
        <w:spacing w:before="78" w:line="219" w:lineRule="auto"/>
        <w:outlineLvl w:val="1"/>
        <w:rPr>
          <w:rFonts w:hint="eastAsia" w:ascii="仿宋" w:hAnsi="仿宋" w:eastAsia="仿宋" w:cs="仿宋"/>
          <w:b/>
          <w:bCs/>
          <w:color w:val="auto"/>
          <w:spacing w:val="0"/>
          <w:position w:val="0"/>
          <w:sz w:val="24"/>
          <w:szCs w:val="24"/>
          <w:highlight w:val="none"/>
        </w:rPr>
      </w:pPr>
      <w:bookmarkStart w:id="1" w:name="_Toc10532"/>
      <w:r>
        <w:rPr>
          <w:rFonts w:hint="eastAsia" w:ascii="仿宋" w:hAnsi="仿宋" w:eastAsia="仿宋" w:cs="仿宋"/>
          <w:b/>
          <w:bCs/>
          <w:color w:val="auto"/>
          <w:spacing w:val="0"/>
          <w:position w:val="0"/>
          <w:sz w:val="24"/>
          <w:szCs w:val="24"/>
          <w:highlight w:val="none"/>
        </w:rPr>
        <w:t xml:space="preserve">（一） </w:t>
      </w:r>
      <w:r>
        <w:rPr>
          <w:rFonts w:hint="eastAsia" w:ascii="仿宋" w:hAnsi="仿宋" w:eastAsia="仿宋" w:cs="仿宋"/>
          <w:b/>
          <w:bCs/>
          <w:color w:val="auto"/>
          <w:spacing w:val="0"/>
          <w:position w:val="0"/>
          <w:sz w:val="24"/>
          <w:szCs w:val="24"/>
          <w:highlight w:val="none"/>
          <w:lang w:val="en-US" w:eastAsia="zh-CN"/>
        </w:rPr>
        <w:t>服务</w:t>
      </w:r>
      <w:r>
        <w:rPr>
          <w:rFonts w:hint="eastAsia" w:ascii="仿宋" w:hAnsi="仿宋" w:eastAsia="仿宋" w:cs="仿宋"/>
          <w:b/>
          <w:bCs/>
          <w:color w:val="auto"/>
          <w:spacing w:val="0"/>
          <w:position w:val="0"/>
          <w:sz w:val="24"/>
          <w:szCs w:val="24"/>
          <w:highlight w:val="none"/>
        </w:rPr>
        <w:t>需求</w:t>
      </w:r>
      <w:bookmarkEnd w:id="1"/>
    </w:p>
    <w:p w14:paraId="5235CC4A">
      <w:pPr>
        <w:pageBreakBefore w:val="0"/>
        <w:wordWrap/>
        <w:overflowPunct/>
        <w:topLinePunct w:val="0"/>
        <w:bidi w:val="0"/>
        <w:spacing w:line="460" w:lineRule="exact"/>
        <w:ind w:firstLine="482" w:firstLineChars="200"/>
        <w:jc w:val="left"/>
        <w:textAlignment w:val="baseline"/>
        <w:rPr>
          <w:rFonts w:hint="eastAsia" w:ascii="仿宋" w:hAnsi="仿宋" w:eastAsia="仿宋" w:cs="仿宋"/>
          <w:color w:val="000000" w:themeColor="text1"/>
          <w:sz w:val="24"/>
          <w:szCs w:val="24"/>
          <w:highlight w:val="none"/>
          <w:lang w:eastAsia="zh-CN"/>
          <w14:textFill>
            <w14:solidFill>
              <w14:schemeClr w14:val="tx1"/>
            </w14:solidFill>
          </w14:textFill>
        </w:rPr>
      </w:pPr>
      <w:r>
        <w:rPr>
          <w:rFonts w:hint="eastAsia" w:ascii="仿宋" w:hAnsi="仿宋" w:eastAsia="仿宋" w:cs="仿宋"/>
          <w:b/>
          <w:bCs/>
          <w:color w:val="auto"/>
          <w:sz w:val="24"/>
          <w:szCs w:val="24"/>
          <w:highlight w:val="none"/>
          <w:lang w:val="en-US" w:eastAsia="zh-CN"/>
        </w:rPr>
        <w:t>1.</w:t>
      </w:r>
      <w:r>
        <w:rPr>
          <w:rFonts w:hint="eastAsia" w:ascii="仿宋" w:hAnsi="仿宋" w:eastAsia="仿宋" w:cs="仿宋"/>
          <w:b/>
          <w:bCs/>
          <w:color w:val="auto"/>
          <w:sz w:val="24"/>
          <w:szCs w:val="24"/>
          <w:highlight w:val="none"/>
        </w:rPr>
        <w:t>招标规模：</w:t>
      </w:r>
      <w:r>
        <w:rPr>
          <w:rFonts w:hint="eastAsia" w:ascii="仿宋" w:hAnsi="仿宋" w:eastAsia="仿宋" w:cs="仿宋"/>
          <w:color w:val="auto"/>
          <w:sz w:val="24"/>
          <w:szCs w:val="24"/>
          <w:highlight w:val="none"/>
        </w:rPr>
        <w:t>总面积625355.54平方米（其中绿地面积422989.39平方米，铺装</w:t>
      </w:r>
      <w:r>
        <w:rPr>
          <w:rFonts w:hint="eastAsia" w:ascii="仿宋" w:hAnsi="仿宋" w:eastAsia="仿宋" w:cs="仿宋"/>
          <w:color w:val="000000" w:themeColor="text1"/>
          <w:sz w:val="24"/>
          <w:szCs w:val="24"/>
          <w:highlight w:val="none"/>
          <w14:textFill>
            <w14:solidFill>
              <w14:schemeClr w14:val="tx1"/>
            </w14:solidFill>
          </w14:textFill>
        </w:rPr>
        <w:t>面积202366.15平方米）的养护</w:t>
      </w:r>
      <w:r>
        <w:rPr>
          <w:rFonts w:hint="eastAsia" w:ascii="仿宋" w:hAnsi="仿宋" w:eastAsia="仿宋" w:cs="仿宋"/>
          <w:color w:val="000000" w:themeColor="text1"/>
          <w:sz w:val="24"/>
          <w:szCs w:val="24"/>
          <w:highlight w:val="none"/>
          <w:lang w:eastAsia="zh-CN"/>
          <w14:textFill>
            <w14:solidFill>
              <w14:schemeClr w14:val="tx1"/>
            </w14:solidFill>
          </w14:textFill>
        </w:rPr>
        <w:t>、</w:t>
      </w:r>
      <w:r>
        <w:rPr>
          <w:rFonts w:hint="eastAsia" w:ascii="仿宋" w:hAnsi="仿宋" w:eastAsia="仿宋" w:cs="仿宋"/>
          <w:color w:val="000000" w:themeColor="text1"/>
          <w:sz w:val="24"/>
          <w:szCs w:val="24"/>
          <w:highlight w:val="none"/>
          <w14:textFill>
            <w14:solidFill>
              <w14:schemeClr w14:val="tx1"/>
            </w14:solidFill>
          </w14:textFill>
        </w:rPr>
        <w:t>保洁，厕所1</w:t>
      </w:r>
      <w:r>
        <w:rPr>
          <w:rFonts w:hint="eastAsia" w:ascii="仿宋" w:hAnsi="仿宋" w:eastAsia="仿宋" w:cs="仿宋"/>
          <w:color w:val="000000" w:themeColor="text1"/>
          <w:sz w:val="24"/>
          <w:szCs w:val="24"/>
          <w:highlight w:val="none"/>
          <w:lang w:val="en-US" w:eastAsia="zh-CN"/>
          <w14:textFill>
            <w14:solidFill>
              <w14:schemeClr w14:val="tx1"/>
            </w14:solidFill>
          </w14:textFill>
        </w:rPr>
        <w:t>9</w:t>
      </w:r>
      <w:r>
        <w:rPr>
          <w:rFonts w:hint="eastAsia" w:ascii="仿宋" w:hAnsi="仿宋" w:eastAsia="仿宋" w:cs="仿宋"/>
          <w:color w:val="000000" w:themeColor="text1"/>
          <w:sz w:val="24"/>
          <w:szCs w:val="24"/>
          <w:highlight w:val="none"/>
          <w14:textFill>
            <w14:solidFill>
              <w14:schemeClr w14:val="tx1"/>
            </w14:solidFill>
          </w14:textFill>
        </w:rPr>
        <w:t>座的保洁</w:t>
      </w:r>
      <w:r>
        <w:rPr>
          <w:rFonts w:hint="eastAsia" w:ascii="仿宋" w:hAnsi="仿宋" w:eastAsia="仿宋" w:cs="仿宋"/>
          <w:color w:val="000000" w:themeColor="text1"/>
          <w:sz w:val="24"/>
          <w:szCs w:val="24"/>
          <w:highlight w:val="none"/>
          <w:lang w:val="en-US" w:eastAsia="zh-CN"/>
          <w14:textFill>
            <w14:solidFill>
              <w14:schemeClr w14:val="tx1"/>
            </w14:solidFill>
          </w14:textFill>
        </w:rPr>
        <w:t>等</w:t>
      </w:r>
      <w:r>
        <w:rPr>
          <w:rFonts w:hint="eastAsia" w:ascii="仿宋" w:hAnsi="仿宋" w:eastAsia="仿宋" w:cs="仿宋"/>
          <w:color w:val="000000" w:themeColor="text1"/>
          <w:sz w:val="24"/>
          <w:szCs w:val="24"/>
          <w:highlight w:val="none"/>
          <w:lang w:eastAsia="zh-CN"/>
          <w14:textFill>
            <w14:solidFill>
              <w14:schemeClr w14:val="tx1"/>
            </w14:solidFill>
          </w14:textFill>
        </w:rPr>
        <w:t>。</w:t>
      </w:r>
    </w:p>
    <w:p w14:paraId="247972B1">
      <w:pPr>
        <w:pageBreakBefore w:val="0"/>
        <w:wordWrap/>
        <w:overflowPunct/>
        <w:topLinePunct w:val="0"/>
        <w:bidi w:val="0"/>
        <w:spacing w:line="460" w:lineRule="exact"/>
        <w:ind w:firstLine="482" w:firstLineChars="200"/>
        <w:jc w:val="left"/>
        <w:textAlignment w:val="baseline"/>
        <w:rPr>
          <w:rFonts w:hint="eastAsia" w:ascii="仿宋" w:hAnsi="仿宋" w:eastAsia="仿宋" w:cs="仿宋"/>
          <w:b/>
          <w:bCs/>
          <w:color w:val="auto"/>
          <w:sz w:val="24"/>
          <w:szCs w:val="24"/>
          <w:highlight w:val="none"/>
        </w:rPr>
      </w:pPr>
      <w:r>
        <w:rPr>
          <w:rFonts w:hint="eastAsia" w:ascii="仿宋" w:hAnsi="仿宋" w:eastAsia="仿宋" w:cs="仿宋"/>
          <w:b/>
          <w:bCs/>
          <w:color w:val="000000" w:themeColor="text1"/>
          <w:sz w:val="24"/>
          <w:szCs w:val="24"/>
          <w:highlight w:val="none"/>
          <w:lang w:val="en-US" w:eastAsia="zh-CN"/>
          <w14:textFill>
            <w14:solidFill>
              <w14:schemeClr w14:val="tx1"/>
            </w14:solidFill>
          </w14:textFill>
        </w:rPr>
        <w:t>2.</w:t>
      </w:r>
      <w:r>
        <w:rPr>
          <w:rFonts w:hint="eastAsia" w:ascii="仿宋" w:hAnsi="仿宋" w:eastAsia="仿宋" w:cs="仿宋"/>
          <w:b/>
          <w:bCs/>
          <w:color w:val="000000" w:themeColor="text1"/>
          <w:sz w:val="24"/>
          <w:szCs w:val="24"/>
          <w:highlight w:val="none"/>
          <w14:textFill>
            <w14:solidFill>
              <w14:schemeClr w14:val="tx1"/>
            </w14:solidFill>
          </w14:textFill>
        </w:rPr>
        <w:t>服</w:t>
      </w:r>
      <w:r>
        <w:rPr>
          <w:rFonts w:hint="eastAsia" w:ascii="仿宋" w:hAnsi="仿宋" w:eastAsia="仿宋" w:cs="仿宋"/>
          <w:b/>
          <w:bCs/>
          <w:color w:val="auto"/>
          <w:sz w:val="24"/>
          <w:szCs w:val="24"/>
          <w:highlight w:val="none"/>
        </w:rPr>
        <w:t>务内容：</w:t>
      </w:r>
    </w:p>
    <w:p w14:paraId="6154735D">
      <w:pPr>
        <w:pageBreakBefore w:val="0"/>
        <w:wordWrap/>
        <w:overflowPunct/>
        <w:topLinePunct w:val="0"/>
        <w:bidi w:val="0"/>
        <w:spacing w:line="460" w:lineRule="exact"/>
        <w:ind w:firstLine="480" w:firstLineChars="200"/>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2.1</w:t>
      </w:r>
      <w:r>
        <w:rPr>
          <w:rFonts w:hint="eastAsia" w:ascii="仿宋" w:hAnsi="仿宋" w:eastAsia="仿宋" w:cs="仿宋"/>
          <w:color w:val="auto"/>
          <w:sz w:val="24"/>
          <w:szCs w:val="24"/>
          <w:highlight w:val="none"/>
        </w:rPr>
        <w:t>根据景区内各种植物的情况进行必要的修剪整形、刷白、病虫害防治、维护巡查、灌水、施肥、除草、排水、卫生保洁、防疫消杀等各项绿化养护，厕所的卫生保洁，所有设备由</w:t>
      </w:r>
      <w:r>
        <w:rPr>
          <w:rFonts w:hint="eastAsia" w:ascii="仿宋" w:hAnsi="仿宋" w:eastAsia="仿宋" w:cs="仿宋"/>
          <w:color w:val="auto"/>
          <w:sz w:val="24"/>
          <w:szCs w:val="24"/>
          <w:highlight w:val="none"/>
          <w:lang w:eastAsia="zh-CN"/>
        </w:rPr>
        <w:t>中标人</w:t>
      </w:r>
      <w:r>
        <w:rPr>
          <w:rFonts w:hint="eastAsia" w:ascii="仿宋" w:hAnsi="仿宋" w:eastAsia="仿宋" w:cs="仿宋"/>
          <w:color w:val="auto"/>
          <w:sz w:val="24"/>
          <w:szCs w:val="24"/>
          <w:highlight w:val="none"/>
        </w:rPr>
        <w:t>自行提供。</w:t>
      </w:r>
    </w:p>
    <w:p w14:paraId="1E4A7AF4">
      <w:pPr>
        <w:pageBreakBefore w:val="0"/>
        <w:widowControl/>
        <w:kinsoku/>
        <w:wordWrap/>
        <w:overflowPunct/>
        <w:topLinePunct w:val="0"/>
        <w:bidi w:val="0"/>
        <w:spacing w:line="360" w:lineRule="auto"/>
        <w:ind w:firstLine="482" w:firstLineChars="200"/>
        <w:jc w:val="left"/>
        <w:rPr>
          <w:rFonts w:hint="eastAsia" w:ascii="仿宋" w:hAnsi="仿宋" w:eastAsia="仿宋" w:cs="仿宋"/>
          <w:b/>
          <w:bCs/>
          <w:color w:val="auto"/>
          <w:sz w:val="24"/>
          <w:szCs w:val="24"/>
          <w:highlight w:val="none"/>
          <w:lang w:eastAsia="zh-CN"/>
        </w:rPr>
      </w:pPr>
      <w:r>
        <w:rPr>
          <w:rFonts w:hint="eastAsia" w:ascii="仿宋" w:hAnsi="仿宋" w:eastAsia="仿宋" w:cs="仿宋"/>
          <w:b/>
          <w:bCs/>
          <w:color w:val="auto"/>
          <w:sz w:val="24"/>
          <w:szCs w:val="24"/>
          <w:highlight w:val="none"/>
          <w:lang w:val="en-US" w:eastAsia="zh-CN"/>
        </w:rPr>
        <w:t>3.</w:t>
      </w:r>
      <w:r>
        <w:rPr>
          <w:rFonts w:hint="eastAsia" w:ascii="仿宋" w:hAnsi="仿宋" w:eastAsia="仿宋" w:cs="仿宋"/>
          <w:b/>
          <w:bCs/>
          <w:color w:val="auto"/>
          <w:sz w:val="24"/>
          <w:szCs w:val="24"/>
          <w:highlight w:val="none"/>
          <w:lang w:eastAsia="zh-CN"/>
        </w:rPr>
        <w:t>服务期限：</w:t>
      </w:r>
    </w:p>
    <w:p w14:paraId="4AA6E710">
      <w:pPr>
        <w:pageBreakBefore w:val="0"/>
        <w:widowControl/>
        <w:kinsoku/>
        <w:wordWrap/>
        <w:overflowPunct/>
        <w:topLinePunct w:val="0"/>
        <w:bidi w:val="0"/>
        <w:spacing w:line="360" w:lineRule="auto"/>
        <w:ind w:firstLine="480" w:firstLineChars="200"/>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3.1</w:t>
      </w:r>
      <w:r>
        <w:rPr>
          <w:rFonts w:hint="eastAsia" w:ascii="仿宋" w:hAnsi="仿宋" w:eastAsia="仿宋" w:cs="仿宋"/>
          <w:b w:val="0"/>
          <w:bCs w:val="0"/>
          <w:color w:val="auto"/>
          <w:sz w:val="24"/>
          <w:szCs w:val="24"/>
          <w:highlight w:val="none"/>
          <w:lang w:eastAsia="zh-CN"/>
        </w:rPr>
        <w:t>绿化养护服务期限：</w:t>
      </w:r>
      <w:r>
        <w:rPr>
          <w:rFonts w:hint="eastAsia" w:ascii="仿宋" w:hAnsi="仿宋" w:eastAsia="仿宋" w:cs="仿宋"/>
          <w:color w:val="auto"/>
          <w:sz w:val="24"/>
          <w:szCs w:val="24"/>
          <w:highlight w:val="none"/>
          <w:lang w:val="en-US" w:eastAsia="zh-CN"/>
        </w:rPr>
        <w:t>2026年7月1日至2026年12月31日</w:t>
      </w:r>
      <w:r>
        <w:rPr>
          <w:rFonts w:hint="eastAsia" w:ascii="仿宋" w:hAnsi="仿宋" w:eastAsia="仿宋" w:cs="仿宋"/>
          <w:color w:val="auto"/>
          <w:sz w:val="24"/>
          <w:szCs w:val="24"/>
          <w:highlight w:val="none"/>
        </w:rPr>
        <w:t>。</w:t>
      </w:r>
    </w:p>
    <w:p w14:paraId="66B09278">
      <w:pPr>
        <w:pageBreakBefore w:val="0"/>
        <w:widowControl/>
        <w:tabs>
          <w:tab w:val="left" w:pos="9214"/>
        </w:tabs>
        <w:wordWrap/>
        <w:overflowPunct/>
        <w:topLinePunct w:val="0"/>
        <w:bidi w:val="0"/>
        <w:spacing w:line="460" w:lineRule="exact"/>
        <w:ind w:firstLine="482" w:firstLineChars="200"/>
        <w:jc w:val="left"/>
        <w:rPr>
          <w:rFonts w:hint="eastAsia" w:ascii="仿宋" w:hAnsi="仿宋" w:eastAsia="仿宋" w:cs="仿宋"/>
          <w:b w:val="0"/>
          <w:bCs/>
          <w:color w:val="auto"/>
          <w:sz w:val="24"/>
          <w:szCs w:val="24"/>
          <w:highlight w:val="none"/>
        </w:rPr>
      </w:pPr>
      <w:r>
        <w:rPr>
          <w:rFonts w:hint="eastAsia" w:ascii="仿宋" w:hAnsi="仿宋" w:eastAsia="仿宋" w:cs="仿宋"/>
          <w:b/>
          <w:bCs w:val="0"/>
          <w:color w:val="auto"/>
          <w:sz w:val="24"/>
          <w:szCs w:val="24"/>
          <w:highlight w:val="none"/>
          <w:lang w:val="en-US" w:eastAsia="zh-CN"/>
        </w:rPr>
        <w:t>4.</w:t>
      </w:r>
      <w:r>
        <w:rPr>
          <w:rFonts w:hint="eastAsia" w:ascii="仿宋" w:hAnsi="仿宋" w:eastAsia="仿宋" w:cs="仿宋"/>
          <w:b/>
          <w:bCs w:val="0"/>
          <w:color w:val="auto"/>
          <w:sz w:val="24"/>
          <w:szCs w:val="24"/>
          <w:highlight w:val="none"/>
          <w:lang w:eastAsia="zh-CN"/>
        </w:rPr>
        <w:t>投标人</w:t>
      </w:r>
      <w:r>
        <w:rPr>
          <w:rFonts w:hint="eastAsia" w:ascii="仿宋" w:hAnsi="仿宋" w:eastAsia="仿宋" w:cs="仿宋"/>
          <w:b/>
          <w:bCs w:val="0"/>
          <w:color w:val="auto"/>
          <w:sz w:val="24"/>
          <w:szCs w:val="24"/>
          <w:highlight w:val="none"/>
        </w:rPr>
        <w:t>需具有并提供为本项目服务的相关车辆及设备</w:t>
      </w:r>
      <w:r>
        <w:rPr>
          <w:rFonts w:hint="eastAsia" w:ascii="仿宋" w:hAnsi="仿宋" w:eastAsia="仿宋" w:cs="仿宋"/>
          <w:b w:val="0"/>
          <w:bCs/>
          <w:color w:val="auto"/>
          <w:sz w:val="24"/>
          <w:szCs w:val="24"/>
          <w:highlight w:val="none"/>
        </w:rPr>
        <w:t>，包括且不限于以下内容</w:t>
      </w:r>
      <w:r>
        <w:rPr>
          <w:rFonts w:hint="eastAsia" w:ascii="仿宋" w:hAnsi="仿宋" w:eastAsia="仿宋" w:cs="仿宋"/>
          <w:b/>
          <w:bCs w:val="0"/>
          <w:color w:val="auto"/>
          <w:sz w:val="24"/>
          <w:szCs w:val="24"/>
          <w:highlight w:val="none"/>
          <w:lang w:eastAsia="zh-CN"/>
        </w:rPr>
        <w:t>（需提供以下设备设施、人员清单承诺函，未提供视为无效响应）</w:t>
      </w:r>
      <w:r>
        <w:rPr>
          <w:rFonts w:hint="eastAsia" w:ascii="仿宋" w:hAnsi="仿宋" w:eastAsia="仿宋" w:cs="仿宋"/>
          <w:b w:val="0"/>
          <w:bCs/>
          <w:color w:val="auto"/>
          <w:sz w:val="24"/>
          <w:szCs w:val="24"/>
          <w:highlight w:val="none"/>
        </w:rPr>
        <w:t>：</w:t>
      </w:r>
    </w:p>
    <w:p w14:paraId="0D2A85BF">
      <w:pPr>
        <w:pageBreakBefore w:val="0"/>
        <w:widowControl/>
        <w:tabs>
          <w:tab w:val="left" w:pos="9214"/>
        </w:tabs>
        <w:wordWrap/>
        <w:overflowPunct/>
        <w:topLinePunct w:val="0"/>
        <w:bidi w:val="0"/>
        <w:spacing w:line="460" w:lineRule="exact"/>
        <w:ind w:firstLine="480" w:firstLineChars="200"/>
        <w:jc w:val="left"/>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lang w:val="en-US" w:eastAsia="zh-CN"/>
        </w:rPr>
        <w:t xml:space="preserve">4.1 </w:t>
      </w:r>
      <w:r>
        <w:rPr>
          <w:rFonts w:hint="eastAsia" w:ascii="仿宋" w:hAnsi="仿宋" w:eastAsia="仿宋" w:cs="仿宋"/>
          <w:b w:val="0"/>
          <w:bCs/>
          <w:color w:val="auto"/>
          <w:sz w:val="24"/>
          <w:szCs w:val="24"/>
          <w:highlight w:val="none"/>
          <w:lang w:eastAsia="zh-CN"/>
        </w:rPr>
        <w:t>割灌（打草）机</w:t>
      </w:r>
      <w:r>
        <w:rPr>
          <w:rFonts w:hint="eastAsia" w:ascii="仿宋" w:hAnsi="仿宋" w:eastAsia="仿宋" w:cs="仿宋"/>
          <w:b w:val="0"/>
          <w:bCs/>
          <w:color w:val="auto"/>
          <w:sz w:val="24"/>
          <w:szCs w:val="24"/>
          <w:highlight w:val="none"/>
        </w:rPr>
        <w:t>10台；</w:t>
      </w:r>
    </w:p>
    <w:p w14:paraId="33B1EF65">
      <w:pPr>
        <w:pageBreakBefore w:val="0"/>
        <w:widowControl/>
        <w:wordWrap/>
        <w:overflowPunct/>
        <w:topLinePunct w:val="0"/>
        <w:bidi w:val="0"/>
        <w:spacing w:line="460" w:lineRule="exact"/>
        <w:ind w:firstLine="480" w:firstLineChars="200"/>
        <w:jc w:val="left"/>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lang w:val="en-US" w:eastAsia="zh-CN"/>
        </w:rPr>
        <w:t xml:space="preserve">4.2 </w:t>
      </w:r>
      <w:r>
        <w:rPr>
          <w:rFonts w:hint="eastAsia" w:ascii="仿宋" w:hAnsi="仿宋" w:eastAsia="仿宋" w:cs="仿宋"/>
          <w:b w:val="0"/>
          <w:bCs/>
          <w:color w:val="auto"/>
          <w:sz w:val="24"/>
          <w:szCs w:val="24"/>
          <w:highlight w:val="none"/>
        </w:rPr>
        <w:t>绿篱修剪机3台；</w:t>
      </w:r>
    </w:p>
    <w:p w14:paraId="7F0DE06E">
      <w:pPr>
        <w:pageBreakBefore w:val="0"/>
        <w:widowControl/>
        <w:wordWrap/>
        <w:overflowPunct/>
        <w:topLinePunct w:val="0"/>
        <w:bidi w:val="0"/>
        <w:spacing w:line="460" w:lineRule="exact"/>
        <w:ind w:firstLine="480" w:firstLineChars="200"/>
        <w:jc w:val="left"/>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lang w:val="en-US" w:eastAsia="zh-CN"/>
        </w:rPr>
        <w:t xml:space="preserve">4.3 </w:t>
      </w:r>
      <w:r>
        <w:rPr>
          <w:rFonts w:hint="eastAsia" w:ascii="仿宋" w:hAnsi="仿宋" w:eastAsia="仿宋" w:cs="仿宋"/>
          <w:b w:val="0"/>
          <w:bCs/>
          <w:color w:val="auto"/>
          <w:sz w:val="24"/>
          <w:szCs w:val="24"/>
          <w:highlight w:val="none"/>
        </w:rPr>
        <w:t>抽水泵(5.5马力(hp)</w:t>
      </w:r>
      <w:r>
        <w:rPr>
          <w:rFonts w:hint="eastAsia" w:ascii="仿宋" w:hAnsi="仿宋" w:eastAsia="仿宋" w:cs="仿宋"/>
          <w:b w:val="0"/>
          <w:bCs/>
          <w:color w:val="auto"/>
          <w:sz w:val="24"/>
          <w:szCs w:val="24"/>
          <w:highlight w:val="none"/>
          <w:lang w:val="en-US" w:eastAsia="zh-CN"/>
        </w:rPr>
        <w:t>及</w:t>
      </w:r>
      <w:r>
        <w:rPr>
          <w:rFonts w:hint="eastAsia" w:ascii="仿宋" w:hAnsi="仿宋" w:eastAsia="仿宋" w:cs="仿宋"/>
          <w:b w:val="0"/>
          <w:bCs/>
          <w:color w:val="auto"/>
          <w:sz w:val="24"/>
          <w:szCs w:val="24"/>
          <w:highlight w:val="none"/>
        </w:rPr>
        <w:t>以上)10台；</w:t>
      </w:r>
    </w:p>
    <w:p w14:paraId="3B789BEC">
      <w:pPr>
        <w:pageBreakBefore w:val="0"/>
        <w:widowControl/>
        <w:wordWrap/>
        <w:overflowPunct/>
        <w:topLinePunct w:val="0"/>
        <w:bidi w:val="0"/>
        <w:spacing w:line="460" w:lineRule="exact"/>
        <w:ind w:firstLine="480" w:firstLineChars="200"/>
        <w:jc w:val="left"/>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lang w:val="en-US" w:eastAsia="zh-CN"/>
        </w:rPr>
        <w:t xml:space="preserve">4.4 </w:t>
      </w:r>
      <w:r>
        <w:rPr>
          <w:rFonts w:hint="eastAsia" w:ascii="仿宋" w:hAnsi="仿宋" w:eastAsia="仿宋" w:cs="仿宋"/>
          <w:b w:val="0"/>
          <w:bCs/>
          <w:color w:val="auto"/>
          <w:sz w:val="24"/>
          <w:szCs w:val="24"/>
          <w:highlight w:val="none"/>
        </w:rPr>
        <w:t>油锯2台；</w:t>
      </w:r>
    </w:p>
    <w:p w14:paraId="30D74986">
      <w:pPr>
        <w:pageBreakBefore w:val="0"/>
        <w:widowControl/>
        <w:wordWrap/>
        <w:overflowPunct/>
        <w:topLinePunct w:val="0"/>
        <w:bidi w:val="0"/>
        <w:spacing w:line="460" w:lineRule="exact"/>
        <w:ind w:firstLine="480" w:firstLineChars="200"/>
        <w:jc w:val="left"/>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lang w:val="en-US" w:eastAsia="zh-CN"/>
        </w:rPr>
        <w:t xml:space="preserve">4.5 </w:t>
      </w:r>
      <w:r>
        <w:rPr>
          <w:rFonts w:hint="eastAsia" w:ascii="仿宋" w:hAnsi="仿宋" w:eastAsia="仿宋" w:cs="仿宋"/>
          <w:b w:val="0"/>
          <w:bCs/>
          <w:color w:val="auto"/>
          <w:sz w:val="24"/>
          <w:szCs w:val="24"/>
          <w:highlight w:val="none"/>
        </w:rPr>
        <w:t>绿化洒水车（装水量≥</w:t>
      </w:r>
      <w:r>
        <w:rPr>
          <w:rFonts w:hint="eastAsia" w:ascii="仿宋" w:hAnsi="仿宋" w:eastAsia="仿宋" w:cs="仿宋"/>
          <w:b w:val="0"/>
          <w:bCs/>
          <w:color w:val="auto"/>
          <w:sz w:val="24"/>
          <w:szCs w:val="24"/>
          <w:highlight w:val="none"/>
          <w:lang w:val="en-US" w:eastAsia="zh-CN"/>
        </w:rPr>
        <w:t>8</w:t>
      </w:r>
      <w:r>
        <w:rPr>
          <w:rFonts w:hint="eastAsia" w:ascii="仿宋" w:hAnsi="仿宋" w:eastAsia="仿宋" w:cs="仿宋"/>
          <w:b w:val="0"/>
          <w:bCs/>
          <w:color w:val="auto"/>
          <w:sz w:val="24"/>
          <w:szCs w:val="24"/>
          <w:highlight w:val="none"/>
        </w:rPr>
        <w:t>吨）1辆；</w:t>
      </w:r>
    </w:p>
    <w:p w14:paraId="49F93A74">
      <w:pPr>
        <w:pageBreakBefore w:val="0"/>
        <w:widowControl/>
        <w:wordWrap/>
        <w:overflowPunct/>
        <w:topLinePunct w:val="0"/>
        <w:bidi w:val="0"/>
        <w:spacing w:line="460" w:lineRule="exact"/>
        <w:ind w:firstLine="480" w:firstLineChars="200"/>
        <w:jc w:val="left"/>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lang w:val="en-US" w:eastAsia="zh-CN"/>
        </w:rPr>
        <w:t xml:space="preserve">4.6 </w:t>
      </w:r>
      <w:r>
        <w:rPr>
          <w:rFonts w:hint="eastAsia" w:ascii="仿宋" w:hAnsi="仿宋" w:eastAsia="仿宋" w:cs="仿宋"/>
          <w:b w:val="0"/>
          <w:bCs/>
          <w:color w:val="auto"/>
          <w:sz w:val="24"/>
          <w:szCs w:val="24"/>
          <w:highlight w:val="none"/>
        </w:rPr>
        <w:t>喷药机2台；</w:t>
      </w:r>
    </w:p>
    <w:p w14:paraId="7994BB5C">
      <w:pPr>
        <w:pageBreakBefore w:val="0"/>
        <w:widowControl/>
        <w:wordWrap/>
        <w:overflowPunct/>
        <w:topLinePunct w:val="0"/>
        <w:bidi w:val="0"/>
        <w:spacing w:line="460" w:lineRule="exact"/>
        <w:ind w:firstLine="480" w:firstLineChars="200"/>
        <w:jc w:val="left"/>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lang w:val="en-US" w:eastAsia="zh-CN"/>
        </w:rPr>
        <w:t xml:space="preserve">4.7 </w:t>
      </w:r>
      <w:r>
        <w:rPr>
          <w:rFonts w:hint="eastAsia" w:ascii="仿宋" w:hAnsi="仿宋" w:eastAsia="仿宋" w:cs="仿宋"/>
          <w:b w:val="0"/>
          <w:bCs/>
          <w:color w:val="auto"/>
          <w:sz w:val="24"/>
          <w:szCs w:val="24"/>
          <w:highlight w:val="none"/>
        </w:rPr>
        <w:t>自卸货车1辆；</w:t>
      </w:r>
    </w:p>
    <w:p w14:paraId="4E758B12">
      <w:pPr>
        <w:pageBreakBefore w:val="0"/>
        <w:wordWrap/>
        <w:overflowPunct/>
        <w:topLinePunct w:val="0"/>
        <w:bidi w:val="0"/>
        <w:spacing w:line="46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 xml:space="preserve">4.8 </w:t>
      </w:r>
      <w:r>
        <w:rPr>
          <w:rFonts w:hint="eastAsia" w:ascii="仿宋" w:hAnsi="仿宋" w:eastAsia="仿宋" w:cs="仿宋"/>
          <w:color w:val="auto"/>
          <w:sz w:val="24"/>
          <w:szCs w:val="24"/>
          <w:highlight w:val="none"/>
        </w:rPr>
        <w:t>电动保洁三轮垃圾清运车</w:t>
      </w:r>
      <w:r>
        <w:rPr>
          <w:rFonts w:hint="eastAsia" w:ascii="仿宋" w:hAnsi="仿宋" w:eastAsia="仿宋" w:cs="仿宋"/>
          <w:color w:val="auto"/>
          <w:sz w:val="24"/>
          <w:szCs w:val="24"/>
          <w:highlight w:val="none"/>
          <w:lang w:val="en-US" w:eastAsia="zh-CN"/>
        </w:rPr>
        <w:t>10</w:t>
      </w:r>
      <w:r>
        <w:rPr>
          <w:rFonts w:hint="eastAsia" w:ascii="仿宋" w:hAnsi="仿宋" w:eastAsia="仿宋" w:cs="仿宋"/>
          <w:color w:val="auto"/>
          <w:sz w:val="24"/>
          <w:szCs w:val="24"/>
          <w:highlight w:val="none"/>
        </w:rPr>
        <w:t>辆；</w:t>
      </w:r>
    </w:p>
    <w:p w14:paraId="32224940">
      <w:pPr>
        <w:pageBreakBefore w:val="0"/>
        <w:wordWrap/>
        <w:overflowPunct/>
        <w:topLinePunct w:val="0"/>
        <w:bidi w:val="0"/>
        <w:spacing w:line="46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4.9 人员要求：提供以下所有人员必须服务于本项目的</w:t>
      </w:r>
      <w:r>
        <w:rPr>
          <w:rFonts w:hint="eastAsia" w:ascii="仿宋" w:hAnsi="仿宋" w:eastAsia="仿宋" w:cs="仿宋"/>
          <w:b/>
          <w:bCs/>
          <w:color w:val="auto"/>
          <w:sz w:val="24"/>
          <w:szCs w:val="24"/>
          <w:highlight w:val="none"/>
          <w:lang w:val="en-US" w:eastAsia="zh-CN"/>
        </w:rPr>
        <w:t>承诺函（格式自拟、投标文件中提供承诺函，未提供视为无效响应）</w:t>
      </w:r>
      <w:r>
        <w:rPr>
          <w:rFonts w:hint="eastAsia" w:ascii="仿宋" w:hAnsi="仿宋" w:eastAsia="仿宋" w:cs="仿宋"/>
          <w:color w:val="auto"/>
          <w:sz w:val="24"/>
          <w:szCs w:val="24"/>
          <w:highlight w:val="none"/>
          <w:lang w:val="en-US" w:eastAsia="zh-CN"/>
        </w:rPr>
        <w:t>，中标人应按采购人要求实施本项目人员考勤打卡，采购人也将不定期现场考核本项目人员到岗情况，出现缺勤按《南昌市象湖风景区管理处绿化养护管理考核细则》严肃处理。中标人与采购人签订合同前需提供高级绿化工证书；高级花卉工证书；机动车驾驶员B证及以上驾驶证，以及无“九类重大疾病”（器质性心脏病、癫痫病、 美尼尔氏症、眩晕症、癔病、震颤麻痹、精神病、痴呆以及影响肢体活动的神经系统疾病）、无酗酒、无吸烟的相关</w:t>
      </w:r>
      <w:r>
        <w:rPr>
          <w:rFonts w:hint="eastAsia" w:ascii="仿宋" w:hAnsi="仿宋" w:eastAsia="仿宋" w:cs="仿宋"/>
          <w:b/>
          <w:bCs/>
          <w:color w:val="auto"/>
          <w:sz w:val="24"/>
          <w:szCs w:val="24"/>
          <w:highlight w:val="none"/>
          <w:lang w:val="en-US" w:eastAsia="zh-CN"/>
        </w:rPr>
        <w:t>承诺函（格式自拟、投标文件中提供承诺函，未提供视为无效响应）</w:t>
      </w:r>
      <w:r>
        <w:rPr>
          <w:rFonts w:hint="eastAsia" w:ascii="仿宋" w:hAnsi="仿宋" w:eastAsia="仿宋" w:cs="仿宋"/>
          <w:color w:val="auto"/>
          <w:sz w:val="24"/>
          <w:szCs w:val="24"/>
          <w:highlight w:val="none"/>
          <w:lang w:val="en-US" w:eastAsia="zh-CN"/>
        </w:rPr>
        <w:t>；安全员证给采购人备份。否则将中标人视为虚假应标，采购人将不与中标人签订合同并追究责任。</w:t>
      </w:r>
    </w:p>
    <w:p w14:paraId="673F3EBB">
      <w:pPr>
        <w:spacing w:line="276" w:lineRule="auto"/>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1）必须具有项目负责人1</w:t>
      </w:r>
      <w:r>
        <w:rPr>
          <w:rFonts w:hint="eastAsia" w:ascii="仿宋" w:hAnsi="仿宋" w:eastAsia="仿宋" w:cs="仿宋"/>
          <w:color w:val="auto"/>
          <w:sz w:val="24"/>
          <w:szCs w:val="24"/>
          <w:highlight w:val="none"/>
          <w:lang w:eastAsia="zh-CN"/>
        </w:rPr>
        <w:t>人</w:t>
      </w:r>
      <w:r>
        <w:rPr>
          <w:rFonts w:hint="eastAsia" w:ascii="仿宋" w:hAnsi="仿宋" w:eastAsia="仿宋" w:cs="仿宋"/>
          <w:color w:val="auto"/>
          <w:sz w:val="24"/>
          <w:szCs w:val="24"/>
          <w:highlight w:val="none"/>
        </w:rPr>
        <w:t>。</w:t>
      </w:r>
    </w:p>
    <w:p w14:paraId="05E61BFB">
      <w:pPr>
        <w:spacing w:line="276" w:lineRule="auto"/>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rPr>
        <w:t>）必须具有高级绿化工</w:t>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lang w:eastAsia="zh-CN"/>
        </w:rPr>
        <w:t>人</w:t>
      </w:r>
      <w:r>
        <w:rPr>
          <w:rFonts w:hint="eastAsia" w:ascii="仿宋" w:hAnsi="仿宋" w:eastAsia="仿宋" w:cs="仿宋"/>
          <w:color w:val="auto"/>
          <w:sz w:val="24"/>
          <w:szCs w:val="24"/>
          <w:highlight w:val="none"/>
        </w:rPr>
        <w:t>。</w:t>
      </w:r>
    </w:p>
    <w:p w14:paraId="721E2E00">
      <w:pPr>
        <w:pageBreakBefore w:val="0"/>
        <w:tabs>
          <w:tab w:val="left" w:pos="8786"/>
        </w:tabs>
        <w:wordWrap/>
        <w:overflowPunct/>
        <w:topLinePunct w:val="0"/>
        <w:bidi w:val="0"/>
        <w:spacing w:line="46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3</w:t>
      </w:r>
      <w:r>
        <w:rPr>
          <w:rFonts w:hint="eastAsia" w:ascii="仿宋" w:hAnsi="仿宋" w:eastAsia="仿宋" w:cs="仿宋"/>
          <w:color w:val="auto"/>
          <w:sz w:val="24"/>
          <w:szCs w:val="24"/>
          <w:highlight w:val="none"/>
        </w:rPr>
        <w:t>）必须具有高级花卉工</w:t>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rPr>
        <w:t>人。</w:t>
      </w:r>
    </w:p>
    <w:p w14:paraId="5AFCE6D7">
      <w:pPr>
        <w:spacing w:line="276" w:lineRule="auto"/>
        <w:ind w:firstLine="480" w:firstLineChars="200"/>
        <w:rPr>
          <w:rFonts w:hint="eastAsia" w:ascii="仿宋" w:hAnsi="仿宋" w:eastAsia="仿宋" w:cs="仿宋"/>
          <w:b/>
          <w:color w:val="auto"/>
          <w:sz w:val="24"/>
          <w:szCs w:val="24"/>
          <w:highlight w:val="none"/>
          <w:lang w:eastAsia="zh-CN"/>
        </w:rPr>
      </w:pP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4）</w:t>
      </w:r>
      <w:r>
        <w:rPr>
          <w:rFonts w:hint="eastAsia" w:ascii="仿宋" w:hAnsi="仿宋" w:eastAsia="仿宋" w:cs="仿宋"/>
          <w:color w:val="auto"/>
          <w:sz w:val="24"/>
          <w:szCs w:val="24"/>
          <w:highlight w:val="none"/>
        </w:rPr>
        <w:t>必须具有</w:t>
      </w:r>
      <w:r>
        <w:rPr>
          <w:rFonts w:hint="eastAsia" w:ascii="仿宋" w:hAnsi="仿宋" w:eastAsia="仿宋" w:cs="仿宋"/>
          <w:color w:val="auto"/>
          <w:sz w:val="24"/>
          <w:szCs w:val="24"/>
          <w:highlight w:val="none"/>
          <w:lang w:eastAsia="zh-CN"/>
        </w:rPr>
        <w:t>机动车驾驶员</w:t>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rPr>
        <w:t>人。</w:t>
      </w:r>
    </w:p>
    <w:p w14:paraId="449A42F4">
      <w:pPr>
        <w:pStyle w:val="3"/>
        <w:ind w:left="0" w:leftChars="0" w:firstLine="480" w:firstLineChars="200"/>
        <w:rPr>
          <w:rFonts w:hint="default" w:eastAsia="仿宋"/>
          <w:highlight w:val="none"/>
          <w:lang w:val="en-US" w:eastAsia="zh-CN"/>
        </w:rPr>
      </w:pPr>
      <w:r>
        <w:rPr>
          <w:rFonts w:hint="eastAsia" w:cs="仿宋"/>
          <w:b w:val="0"/>
          <w:bCs/>
          <w:color w:val="auto"/>
          <w:sz w:val="24"/>
          <w:szCs w:val="24"/>
          <w:highlight w:val="none"/>
          <w:lang w:val="en-US" w:eastAsia="zh-CN"/>
        </w:rPr>
        <w:t>（5）</w:t>
      </w:r>
      <w:r>
        <w:rPr>
          <w:rFonts w:hint="eastAsia" w:ascii="仿宋" w:hAnsi="仿宋" w:eastAsia="仿宋" w:cs="仿宋"/>
          <w:color w:val="auto"/>
          <w:sz w:val="24"/>
          <w:szCs w:val="24"/>
          <w:highlight w:val="none"/>
        </w:rPr>
        <w:t>必须具有</w:t>
      </w:r>
      <w:r>
        <w:rPr>
          <w:rFonts w:hint="eastAsia" w:cs="仿宋"/>
          <w:color w:val="auto"/>
          <w:sz w:val="24"/>
          <w:szCs w:val="24"/>
          <w:highlight w:val="none"/>
          <w:lang w:eastAsia="zh-CN"/>
        </w:rPr>
        <w:t>安全员</w:t>
      </w:r>
      <w:r>
        <w:rPr>
          <w:rFonts w:hint="eastAsia" w:cs="仿宋"/>
          <w:color w:val="auto"/>
          <w:sz w:val="24"/>
          <w:szCs w:val="24"/>
          <w:highlight w:val="none"/>
          <w:lang w:val="en-US" w:eastAsia="zh-CN"/>
        </w:rPr>
        <w:t>1人。</w:t>
      </w:r>
    </w:p>
    <w:p w14:paraId="05126F57">
      <w:pPr>
        <w:pageBreakBefore w:val="0"/>
        <w:wordWrap/>
        <w:overflowPunct/>
        <w:topLinePunct w:val="0"/>
        <w:bidi w:val="0"/>
        <w:spacing w:line="46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6</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eastAsia="zh-CN"/>
        </w:rPr>
        <w:t>其他人员</w:t>
      </w:r>
      <w:r>
        <w:rPr>
          <w:rFonts w:hint="eastAsia" w:ascii="仿宋" w:hAnsi="仿宋" w:eastAsia="仿宋" w:cs="仿宋"/>
          <w:color w:val="auto"/>
          <w:sz w:val="24"/>
          <w:szCs w:val="24"/>
          <w:highlight w:val="none"/>
          <w:lang w:val="en-US" w:eastAsia="zh-CN"/>
        </w:rPr>
        <w:t>35</w:t>
      </w:r>
      <w:r>
        <w:rPr>
          <w:rFonts w:hint="eastAsia" w:ascii="仿宋" w:hAnsi="仿宋" w:eastAsia="仿宋" w:cs="仿宋"/>
          <w:color w:val="auto"/>
          <w:sz w:val="24"/>
          <w:szCs w:val="24"/>
          <w:highlight w:val="none"/>
        </w:rPr>
        <w:t>人</w:t>
      </w:r>
      <w:r>
        <w:rPr>
          <w:rFonts w:hint="eastAsia" w:ascii="仿宋" w:hAnsi="仿宋" w:eastAsia="仿宋" w:cs="仿宋"/>
          <w:color w:val="auto"/>
          <w:sz w:val="24"/>
          <w:szCs w:val="24"/>
          <w:highlight w:val="none"/>
          <w:lang w:eastAsia="zh-CN"/>
        </w:rPr>
        <w:t>（含保洁、除高级绿化工以外的其他绿化工、除高级花卉工以外的其他花卉工）</w:t>
      </w:r>
    </w:p>
    <w:p w14:paraId="28902740">
      <w:pPr>
        <w:pageBreakBefore w:val="0"/>
        <w:wordWrap/>
        <w:overflowPunct/>
        <w:topLinePunct w:val="0"/>
        <w:bidi w:val="0"/>
        <w:spacing w:line="46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以上车辆、设备在日常养护过程中必须使用，如未使用在检查中需扣除相应分数。以上所述设备在</w:t>
      </w:r>
      <w:r>
        <w:rPr>
          <w:rFonts w:hint="eastAsia" w:ascii="仿宋" w:hAnsi="仿宋" w:eastAsia="仿宋" w:cs="仿宋"/>
          <w:color w:val="auto"/>
          <w:sz w:val="24"/>
          <w:szCs w:val="24"/>
          <w:highlight w:val="none"/>
          <w:lang w:eastAsia="zh-CN"/>
        </w:rPr>
        <w:t>中标人</w:t>
      </w:r>
      <w:r>
        <w:rPr>
          <w:rFonts w:hint="eastAsia" w:ascii="仿宋" w:hAnsi="仿宋" w:eastAsia="仿宋" w:cs="仿宋"/>
          <w:color w:val="auto"/>
          <w:sz w:val="24"/>
          <w:szCs w:val="24"/>
          <w:highlight w:val="none"/>
        </w:rPr>
        <w:t>与</w:t>
      </w:r>
      <w:r>
        <w:rPr>
          <w:rFonts w:hint="eastAsia" w:ascii="仿宋" w:hAnsi="仿宋" w:eastAsia="仿宋" w:cs="仿宋"/>
          <w:color w:val="auto"/>
          <w:sz w:val="24"/>
          <w:szCs w:val="24"/>
          <w:highlight w:val="none"/>
          <w:lang w:eastAsia="zh-CN"/>
        </w:rPr>
        <w:t>采购人</w:t>
      </w:r>
      <w:r>
        <w:rPr>
          <w:rFonts w:hint="eastAsia" w:ascii="仿宋" w:hAnsi="仿宋" w:eastAsia="仿宋" w:cs="仿宋"/>
          <w:color w:val="auto"/>
          <w:sz w:val="24"/>
          <w:szCs w:val="24"/>
          <w:highlight w:val="none"/>
        </w:rPr>
        <w:t>签订合同前需将设备发票</w:t>
      </w:r>
      <w:r>
        <w:rPr>
          <w:rFonts w:hint="eastAsia" w:ascii="仿宋" w:hAnsi="仿宋" w:eastAsia="仿宋" w:cs="仿宋"/>
          <w:sz w:val="24"/>
          <w:szCs w:val="24"/>
          <w:highlight w:val="none"/>
          <w:lang w:eastAsia="zh-CN"/>
        </w:rPr>
        <w:t>或提供租赁合同</w:t>
      </w:r>
      <w:r>
        <w:rPr>
          <w:rFonts w:hint="eastAsia" w:ascii="仿宋" w:hAnsi="仿宋" w:eastAsia="仿宋" w:cs="仿宋"/>
          <w:color w:val="auto"/>
          <w:sz w:val="24"/>
          <w:szCs w:val="24"/>
          <w:highlight w:val="none"/>
        </w:rPr>
        <w:t>提交</w:t>
      </w:r>
      <w:r>
        <w:rPr>
          <w:rFonts w:hint="eastAsia" w:ascii="仿宋" w:hAnsi="仿宋" w:eastAsia="仿宋" w:cs="仿宋"/>
          <w:color w:val="auto"/>
          <w:sz w:val="24"/>
          <w:szCs w:val="24"/>
          <w:highlight w:val="none"/>
          <w:lang w:eastAsia="zh-CN"/>
        </w:rPr>
        <w:t>采购人</w:t>
      </w:r>
      <w:r>
        <w:rPr>
          <w:rFonts w:hint="eastAsia" w:ascii="仿宋" w:hAnsi="仿宋" w:eastAsia="仿宋" w:cs="仿宋"/>
          <w:color w:val="auto"/>
          <w:sz w:val="24"/>
          <w:szCs w:val="24"/>
          <w:highlight w:val="none"/>
        </w:rPr>
        <w:t>查验，并书面承诺保证以上设备均将用于本项目服务中，否则将</w:t>
      </w:r>
      <w:r>
        <w:rPr>
          <w:rFonts w:hint="eastAsia" w:ascii="仿宋" w:hAnsi="仿宋" w:eastAsia="仿宋" w:cs="仿宋"/>
          <w:color w:val="auto"/>
          <w:sz w:val="24"/>
          <w:szCs w:val="24"/>
          <w:highlight w:val="none"/>
          <w:lang w:eastAsia="zh-CN"/>
        </w:rPr>
        <w:t>中标人</w:t>
      </w:r>
      <w:r>
        <w:rPr>
          <w:rFonts w:hint="eastAsia" w:ascii="仿宋" w:hAnsi="仿宋" w:eastAsia="仿宋" w:cs="仿宋"/>
          <w:color w:val="auto"/>
          <w:sz w:val="24"/>
          <w:szCs w:val="24"/>
          <w:highlight w:val="none"/>
        </w:rPr>
        <w:t>视为虚假应标，</w:t>
      </w:r>
      <w:r>
        <w:rPr>
          <w:rFonts w:hint="eastAsia" w:ascii="仿宋" w:hAnsi="仿宋" w:eastAsia="仿宋" w:cs="仿宋"/>
          <w:color w:val="auto"/>
          <w:sz w:val="24"/>
          <w:szCs w:val="24"/>
          <w:highlight w:val="none"/>
          <w:lang w:eastAsia="zh-CN"/>
        </w:rPr>
        <w:t>采购人</w:t>
      </w:r>
      <w:r>
        <w:rPr>
          <w:rFonts w:hint="eastAsia" w:ascii="仿宋" w:hAnsi="仿宋" w:eastAsia="仿宋" w:cs="仿宋"/>
          <w:color w:val="auto"/>
          <w:sz w:val="24"/>
          <w:szCs w:val="24"/>
          <w:highlight w:val="none"/>
        </w:rPr>
        <w:t>将不与</w:t>
      </w:r>
      <w:r>
        <w:rPr>
          <w:rFonts w:hint="eastAsia" w:ascii="仿宋" w:hAnsi="仿宋" w:eastAsia="仿宋" w:cs="仿宋"/>
          <w:color w:val="auto"/>
          <w:sz w:val="24"/>
          <w:szCs w:val="24"/>
          <w:highlight w:val="none"/>
          <w:lang w:eastAsia="zh-CN"/>
        </w:rPr>
        <w:t>中标人</w:t>
      </w:r>
      <w:r>
        <w:rPr>
          <w:rFonts w:hint="eastAsia" w:ascii="仿宋" w:hAnsi="仿宋" w:eastAsia="仿宋" w:cs="仿宋"/>
          <w:color w:val="auto"/>
          <w:sz w:val="24"/>
          <w:szCs w:val="24"/>
          <w:highlight w:val="none"/>
        </w:rPr>
        <w:t>签订合同并追究责任。</w:t>
      </w:r>
    </w:p>
    <w:p w14:paraId="4BDDFC90">
      <w:pPr>
        <w:pageBreakBefore w:val="0"/>
        <w:wordWrap/>
        <w:overflowPunct/>
        <w:topLinePunct w:val="0"/>
        <w:bidi w:val="0"/>
        <w:spacing w:line="46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在后述评分细则中，中标人所承诺提供的设备和人员</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在养护期间，如中标人没达到所承诺的养护标准或提供的设备不达标，每发现一次，则对应所偏离的部分所占分值，每偏差一分，则在问题发现当月的养护费用中扣除2%，依次递增。</w:t>
      </w:r>
    </w:p>
    <w:p w14:paraId="15B20EEF">
      <w:pPr>
        <w:pageBreakBefore w:val="0"/>
        <w:widowControl/>
        <w:tabs>
          <w:tab w:val="left" w:pos="9214"/>
        </w:tabs>
        <w:wordWrap/>
        <w:overflowPunct/>
        <w:topLinePunct w:val="0"/>
        <w:bidi w:val="0"/>
        <w:spacing w:line="460" w:lineRule="exact"/>
        <w:ind w:firstLine="480" w:firstLineChars="200"/>
        <w:jc w:val="left"/>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rPr>
        <w:t>中标</w:t>
      </w:r>
      <w:r>
        <w:rPr>
          <w:rFonts w:hint="eastAsia" w:ascii="仿宋" w:hAnsi="仿宋" w:eastAsia="仿宋" w:cs="仿宋"/>
          <w:b w:val="0"/>
          <w:bCs/>
          <w:color w:val="auto"/>
          <w:sz w:val="24"/>
          <w:szCs w:val="24"/>
          <w:highlight w:val="none"/>
          <w:lang w:val="en-US" w:eastAsia="zh-CN"/>
        </w:rPr>
        <w:t>人拟派入本项目</w:t>
      </w:r>
      <w:r>
        <w:rPr>
          <w:rFonts w:hint="eastAsia" w:ascii="仿宋" w:hAnsi="仿宋" w:eastAsia="仿宋" w:cs="仿宋"/>
          <w:b w:val="0"/>
          <w:bCs/>
          <w:color w:val="auto"/>
          <w:sz w:val="24"/>
          <w:szCs w:val="24"/>
          <w:highlight w:val="none"/>
        </w:rPr>
        <w:t>人员上岗前需提交各岗位人员实名制信息及身份证复印件等材料。中标人必须保障各岗位工作人员的稳定性，如有出现工作人员调离，需提前书面通知采购人同意后更换，未经采购人同意不得随意更换。服务期间如存在工作态度和质量问题，采购人有权要求中标人立即进行更换。</w:t>
      </w:r>
    </w:p>
    <w:p w14:paraId="218D1CA6">
      <w:pPr>
        <w:pageBreakBefore w:val="0"/>
        <w:widowControl/>
        <w:shd w:val="clear"/>
        <w:tabs>
          <w:tab w:val="left" w:pos="9214"/>
        </w:tabs>
        <w:wordWrap/>
        <w:overflowPunct/>
        <w:topLinePunct w:val="0"/>
        <w:bidi w:val="0"/>
        <w:spacing w:line="460" w:lineRule="exact"/>
        <w:ind w:firstLine="480" w:firstLineChars="200"/>
        <w:jc w:val="left"/>
        <w:rPr>
          <w:rFonts w:hint="eastAsia" w:ascii="仿宋" w:hAnsi="仿宋" w:eastAsia="仿宋" w:cs="仿宋"/>
          <w:b w:val="0"/>
          <w:bCs/>
          <w:color w:val="auto"/>
          <w:sz w:val="24"/>
          <w:szCs w:val="24"/>
          <w:highlight w:val="none"/>
          <w:lang w:val="en-US" w:eastAsia="zh-CN"/>
        </w:rPr>
      </w:pPr>
      <w:r>
        <w:rPr>
          <w:rFonts w:hint="eastAsia" w:ascii="仿宋" w:hAnsi="仿宋" w:eastAsia="仿宋" w:cs="仿宋"/>
          <w:b w:val="0"/>
          <w:bCs/>
          <w:color w:val="auto"/>
          <w:sz w:val="24"/>
          <w:szCs w:val="24"/>
          <w:highlight w:val="none"/>
        </w:rPr>
        <w:t>中标后中标人现场绿化养护人员4</w:t>
      </w:r>
      <w:r>
        <w:rPr>
          <w:rFonts w:hint="eastAsia" w:ascii="仿宋" w:hAnsi="仿宋" w:eastAsia="仿宋" w:cs="仿宋"/>
          <w:b w:val="0"/>
          <w:bCs/>
          <w:color w:val="auto"/>
          <w:sz w:val="24"/>
          <w:szCs w:val="24"/>
          <w:highlight w:val="none"/>
          <w:lang w:val="en-US" w:eastAsia="zh-CN"/>
        </w:rPr>
        <w:t>0</w:t>
      </w:r>
      <w:r>
        <w:rPr>
          <w:rFonts w:hint="eastAsia" w:ascii="仿宋" w:hAnsi="仿宋" w:eastAsia="仿宋" w:cs="仿宋"/>
          <w:b w:val="0"/>
          <w:bCs/>
          <w:color w:val="auto"/>
          <w:sz w:val="24"/>
          <w:szCs w:val="24"/>
          <w:highlight w:val="none"/>
        </w:rPr>
        <w:t>人（含项目负责人、绿化工、花卉工、保洁人员、机动车驾驶员、安全员</w:t>
      </w:r>
      <w:r>
        <w:rPr>
          <w:rFonts w:hint="eastAsia" w:ascii="仿宋" w:hAnsi="仿宋" w:eastAsia="仿宋" w:cs="仿宋"/>
          <w:b w:val="0"/>
          <w:bCs/>
          <w:color w:val="auto"/>
          <w:sz w:val="24"/>
          <w:szCs w:val="24"/>
          <w:highlight w:val="none"/>
          <w:lang w:val="en-US" w:eastAsia="zh-CN"/>
        </w:rPr>
        <w:t>等</w:t>
      </w:r>
      <w:r>
        <w:rPr>
          <w:rFonts w:hint="eastAsia" w:ascii="仿宋" w:hAnsi="仿宋" w:eastAsia="仿宋" w:cs="仿宋"/>
          <w:b w:val="0"/>
          <w:bCs/>
          <w:color w:val="auto"/>
          <w:sz w:val="24"/>
          <w:szCs w:val="24"/>
          <w:highlight w:val="none"/>
        </w:rPr>
        <w:t>），每月不定期考核人数。若考核抽查中有发现人员不到位的，人员不在岗数当月累计</w:t>
      </w:r>
      <w:r>
        <w:rPr>
          <w:rFonts w:hint="eastAsia" w:ascii="仿宋" w:hAnsi="仿宋" w:eastAsia="仿宋" w:cs="仿宋"/>
          <w:b w:val="0"/>
          <w:bCs/>
          <w:color w:val="auto"/>
          <w:sz w:val="24"/>
          <w:szCs w:val="24"/>
          <w:highlight w:val="none"/>
          <w:lang w:val="en-US" w:eastAsia="zh-CN"/>
        </w:rPr>
        <w:t>10</w:t>
      </w:r>
      <w:r>
        <w:rPr>
          <w:rFonts w:hint="eastAsia" w:ascii="仿宋" w:hAnsi="仿宋" w:eastAsia="仿宋" w:cs="仿宋"/>
          <w:b w:val="0"/>
          <w:bCs/>
          <w:color w:val="auto"/>
          <w:sz w:val="24"/>
          <w:szCs w:val="24"/>
          <w:highlight w:val="none"/>
        </w:rPr>
        <w:t>人</w:t>
      </w:r>
      <w:r>
        <w:rPr>
          <w:rFonts w:hint="eastAsia" w:ascii="仿宋" w:hAnsi="仿宋" w:eastAsia="仿宋" w:cs="仿宋"/>
          <w:b w:val="0"/>
          <w:bCs/>
          <w:color w:val="auto"/>
          <w:sz w:val="24"/>
          <w:szCs w:val="24"/>
          <w:highlight w:val="none"/>
          <w:lang w:eastAsia="zh-CN"/>
        </w:rPr>
        <w:t>次</w:t>
      </w:r>
      <w:r>
        <w:rPr>
          <w:rFonts w:hint="eastAsia" w:ascii="仿宋" w:hAnsi="仿宋" w:eastAsia="仿宋" w:cs="仿宋"/>
          <w:b w:val="0"/>
          <w:bCs/>
          <w:color w:val="auto"/>
          <w:sz w:val="24"/>
          <w:szCs w:val="24"/>
          <w:highlight w:val="none"/>
        </w:rPr>
        <w:t>以内（含</w:t>
      </w:r>
      <w:r>
        <w:rPr>
          <w:rFonts w:hint="eastAsia" w:ascii="仿宋" w:hAnsi="仿宋" w:eastAsia="仿宋" w:cs="仿宋"/>
          <w:b w:val="0"/>
          <w:bCs/>
          <w:color w:val="auto"/>
          <w:sz w:val="24"/>
          <w:szCs w:val="24"/>
          <w:highlight w:val="none"/>
          <w:lang w:val="en-US" w:eastAsia="zh-CN"/>
        </w:rPr>
        <w:t>10</w:t>
      </w:r>
      <w:r>
        <w:rPr>
          <w:rFonts w:hint="eastAsia" w:ascii="仿宋" w:hAnsi="仿宋" w:eastAsia="仿宋" w:cs="仿宋"/>
          <w:b w:val="0"/>
          <w:bCs/>
          <w:color w:val="auto"/>
          <w:sz w:val="24"/>
          <w:szCs w:val="24"/>
          <w:highlight w:val="none"/>
        </w:rPr>
        <w:t>人</w:t>
      </w:r>
      <w:r>
        <w:rPr>
          <w:rFonts w:hint="eastAsia" w:ascii="仿宋" w:hAnsi="仿宋" w:eastAsia="仿宋" w:cs="仿宋"/>
          <w:b w:val="0"/>
          <w:bCs/>
          <w:color w:val="auto"/>
          <w:sz w:val="24"/>
          <w:szCs w:val="24"/>
          <w:highlight w:val="none"/>
          <w:lang w:eastAsia="zh-CN"/>
        </w:rPr>
        <w:t>次</w:t>
      </w:r>
      <w:r>
        <w:rPr>
          <w:rFonts w:hint="eastAsia" w:ascii="仿宋" w:hAnsi="仿宋" w:eastAsia="仿宋" w:cs="仿宋"/>
          <w:b w:val="0"/>
          <w:bCs/>
          <w:color w:val="auto"/>
          <w:sz w:val="24"/>
          <w:szCs w:val="24"/>
          <w:highlight w:val="none"/>
        </w:rPr>
        <w:t>），扣除当月管护经费的5%/次；人员不在岗数当月累计</w:t>
      </w:r>
      <w:r>
        <w:rPr>
          <w:rFonts w:hint="eastAsia" w:ascii="仿宋" w:hAnsi="仿宋" w:eastAsia="仿宋" w:cs="仿宋"/>
          <w:b w:val="0"/>
          <w:bCs/>
          <w:color w:val="auto"/>
          <w:sz w:val="24"/>
          <w:szCs w:val="24"/>
          <w:highlight w:val="none"/>
          <w:lang w:val="en-US" w:eastAsia="zh-CN"/>
        </w:rPr>
        <w:t>10</w:t>
      </w:r>
      <w:r>
        <w:rPr>
          <w:rFonts w:hint="eastAsia" w:ascii="仿宋" w:hAnsi="仿宋" w:eastAsia="仿宋" w:cs="仿宋"/>
          <w:b w:val="0"/>
          <w:bCs/>
          <w:color w:val="auto"/>
          <w:sz w:val="24"/>
          <w:szCs w:val="24"/>
          <w:highlight w:val="none"/>
        </w:rPr>
        <w:t>-</w:t>
      </w:r>
      <w:r>
        <w:rPr>
          <w:rFonts w:hint="eastAsia" w:ascii="仿宋" w:hAnsi="仿宋" w:eastAsia="仿宋" w:cs="仿宋"/>
          <w:b w:val="0"/>
          <w:bCs/>
          <w:color w:val="auto"/>
          <w:sz w:val="24"/>
          <w:szCs w:val="24"/>
          <w:highlight w:val="none"/>
          <w:lang w:val="en-US" w:eastAsia="zh-CN"/>
        </w:rPr>
        <w:t>15</w:t>
      </w:r>
      <w:r>
        <w:rPr>
          <w:rFonts w:hint="eastAsia" w:ascii="仿宋" w:hAnsi="仿宋" w:eastAsia="仿宋" w:cs="仿宋"/>
          <w:b w:val="0"/>
          <w:bCs/>
          <w:color w:val="auto"/>
          <w:sz w:val="24"/>
          <w:szCs w:val="24"/>
          <w:highlight w:val="none"/>
        </w:rPr>
        <w:t>人</w:t>
      </w:r>
      <w:r>
        <w:rPr>
          <w:rFonts w:hint="eastAsia" w:ascii="仿宋" w:hAnsi="仿宋" w:eastAsia="仿宋" w:cs="仿宋"/>
          <w:b w:val="0"/>
          <w:bCs/>
          <w:color w:val="auto"/>
          <w:sz w:val="24"/>
          <w:szCs w:val="24"/>
          <w:highlight w:val="none"/>
          <w:lang w:eastAsia="zh-CN"/>
        </w:rPr>
        <w:t>次</w:t>
      </w:r>
      <w:r>
        <w:rPr>
          <w:rFonts w:hint="eastAsia" w:ascii="仿宋" w:hAnsi="仿宋" w:eastAsia="仿宋" w:cs="仿宋"/>
          <w:b w:val="0"/>
          <w:bCs/>
          <w:color w:val="auto"/>
          <w:sz w:val="24"/>
          <w:szCs w:val="24"/>
          <w:highlight w:val="none"/>
        </w:rPr>
        <w:t>（含1</w:t>
      </w:r>
      <w:r>
        <w:rPr>
          <w:rFonts w:hint="eastAsia" w:ascii="仿宋" w:hAnsi="仿宋" w:eastAsia="仿宋" w:cs="仿宋"/>
          <w:b w:val="0"/>
          <w:bCs/>
          <w:color w:val="auto"/>
          <w:sz w:val="24"/>
          <w:szCs w:val="24"/>
          <w:highlight w:val="none"/>
          <w:lang w:val="en-US" w:eastAsia="zh-CN"/>
        </w:rPr>
        <w:t>5</w:t>
      </w:r>
      <w:r>
        <w:rPr>
          <w:rFonts w:hint="eastAsia" w:ascii="仿宋" w:hAnsi="仿宋" w:eastAsia="仿宋" w:cs="仿宋"/>
          <w:b w:val="0"/>
          <w:bCs/>
          <w:color w:val="auto"/>
          <w:sz w:val="24"/>
          <w:szCs w:val="24"/>
          <w:highlight w:val="none"/>
        </w:rPr>
        <w:t>人</w:t>
      </w:r>
      <w:r>
        <w:rPr>
          <w:rFonts w:hint="eastAsia" w:ascii="仿宋" w:hAnsi="仿宋" w:eastAsia="仿宋" w:cs="仿宋"/>
          <w:b w:val="0"/>
          <w:bCs/>
          <w:color w:val="auto"/>
          <w:sz w:val="24"/>
          <w:szCs w:val="24"/>
          <w:highlight w:val="none"/>
          <w:lang w:eastAsia="zh-CN"/>
        </w:rPr>
        <w:t>次</w:t>
      </w:r>
      <w:r>
        <w:rPr>
          <w:rFonts w:hint="eastAsia" w:ascii="仿宋" w:hAnsi="仿宋" w:eastAsia="仿宋" w:cs="仿宋"/>
          <w:b w:val="0"/>
          <w:bCs/>
          <w:color w:val="auto"/>
          <w:sz w:val="24"/>
          <w:szCs w:val="24"/>
          <w:highlight w:val="none"/>
        </w:rPr>
        <w:t>），扣除当月管护经费的10%/次；人员不在岗数当月累计1</w:t>
      </w:r>
      <w:r>
        <w:rPr>
          <w:rFonts w:hint="eastAsia" w:ascii="仿宋" w:hAnsi="仿宋" w:eastAsia="仿宋" w:cs="仿宋"/>
          <w:b w:val="0"/>
          <w:bCs/>
          <w:color w:val="auto"/>
          <w:sz w:val="24"/>
          <w:szCs w:val="24"/>
          <w:highlight w:val="none"/>
          <w:lang w:val="en-US" w:eastAsia="zh-CN"/>
        </w:rPr>
        <w:t>5</w:t>
      </w:r>
      <w:r>
        <w:rPr>
          <w:rFonts w:hint="eastAsia" w:ascii="仿宋" w:hAnsi="仿宋" w:eastAsia="仿宋" w:cs="仿宋"/>
          <w:b w:val="0"/>
          <w:bCs/>
          <w:color w:val="auto"/>
          <w:sz w:val="24"/>
          <w:szCs w:val="24"/>
          <w:highlight w:val="none"/>
        </w:rPr>
        <w:t>-</w:t>
      </w:r>
      <w:r>
        <w:rPr>
          <w:rFonts w:hint="eastAsia" w:ascii="仿宋" w:hAnsi="仿宋" w:eastAsia="仿宋" w:cs="仿宋"/>
          <w:b w:val="0"/>
          <w:bCs/>
          <w:color w:val="auto"/>
          <w:sz w:val="24"/>
          <w:szCs w:val="24"/>
          <w:highlight w:val="none"/>
          <w:lang w:val="en-US" w:eastAsia="zh-CN"/>
        </w:rPr>
        <w:t>20</w:t>
      </w:r>
      <w:r>
        <w:rPr>
          <w:rFonts w:hint="eastAsia" w:ascii="仿宋" w:hAnsi="仿宋" w:eastAsia="仿宋" w:cs="仿宋"/>
          <w:b w:val="0"/>
          <w:bCs/>
          <w:color w:val="auto"/>
          <w:sz w:val="24"/>
          <w:szCs w:val="24"/>
          <w:highlight w:val="none"/>
        </w:rPr>
        <w:t>人</w:t>
      </w:r>
      <w:r>
        <w:rPr>
          <w:rFonts w:hint="eastAsia" w:ascii="仿宋" w:hAnsi="仿宋" w:eastAsia="仿宋" w:cs="仿宋"/>
          <w:b w:val="0"/>
          <w:bCs/>
          <w:color w:val="auto"/>
          <w:sz w:val="24"/>
          <w:szCs w:val="24"/>
          <w:highlight w:val="none"/>
          <w:lang w:eastAsia="zh-CN"/>
        </w:rPr>
        <w:t>次</w:t>
      </w:r>
      <w:r>
        <w:rPr>
          <w:rFonts w:hint="eastAsia" w:ascii="仿宋" w:hAnsi="仿宋" w:eastAsia="仿宋" w:cs="仿宋"/>
          <w:b w:val="0"/>
          <w:bCs/>
          <w:color w:val="auto"/>
          <w:sz w:val="24"/>
          <w:szCs w:val="24"/>
          <w:highlight w:val="none"/>
        </w:rPr>
        <w:t>（含</w:t>
      </w:r>
      <w:r>
        <w:rPr>
          <w:rFonts w:hint="eastAsia" w:ascii="仿宋" w:hAnsi="仿宋" w:eastAsia="仿宋" w:cs="仿宋"/>
          <w:b w:val="0"/>
          <w:bCs/>
          <w:color w:val="auto"/>
          <w:sz w:val="24"/>
          <w:szCs w:val="24"/>
          <w:highlight w:val="none"/>
          <w:lang w:val="en-US" w:eastAsia="zh-CN"/>
        </w:rPr>
        <w:t>20</w:t>
      </w:r>
      <w:r>
        <w:rPr>
          <w:rFonts w:hint="eastAsia" w:ascii="仿宋" w:hAnsi="仿宋" w:eastAsia="仿宋" w:cs="仿宋"/>
          <w:b w:val="0"/>
          <w:bCs/>
          <w:color w:val="auto"/>
          <w:sz w:val="24"/>
          <w:szCs w:val="24"/>
          <w:highlight w:val="none"/>
        </w:rPr>
        <w:t>人</w:t>
      </w:r>
      <w:r>
        <w:rPr>
          <w:rFonts w:hint="eastAsia" w:ascii="仿宋" w:hAnsi="仿宋" w:eastAsia="仿宋" w:cs="仿宋"/>
          <w:b w:val="0"/>
          <w:bCs/>
          <w:color w:val="auto"/>
          <w:sz w:val="24"/>
          <w:szCs w:val="24"/>
          <w:highlight w:val="none"/>
          <w:lang w:eastAsia="zh-CN"/>
        </w:rPr>
        <w:t>次</w:t>
      </w:r>
      <w:r>
        <w:rPr>
          <w:rFonts w:hint="eastAsia" w:ascii="仿宋" w:hAnsi="仿宋" w:eastAsia="仿宋" w:cs="仿宋"/>
          <w:b w:val="0"/>
          <w:bCs/>
          <w:color w:val="auto"/>
          <w:sz w:val="24"/>
          <w:szCs w:val="24"/>
          <w:highlight w:val="none"/>
        </w:rPr>
        <w:t>），扣除当月管护经费的20%/次；人员不在岗数当月累计超过</w:t>
      </w:r>
      <w:r>
        <w:rPr>
          <w:rFonts w:hint="eastAsia" w:ascii="仿宋" w:hAnsi="仿宋" w:eastAsia="仿宋" w:cs="仿宋"/>
          <w:b w:val="0"/>
          <w:bCs/>
          <w:color w:val="auto"/>
          <w:sz w:val="24"/>
          <w:szCs w:val="24"/>
          <w:highlight w:val="none"/>
          <w:lang w:val="en-US" w:eastAsia="zh-CN"/>
        </w:rPr>
        <w:t>20</w:t>
      </w:r>
      <w:r>
        <w:rPr>
          <w:rFonts w:hint="eastAsia" w:ascii="仿宋" w:hAnsi="仿宋" w:eastAsia="仿宋" w:cs="仿宋"/>
          <w:b w:val="0"/>
          <w:bCs/>
          <w:color w:val="auto"/>
          <w:sz w:val="24"/>
          <w:szCs w:val="24"/>
          <w:highlight w:val="none"/>
        </w:rPr>
        <w:t>人</w:t>
      </w:r>
      <w:r>
        <w:rPr>
          <w:rFonts w:hint="eastAsia" w:ascii="仿宋" w:hAnsi="仿宋" w:eastAsia="仿宋" w:cs="仿宋"/>
          <w:b w:val="0"/>
          <w:bCs/>
          <w:color w:val="auto"/>
          <w:sz w:val="24"/>
          <w:szCs w:val="24"/>
          <w:highlight w:val="none"/>
          <w:lang w:eastAsia="zh-CN"/>
        </w:rPr>
        <w:t>次</w:t>
      </w:r>
      <w:r>
        <w:rPr>
          <w:rFonts w:hint="eastAsia" w:ascii="仿宋" w:hAnsi="仿宋" w:eastAsia="仿宋" w:cs="仿宋"/>
          <w:b w:val="0"/>
          <w:bCs/>
          <w:color w:val="auto"/>
          <w:sz w:val="24"/>
          <w:szCs w:val="24"/>
          <w:highlight w:val="none"/>
        </w:rPr>
        <w:t>，不支付当月管护经费</w:t>
      </w:r>
      <w:r>
        <w:rPr>
          <w:rFonts w:hint="eastAsia" w:ascii="仿宋" w:hAnsi="仿宋" w:eastAsia="仿宋" w:cs="仿宋"/>
          <w:b w:val="0"/>
          <w:bCs/>
          <w:color w:val="auto"/>
          <w:sz w:val="24"/>
          <w:szCs w:val="24"/>
          <w:highlight w:val="none"/>
          <w:lang w:eastAsia="zh-CN"/>
        </w:rPr>
        <w:t>。</w:t>
      </w:r>
    </w:p>
    <w:p w14:paraId="7D88FF01">
      <w:pPr>
        <w:pStyle w:val="3"/>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480" w:firstLineChars="200"/>
        <w:textAlignment w:val="baseline"/>
        <w:rPr>
          <w:rFonts w:hint="eastAsia" w:ascii="仿宋" w:hAnsi="仿宋" w:eastAsia="仿宋" w:cs="仿宋"/>
          <w:bCs/>
          <w:snapToGrid w:val="0"/>
          <w:color w:val="auto"/>
          <w:sz w:val="24"/>
          <w:szCs w:val="24"/>
          <w:highlight w:val="none"/>
          <w:lang w:val="en-US" w:eastAsia="zh-CN" w:bidi="ar-SA"/>
        </w:rPr>
      </w:pPr>
      <w:r>
        <w:rPr>
          <w:rFonts w:hint="eastAsia" w:ascii="仿宋" w:hAnsi="仿宋" w:eastAsia="仿宋" w:cs="仿宋"/>
          <w:bCs/>
          <w:snapToGrid w:val="0"/>
          <w:color w:val="auto"/>
          <w:sz w:val="24"/>
          <w:szCs w:val="24"/>
          <w:highlight w:val="none"/>
          <w:lang w:val="en-US" w:eastAsia="zh-CN" w:bidi="ar-SA"/>
        </w:rPr>
        <w:t>（</w:t>
      </w:r>
      <w:r>
        <w:rPr>
          <w:rFonts w:hint="eastAsia" w:cs="仿宋"/>
          <w:bCs/>
          <w:snapToGrid w:val="0"/>
          <w:color w:val="auto"/>
          <w:sz w:val="24"/>
          <w:szCs w:val="24"/>
          <w:highlight w:val="none"/>
          <w:lang w:val="en-US" w:eastAsia="zh-CN" w:bidi="ar-SA"/>
        </w:rPr>
        <w:t>7</w:t>
      </w:r>
      <w:r>
        <w:rPr>
          <w:rFonts w:hint="eastAsia" w:ascii="仿宋" w:hAnsi="仿宋" w:eastAsia="仿宋" w:cs="仿宋"/>
          <w:bCs/>
          <w:snapToGrid w:val="0"/>
          <w:color w:val="auto"/>
          <w:sz w:val="24"/>
          <w:szCs w:val="24"/>
          <w:highlight w:val="none"/>
          <w:lang w:val="en-US" w:eastAsia="zh-CN" w:bidi="ar-SA"/>
        </w:rPr>
        <w:t>）人员团队考勤管理要求</w:t>
      </w:r>
    </w:p>
    <w:p w14:paraId="2FD7FB00">
      <w:pPr>
        <w:pStyle w:val="3"/>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480" w:firstLineChars="200"/>
        <w:textAlignment w:val="baseline"/>
        <w:rPr>
          <w:rFonts w:hint="eastAsia" w:cs="仿宋"/>
          <w:bCs/>
          <w:snapToGrid w:val="0"/>
          <w:color w:val="auto"/>
          <w:sz w:val="24"/>
          <w:szCs w:val="24"/>
          <w:highlight w:val="none"/>
          <w:lang w:val="en-US" w:eastAsia="zh-CN" w:bidi="ar-SA"/>
        </w:rPr>
      </w:pPr>
      <w:r>
        <w:rPr>
          <w:rFonts w:hint="eastAsia" w:cs="仿宋"/>
          <w:bCs/>
          <w:snapToGrid w:val="0"/>
          <w:color w:val="auto"/>
          <w:sz w:val="24"/>
          <w:szCs w:val="24"/>
          <w:highlight w:val="none"/>
          <w:lang w:val="en-US" w:eastAsia="zh-CN" w:bidi="ar-SA"/>
        </w:rPr>
        <w:t>①</w:t>
      </w:r>
      <w:r>
        <w:rPr>
          <w:rFonts w:hint="eastAsia" w:ascii="仿宋" w:hAnsi="仿宋" w:eastAsia="仿宋" w:cs="仿宋"/>
          <w:bCs/>
          <w:snapToGrid w:val="0"/>
          <w:color w:val="auto"/>
          <w:sz w:val="24"/>
          <w:szCs w:val="24"/>
          <w:highlight w:val="none"/>
          <w:lang w:val="en-US" w:eastAsia="zh-CN" w:bidi="ar-SA"/>
        </w:rPr>
        <w:t>为保障本项目技术服务人员到岗率符合合同约定标准，实现人员出勤情况的可追溯、可核查</w:t>
      </w:r>
      <w:r>
        <w:rPr>
          <w:rFonts w:hint="eastAsia" w:cs="仿宋"/>
          <w:bCs/>
          <w:snapToGrid w:val="0"/>
          <w:color w:val="auto"/>
          <w:sz w:val="24"/>
          <w:szCs w:val="24"/>
          <w:highlight w:val="none"/>
          <w:lang w:val="en-US" w:eastAsia="zh-CN" w:bidi="ar-SA"/>
        </w:rPr>
        <w:t>。</w:t>
      </w:r>
    </w:p>
    <w:p w14:paraId="014B54F7">
      <w:pPr>
        <w:pStyle w:val="3"/>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480" w:firstLineChars="200"/>
        <w:textAlignment w:val="baseline"/>
        <w:rPr>
          <w:rFonts w:hint="default" w:cs="仿宋"/>
          <w:bCs/>
          <w:snapToGrid w:val="0"/>
          <w:color w:val="auto"/>
          <w:sz w:val="24"/>
          <w:szCs w:val="24"/>
          <w:highlight w:val="none"/>
          <w:lang w:val="en-US" w:eastAsia="zh-CN" w:bidi="ar-SA"/>
        </w:rPr>
      </w:pPr>
      <w:r>
        <w:rPr>
          <w:rFonts w:hint="eastAsia" w:cs="仿宋"/>
          <w:bCs/>
          <w:snapToGrid w:val="0"/>
          <w:color w:val="auto"/>
          <w:sz w:val="24"/>
          <w:szCs w:val="24"/>
          <w:highlight w:val="none"/>
          <w:lang w:val="en-US" w:eastAsia="zh-CN" w:bidi="ar-SA"/>
        </w:rPr>
        <w:t>②日常检查以采购单位管护科为主，由管护科对景区全体项目人员的日常履职情况进行常态化检查，发现违规、履职不到位等问题，详细做好检查记录，按《南昌市象湖风景区管理处绿化养护管理考核细则》严肃处理。为加强项目人员在岗管理，中标供应商须采用满足采购人功能标准（人脸识别 + 实时定位打卡）的考勤系统，完成本项目全体人员日常考勤工作。系统配套软件、账号、硬件设备及日常运维产生的所有费用，均由中标供应商自行承担，相关成本统一包含在投标报价与合同总价之中，采购人不再额外支付费用。考勤数据需实时同步至采购人管理后台，采购人有权随时核查人员在岗状态。</w:t>
      </w:r>
    </w:p>
    <w:p w14:paraId="519C3521">
      <w:pPr>
        <w:pageBreakBefore w:val="0"/>
        <w:widowControl/>
        <w:numPr>
          <w:ilvl w:val="0"/>
          <w:numId w:val="0"/>
        </w:numPr>
        <w:tabs>
          <w:tab w:val="left" w:pos="9214"/>
        </w:tabs>
        <w:wordWrap/>
        <w:overflowPunct/>
        <w:topLinePunct w:val="0"/>
        <w:bidi w:val="0"/>
        <w:spacing w:line="460" w:lineRule="exact"/>
        <w:ind w:firstLine="482" w:firstLineChars="200"/>
        <w:jc w:val="left"/>
        <w:rPr>
          <w:rFonts w:hint="eastAsia" w:ascii="仿宋" w:hAnsi="仿宋" w:eastAsia="仿宋" w:cs="仿宋"/>
          <w:b/>
          <w:bCs w:val="0"/>
          <w:color w:val="auto"/>
          <w:sz w:val="24"/>
          <w:szCs w:val="24"/>
          <w:highlight w:val="none"/>
          <w:lang w:eastAsia="zh-CN"/>
        </w:rPr>
      </w:pPr>
      <w:r>
        <w:rPr>
          <w:rFonts w:hint="eastAsia" w:ascii="仿宋" w:hAnsi="仿宋" w:eastAsia="仿宋" w:cs="仿宋"/>
          <w:b/>
          <w:bCs w:val="0"/>
          <w:color w:val="auto"/>
          <w:sz w:val="24"/>
          <w:szCs w:val="24"/>
          <w:highlight w:val="none"/>
          <w:lang w:val="en-US" w:eastAsia="zh-CN"/>
        </w:rPr>
        <w:t>5.</w:t>
      </w:r>
      <w:r>
        <w:rPr>
          <w:rFonts w:hint="eastAsia" w:ascii="仿宋" w:hAnsi="仿宋" w:eastAsia="仿宋" w:cs="仿宋"/>
          <w:b/>
          <w:bCs w:val="0"/>
          <w:color w:val="auto"/>
          <w:sz w:val="24"/>
          <w:szCs w:val="24"/>
          <w:highlight w:val="none"/>
          <w:lang w:eastAsia="zh-CN"/>
        </w:rPr>
        <w:t>报价要求：</w:t>
      </w:r>
    </w:p>
    <w:p w14:paraId="0B42679F">
      <w:pPr>
        <w:spacing w:line="460" w:lineRule="exact"/>
        <w:ind w:firstLine="480" w:firstLineChars="200"/>
        <w:rPr>
          <w:rFonts w:hint="eastAsia" w:ascii="仿宋" w:hAnsi="仿宋" w:eastAsia="仿宋" w:cs="仿宋"/>
          <w:highlight w:val="none"/>
        </w:rPr>
      </w:pPr>
      <w:r>
        <w:rPr>
          <w:rFonts w:hint="eastAsia" w:ascii="仿宋" w:hAnsi="仿宋" w:eastAsia="仿宋" w:cs="仿宋"/>
          <w:bCs/>
          <w:color w:val="auto"/>
          <w:sz w:val="24"/>
          <w:szCs w:val="24"/>
          <w:highlight w:val="none"/>
          <w:lang w:val="en-US" w:eastAsia="zh-CN"/>
        </w:rPr>
        <w:t>5.1本项目列有详细分项报价报，</w:t>
      </w:r>
      <w:r>
        <w:rPr>
          <w:rFonts w:hint="eastAsia" w:ascii="仿宋" w:hAnsi="仿宋" w:eastAsia="仿宋" w:cs="仿宋"/>
          <w:bCs/>
          <w:color w:val="auto"/>
          <w:sz w:val="24"/>
          <w:szCs w:val="24"/>
          <w:highlight w:val="none"/>
          <w:lang w:eastAsia="zh-CN"/>
        </w:rPr>
        <w:t>投标人应对所投项目的全部内容进行报价，只投其中部分内容者，其标书将被拒绝。</w:t>
      </w:r>
    </w:p>
    <w:p w14:paraId="4F069EF5">
      <w:pPr>
        <w:pageBreakBefore w:val="0"/>
        <w:widowControl/>
        <w:wordWrap/>
        <w:overflowPunct/>
        <w:topLinePunct w:val="0"/>
        <w:bidi w:val="0"/>
        <w:spacing w:line="460" w:lineRule="exact"/>
        <w:ind w:firstLine="480" w:firstLineChars="200"/>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5.2</w:t>
      </w:r>
      <w:r>
        <w:rPr>
          <w:rFonts w:hint="eastAsia" w:ascii="仿宋" w:hAnsi="仿宋" w:eastAsia="仿宋" w:cs="仿宋"/>
          <w:color w:val="auto"/>
          <w:sz w:val="24"/>
          <w:szCs w:val="24"/>
          <w:highlight w:val="none"/>
        </w:rPr>
        <w:t>投标人在投报价格时应充分考虑以下因素：</w:t>
      </w:r>
    </w:p>
    <w:p w14:paraId="1DEA6984">
      <w:pPr>
        <w:pageBreakBefore w:val="0"/>
        <w:widowControl/>
        <w:wordWrap/>
        <w:overflowPunct/>
        <w:topLinePunct w:val="0"/>
        <w:bidi w:val="0"/>
        <w:spacing w:line="460" w:lineRule="exact"/>
        <w:ind w:firstLine="480" w:firstLineChars="200"/>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lang w:eastAsia="zh-CN"/>
        </w:rPr>
        <w:t>）各投标人在报价时应充分综合考虑项目实施所需的全部人工成本费用。投标人须承诺中标后，拟派项目人员实际发放工资不低于江西省现行最低工资标准。若投标报价经测算，人员工资成本低于江西省现行最低工资标准，评标委员会将按异常低价情形启动审查；投标人无法提供成本合理性证明及足额发放工资履约保障的，否决其投标</w:t>
      </w:r>
      <w:r>
        <w:rPr>
          <w:rFonts w:hint="eastAsia" w:ascii="仿宋" w:hAnsi="仿宋" w:eastAsia="仿宋" w:cs="仿宋"/>
          <w:color w:val="auto"/>
          <w:sz w:val="24"/>
          <w:szCs w:val="24"/>
          <w:highlight w:val="none"/>
        </w:rPr>
        <w:t>。</w:t>
      </w:r>
    </w:p>
    <w:p w14:paraId="5FA49B4A">
      <w:pPr>
        <w:pageBreakBefore w:val="0"/>
        <w:widowControl/>
        <w:wordWrap/>
        <w:overflowPunct/>
        <w:topLinePunct w:val="0"/>
        <w:bidi w:val="0"/>
        <w:spacing w:line="460" w:lineRule="exact"/>
        <w:ind w:firstLine="480" w:firstLineChars="200"/>
        <w:jc w:val="left"/>
        <w:rPr>
          <w:rFonts w:hint="eastAsia" w:ascii="仿宋" w:hAnsi="仿宋" w:eastAsia="仿宋" w:cs="仿宋"/>
          <w:strike w:val="0"/>
          <w:dstrike w:val="0"/>
          <w:color w:val="000000" w:themeColor="text1"/>
          <w:sz w:val="24"/>
          <w:szCs w:val="24"/>
          <w:highlight w:val="none"/>
          <w14:textFill>
            <w14:solidFill>
              <w14:schemeClr w14:val="tx1"/>
            </w14:solidFill>
          </w14:textFill>
        </w:rPr>
      </w:pP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报价应考虑整个承包</w:t>
      </w:r>
      <w:r>
        <w:rPr>
          <w:rFonts w:hint="eastAsia" w:ascii="仿宋" w:hAnsi="仿宋" w:eastAsia="仿宋" w:cs="仿宋"/>
          <w:color w:val="000000" w:themeColor="text1"/>
          <w:sz w:val="24"/>
          <w:szCs w:val="24"/>
          <w:highlight w:val="none"/>
          <w14:textFill>
            <w14:solidFill>
              <w14:schemeClr w14:val="tx1"/>
            </w14:solidFill>
          </w14:textFill>
        </w:rPr>
        <w:t>期限内绿地内全部乔灌花草等园林植物的养护、绿地保洁、铺装保洁、厕所的卫生保洁</w:t>
      </w:r>
      <w:r>
        <w:rPr>
          <w:rFonts w:hint="eastAsia" w:ascii="仿宋" w:hAnsi="仿宋" w:eastAsia="仿宋" w:cs="仿宋"/>
          <w:color w:val="000000" w:themeColor="text1"/>
          <w:sz w:val="24"/>
          <w:szCs w:val="24"/>
          <w:highlight w:val="none"/>
          <w:lang w:val="en-US" w:eastAsia="zh-CN"/>
          <w14:textFill>
            <w14:solidFill>
              <w14:schemeClr w14:val="tx1"/>
            </w14:solidFill>
          </w14:textFill>
        </w:rPr>
        <w:t>等</w:t>
      </w:r>
      <w:r>
        <w:rPr>
          <w:rFonts w:hint="eastAsia" w:ascii="仿宋" w:hAnsi="仿宋" w:eastAsia="仿宋" w:cs="仿宋"/>
          <w:strike w:val="0"/>
          <w:dstrike w:val="0"/>
          <w:color w:val="000000" w:themeColor="text1"/>
          <w:sz w:val="24"/>
          <w:szCs w:val="24"/>
          <w:highlight w:val="none"/>
          <w14:textFill>
            <w14:solidFill>
              <w14:schemeClr w14:val="tx1"/>
            </w14:solidFill>
          </w14:textFill>
        </w:rPr>
        <w:t>。</w:t>
      </w:r>
    </w:p>
    <w:p w14:paraId="1EBF2A18">
      <w:pPr>
        <w:keepNext w:val="0"/>
        <w:keepLines w:val="0"/>
        <w:pageBreakBefore w:val="0"/>
        <w:wordWrap/>
        <w:overflowPunct/>
        <w:topLinePunct w:val="0"/>
        <w:bidi w:val="0"/>
        <w:adjustRightInd w:val="0"/>
        <w:snapToGrid w:val="0"/>
        <w:spacing w:line="460" w:lineRule="exact"/>
        <w:ind w:firstLine="480"/>
        <w:textAlignment w:val="baseline"/>
        <w:rPr>
          <w:rFonts w:hint="eastAsia" w:ascii="仿宋" w:hAnsi="仿宋" w:eastAsia="仿宋" w:cs="仿宋"/>
          <w:strike w:val="0"/>
          <w:dstrike w:val="0"/>
          <w:color w:val="000000" w:themeColor="text1"/>
          <w:sz w:val="24"/>
          <w:szCs w:val="24"/>
          <w:highlight w:val="none"/>
          <w14:textFill>
            <w14:solidFill>
              <w14:schemeClr w14:val="tx1"/>
            </w14:solidFill>
          </w14:textFill>
        </w:rPr>
      </w:pPr>
      <w:r>
        <w:rPr>
          <w:rFonts w:hint="eastAsia" w:ascii="仿宋" w:hAnsi="仿宋" w:eastAsia="仿宋" w:cs="仿宋"/>
          <w:color w:val="000000" w:themeColor="text1"/>
          <w:sz w:val="24"/>
          <w:szCs w:val="24"/>
          <w:highlight w:val="none"/>
          <w:lang w:eastAsia="zh-CN"/>
          <w14:textFill>
            <w14:solidFill>
              <w14:schemeClr w14:val="tx1"/>
            </w14:solidFill>
          </w14:textFill>
        </w:rPr>
        <w:t>（</w:t>
      </w:r>
      <w:r>
        <w:rPr>
          <w:rFonts w:hint="eastAsia" w:ascii="仿宋" w:hAnsi="仿宋" w:eastAsia="仿宋" w:cs="仿宋"/>
          <w:color w:val="000000" w:themeColor="text1"/>
          <w:sz w:val="24"/>
          <w:szCs w:val="24"/>
          <w:highlight w:val="none"/>
          <w:lang w:val="en-US" w:eastAsia="zh-CN"/>
          <w14:textFill>
            <w14:solidFill>
              <w14:schemeClr w14:val="tx1"/>
            </w14:solidFill>
          </w14:textFill>
        </w:rPr>
        <w:t>3</w:t>
      </w:r>
      <w:r>
        <w:rPr>
          <w:rFonts w:hint="eastAsia" w:ascii="仿宋" w:hAnsi="仿宋" w:eastAsia="仿宋" w:cs="仿宋"/>
          <w:color w:val="000000" w:themeColor="text1"/>
          <w:sz w:val="24"/>
          <w:szCs w:val="24"/>
          <w:highlight w:val="none"/>
          <w:lang w:eastAsia="zh-CN"/>
          <w14:textFill>
            <w14:solidFill>
              <w14:schemeClr w14:val="tx1"/>
            </w14:solidFill>
          </w14:textFill>
        </w:rPr>
        <w:t>）绿化</w:t>
      </w:r>
      <w:r>
        <w:rPr>
          <w:rFonts w:hint="eastAsia" w:ascii="仿宋" w:hAnsi="仿宋" w:eastAsia="仿宋" w:cs="仿宋"/>
          <w:color w:val="000000" w:themeColor="text1"/>
          <w:sz w:val="24"/>
          <w:szCs w:val="24"/>
          <w:highlight w:val="none"/>
          <w14:textFill>
            <w14:solidFill>
              <w14:schemeClr w14:val="tx1"/>
            </w14:solidFill>
          </w14:textFill>
        </w:rPr>
        <w:t>养护、管理、处理病虫害等所有费用。供应商针对</w:t>
      </w:r>
      <w:r>
        <w:rPr>
          <w:rFonts w:hint="eastAsia" w:ascii="仿宋" w:hAnsi="仿宋" w:eastAsia="仿宋" w:cs="仿宋"/>
          <w:color w:val="000000" w:themeColor="text1"/>
          <w:sz w:val="24"/>
          <w:szCs w:val="24"/>
          <w:highlight w:val="none"/>
          <w:lang w:eastAsia="zh-CN"/>
          <w14:textFill>
            <w14:solidFill>
              <w14:schemeClr w14:val="tx1"/>
            </w14:solidFill>
          </w14:textFill>
        </w:rPr>
        <w:t>该分项</w:t>
      </w:r>
      <w:r>
        <w:rPr>
          <w:rFonts w:hint="eastAsia" w:ascii="仿宋" w:hAnsi="仿宋" w:eastAsia="仿宋" w:cs="仿宋"/>
          <w:color w:val="000000" w:themeColor="text1"/>
          <w:sz w:val="24"/>
          <w:szCs w:val="24"/>
          <w:highlight w:val="none"/>
          <w14:textFill>
            <w14:solidFill>
              <w14:schemeClr w14:val="tx1"/>
            </w14:solidFill>
          </w14:textFill>
        </w:rPr>
        <w:t>发生的所有成本应体现在报价内，采购人不再支付其他任何费用。费用结算时，供应商不得以任何形式要求采购人另行支付</w:t>
      </w:r>
      <w:r>
        <w:rPr>
          <w:rFonts w:hint="eastAsia" w:ascii="仿宋" w:hAnsi="仿宋" w:eastAsia="仿宋" w:cs="仿宋"/>
          <w:color w:val="000000" w:themeColor="text1"/>
          <w:sz w:val="24"/>
          <w:szCs w:val="24"/>
          <w:highlight w:val="none"/>
          <w:lang w:val="en-US" w:eastAsia="zh-CN"/>
          <w14:textFill>
            <w14:solidFill>
              <w14:schemeClr w14:val="tx1"/>
            </w14:solidFill>
          </w14:textFill>
        </w:rPr>
        <w:t>其他</w:t>
      </w:r>
      <w:r>
        <w:rPr>
          <w:rFonts w:hint="eastAsia" w:ascii="仿宋" w:hAnsi="仿宋" w:eastAsia="仿宋" w:cs="仿宋"/>
          <w:color w:val="000000" w:themeColor="text1"/>
          <w:sz w:val="24"/>
          <w:szCs w:val="24"/>
          <w:highlight w:val="none"/>
          <w14:textFill>
            <w14:solidFill>
              <w14:schemeClr w14:val="tx1"/>
            </w14:solidFill>
          </w14:textFill>
        </w:rPr>
        <w:t>费用。</w:t>
      </w:r>
    </w:p>
    <w:p w14:paraId="2D142C77">
      <w:pPr>
        <w:pageBreakBefore w:val="0"/>
        <w:widowControl/>
        <w:wordWrap/>
        <w:overflowPunct/>
        <w:topLinePunct w:val="0"/>
        <w:bidi w:val="0"/>
        <w:spacing w:line="460" w:lineRule="exact"/>
        <w:ind w:firstLine="480" w:firstLineChars="200"/>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4</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各</w:t>
      </w:r>
      <w:r>
        <w:rPr>
          <w:rFonts w:hint="eastAsia" w:ascii="仿宋" w:hAnsi="仿宋" w:eastAsia="仿宋" w:cs="仿宋"/>
          <w:color w:val="auto"/>
          <w:sz w:val="24"/>
          <w:szCs w:val="24"/>
          <w:highlight w:val="none"/>
          <w:lang w:eastAsia="zh-CN"/>
        </w:rPr>
        <w:t>投标人</w:t>
      </w:r>
      <w:r>
        <w:rPr>
          <w:rFonts w:hint="eastAsia" w:ascii="仿宋" w:hAnsi="仿宋" w:eastAsia="仿宋" w:cs="仿宋"/>
          <w:color w:val="auto"/>
          <w:sz w:val="24"/>
          <w:szCs w:val="24"/>
          <w:highlight w:val="none"/>
        </w:rPr>
        <w:t>应充分考虑恢复因人为因素造成对苗木等损坏所发生的费用。投标</w:t>
      </w:r>
      <w:r>
        <w:rPr>
          <w:rFonts w:hint="eastAsia" w:ascii="仿宋" w:hAnsi="仿宋" w:eastAsia="仿宋" w:cs="仿宋"/>
          <w:color w:val="auto"/>
          <w:sz w:val="24"/>
          <w:szCs w:val="24"/>
          <w:highlight w:val="none"/>
          <w:lang w:eastAsia="zh-CN"/>
        </w:rPr>
        <w:t>人</w:t>
      </w:r>
      <w:r>
        <w:rPr>
          <w:rFonts w:hint="eastAsia" w:ascii="仿宋" w:hAnsi="仿宋" w:eastAsia="仿宋" w:cs="仿宋"/>
          <w:color w:val="auto"/>
          <w:sz w:val="24"/>
          <w:szCs w:val="24"/>
          <w:highlight w:val="none"/>
        </w:rPr>
        <w:t>有告知设施损坏、守护</w:t>
      </w:r>
      <w:r>
        <w:rPr>
          <w:rFonts w:hint="eastAsia" w:ascii="仿宋" w:hAnsi="仿宋" w:eastAsia="仿宋" w:cs="仿宋"/>
          <w:color w:val="auto"/>
          <w:sz w:val="24"/>
          <w:szCs w:val="24"/>
          <w:highlight w:val="none"/>
          <w:lang w:val="en-US" w:eastAsia="zh-CN"/>
        </w:rPr>
        <w:t>劝阻</w:t>
      </w:r>
      <w:r>
        <w:rPr>
          <w:rFonts w:hint="eastAsia" w:ascii="仿宋" w:hAnsi="仿宋" w:eastAsia="仿宋" w:cs="仿宋"/>
          <w:color w:val="auto"/>
          <w:sz w:val="24"/>
          <w:szCs w:val="24"/>
          <w:highlight w:val="none"/>
        </w:rPr>
        <w:t>游客损坏设施的责任。</w:t>
      </w:r>
    </w:p>
    <w:p w14:paraId="368213DB">
      <w:pPr>
        <w:pageBreakBefore w:val="0"/>
        <w:widowControl/>
        <w:wordWrap/>
        <w:overflowPunct/>
        <w:topLinePunct w:val="0"/>
        <w:bidi w:val="0"/>
        <w:spacing w:line="460" w:lineRule="exact"/>
        <w:ind w:firstLine="480" w:firstLineChars="200"/>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在养护期间</w:t>
      </w:r>
      <w:r>
        <w:rPr>
          <w:rFonts w:hint="eastAsia" w:ascii="仿宋" w:hAnsi="仿宋" w:eastAsia="仿宋" w:cs="仿宋"/>
          <w:color w:val="auto"/>
          <w:sz w:val="24"/>
          <w:szCs w:val="24"/>
          <w:highlight w:val="none"/>
          <w:lang w:eastAsia="zh-CN"/>
        </w:rPr>
        <w:t>中标人</w:t>
      </w:r>
      <w:r>
        <w:rPr>
          <w:rFonts w:hint="eastAsia" w:ascii="仿宋" w:hAnsi="仿宋" w:eastAsia="仿宋" w:cs="仿宋"/>
          <w:color w:val="auto"/>
          <w:sz w:val="24"/>
          <w:szCs w:val="24"/>
          <w:highlight w:val="none"/>
          <w:lang w:val="en-US" w:eastAsia="zh-CN"/>
        </w:rPr>
        <w:t>发生的水电油费等费用</w:t>
      </w:r>
      <w:r>
        <w:rPr>
          <w:rFonts w:hint="eastAsia" w:ascii="仿宋" w:hAnsi="仿宋" w:eastAsia="仿宋" w:cs="仿宋"/>
          <w:color w:val="auto"/>
          <w:sz w:val="24"/>
          <w:szCs w:val="24"/>
          <w:highlight w:val="none"/>
        </w:rPr>
        <w:t>由</w:t>
      </w:r>
      <w:r>
        <w:rPr>
          <w:rFonts w:hint="eastAsia" w:ascii="仿宋" w:hAnsi="仿宋" w:eastAsia="仿宋" w:cs="仿宋"/>
          <w:color w:val="auto"/>
          <w:sz w:val="24"/>
          <w:szCs w:val="24"/>
          <w:highlight w:val="none"/>
          <w:lang w:eastAsia="zh-CN"/>
        </w:rPr>
        <w:t>中标人</w:t>
      </w:r>
      <w:r>
        <w:rPr>
          <w:rFonts w:hint="eastAsia" w:ascii="仿宋" w:hAnsi="仿宋" w:eastAsia="仿宋" w:cs="仿宋"/>
          <w:color w:val="auto"/>
          <w:sz w:val="24"/>
          <w:szCs w:val="24"/>
          <w:highlight w:val="none"/>
        </w:rPr>
        <w:t>承担。</w:t>
      </w:r>
    </w:p>
    <w:p w14:paraId="320CAE6F">
      <w:pPr>
        <w:pageBreakBefore w:val="0"/>
        <w:widowControl/>
        <w:wordWrap/>
        <w:overflowPunct/>
        <w:topLinePunct w:val="0"/>
        <w:bidi w:val="0"/>
        <w:spacing w:line="460" w:lineRule="exact"/>
        <w:ind w:firstLine="480" w:firstLineChars="200"/>
        <w:jc w:val="left"/>
        <w:rPr>
          <w:rFonts w:hint="eastAsia" w:ascii="仿宋" w:hAnsi="仿宋" w:eastAsia="仿宋" w:cs="仿宋"/>
          <w:strike w:val="0"/>
          <w:dstrike w:val="0"/>
          <w:color w:val="auto"/>
          <w:sz w:val="24"/>
          <w:szCs w:val="24"/>
          <w:highlight w:val="none"/>
        </w:rPr>
      </w:pPr>
      <w:r>
        <w:rPr>
          <w:rFonts w:hint="eastAsia" w:ascii="仿宋" w:hAnsi="仿宋" w:eastAsia="仿宋" w:cs="仿宋"/>
          <w:strike w:val="0"/>
          <w:dstrike w:val="0"/>
          <w:color w:val="auto"/>
          <w:sz w:val="24"/>
          <w:szCs w:val="24"/>
          <w:highlight w:val="none"/>
          <w:lang w:eastAsia="zh-CN"/>
        </w:rPr>
        <w:t>（</w:t>
      </w:r>
      <w:r>
        <w:rPr>
          <w:rFonts w:hint="eastAsia" w:ascii="仿宋" w:hAnsi="仿宋" w:eastAsia="仿宋" w:cs="仿宋"/>
          <w:strike w:val="0"/>
          <w:dstrike w:val="0"/>
          <w:color w:val="auto"/>
          <w:sz w:val="24"/>
          <w:szCs w:val="24"/>
          <w:highlight w:val="none"/>
          <w:lang w:val="en-US" w:eastAsia="zh-CN"/>
        </w:rPr>
        <w:t>6</w:t>
      </w:r>
      <w:r>
        <w:rPr>
          <w:rFonts w:hint="eastAsia" w:ascii="仿宋" w:hAnsi="仿宋" w:eastAsia="仿宋" w:cs="仿宋"/>
          <w:strike w:val="0"/>
          <w:dstrike w:val="0"/>
          <w:color w:val="auto"/>
          <w:sz w:val="24"/>
          <w:szCs w:val="24"/>
          <w:highlight w:val="none"/>
          <w:lang w:eastAsia="zh-CN"/>
        </w:rPr>
        <w:t>）</w:t>
      </w:r>
      <w:r>
        <w:rPr>
          <w:rFonts w:hint="eastAsia" w:ascii="仿宋" w:hAnsi="仿宋" w:eastAsia="仿宋" w:cs="仿宋"/>
          <w:color w:val="auto"/>
          <w:sz w:val="24"/>
          <w:szCs w:val="24"/>
          <w:highlight w:val="none"/>
        </w:rPr>
        <w:t>施肥、施药由养护人组织实施，人员、税金费用包含在报价中，管养人员须身体健康、具备承担对应管养工作的身体条件与作业能力</w:t>
      </w:r>
      <w:r>
        <w:rPr>
          <w:rFonts w:hint="eastAsia" w:ascii="仿宋" w:hAnsi="仿宋" w:eastAsia="仿宋" w:cs="仿宋"/>
          <w:strike w:val="0"/>
          <w:dstrike w:val="0"/>
          <w:color w:val="auto"/>
          <w:sz w:val="24"/>
          <w:szCs w:val="24"/>
          <w:highlight w:val="none"/>
        </w:rPr>
        <w:t>。</w:t>
      </w:r>
    </w:p>
    <w:p w14:paraId="6E6AB01D">
      <w:pPr>
        <w:pageBreakBefore w:val="0"/>
        <w:widowControl/>
        <w:wordWrap/>
        <w:overflowPunct/>
        <w:topLinePunct w:val="0"/>
        <w:bidi w:val="0"/>
        <w:spacing w:line="460" w:lineRule="exact"/>
        <w:ind w:firstLine="480" w:firstLineChars="200"/>
        <w:jc w:val="left"/>
        <w:rPr>
          <w:rFonts w:hint="eastAsia" w:ascii="仿宋" w:hAnsi="仿宋" w:eastAsia="仿宋" w:cs="仿宋"/>
          <w:strike w:val="0"/>
          <w:dstrike w:val="0"/>
          <w:color w:val="auto"/>
          <w:sz w:val="24"/>
          <w:szCs w:val="24"/>
          <w:highlight w:val="none"/>
        </w:rPr>
      </w:pP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7</w:t>
      </w:r>
      <w:r>
        <w:rPr>
          <w:rFonts w:hint="eastAsia" w:ascii="仿宋" w:hAnsi="仿宋" w:eastAsia="仿宋" w:cs="仿宋"/>
          <w:color w:val="auto"/>
          <w:sz w:val="24"/>
          <w:szCs w:val="24"/>
          <w:highlight w:val="none"/>
          <w:lang w:eastAsia="zh-CN"/>
        </w:rPr>
        <w:t>）</w:t>
      </w:r>
      <w:r>
        <w:rPr>
          <w:rFonts w:hint="eastAsia" w:ascii="仿宋" w:hAnsi="仿宋" w:eastAsia="仿宋" w:cs="仿宋"/>
          <w:strike w:val="0"/>
          <w:dstrike w:val="0"/>
          <w:color w:val="auto"/>
          <w:sz w:val="24"/>
          <w:szCs w:val="24"/>
          <w:highlight w:val="none"/>
        </w:rPr>
        <w:t>招标文件各项要求及项目实际需要，投标人应将有可能影响到项目完成的各因素或风险考虑到位。（</w:t>
      </w:r>
      <w:r>
        <w:rPr>
          <w:rFonts w:hint="eastAsia" w:ascii="仿宋" w:hAnsi="仿宋" w:eastAsia="仿宋" w:cs="仿宋"/>
          <w:strike w:val="0"/>
          <w:dstrike w:val="0"/>
          <w:color w:val="auto"/>
          <w:sz w:val="24"/>
          <w:szCs w:val="24"/>
          <w:highlight w:val="none"/>
          <w:lang w:eastAsia="zh-CN"/>
        </w:rPr>
        <w:t>投标人</w:t>
      </w:r>
      <w:r>
        <w:rPr>
          <w:rFonts w:hint="eastAsia" w:ascii="仿宋" w:hAnsi="仿宋" w:eastAsia="仿宋" w:cs="仿宋"/>
          <w:strike w:val="0"/>
          <w:dstrike w:val="0"/>
          <w:color w:val="auto"/>
          <w:sz w:val="24"/>
          <w:szCs w:val="24"/>
          <w:highlight w:val="none"/>
        </w:rPr>
        <w:t>可自行前往项目现场进行勘察）</w:t>
      </w:r>
    </w:p>
    <w:p w14:paraId="63201736">
      <w:pPr>
        <w:pageBreakBefore w:val="0"/>
        <w:widowControl/>
        <w:wordWrap/>
        <w:overflowPunct/>
        <w:topLinePunct w:val="0"/>
        <w:bidi w:val="0"/>
        <w:spacing w:line="460" w:lineRule="exact"/>
        <w:ind w:firstLine="480" w:firstLineChars="200"/>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8</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根据景区内各种植物的情况进行必要的修剪整形、刷白、病虫害防治、维护巡查、灌水、施肥、除草、排水、卫生保洁、防疫消杀等各项绿化养护，</w:t>
      </w:r>
      <w:r>
        <w:rPr>
          <w:rFonts w:hint="eastAsia" w:ascii="仿宋" w:hAnsi="仿宋" w:eastAsia="仿宋" w:cs="仿宋"/>
          <w:color w:val="auto"/>
          <w:sz w:val="24"/>
          <w:szCs w:val="24"/>
          <w:highlight w:val="none"/>
          <w:lang w:eastAsia="zh-CN"/>
        </w:rPr>
        <w:t>厕所的卫生保洁</w:t>
      </w:r>
      <w:r>
        <w:rPr>
          <w:rFonts w:hint="eastAsia" w:ascii="仿宋" w:hAnsi="仿宋" w:eastAsia="仿宋" w:cs="仿宋"/>
          <w:color w:val="auto"/>
          <w:sz w:val="24"/>
          <w:szCs w:val="24"/>
          <w:highlight w:val="none"/>
        </w:rPr>
        <w:t>，所有设备由投标</w:t>
      </w:r>
      <w:r>
        <w:rPr>
          <w:rFonts w:hint="eastAsia" w:ascii="仿宋" w:hAnsi="仿宋" w:eastAsia="仿宋" w:cs="仿宋"/>
          <w:color w:val="auto"/>
          <w:sz w:val="24"/>
          <w:szCs w:val="24"/>
          <w:highlight w:val="none"/>
          <w:lang w:eastAsia="zh-CN"/>
        </w:rPr>
        <w:t>人</w:t>
      </w:r>
      <w:r>
        <w:rPr>
          <w:rFonts w:hint="eastAsia" w:ascii="仿宋" w:hAnsi="仿宋" w:eastAsia="仿宋" w:cs="仿宋"/>
          <w:color w:val="auto"/>
          <w:sz w:val="24"/>
          <w:szCs w:val="24"/>
          <w:highlight w:val="none"/>
        </w:rPr>
        <w:t>自行提供。</w:t>
      </w:r>
    </w:p>
    <w:p w14:paraId="45869789">
      <w:pPr>
        <w:pageBreakBefore w:val="0"/>
        <w:widowControl/>
        <w:wordWrap/>
        <w:overflowPunct/>
        <w:topLinePunct w:val="0"/>
        <w:bidi w:val="0"/>
        <w:spacing w:line="460" w:lineRule="exact"/>
        <w:ind w:firstLine="480" w:firstLineChars="200"/>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9</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在管养期间，</w:t>
      </w:r>
      <w:r>
        <w:rPr>
          <w:rFonts w:hint="eastAsia" w:ascii="仿宋" w:hAnsi="仿宋" w:eastAsia="仿宋" w:cs="仿宋"/>
          <w:color w:val="auto"/>
          <w:sz w:val="24"/>
          <w:szCs w:val="24"/>
          <w:highlight w:val="none"/>
          <w:lang w:val="en-US" w:eastAsia="zh-CN"/>
        </w:rPr>
        <w:t>因管养不当，造成</w:t>
      </w:r>
      <w:r>
        <w:rPr>
          <w:rFonts w:hint="eastAsia" w:ascii="仿宋" w:hAnsi="仿宋" w:eastAsia="仿宋" w:cs="仿宋"/>
          <w:color w:val="auto"/>
          <w:sz w:val="24"/>
          <w:szCs w:val="24"/>
          <w:highlight w:val="none"/>
        </w:rPr>
        <w:t>养护植物的死亡，由</w:t>
      </w:r>
      <w:r>
        <w:rPr>
          <w:rFonts w:hint="eastAsia" w:ascii="仿宋" w:hAnsi="仿宋" w:eastAsia="仿宋" w:cs="仿宋"/>
          <w:color w:val="auto"/>
          <w:sz w:val="24"/>
          <w:szCs w:val="24"/>
          <w:highlight w:val="none"/>
          <w:lang w:eastAsia="zh-CN"/>
        </w:rPr>
        <w:t>中标人</w:t>
      </w:r>
      <w:r>
        <w:rPr>
          <w:rFonts w:hint="eastAsia" w:ascii="仿宋" w:hAnsi="仿宋" w:eastAsia="仿宋" w:cs="仿宋"/>
          <w:color w:val="auto"/>
          <w:sz w:val="24"/>
          <w:szCs w:val="24"/>
          <w:highlight w:val="none"/>
        </w:rPr>
        <w:t>负责，进行补栽。</w:t>
      </w:r>
    </w:p>
    <w:p w14:paraId="4BEF5F9A">
      <w:pPr>
        <w:pageBreakBefore w:val="0"/>
        <w:widowControl/>
        <w:wordWrap/>
        <w:overflowPunct/>
        <w:topLinePunct w:val="0"/>
        <w:bidi w:val="0"/>
        <w:spacing w:line="460" w:lineRule="exact"/>
        <w:ind w:firstLine="480" w:firstLineChars="200"/>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10</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厕所的卫生保洁养护内容中所使用的耗材等其他完成养护工作、达到</w:t>
      </w:r>
      <w:r>
        <w:rPr>
          <w:rFonts w:hint="eastAsia" w:ascii="仿宋" w:hAnsi="仿宋" w:eastAsia="仿宋" w:cs="仿宋"/>
          <w:color w:val="auto"/>
          <w:sz w:val="24"/>
          <w:szCs w:val="24"/>
          <w:highlight w:val="none"/>
          <w:lang w:eastAsia="zh-CN"/>
        </w:rPr>
        <w:t>采购人</w:t>
      </w:r>
      <w:r>
        <w:rPr>
          <w:rFonts w:hint="eastAsia" w:ascii="仿宋" w:hAnsi="仿宋" w:eastAsia="仿宋" w:cs="仿宋"/>
          <w:color w:val="auto"/>
          <w:sz w:val="24"/>
          <w:szCs w:val="24"/>
          <w:highlight w:val="none"/>
        </w:rPr>
        <w:t>要求的使用品包括且不限于</w:t>
      </w:r>
      <w:r>
        <w:rPr>
          <w:rFonts w:hint="eastAsia" w:ascii="仿宋" w:hAnsi="仿宋" w:eastAsia="仿宋" w:cs="仿宋"/>
          <w:color w:val="auto"/>
          <w:sz w:val="24"/>
          <w:szCs w:val="24"/>
          <w:highlight w:val="none"/>
          <w:lang w:eastAsia="zh-CN"/>
        </w:rPr>
        <w:t>“纸巾”、“洗手液”、“香氛”、“除臭剂”、</w:t>
      </w:r>
      <w:r>
        <w:rPr>
          <w:rFonts w:hint="eastAsia" w:ascii="仿宋" w:hAnsi="仿宋" w:eastAsia="仿宋" w:cs="仿宋"/>
          <w:color w:val="auto"/>
          <w:sz w:val="24"/>
          <w:szCs w:val="24"/>
          <w:highlight w:val="none"/>
        </w:rPr>
        <w:t>“空气清新剂”、“纸篓”、“垃圾袋”、“扫把”等均由</w:t>
      </w:r>
      <w:r>
        <w:rPr>
          <w:rFonts w:hint="eastAsia" w:ascii="仿宋" w:hAnsi="仿宋" w:eastAsia="仿宋" w:cs="仿宋"/>
          <w:color w:val="auto"/>
          <w:sz w:val="24"/>
          <w:szCs w:val="24"/>
          <w:highlight w:val="none"/>
          <w:lang w:eastAsia="zh-CN"/>
        </w:rPr>
        <w:t>中标人</w:t>
      </w:r>
      <w:r>
        <w:rPr>
          <w:rFonts w:hint="eastAsia" w:ascii="仿宋" w:hAnsi="仿宋" w:eastAsia="仿宋" w:cs="仿宋"/>
          <w:color w:val="auto"/>
          <w:sz w:val="24"/>
          <w:szCs w:val="24"/>
          <w:highlight w:val="none"/>
        </w:rPr>
        <w:t>提供，报价时需考虑该因素。</w:t>
      </w:r>
    </w:p>
    <w:p w14:paraId="6A96179F">
      <w:pPr>
        <w:pageBreakBefore w:val="0"/>
        <w:wordWrap/>
        <w:overflowPunct/>
        <w:topLinePunct w:val="0"/>
        <w:bidi w:val="0"/>
        <w:spacing w:line="460" w:lineRule="exact"/>
        <w:ind w:firstLine="482" w:firstLineChars="200"/>
        <w:rPr>
          <w:rFonts w:hint="eastAsia" w:ascii="仿宋" w:hAnsi="仿宋" w:eastAsia="仿宋" w:cs="仿宋"/>
          <w:b/>
          <w:bCs/>
          <w:sz w:val="24"/>
          <w:szCs w:val="24"/>
          <w:highlight w:val="none"/>
          <w:lang w:val="en-US" w:eastAsia="zh-CN"/>
        </w:rPr>
      </w:pPr>
      <w:r>
        <w:rPr>
          <w:rFonts w:hint="eastAsia" w:ascii="仿宋" w:hAnsi="仿宋" w:eastAsia="仿宋" w:cs="仿宋"/>
          <w:b/>
          <w:bCs/>
          <w:sz w:val="24"/>
          <w:szCs w:val="24"/>
          <w:highlight w:val="none"/>
          <w:lang w:val="en-US" w:eastAsia="zh-CN"/>
        </w:rPr>
        <w:t>6.技术服务要求：</w:t>
      </w:r>
    </w:p>
    <w:p w14:paraId="31BC09C9">
      <w:pPr>
        <w:pageBreakBefore w:val="0"/>
        <w:wordWrap/>
        <w:overflowPunct/>
        <w:topLinePunct w:val="0"/>
        <w:bidi w:val="0"/>
        <w:spacing w:line="460" w:lineRule="exact"/>
        <w:ind w:firstLine="482" w:firstLineChars="200"/>
        <w:jc w:val="both"/>
        <w:rPr>
          <w:rFonts w:hint="eastAsia" w:ascii="仿宋" w:hAnsi="仿宋" w:eastAsia="仿宋" w:cs="仿宋"/>
          <w:b/>
          <w:bCs/>
          <w:color w:val="auto"/>
          <w:sz w:val="24"/>
          <w:szCs w:val="24"/>
          <w:highlight w:val="none"/>
          <w:lang w:val="en-US" w:eastAsia="zh-CN"/>
        </w:rPr>
      </w:pPr>
      <w:bookmarkStart w:id="2" w:name="OLE_LINK2"/>
      <w:r>
        <w:rPr>
          <w:rFonts w:hint="eastAsia" w:ascii="仿宋" w:hAnsi="仿宋" w:eastAsia="仿宋" w:cs="仿宋"/>
          <w:b/>
          <w:bCs/>
          <w:color w:val="auto"/>
          <w:sz w:val="24"/>
          <w:szCs w:val="24"/>
          <w:highlight w:val="none"/>
          <w:lang w:val="en-US" w:eastAsia="zh-CN"/>
        </w:rPr>
        <w:t>6.1绿化养护服务要求</w:t>
      </w:r>
      <w:bookmarkEnd w:id="2"/>
    </w:p>
    <w:p w14:paraId="1F904C21">
      <w:pPr>
        <w:pageBreakBefore w:val="0"/>
        <w:wordWrap/>
        <w:overflowPunct/>
        <w:topLinePunct w:val="0"/>
        <w:bidi w:val="0"/>
        <w:spacing w:line="460" w:lineRule="exact"/>
        <w:ind w:firstLine="480" w:firstLineChars="200"/>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参加养护的</w:t>
      </w:r>
      <w:r>
        <w:rPr>
          <w:rFonts w:hint="eastAsia" w:ascii="仿宋" w:hAnsi="仿宋" w:eastAsia="仿宋" w:cs="仿宋"/>
          <w:color w:val="auto"/>
          <w:sz w:val="24"/>
          <w:szCs w:val="24"/>
          <w:highlight w:val="none"/>
          <w:lang w:eastAsia="zh-CN"/>
        </w:rPr>
        <w:t>投标人</w:t>
      </w:r>
      <w:r>
        <w:rPr>
          <w:rFonts w:hint="eastAsia" w:ascii="仿宋" w:hAnsi="仿宋" w:eastAsia="仿宋" w:cs="仿宋"/>
          <w:color w:val="auto"/>
          <w:sz w:val="24"/>
          <w:szCs w:val="24"/>
          <w:highlight w:val="none"/>
        </w:rPr>
        <w:t>，还须具备应急抢险机制与能力，按110联动要求，能在出险半小时内到达现场组织抢险。</w:t>
      </w:r>
    </w:p>
    <w:p w14:paraId="481E3B9D">
      <w:pPr>
        <w:pageBreakBefore w:val="0"/>
        <w:wordWrap/>
        <w:overflowPunct/>
        <w:topLinePunct w:val="0"/>
        <w:bidi w:val="0"/>
        <w:spacing w:line="460" w:lineRule="exact"/>
        <w:ind w:firstLine="480" w:firstLineChars="200"/>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绿地养护质量标准要求：植物保存率99%以上。</w:t>
      </w:r>
    </w:p>
    <w:p w14:paraId="7C9CE105">
      <w:pPr>
        <w:pageBreakBefore w:val="0"/>
        <w:tabs>
          <w:tab w:val="left" w:pos="840"/>
        </w:tabs>
        <w:wordWrap/>
        <w:overflowPunct/>
        <w:topLinePunct w:val="0"/>
        <w:bidi w:val="0"/>
        <w:spacing w:line="460" w:lineRule="exact"/>
        <w:ind w:firstLine="480" w:firstLineChars="200"/>
        <w:jc w:val="left"/>
        <w:textAlignment w:val="baseline"/>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3</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养护要求：</w:t>
      </w:r>
      <w:r>
        <w:rPr>
          <w:rFonts w:hint="eastAsia" w:ascii="仿宋" w:hAnsi="仿宋" w:eastAsia="仿宋" w:cs="仿宋"/>
          <w:color w:val="auto"/>
          <w:sz w:val="24"/>
          <w:szCs w:val="24"/>
          <w:highlight w:val="none"/>
          <w:shd w:val="clear" w:color="auto" w:fill="auto"/>
        </w:rPr>
        <w:t>按《江西省城市园林绿化养护技术标准》一级要求进行养护、参考《南昌市城市绿地养护</w:t>
      </w:r>
      <w:r>
        <w:rPr>
          <w:rFonts w:hint="eastAsia" w:ascii="仿宋" w:hAnsi="仿宋" w:eastAsia="仿宋" w:cs="仿宋"/>
          <w:color w:val="auto"/>
          <w:sz w:val="24"/>
          <w:szCs w:val="24"/>
          <w:highlight w:val="none"/>
          <w:shd w:val="clear" w:color="auto" w:fill="auto"/>
          <w:lang w:eastAsia="zh-CN"/>
        </w:rPr>
        <w:t>服务规范</w:t>
      </w:r>
      <w:r>
        <w:rPr>
          <w:rFonts w:hint="eastAsia" w:ascii="仿宋" w:hAnsi="仿宋" w:eastAsia="仿宋" w:cs="仿宋"/>
          <w:color w:val="auto"/>
          <w:sz w:val="24"/>
          <w:szCs w:val="24"/>
          <w:highlight w:val="none"/>
          <w:shd w:val="clear" w:color="auto" w:fill="auto"/>
        </w:rPr>
        <w:t>》及《</w:t>
      </w:r>
      <w:r>
        <w:rPr>
          <w:rFonts w:hint="eastAsia" w:ascii="仿宋" w:hAnsi="仿宋" w:eastAsia="仿宋" w:cs="仿宋"/>
          <w:color w:val="auto"/>
          <w:sz w:val="24"/>
          <w:szCs w:val="24"/>
          <w:highlight w:val="none"/>
          <w:lang w:eastAsia="zh-CN"/>
        </w:rPr>
        <w:t>南昌市象湖风景区管理处绿化管理奖惩细则</w:t>
      </w:r>
      <w:r>
        <w:rPr>
          <w:rFonts w:hint="eastAsia" w:ascii="仿宋" w:hAnsi="仿宋" w:eastAsia="仿宋" w:cs="仿宋"/>
          <w:color w:val="auto"/>
          <w:sz w:val="24"/>
          <w:szCs w:val="24"/>
          <w:highlight w:val="none"/>
          <w:shd w:val="clear" w:color="auto" w:fill="auto"/>
        </w:rPr>
        <w:t>》，</w:t>
      </w:r>
      <w:r>
        <w:rPr>
          <w:rFonts w:hint="eastAsia" w:ascii="仿宋" w:hAnsi="仿宋" w:eastAsia="仿宋" w:cs="仿宋"/>
          <w:color w:val="auto"/>
          <w:sz w:val="24"/>
          <w:szCs w:val="24"/>
          <w:highlight w:val="none"/>
        </w:rPr>
        <w:t>以上标准中条款内容有重复、冲突的，遵从更严格、更有利于</w:t>
      </w:r>
      <w:r>
        <w:rPr>
          <w:rFonts w:hint="eastAsia" w:ascii="仿宋" w:hAnsi="仿宋" w:eastAsia="仿宋" w:cs="仿宋"/>
          <w:color w:val="auto"/>
          <w:sz w:val="24"/>
          <w:szCs w:val="24"/>
          <w:highlight w:val="none"/>
          <w:lang w:eastAsia="zh-CN"/>
        </w:rPr>
        <w:t>采购人</w:t>
      </w:r>
      <w:r>
        <w:rPr>
          <w:rFonts w:hint="eastAsia" w:ascii="仿宋" w:hAnsi="仿宋" w:eastAsia="仿宋" w:cs="仿宋"/>
          <w:color w:val="auto"/>
          <w:sz w:val="24"/>
          <w:szCs w:val="24"/>
          <w:highlight w:val="none"/>
        </w:rPr>
        <w:t>的标准执行</w:t>
      </w:r>
      <w:r>
        <w:rPr>
          <w:rFonts w:hint="eastAsia" w:ascii="仿宋" w:hAnsi="仿宋" w:eastAsia="仿宋" w:cs="仿宋"/>
          <w:color w:val="auto"/>
          <w:sz w:val="24"/>
          <w:szCs w:val="24"/>
          <w:highlight w:val="none"/>
          <w:lang w:eastAsia="zh-CN"/>
        </w:rPr>
        <w:t>。</w:t>
      </w:r>
    </w:p>
    <w:p w14:paraId="40AEB0ED">
      <w:pPr>
        <w:pageBreakBefore w:val="0"/>
        <w:tabs>
          <w:tab w:val="left" w:pos="840"/>
        </w:tabs>
        <w:wordWrap/>
        <w:overflowPunct/>
        <w:topLinePunct w:val="0"/>
        <w:bidi w:val="0"/>
        <w:spacing w:line="460" w:lineRule="exact"/>
        <w:ind w:firstLine="480" w:firstLineChars="200"/>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（4）</w:t>
      </w:r>
      <w:r>
        <w:rPr>
          <w:rFonts w:hint="eastAsia" w:ascii="仿宋" w:hAnsi="仿宋" w:eastAsia="仿宋" w:cs="仿宋"/>
          <w:color w:val="auto"/>
          <w:sz w:val="24"/>
          <w:szCs w:val="24"/>
          <w:highlight w:val="none"/>
        </w:rPr>
        <w:t>若</w:t>
      </w:r>
      <w:r>
        <w:rPr>
          <w:rFonts w:hint="eastAsia" w:ascii="仿宋" w:hAnsi="仿宋" w:eastAsia="仿宋" w:cs="仿宋"/>
          <w:color w:val="auto"/>
          <w:sz w:val="24"/>
          <w:szCs w:val="24"/>
          <w:highlight w:val="none"/>
          <w:lang w:eastAsia="zh-CN"/>
        </w:rPr>
        <w:t>中标人</w:t>
      </w:r>
      <w:r>
        <w:rPr>
          <w:rFonts w:hint="eastAsia" w:ascii="仿宋" w:hAnsi="仿宋" w:eastAsia="仿宋" w:cs="仿宋"/>
          <w:color w:val="auto"/>
          <w:sz w:val="24"/>
          <w:szCs w:val="24"/>
          <w:highlight w:val="none"/>
        </w:rPr>
        <w:t>承包养护期间，违反下列规定将被解除承包合同：严禁将承包的绿地养护管理转包他人；</w:t>
      </w:r>
    </w:p>
    <w:p w14:paraId="3CF27F7B">
      <w:pPr>
        <w:pageBreakBefore w:val="0"/>
        <w:widowControl/>
        <w:wordWrap/>
        <w:overflowPunct/>
        <w:topLinePunct w:val="0"/>
        <w:bidi w:val="0"/>
        <w:spacing w:line="460" w:lineRule="exact"/>
        <w:ind w:firstLine="480" w:firstLineChars="200"/>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rPr>
        <w:t>奖励与处罚见《</w:t>
      </w:r>
      <w:r>
        <w:rPr>
          <w:rFonts w:hint="eastAsia" w:ascii="仿宋" w:hAnsi="仿宋" w:eastAsia="仿宋" w:cs="仿宋"/>
          <w:color w:val="auto"/>
          <w:sz w:val="24"/>
          <w:szCs w:val="24"/>
          <w:highlight w:val="none"/>
          <w:lang w:eastAsia="zh-CN"/>
        </w:rPr>
        <w:t>南昌市象湖风景区管理处绿化管理奖惩细则</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eastAsia="zh-CN"/>
        </w:rPr>
        <w:t>；</w:t>
      </w:r>
    </w:p>
    <w:p w14:paraId="28CEB1AD">
      <w:pPr>
        <w:pageBreakBefore w:val="0"/>
        <w:widowControl/>
        <w:wordWrap/>
        <w:overflowPunct/>
        <w:topLinePunct w:val="0"/>
        <w:bidi w:val="0"/>
        <w:spacing w:line="460" w:lineRule="exact"/>
        <w:ind w:firstLine="480" w:firstLineChars="200"/>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（6）</w:t>
      </w:r>
      <w:r>
        <w:rPr>
          <w:rFonts w:hint="eastAsia" w:ascii="仿宋" w:hAnsi="仿宋" w:eastAsia="仿宋" w:cs="仿宋"/>
          <w:bCs/>
          <w:color w:val="auto"/>
          <w:sz w:val="24"/>
          <w:szCs w:val="24"/>
          <w:highlight w:val="none"/>
          <w:lang w:eastAsia="zh-CN"/>
        </w:rPr>
        <w:t>做好管辖地段部分外来入侵物种（一枝黄花、福寿螺等）的防治和清理工作。</w:t>
      </w:r>
    </w:p>
    <w:p w14:paraId="5E569B96">
      <w:pPr>
        <w:pageBreakBefore w:val="0"/>
        <w:widowControl/>
        <w:wordWrap/>
        <w:overflowPunct/>
        <w:topLinePunct w:val="0"/>
        <w:bidi w:val="0"/>
        <w:spacing w:line="460" w:lineRule="exact"/>
        <w:ind w:firstLine="480" w:firstLineChars="200"/>
        <w:jc w:val="left"/>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lang w:val="en-US" w:eastAsia="zh-CN"/>
        </w:rPr>
        <w:t>（7）</w:t>
      </w:r>
      <w:r>
        <w:rPr>
          <w:rFonts w:hint="eastAsia" w:ascii="仿宋" w:hAnsi="仿宋" w:eastAsia="仿宋" w:cs="仿宋"/>
          <w:b w:val="0"/>
          <w:bCs/>
          <w:color w:val="auto"/>
          <w:sz w:val="24"/>
          <w:szCs w:val="24"/>
          <w:highlight w:val="none"/>
        </w:rPr>
        <w:t>服务人员素质要求：养护管理工作人员应具备使用农药的基本常识，且具备使用打草机、绿篱修剪机、打药机、抽水机等机械的操作能力。</w:t>
      </w:r>
    </w:p>
    <w:p w14:paraId="614319A5">
      <w:pPr>
        <w:pageBreakBefore w:val="0"/>
        <w:wordWrap/>
        <w:overflowPunct/>
        <w:topLinePunct w:val="0"/>
        <w:bidi w:val="0"/>
        <w:spacing w:line="46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（8）</w:t>
      </w:r>
      <w:r>
        <w:rPr>
          <w:rFonts w:hint="eastAsia" w:ascii="仿宋" w:hAnsi="仿宋" w:eastAsia="仿宋" w:cs="仿宋"/>
          <w:color w:val="auto"/>
          <w:sz w:val="24"/>
          <w:szCs w:val="24"/>
          <w:highlight w:val="none"/>
        </w:rPr>
        <w:t>每日养护保洁工作中产生的垃圾由</w:t>
      </w:r>
      <w:r>
        <w:rPr>
          <w:rFonts w:hint="eastAsia" w:ascii="仿宋" w:hAnsi="仿宋" w:eastAsia="仿宋" w:cs="仿宋"/>
          <w:color w:val="auto"/>
          <w:sz w:val="24"/>
          <w:szCs w:val="24"/>
          <w:highlight w:val="none"/>
          <w:lang w:eastAsia="zh-CN"/>
        </w:rPr>
        <w:t>中标人</w:t>
      </w:r>
      <w:r>
        <w:rPr>
          <w:rFonts w:hint="eastAsia" w:ascii="仿宋" w:hAnsi="仿宋" w:eastAsia="仿宋" w:cs="仿宋"/>
          <w:color w:val="auto"/>
          <w:sz w:val="24"/>
          <w:szCs w:val="24"/>
          <w:highlight w:val="none"/>
        </w:rPr>
        <w:t>自行处置，不得将垃圾随意放置</w:t>
      </w:r>
      <w:r>
        <w:rPr>
          <w:rFonts w:hint="eastAsia" w:ascii="仿宋" w:hAnsi="仿宋" w:eastAsia="仿宋" w:cs="仿宋"/>
          <w:color w:val="auto"/>
          <w:sz w:val="24"/>
          <w:szCs w:val="24"/>
          <w:highlight w:val="none"/>
          <w:lang w:eastAsia="zh-CN"/>
        </w:rPr>
        <w:t>。</w:t>
      </w:r>
    </w:p>
    <w:p w14:paraId="30FEBED4">
      <w:pPr>
        <w:pageBreakBefore w:val="0"/>
        <w:wordWrap/>
        <w:overflowPunct/>
        <w:topLinePunct w:val="0"/>
        <w:bidi w:val="0"/>
        <w:spacing w:line="46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（9）</w:t>
      </w:r>
      <w:r>
        <w:rPr>
          <w:rFonts w:hint="eastAsia" w:ascii="仿宋" w:hAnsi="仿宋" w:eastAsia="仿宋" w:cs="仿宋"/>
          <w:color w:val="auto"/>
          <w:sz w:val="24"/>
          <w:szCs w:val="24"/>
          <w:highlight w:val="none"/>
        </w:rPr>
        <w:t>为做好景区（外围段）公共厕所的环境卫生，</w:t>
      </w:r>
      <w:r>
        <w:rPr>
          <w:rFonts w:hint="eastAsia" w:ascii="仿宋" w:hAnsi="仿宋" w:eastAsia="仿宋" w:cs="仿宋"/>
          <w:color w:val="auto"/>
          <w:sz w:val="24"/>
          <w:szCs w:val="24"/>
          <w:highlight w:val="none"/>
          <w:lang w:eastAsia="zh-CN"/>
        </w:rPr>
        <w:t>要求中标人每天安排专人对景区（外围段）公共厕所进行保洁。</w:t>
      </w:r>
    </w:p>
    <w:p w14:paraId="6BD9DF0E">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（10）</w:t>
      </w:r>
      <w:r>
        <w:rPr>
          <w:rFonts w:hint="eastAsia" w:ascii="仿宋" w:hAnsi="仿宋" w:eastAsia="仿宋" w:cs="仿宋"/>
          <w:color w:val="auto"/>
          <w:sz w:val="24"/>
          <w:szCs w:val="24"/>
          <w:highlight w:val="none"/>
        </w:rPr>
        <w:t>若遇疫情期间，应按</w:t>
      </w:r>
      <w:r>
        <w:rPr>
          <w:rFonts w:hint="eastAsia" w:ascii="仿宋" w:hAnsi="仿宋" w:eastAsia="仿宋" w:cs="仿宋"/>
          <w:color w:val="auto"/>
          <w:sz w:val="24"/>
          <w:szCs w:val="24"/>
          <w:highlight w:val="none"/>
          <w:lang w:eastAsia="zh-CN"/>
        </w:rPr>
        <w:t>采购人</w:t>
      </w:r>
      <w:r>
        <w:rPr>
          <w:rFonts w:hint="eastAsia" w:ascii="仿宋" w:hAnsi="仿宋" w:eastAsia="仿宋" w:cs="仿宋"/>
          <w:color w:val="auto"/>
          <w:sz w:val="24"/>
          <w:szCs w:val="24"/>
          <w:highlight w:val="none"/>
        </w:rPr>
        <w:t>标准和要求，</w:t>
      </w:r>
      <w:r>
        <w:rPr>
          <w:rFonts w:hint="eastAsia" w:ascii="仿宋" w:hAnsi="仿宋" w:eastAsia="仿宋" w:cs="仿宋"/>
          <w:color w:val="auto"/>
          <w:sz w:val="24"/>
          <w:szCs w:val="24"/>
          <w:highlight w:val="none"/>
          <w:lang w:eastAsia="zh-CN"/>
        </w:rPr>
        <w:t>中标人</w:t>
      </w:r>
      <w:r>
        <w:rPr>
          <w:rFonts w:hint="eastAsia" w:ascii="仿宋" w:hAnsi="仿宋" w:eastAsia="仿宋" w:cs="仿宋"/>
          <w:color w:val="auto"/>
          <w:sz w:val="24"/>
          <w:szCs w:val="24"/>
          <w:highlight w:val="none"/>
        </w:rPr>
        <w:t>应每天安排人员进行消杀。</w:t>
      </w:r>
    </w:p>
    <w:p w14:paraId="340E08B4">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（11）</w:t>
      </w:r>
      <w:r>
        <w:rPr>
          <w:rFonts w:hint="eastAsia" w:ascii="仿宋" w:hAnsi="仿宋" w:eastAsia="仿宋" w:cs="仿宋"/>
          <w:color w:val="auto"/>
          <w:sz w:val="24"/>
          <w:szCs w:val="24"/>
          <w:highlight w:val="none"/>
          <w:lang w:eastAsia="zh-CN"/>
        </w:rPr>
        <w:t>中标人</w:t>
      </w:r>
      <w:r>
        <w:rPr>
          <w:rFonts w:hint="eastAsia" w:ascii="仿宋" w:hAnsi="仿宋" w:eastAsia="仿宋" w:cs="仿宋"/>
          <w:color w:val="auto"/>
          <w:sz w:val="24"/>
          <w:szCs w:val="24"/>
          <w:highlight w:val="none"/>
        </w:rPr>
        <w:t>至少需提供一名驾驶员坐班在景区养护范围，并为驾驶员购买驾驶员意外保险。机动驾驶员可以更换，需经</w:t>
      </w:r>
      <w:r>
        <w:rPr>
          <w:rFonts w:hint="eastAsia" w:ascii="仿宋" w:hAnsi="仿宋" w:eastAsia="仿宋" w:cs="仿宋"/>
          <w:color w:val="auto"/>
          <w:sz w:val="24"/>
          <w:szCs w:val="24"/>
          <w:highlight w:val="none"/>
          <w:lang w:eastAsia="zh-CN"/>
        </w:rPr>
        <w:t>采购人</w:t>
      </w:r>
      <w:r>
        <w:rPr>
          <w:rFonts w:hint="eastAsia" w:ascii="仿宋" w:hAnsi="仿宋" w:eastAsia="仿宋" w:cs="仿宋"/>
          <w:color w:val="auto"/>
          <w:sz w:val="24"/>
          <w:szCs w:val="24"/>
          <w:highlight w:val="none"/>
        </w:rPr>
        <w:t>同意并备案。</w:t>
      </w:r>
    </w:p>
    <w:p w14:paraId="23545774">
      <w:pPr>
        <w:pageBreakBefore w:val="0"/>
        <w:wordWrap/>
        <w:overflowPunct/>
        <w:topLinePunct w:val="0"/>
        <w:bidi w:val="0"/>
        <w:spacing w:line="46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12</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南昌市象湖风景区管理处办公室院内</w:t>
      </w:r>
      <w:r>
        <w:rPr>
          <w:rFonts w:hint="eastAsia" w:ascii="仿宋" w:hAnsi="仿宋" w:eastAsia="仿宋" w:cs="仿宋"/>
          <w:color w:val="auto"/>
          <w:sz w:val="24"/>
          <w:szCs w:val="24"/>
          <w:highlight w:val="none"/>
          <w:lang w:eastAsia="zh-CN"/>
        </w:rPr>
        <w:t>的环境卫生由中标人每日派一名保洁员清扫</w:t>
      </w:r>
      <w:r>
        <w:rPr>
          <w:rFonts w:hint="eastAsia" w:ascii="仿宋" w:hAnsi="仿宋" w:eastAsia="仿宋" w:cs="仿宋"/>
          <w:color w:val="auto"/>
          <w:sz w:val="24"/>
          <w:szCs w:val="24"/>
          <w:highlight w:val="none"/>
        </w:rPr>
        <w:t>。</w:t>
      </w:r>
    </w:p>
    <w:p w14:paraId="19013BCA">
      <w:pPr>
        <w:pStyle w:val="2"/>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仿宋" w:hAnsi="仿宋" w:eastAsia="仿宋" w:cs="仿宋"/>
          <w:snapToGrid w:val="0"/>
          <w:color w:val="auto"/>
          <w:sz w:val="24"/>
          <w:szCs w:val="24"/>
          <w:highlight w:val="none"/>
          <w:lang w:val="en-US" w:eastAsia="zh-CN" w:bidi="ar-SA"/>
        </w:rPr>
      </w:pPr>
      <w:r>
        <w:rPr>
          <w:rFonts w:hint="eastAsia" w:ascii="仿宋" w:hAnsi="仿宋" w:eastAsia="仿宋" w:cs="仿宋"/>
          <w:snapToGrid w:val="0"/>
          <w:color w:val="auto"/>
          <w:sz w:val="24"/>
          <w:szCs w:val="24"/>
          <w:highlight w:val="none"/>
          <w:lang w:val="en-US" w:eastAsia="zh-CN" w:bidi="ar-SA"/>
        </w:rPr>
        <w:t>（13）将军桥服务要求：</w:t>
      </w:r>
    </w:p>
    <w:p w14:paraId="6B17353F">
      <w:pPr>
        <w:pStyle w:val="2"/>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仿宋" w:hAnsi="仿宋" w:eastAsia="仿宋" w:cs="仿宋"/>
          <w:snapToGrid w:val="0"/>
          <w:color w:val="auto"/>
          <w:sz w:val="24"/>
          <w:szCs w:val="24"/>
          <w:highlight w:val="none"/>
          <w:lang w:val="en-US" w:eastAsia="zh-CN" w:bidi="ar-SA"/>
        </w:rPr>
      </w:pPr>
      <w:r>
        <w:rPr>
          <w:rFonts w:hint="eastAsia" w:cs="仿宋"/>
          <w:snapToGrid w:val="0"/>
          <w:color w:val="auto"/>
          <w:sz w:val="24"/>
          <w:szCs w:val="24"/>
          <w:highlight w:val="none"/>
          <w:lang w:val="en-US" w:eastAsia="zh-CN" w:bidi="ar-SA"/>
        </w:rPr>
        <w:t>①</w:t>
      </w:r>
      <w:r>
        <w:rPr>
          <w:rFonts w:hint="eastAsia" w:ascii="仿宋" w:hAnsi="仿宋" w:eastAsia="仿宋" w:cs="仿宋"/>
          <w:snapToGrid w:val="0"/>
          <w:color w:val="auto"/>
          <w:sz w:val="24"/>
          <w:szCs w:val="24"/>
          <w:highlight w:val="none"/>
          <w:lang w:val="en-US" w:eastAsia="zh-CN" w:bidi="ar-SA"/>
        </w:rPr>
        <w:t>桥面每天拖洗一次，不少于1人保洁（8小时工作制），整个船体每周清洗不少于一次（3人清洗）。</w:t>
      </w:r>
    </w:p>
    <w:p w14:paraId="6098E7DC">
      <w:pPr>
        <w:pStyle w:val="2"/>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仿宋" w:hAnsi="仿宋" w:eastAsia="仿宋" w:cs="仿宋"/>
          <w:snapToGrid w:val="0"/>
          <w:color w:val="auto"/>
          <w:sz w:val="24"/>
          <w:szCs w:val="24"/>
          <w:highlight w:val="none"/>
          <w:lang w:val="en-US" w:eastAsia="zh-CN" w:bidi="ar-SA"/>
        </w:rPr>
      </w:pPr>
      <w:r>
        <w:rPr>
          <w:rFonts w:hint="eastAsia" w:cs="仿宋"/>
          <w:snapToGrid w:val="0"/>
          <w:color w:val="auto"/>
          <w:sz w:val="24"/>
          <w:szCs w:val="24"/>
          <w:highlight w:val="none"/>
          <w:lang w:val="en-US" w:eastAsia="zh-CN" w:bidi="ar-SA"/>
        </w:rPr>
        <w:t>②</w:t>
      </w:r>
      <w:r>
        <w:rPr>
          <w:rFonts w:hint="eastAsia" w:ascii="仿宋" w:hAnsi="仿宋" w:eastAsia="仿宋" w:cs="仿宋"/>
          <w:snapToGrid w:val="0"/>
          <w:color w:val="auto"/>
          <w:sz w:val="24"/>
          <w:szCs w:val="24"/>
          <w:highlight w:val="none"/>
          <w:lang w:val="en-US" w:eastAsia="zh-CN" w:bidi="ar-SA"/>
        </w:rPr>
        <w:t>遇上临时交办的清洗任务时，按管理处要求进行清洗。</w:t>
      </w:r>
    </w:p>
    <w:p w14:paraId="5002ECEC">
      <w:pPr>
        <w:pStyle w:val="2"/>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仿宋" w:hAnsi="仿宋" w:eastAsia="仿宋" w:cs="仿宋"/>
          <w:snapToGrid w:val="0"/>
          <w:color w:val="auto"/>
          <w:sz w:val="24"/>
          <w:szCs w:val="24"/>
          <w:highlight w:val="none"/>
          <w:lang w:val="en-US" w:eastAsia="zh-CN" w:bidi="ar-SA"/>
        </w:rPr>
      </w:pPr>
      <w:r>
        <w:rPr>
          <w:rFonts w:hint="eastAsia" w:cs="仿宋"/>
          <w:snapToGrid w:val="0"/>
          <w:color w:val="auto"/>
          <w:sz w:val="24"/>
          <w:szCs w:val="24"/>
          <w:highlight w:val="none"/>
          <w:lang w:val="en-US" w:eastAsia="zh-CN" w:bidi="ar-SA"/>
        </w:rPr>
        <w:t>③</w:t>
      </w:r>
      <w:r>
        <w:rPr>
          <w:rFonts w:hint="eastAsia" w:ascii="仿宋" w:hAnsi="仿宋" w:eastAsia="仿宋" w:cs="仿宋"/>
          <w:snapToGrid w:val="0"/>
          <w:color w:val="auto"/>
          <w:sz w:val="24"/>
          <w:szCs w:val="24"/>
          <w:highlight w:val="none"/>
          <w:lang w:val="en-US" w:eastAsia="zh-CN" w:bidi="ar-SA"/>
        </w:rPr>
        <w:t>保洁人员要求会游泳，作业时需穿救生衣（须提供盖章版承诺函</w:t>
      </w:r>
      <w:r>
        <w:rPr>
          <w:rFonts w:hint="eastAsia" w:cs="仿宋"/>
          <w:snapToGrid w:val="0"/>
          <w:color w:val="auto"/>
          <w:sz w:val="24"/>
          <w:szCs w:val="24"/>
          <w:highlight w:val="none"/>
          <w:lang w:val="en-US" w:eastAsia="zh-CN" w:bidi="ar-SA"/>
        </w:rPr>
        <w:t>，格式自拟</w:t>
      </w:r>
      <w:r>
        <w:rPr>
          <w:rFonts w:hint="eastAsia" w:ascii="仿宋" w:hAnsi="仿宋" w:eastAsia="仿宋" w:cs="仿宋"/>
          <w:snapToGrid w:val="0"/>
          <w:color w:val="auto"/>
          <w:sz w:val="24"/>
          <w:szCs w:val="24"/>
          <w:highlight w:val="none"/>
          <w:lang w:val="en-US" w:eastAsia="zh-CN" w:bidi="ar-SA"/>
        </w:rPr>
        <w:t>）。</w:t>
      </w:r>
    </w:p>
    <w:p w14:paraId="42CDE703">
      <w:pPr>
        <w:pStyle w:val="2"/>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仿宋" w:hAnsi="仿宋" w:eastAsia="仿宋" w:cs="仿宋"/>
          <w:snapToGrid w:val="0"/>
          <w:color w:val="auto"/>
          <w:sz w:val="24"/>
          <w:szCs w:val="24"/>
          <w:highlight w:val="none"/>
          <w:lang w:val="en-US" w:eastAsia="zh-CN" w:bidi="ar-SA"/>
        </w:rPr>
      </w:pPr>
      <w:r>
        <w:rPr>
          <w:rFonts w:hint="eastAsia" w:cs="仿宋"/>
          <w:snapToGrid w:val="0"/>
          <w:color w:val="auto"/>
          <w:sz w:val="24"/>
          <w:szCs w:val="24"/>
          <w:highlight w:val="none"/>
          <w:lang w:val="en-US" w:eastAsia="zh-CN" w:bidi="ar-SA"/>
        </w:rPr>
        <w:t>④</w:t>
      </w:r>
      <w:r>
        <w:rPr>
          <w:rFonts w:hint="eastAsia" w:ascii="仿宋" w:hAnsi="仿宋" w:eastAsia="仿宋" w:cs="仿宋"/>
          <w:snapToGrid w:val="0"/>
          <w:color w:val="auto"/>
          <w:sz w:val="24"/>
          <w:szCs w:val="24"/>
          <w:highlight w:val="none"/>
          <w:lang w:val="en-US" w:eastAsia="zh-CN" w:bidi="ar-SA"/>
        </w:rPr>
        <w:t>乙方在作业过程中应做好安全防护工作，施工过程中所造成的人身损害、人身伤亡或一切经济损失，均由供应商承担赔偿，采购方概不负责，供应商还应当赔偿因此给采购方造成的一切损失包括但不限于直接损失、间接损失以及律师费、诉讼费、诉讼财产保全责任保险费等追索费用。</w:t>
      </w:r>
    </w:p>
    <w:p w14:paraId="3D81D679">
      <w:pPr>
        <w:pStyle w:val="2"/>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仿宋" w:hAnsi="仿宋" w:eastAsia="仿宋" w:cs="仿宋"/>
          <w:snapToGrid w:val="0"/>
          <w:color w:val="auto"/>
          <w:sz w:val="24"/>
          <w:szCs w:val="24"/>
          <w:highlight w:val="none"/>
          <w:lang w:val="en-US" w:eastAsia="zh-CN" w:bidi="ar-SA"/>
        </w:rPr>
      </w:pPr>
      <w:r>
        <w:rPr>
          <w:rFonts w:hint="eastAsia" w:cs="仿宋"/>
          <w:snapToGrid w:val="0"/>
          <w:color w:val="auto"/>
          <w:sz w:val="24"/>
          <w:szCs w:val="24"/>
          <w:highlight w:val="none"/>
          <w:lang w:val="en-US" w:eastAsia="zh-CN" w:bidi="ar-SA"/>
        </w:rPr>
        <w:t>⑤</w:t>
      </w:r>
      <w:r>
        <w:rPr>
          <w:rFonts w:hint="eastAsia" w:ascii="仿宋" w:hAnsi="仿宋" w:eastAsia="仿宋" w:cs="仿宋"/>
          <w:snapToGrid w:val="0"/>
          <w:color w:val="auto"/>
          <w:sz w:val="24"/>
          <w:szCs w:val="24"/>
          <w:highlight w:val="none"/>
          <w:lang w:val="en-US" w:eastAsia="zh-CN" w:bidi="ar-SA"/>
        </w:rPr>
        <w:t>桥面及桥体保洁标准</w:t>
      </w:r>
      <w:r>
        <w:rPr>
          <w:rFonts w:hint="eastAsia" w:cs="仿宋"/>
          <w:snapToGrid w:val="0"/>
          <w:color w:val="auto"/>
          <w:sz w:val="24"/>
          <w:szCs w:val="24"/>
          <w:highlight w:val="none"/>
          <w:lang w:val="en-US" w:eastAsia="zh-CN" w:bidi="ar-SA"/>
        </w:rPr>
        <w:t>：</w:t>
      </w:r>
    </w:p>
    <w:p w14:paraId="1318DB3A">
      <w:pPr>
        <w:pStyle w:val="2"/>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仿宋" w:hAnsi="仿宋" w:eastAsia="仿宋" w:cs="仿宋"/>
          <w:snapToGrid w:val="0"/>
          <w:color w:val="auto"/>
          <w:sz w:val="24"/>
          <w:szCs w:val="24"/>
          <w:highlight w:val="none"/>
          <w:lang w:val="en-US" w:eastAsia="zh-CN" w:bidi="ar-SA"/>
        </w:rPr>
      </w:pPr>
      <w:r>
        <w:rPr>
          <w:rFonts w:hint="eastAsia" w:ascii="仿宋" w:hAnsi="仿宋" w:eastAsia="仿宋" w:cs="仿宋"/>
          <w:snapToGrid w:val="0"/>
          <w:color w:val="auto"/>
          <w:sz w:val="24"/>
          <w:szCs w:val="24"/>
          <w:highlight w:val="none"/>
          <w:lang w:val="en-US" w:eastAsia="zh-CN" w:bidi="ar-SA"/>
        </w:rPr>
        <w:t>1) 垃圾杂物清理：桥面无果皮、纸屑、塑料袋、烟头等生活垃圾，无枯枝、落叶、碎石等杂物，每平方米可见垃圾不超过1处，垃圾日产日清。</w:t>
      </w:r>
    </w:p>
    <w:p w14:paraId="4AA70973">
      <w:pPr>
        <w:pStyle w:val="2"/>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仿宋" w:hAnsi="仿宋" w:eastAsia="仿宋" w:cs="仿宋"/>
          <w:snapToGrid w:val="0"/>
          <w:color w:val="auto"/>
          <w:sz w:val="24"/>
          <w:szCs w:val="24"/>
          <w:highlight w:val="none"/>
          <w:lang w:val="en-US" w:eastAsia="zh-CN" w:bidi="ar-SA"/>
        </w:rPr>
      </w:pPr>
      <w:r>
        <w:rPr>
          <w:rFonts w:hint="eastAsia" w:ascii="仿宋" w:hAnsi="仿宋" w:eastAsia="仿宋" w:cs="仿宋"/>
          <w:snapToGrid w:val="0"/>
          <w:color w:val="auto"/>
          <w:sz w:val="24"/>
          <w:szCs w:val="24"/>
          <w:highlight w:val="none"/>
          <w:lang w:val="en-US" w:eastAsia="zh-CN" w:bidi="ar-SA"/>
        </w:rPr>
        <w:t>2)污渍积水处理：桥面及桥体无明显油污、锈迹、痰渍等污渍，遇油污需用专用清洁剂擦拭；雨后或冲洗后无积水，积水滞留时间不超过1小时，排水口无堵塞。</w:t>
      </w:r>
    </w:p>
    <w:p w14:paraId="421A4F80">
      <w:pPr>
        <w:pStyle w:val="2"/>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仿宋" w:hAnsi="仿宋" w:eastAsia="仿宋" w:cs="仿宋"/>
          <w:snapToGrid w:val="0"/>
          <w:color w:val="auto"/>
          <w:sz w:val="24"/>
          <w:szCs w:val="24"/>
          <w:highlight w:val="none"/>
          <w:lang w:val="en-US" w:eastAsia="zh-CN" w:bidi="ar-SA"/>
        </w:rPr>
      </w:pPr>
      <w:r>
        <w:rPr>
          <w:rFonts w:hint="eastAsia" w:ascii="仿宋" w:hAnsi="仿宋" w:eastAsia="仿宋" w:cs="仿宋"/>
          <w:snapToGrid w:val="0"/>
          <w:color w:val="auto"/>
          <w:sz w:val="24"/>
          <w:szCs w:val="24"/>
          <w:highlight w:val="none"/>
          <w:lang w:val="en-US" w:eastAsia="zh-CN" w:bidi="ar-SA"/>
        </w:rPr>
        <w:t>3)青苔淤泥防控：潮湿天气或临水区域无明显青苔，每月至少1次防滑清理；桥面及桥体缝隙、边角无淤泥堆积，每周深度清扫1次。</w:t>
      </w:r>
    </w:p>
    <w:p w14:paraId="5751E70E">
      <w:pPr>
        <w:pStyle w:val="2"/>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仿宋" w:hAnsi="仿宋" w:eastAsia="仿宋" w:cs="仿宋"/>
          <w:snapToGrid w:val="0"/>
          <w:color w:val="auto"/>
          <w:sz w:val="24"/>
          <w:szCs w:val="24"/>
          <w:highlight w:val="none"/>
          <w:lang w:val="en-US" w:eastAsia="zh-CN" w:bidi="ar-SA"/>
        </w:rPr>
      </w:pPr>
      <w:r>
        <w:rPr>
          <w:rFonts w:hint="eastAsia" w:ascii="仿宋" w:hAnsi="仿宋" w:eastAsia="仿宋" w:cs="仿宋"/>
          <w:snapToGrid w:val="0"/>
          <w:color w:val="auto"/>
          <w:sz w:val="24"/>
          <w:szCs w:val="24"/>
          <w:highlight w:val="none"/>
          <w:lang w:val="en-US" w:eastAsia="zh-CN" w:bidi="ar-SA"/>
        </w:rPr>
        <w:t>4) 救生设施：救生圈、救生绳、救生衣等无灰尘、污渍，表面干净整洁，存放位置无遮挡，标识清晰可见。</w:t>
      </w:r>
    </w:p>
    <w:p w14:paraId="7E03E40B">
      <w:pPr>
        <w:pStyle w:val="2"/>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仿宋" w:hAnsi="仿宋" w:eastAsia="仿宋" w:cs="仿宋"/>
          <w:snapToGrid w:val="0"/>
          <w:color w:val="auto"/>
          <w:sz w:val="24"/>
          <w:szCs w:val="24"/>
          <w:highlight w:val="none"/>
          <w:lang w:val="en-US" w:eastAsia="zh-CN" w:bidi="ar-SA"/>
        </w:rPr>
      </w:pPr>
      <w:r>
        <w:rPr>
          <w:rFonts w:hint="eastAsia" w:ascii="仿宋" w:hAnsi="仿宋" w:eastAsia="仿宋" w:cs="仿宋"/>
          <w:snapToGrid w:val="0"/>
          <w:color w:val="auto"/>
          <w:sz w:val="24"/>
          <w:szCs w:val="24"/>
          <w:highlight w:val="none"/>
          <w:lang w:val="en-US" w:eastAsia="zh-CN" w:bidi="ar-SA"/>
        </w:rPr>
        <w:t>5)照明与指示牌：灯具外壳无灰尘、污渍，指示牌表面干净，文字图案清晰，无乱贴乱画、小广告。</w:t>
      </w:r>
    </w:p>
    <w:p w14:paraId="2D8C861F">
      <w:pPr>
        <w:pStyle w:val="2"/>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仿宋" w:hAnsi="仿宋" w:eastAsia="仿宋" w:cs="仿宋"/>
          <w:snapToGrid w:val="0"/>
          <w:color w:val="auto"/>
          <w:sz w:val="24"/>
          <w:szCs w:val="24"/>
          <w:highlight w:val="none"/>
          <w:lang w:val="en-US" w:eastAsia="zh-CN" w:bidi="ar-SA"/>
        </w:rPr>
      </w:pPr>
      <w:r>
        <w:rPr>
          <w:rFonts w:hint="eastAsia" w:cs="仿宋"/>
          <w:snapToGrid w:val="0"/>
          <w:color w:val="auto"/>
          <w:sz w:val="24"/>
          <w:szCs w:val="24"/>
          <w:highlight w:val="none"/>
          <w:lang w:val="en-US" w:eastAsia="zh-CN" w:bidi="ar-SA"/>
        </w:rPr>
        <w:t>⑥</w:t>
      </w:r>
      <w:r>
        <w:rPr>
          <w:rFonts w:hint="eastAsia" w:ascii="仿宋" w:hAnsi="仿宋" w:eastAsia="仿宋" w:cs="仿宋"/>
          <w:snapToGrid w:val="0"/>
          <w:color w:val="auto"/>
          <w:sz w:val="24"/>
          <w:szCs w:val="24"/>
          <w:highlight w:val="none"/>
          <w:lang w:val="en-US" w:eastAsia="zh-CN" w:bidi="ar-SA"/>
        </w:rPr>
        <w:t>特殊情况处理标准</w:t>
      </w:r>
      <w:r>
        <w:rPr>
          <w:rFonts w:hint="eastAsia" w:cs="仿宋"/>
          <w:snapToGrid w:val="0"/>
          <w:color w:val="auto"/>
          <w:sz w:val="24"/>
          <w:szCs w:val="24"/>
          <w:highlight w:val="none"/>
          <w:lang w:val="en-US" w:eastAsia="zh-CN" w:bidi="ar-SA"/>
        </w:rPr>
        <w:t>：</w:t>
      </w:r>
    </w:p>
    <w:p w14:paraId="0DFE1E5A">
      <w:pPr>
        <w:pStyle w:val="2"/>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仿宋" w:hAnsi="仿宋" w:eastAsia="仿宋" w:cs="仿宋"/>
          <w:snapToGrid w:val="0"/>
          <w:color w:val="auto"/>
          <w:sz w:val="24"/>
          <w:szCs w:val="24"/>
          <w:highlight w:val="none"/>
          <w:lang w:val="en-US" w:eastAsia="zh-CN" w:bidi="ar-SA"/>
        </w:rPr>
      </w:pPr>
      <w:r>
        <w:rPr>
          <w:rFonts w:hint="eastAsia" w:ascii="仿宋" w:hAnsi="仿宋" w:eastAsia="仿宋" w:cs="仿宋"/>
          <w:snapToGrid w:val="0"/>
          <w:color w:val="auto"/>
          <w:sz w:val="24"/>
          <w:szCs w:val="24"/>
          <w:highlight w:val="none"/>
          <w:lang w:val="en-US" w:eastAsia="zh-CN" w:bidi="ar-SA"/>
        </w:rPr>
        <w:t>1) 突发污染：如遇油污泄漏、呕吐物等，需30分钟内到场处理，使用专用工具清理，必要时进行消毒，恢复桥面整洁。</w:t>
      </w:r>
    </w:p>
    <w:p w14:paraId="7C88DC84">
      <w:pPr>
        <w:pStyle w:val="2"/>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textAlignment w:val="baseline"/>
        <w:rPr>
          <w:rFonts w:hint="eastAsia" w:eastAsia="仿宋"/>
          <w:highlight w:val="none"/>
          <w:lang w:eastAsia="zh-CN"/>
        </w:rPr>
      </w:pPr>
      <w:r>
        <w:rPr>
          <w:rFonts w:hint="eastAsia" w:ascii="仿宋" w:hAnsi="仿宋" w:eastAsia="仿宋" w:cs="仿宋"/>
          <w:snapToGrid w:val="0"/>
          <w:color w:val="auto"/>
          <w:sz w:val="24"/>
          <w:szCs w:val="24"/>
          <w:highlight w:val="none"/>
          <w:lang w:val="en-US" w:eastAsia="zh-CN" w:bidi="ar-SA"/>
        </w:rPr>
        <w:t>2)恶劣天气：雨雪天后2小时内清理桥面积雪、积水，大风后1小时内清理落叶、杂物；汛期后重点清理淤泥、漂浮物等。</w:t>
      </w:r>
    </w:p>
    <w:p w14:paraId="73BA1F9D">
      <w:pP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br w:type="page"/>
      </w:r>
    </w:p>
    <w:p w14:paraId="296D92FF">
      <w:pPr>
        <w:spacing w:line="440" w:lineRule="exact"/>
        <w:rPr>
          <w:rFonts w:hint="eastAsia" w:ascii="仿宋" w:hAnsi="仿宋" w:eastAsia="仿宋" w:cs="仿宋"/>
          <w:highlight w:val="none"/>
          <w:lang w:eastAsia="zh-CN"/>
        </w:rPr>
        <w:sectPr>
          <w:pgSz w:w="11906" w:h="16839"/>
          <w:pgMar w:top="1429" w:right="1786" w:bottom="1429" w:left="1786" w:header="0" w:footer="994" w:gutter="0"/>
          <w:cols w:space="720" w:num="1"/>
        </w:sectPr>
      </w:pPr>
    </w:p>
    <w:p w14:paraId="46B330B5">
      <w:pPr>
        <w:pageBreakBefore w:val="0"/>
        <w:wordWrap/>
        <w:overflowPunct/>
        <w:topLinePunct w:val="0"/>
        <w:bidi w:val="0"/>
        <w:spacing w:line="460" w:lineRule="exact"/>
        <w:jc w:val="both"/>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lang w:val="en-US" w:eastAsia="zh-CN"/>
        </w:rPr>
        <w:t>6.2</w:t>
      </w:r>
      <w:r>
        <w:rPr>
          <w:rFonts w:hint="eastAsia" w:ascii="仿宋" w:hAnsi="仿宋" w:eastAsia="仿宋" w:cs="仿宋"/>
          <w:b/>
          <w:color w:val="auto"/>
          <w:sz w:val="24"/>
          <w:szCs w:val="24"/>
          <w:highlight w:val="none"/>
        </w:rPr>
        <w:t>绿化养护管理考核奖惩办法</w:t>
      </w:r>
    </w:p>
    <w:p w14:paraId="4B2DB129">
      <w:pPr>
        <w:pageBreakBefore w:val="0"/>
        <w:wordWrap/>
        <w:overflowPunct/>
        <w:topLinePunct w:val="0"/>
        <w:bidi w:val="0"/>
        <w:spacing w:line="460" w:lineRule="exact"/>
        <w:ind w:firstLine="480" w:firstLineChars="200"/>
        <w:outlineLvl w:val="0"/>
        <w:rPr>
          <w:rFonts w:hint="eastAsia" w:ascii="仿宋" w:hAnsi="仿宋" w:eastAsia="仿宋" w:cs="仿宋"/>
          <w:color w:val="auto"/>
          <w:sz w:val="24"/>
          <w:szCs w:val="24"/>
          <w:highlight w:val="none"/>
        </w:rPr>
      </w:pPr>
      <w:bookmarkStart w:id="3" w:name="_Toc4898"/>
      <w:r>
        <w:rPr>
          <w:rFonts w:hint="eastAsia" w:ascii="仿宋" w:hAnsi="仿宋" w:eastAsia="仿宋" w:cs="仿宋"/>
          <w:color w:val="auto"/>
          <w:sz w:val="24"/>
          <w:szCs w:val="24"/>
          <w:highlight w:val="none"/>
        </w:rPr>
        <w:t>一、考核对象和内容</w:t>
      </w:r>
      <w:bookmarkEnd w:id="3"/>
    </w:p>
    <w:p w14:paraId="0705017A">
      <w:pPr>
        <w:pageBreakBefore w:val="0"/>
        <w:wordWrap/>
        <w:overflowPunct/>
        <w:topLinePunct w:val="0"/>
        <w:bidi w:val="0"/>
        <w:spacing w:line="46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1、对象：</w:t>
      </w:r>
      <w:r>
        <w:rPr>
          <w:rFonts w:hint="eastAsia" w:ascii="仿宋" w:hAnsi="仿宋" w:eastAsia="仿宋" w:cs="仿宋"/>
          <w:color w:val="auto"/>
          <w:sz w:val="24"/>
          <w:szCs w:val="24"/>
          <w:highlight w:val="none"/>
          <w:lang w:eastAsia="zh-CN"/>
        </w:rPr>
        <w:t>中标单位</w:t>
      </w:r>
    </w:p>
    <w:p w14:paraId="15F70D54">
      <w:pPr>
        <w:pageBreakBefore w:val="0"/>
        <w:wordWrap/>
        <w:overflowPunct/>
        <w:topLinePunct w:val="0"/>
        <w:bidi w:val="0"/>
        <w:spacing w:line="46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2、内容：对我处所管绿地的养护管理工作进行考核</w:t>
      </w:r>
    </w:p>
    <w:p w14:paraId="7F0741A5">
      <w:pPr>
        <w:pageBreakBefore w:val="0"/>
        <w:wordWrap/>
        <w:overflowPunct/>
        <w:topLinePunct w:val="0"/>
        <w:bidi w:val="0"/>
        <w:spacing w:line="460" w:lineRule="exact"/>
        <w:ind w:firstLine="480" w:firstLineChars="200"/>
        <w:outlineLvl w:val="0"/>
        <w:rPr>
          <w:rFonts w:hint="eastAsia" w:ascii="仿宋" w:hAnsi="仿宋" w:eastAsia="仿宋" w:cs="仿宋"/>
          <w:color w:val="auto"/>
          <w:sz w:val="24"/>
          <w:szCs w:val="24"/>
          <w:highlight w:val="none"/>
          <w:lang w:val="en-US" w:eastAsia="zh-CN"/>
        </w:rPr>
      </w:pPr>
      <w:bookmarkStart w:id="4" w:name="_Toc20378"/>
      <w:r>
        <w:rPr>
          <w:rFonts w:hint="eastAsia" w:ascii="仿宋" w:hAnsi="仿宋" w:eastAsia="仿宋" w:cs="仿宋"/>
          <w:color w:val="auto"/>
          <w:sz w:val="24"/>
          <w:szCs w:val="24"/>
          <w:highlight w:val="none"/>
        </w:rPr>
        <w:t>二、</w:t>
      </w:r>
      <w:bookmarkStart w:id="5" w:name="OLE_LINK23"/>
      <w:r>
        <w:rPr>
          <w:rFonts w:hint="eastAsia" w:ascii="仿宋" w:hAnsi="仿宋" w:eastAsia="仿宋" w:cs="仿宋"/>
          <w:color w:val="auto"/>
          <w:sz w:val="24"/>
          <w:szCs w:val="24"/>
          <w:highlight w:val="none"/>
        </w:rPr>
        <w:t>考核小组</w:t>
      </w:r>
      <w:bookmarkStart w:id="6" w:name="OLE_LINK24"/>
      <w:r>
        <w:rPr>
          <w:rFonts w:hint="eastAsia" w:ascii="仿宋" w:hAnsi="仿宋" w:eastAsia="仿宋" w:cs="仿宋"/>
          <w:color w:val="auto"/>
          <w:sz w:val="24"/>
          <w:szCs w:val="24"/>
          <w:highlight w:val="none"/>
        </w:rPr>
        <w:t>：</w:t>
      </w:r>
      <w:bookmarkEnd w:id="5"/>
      <w:bookmarkStart w:id="7" w:name="OLE_LINK22"/>
      <w:r>
        <w:rPr>
          <w:rFonts w:hint="eastAsia" w:ascii="仿宋" w:hAnsi="仿宋" w:eastAsia="仿宋" w:cs="仿宋"/>
          <w:color w:val="auto"/>
          <w:sz w:val="24"/>
          <w:szCs w:val="24"/>
          <w:highlight w:val="none"/>
          <w:lang w:val="en-US" w:eastAsia="zh-CN"/>
        </w:rPr>
        <w:t>处领导及各科室负责人</w:t>
      </w:r>
      <w:bookmarkEnd w:id="4"/>
      <w:bookmarkEnd w:id="6"/>
      <w:bookmarkEnd w:id="7"/>
    </w:p>
    <w:p w14:paraId="76EB4EDC">
      <w:pPr>
        <w:pageBreakBefore w:val="0"/>
        <w:wordWrap/>
        <w:overflowPunct/>
        <w:topLinePunct w:val="0"/>
        <w:bidi w:val="0"/>
        <w:spacing w:line="460" w:lineRule="exact"/>
        <w:ind w:firstLine="480" w:firstLineChars="200"/>
        <w:outlineLvl w:val="0"/>
        <w:rPr>
          <w:rFonts w:hint="eastAsia" w:ascii="仿宋" w:hAnsi="仿宋" w:eastAsia="仿宋" w:cs="仿宋"/>
          <w:color w:val="auto"/>
          <w:sz w:val="24"/>
          <w:szCs w:val="24"/>
          <w:highlight w:val="none"/>
        </w:rPr>
      </w:pPr>
      <w:bookmarkStart w:id="8" w:name="_Toc16014"/>
      <w:r>
        <w:rPr>
          <w:rFonts w:hint="eastAsia" w:ascii="仿宋" w:hAnsi="仿宋" w:eastAsia="仿宋" w:cs="仿宋"/>
          <w:color w:val="auto"/>
          <w:sz w:val="24"/>
          <w:szCs w:val="24"/>
          <w:highlight w:val="none"/>
        </w:rPr>
        <w:t>三、考核程序</w:t>
      </w:r>
      <w:bookmarkEnd w:id="8"/>
    </w:p>
    <w:p w14:paraId="0025D02F">
      <w:pPr>
        <w:pageBreakBefore w:val="0"/>
        <w:wordWrap/>
        <w:overflowPunct/>
        <w:topLinePunct w:val="0"/>
        <w:bidi w:val="0"/>
        <w:spacing w:line="46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考核小组对景区内的绿地进行随机检查，各评委要严格按照《南昌市象湖风景区管理处考核评分标准》进行打分，并填写《南昌市象湖风景区管理处考核评分表》，写明具体的扣分原因和考核总分，最后由管护科进行统计汇总，计算最终的考核分数。</w:t>
      </w:r>
    </w:p>
    <w:p w14:paraId="53E75085">
      <w:pPr>
        <w:pageBreakBefore w:val="0"/>
        <w:wordWrap/>
        <w:overflowPunct/>
        <w:topLinePunct w:val="0"/>
        <w:bidi w:val="0"/>
        <w:spacing w:line="460" w:lineRule="exact"/>
        <w:ind w:firstLine="480" w:firstLineChars="200"/>
        <w:outlineLvl w:val="0"/>
        <w:rPr>
          <w:rFonts w:hint="eastAsia" w:ascii="仿宋" w:hAnsi="仿宋" w:eastAsia="仿宋" w:cs="仿宋"/>
          <w:color w:val="auto"/>
          <w:sz w:val="24"/>
          <w:szCs w:val="24"/>
          <w:highlight w:val="none"/>
        </w:rPr>
      </w:pPr>
      <w:bookmarkStart w:id="9" w:name="_Toc2444"/>
      <w:r>
        <w:rPr>
          <w:rFonts w:hint="eastAsia" w:ascii="仿宋" w:hAnsi="仿宋" w:eastAsia="仿宋" w:cs="仿宋"/>
          <w:color w:val="auto"/>
          <w:sz w:val="24"/>
          <w:szCs w:val="24"/>
          <w:highlight w:val="none"/>
        </w:rPr>
        <w:t>四、考核办法</w:t>
      </w:r>
      <w:bookmarkEnd w:id="9"/>
    </w:p>
    <w:p w14:paraId="61EE4957">
      <w:pPr>
        <w:pageBreakBefore w:val="0"/>
        <w:wordWrap/>
        <w:overflowPunct/>
        <w:topLinePunct w:val="0"/>
        <w:bidi w:val="0"/>
        <w:spacing w:line="460" w:lineRule="exact"/>
        <w:ind w:firstLine="480" w:firstLineChars="200"/>
        <w:outlineLvl w:val="1"/>
        <w:rPr>
          <w:rFonts w:hint="eastAsia" w:ascii="仿宋" w:hAnsi="仿宋" w:eastAsia="仿宋" w:cs="仿宋"/>
          <w:color w:val="auto"/>
          <w:sz w:val="24"/>
          <w:szCs w:val="24"/>
          <w:highlight w:val="none"/>
        </w:rPr>
      </w:pPr>
      <w:bookmarkStart w:id="10" w:name="_Toc4659"/>
      <w:r>
        <w:rPr>
          <w:rFonts w:hint="eastAsia" w:ascii="仿宋" w:hAnsi="仿宋" w:eastAsia="仿宋" w:cs="仿宋"/>
          <w:color w:val="auto"/>
          <w:sz w:val="24"/>
          <w:szCs w:val="24"/>
          <w:highlight w:val="none"/>
        </w:rPr>
        <w:t>（一）定期考核</w:t>
      </w:r>
      <w:bookmarkEnd w:id="10"/>
    </w:p>
    <w:p w14:paraId="736BC4E0">
      <w:pPr>
        <w:pageBreakBefore w:val="0"/>
        <w:wordWrap/>
        <w:overflowPunct/>
        <w:topLinePunct w:val="0"/>
        <w:bidi w:val="0"/>
        <w:spacing w:line="460" w:lineRule="exact"/>
        <w:ind w:firstLine="480" w:firstLineChars="200"/>
        <w:outlineLvl w:val="2"/>
        <w:rPr>
          <w:rFonts w:hint="eastAsia" w:ascii="仿宋" w:hAnsi="仿宋" w:eastAsia="仿宋" w:cs="仿宋"/>
          <w:color w:val="auto"/>
          <w:sz w:val="24"/>
          <w:szCs w:val="24"/>
          <w:highlight w:val="none"/>
        </w:rPr>
      </w:pPr>
      <w:bookmarkStart w:id="11" w:name="_Toc26573"/>
      <w:r>
        <w:rPr>
          <w:rFonts w:hint="eastAsia" w:ascii="仿宋" w:hAnsi="仿宋" w:eastAsia="仿宋" w:cs="仿宋"/>
          <w:color w:val="auto"/>
          <w:sz w:val="24"/>
          <w:szCs w:val="24"/>
          <w:highlight w:val="none"/>
        </w:rPr>
        <w:t>1、每日巡查</w:t>
      </w:r>
      <w:bookmarkEnd w:id="11"/>
    </w:p>
    <w:p w14:paraId="1DB824FE">
      <w:pPr>
        <w:keepNext w:val="0"/>
        <w:keepLines w:val="0"/>
        <w:pageBreakBefore w:val="0"/>
        <w:widowControl/>
        <w:kinsoku/>
        <w:wordWrap/>
        <w:overflowPunct/>
        <w:topLinePunct w:val="0"/>
        <w:autoSpaceDE/>
        <w:autoSpaceDN/>
        <w:bidi w:val="0"/>
        <w:adjustRightInd/>
        <w:snapToGrid/>
        <w:spacing w:after="157" w:afterLines="50" w:line="460" w:lineRule="exact"/>
        <w:jc w:val="left"/>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以管护科为主，每天对管护地段进行检查，发现问题及时要求</w:t>
      </w:r>
      <w:r>
        <w:rPr>
          <w:rFonts w:hint="eastAsia" w:ascii="仿宋" w:hAnsi="仿宋" w:eastAsia="仿宋" w:cs="仿宋"/>
          <w:color w:val="auto"/>
          <w:sz w:val="24"/>
          <w:szCs w:val="24"/>
          <w:highlight w:val="none"/>
          <w:lang w:eastAsia="zh-CN"/>
        </w:rPr>
        <w:t>中标单位</w:t>
      </w:r>
      <w:r>
        <w:rPr>
          <w:rFonts w:hint="eastAsia" w:ascii="仿宋" w:hAnsi="仿宋" w:eastAsia="仿宋" w:cs="仿宋"/>
          <w:color w:val="auto"/>
          <w:sz w:val="24"/>
          <w:szCs w:val="24"/>
          <w:highlight w:val="none"/>
        </w:rPr>
        <w:t>整改，</w:t>
      </w:r>
      <w:r>
        <w:rPr>
          <w:rFonts w:hint="eastAsia" w:ascii="仿宋" w:hAnsi="仿宋" w:eastAsia="仿宋" w:cs="仿宋"/>
          <w:color w:val="auto"/>
          <w:sz w:val="24"/>
          <w:szCs w:val="24"/>
          <w:highlight w:val="none"/>
          <w:lang w:eastAsia="zh-CN"/>
        </w:rPr>
        <w:t>中标单位</w:t>
      </w:r>
      <w:r>
        <w:rPr>
          <w:rFonts w:hint="eastAsia" w:ascii="仿宋" w:hAnsi="仿宋" w:eastAsia="仿宋" w:cs="仿宋"/>
          <w:color w:val="auto"/>
          <w:sz w:val="24"/>
          <w:szCs w:val="24"/>
          <w:highlight w:val="none"/>
        </w:rPr>
        <w:t>必须在要求的时限内完成，如未在时限内完成或整改不到位，将下发《整改通知单》，并按《</w:t>
      </w:r>
      <w:r>
        <w:rPr>
          <w:rFonts w:hint="eastAsia" w:ascii="仿宋" w:hAnsi="仿宋" w:eastAsia="仿宋" w:cs="仿宋"/>
          <w:color w:val="auto"/>
          <w:sz w:val="24"/>
          <w:szCs w:val="24"/>
          <w:highlight w:val="none"/>
          <w:lang w:eastAsia="zh-CN"/>
        </w:rPr>
        <w:t>南昌市象湖风景区管理处绿化管理奖惩细则</w:t>
      </w:r>
      <w:r>
        <w:rPr>
          <w:rFonts w:hint="eastAsia" w:ascii="仿宋" w:hAnsi="仿宋" w:eastAsia="仿宋" w:cs="仿宋"/>
          <w:color w:val="auto"/>
          <w:sz w:val="24"/>
          <w:szCs w:val="24"/>
          <w:highlight w:val="none"/>
        </w:rPr>
        <w:t>》进行处罚，如仍未完成，我处有权安排第三方进行整改，所产生的费用从当月支付的管护经费中扣除。</w:t>
      </w:r>
    </w:p>
    <w:p w14:paraId="3FB326EC">
      <w:pPr>
        <w:pageBreakBefore w:val="0"/>
        <w:wordWrap/>
        <w:overflowPunct/>
        <w:topLinePunct w:val="0"/>
        <w:bidi w:val="0"/>
        <w:spacing w:line="460" w:lineRule="exact"/>
        <w:ind w:firstLine="480" w:firstLineChars="200"/>
        <w:outlineLvl w:val="2"/>
        <w:rPr>
          <w:rFonts w:hint="eastAsia" w:ascii="仿宋" w:hAnsi="仿宋" w:eastAsia="仿宋" w:cs="仿宋"/>
          <w:color w:val="auto"/>
          <w:sz w:val="24"/>
          <w:szCs w:val="24"/>
          <w:highlight w:val="none"/>
        </w:rPr>
      </w:pPr>
      <w:bookmarkStart w:id="12" w:name="_Toc21249"/>
      <w:r>
        <w:rPr>
          <w:rFonts w:hint="eastAsia" w:ascii="仿宋" w:hAnsi="仿宋" w:eastAsia="仿宋" w:cs="仿宋"/>
          <w:color w:val="auto"/>
          <w:sz w:val="24"/>
          <w:szCs w:val="24"/>
          <w:highlight w:val="none"/>
        </w:rPr>
        <w:t>2、月度考核</w:t>
      </w:r>
      <w:bookmarkEnd w:id="12"/>
    </w:p>
    <w:p w14:paraId="6517C9EB">
      <w:pPr>
        <w:pageBreakBefore w:val="0"/>
        <w:wordWrap/>
        <w:overflowPunct/>
        <w:topLinePunct w:val="0"/>
        <w:bidi w:val="0"/>
        <w:spacing w:line="46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每月月底组织一次</w:t>
      </w:r>
      <w:r>
        <w:rPr>
          <w:rFonts w:hint="eastAsia" w:ascii="仿宋" w:hAnsi="仿宋" w:eastAsia="仿宋" w:cs="仿宋"/>
          <w:color w:val="auto"/>
          <w:sz w:val="24"/>
          <w:szCs w:val="24"/>
          <w:highlight w:val="none"/>
          <w:lang w:eastAsia="zh-CN"/>
        </w:rPr>
        <w:t>绿化养护</w:t>
      </w:r>
      <w:r>
        <w:rPr>
          <w:rFonts w:hint="eastAsia" w:ascii="仿宋" w:hAnsi="仿宋" w:eastAsia="仿宋" w:cs="仿宋"/>
          <w:color w:val="auto"/>
          <w:sz w:val="24"/>
          <w:szCs w:val="24"/>
          <w:highlight w:val="none"/>
        </w:rPr>
        <w:t>考核，总分为100分，如考核评分在</w:t>
      </w:r>
      <w:r>
        <w:rPr>
          <w:rFonts w:hint="eastAsia" w:ascii="仿宋" w:hAnsi="仿宋" w:eastAsia="仿宋" w:cs="仿宋"/>
          <w:color w:val="auto"/>
          <w:sz w:val="24"/>
          <w:szCs w:val="24"/>
          <w:highlight w:val="none"/>
          <w:lang w:val="en-US" w:eastAsia="zh-CN"/>
        </w:rPr>
        <w:t>8</w:t>
      </w:r>
      <w:r>
        <w:rPr>
          <w:rFonts w:hint="eastAsia" w:ascii="仿宋" w:hAnsi="仿宋" w:eastAsia="仿宋" w:cs="仿宋"/>
          <w:color w:val="auto"/>
          <w:sz w:val="24"/>
          <w:szCs w:val="24"/>
          <w:highlight w:val="none"/>
        </w:rPr>
        <w:t>5分以上（含</w:t>
      </w:r>
      <w:r>
        <w:rPr>
          <w:rFonts w:hint="eastAsia" w:ascii="仿宋" w:hAnsi="仿宋" w:eastAsia="仿宋" w:cs="仿宋"/>
          <w:color w:val="auto"/>
          <w:sz w:val="24"/>
          <w:szCs w:val="24"/>
          <w:highlight w:val="none"/>
          <w:lang w:val="en-US" w:eastAsia="zh-CN"/>
        </w:rPr>
        <w:t>85</w:t>
      </w:r>
      <w:r>
        <w:rPr>
          <w:rFonts w:hint="eastAsia" w:ascii="仿宋" w:hAnsi="仿宋" w:eastAsia="仿宋" w:cs="仿宋"/>
          <w:color w:val="auto"/>
          <w:sz w:val="24"/>
          <w:szCs w:val="24"/>
          <w:highlight w:val="none"/>
        </w:rPr>
        <w:t>分），不扣当月的</w:t>
      </w:r>
      <w:r>
        <w:rPr>
          <w:rFonts w:hint="eastAsia" w:ascii="仿宋" w:hAnsi="仿宋" w:eastAsia="仿宋" w:cs="仿宋"/>
          <w:color w:val="auto"/>
          <w:sz w:val="24"/>
          <w:szCs w:val="24"/>
          <w:highlight w:val="none"/>
          <w:lang w:eastAsia="zh-CN"/>
        </w:rPr>
        <w:t>绿化养</w:t>
      </w:r>
      <w:r>
        <w:rPr>
          <w:rFonts w:hint="eastAsia" w:ascii="仿宋" w:hAnsi="仿宋" w:eastAsia="仿宋" w:cs="仿宋"/>
          <w:color w:val="auto"/>
          <w:sz w:val="24"/>
          <w:szCs w:val="24"/>
          <w:highlight w:val="none"/>
        </w:rPr>
        <w:t>护经费；如考核评分低于</w:t>
      </w:r>
      <w:r>
        <w:rPr>
          <w:rFonts w:hint="eastAsia" w:ascii="仿宋" w:hAnsi="仿宋" w:eastAsia="仿宋" w:cs="仿宋"/>
          <w:color w:val="auto"/>
          <w:sz w:val="24"/>
          <w:szCs w:val="24"/>
          <w:highlight w:val="none"/>
          <w:lang w:val="en-US" w:eastAsia="zh-CN"/>
        </w:rPr>
        <w:t>8</w:t>
      </w:r>
      <w:r>
        <w:rPr>
          <w:rFonts w:hint="eastAsia" w:ascii="仿宋" w:hAnsi="仿宋" w:eastAsia="仿宋" w:cs="仿宋"/>
          <w:color w:val="auto"/>
          <w:sz w:val="24"/>
          <w:szCs w:val="24"/>
          <w:highlight w:val="none"/>
        </w:rPr>
        <w:t>5分，每低1分，当月的</w:t>
      </w:r>
      <w:r>
        <w:rPr>
          <w:rFonts w:hint="eastAsia" w:ascii="仿宋" w:hAnsi="仿宋" w:eastAsia="仿宋" w:cs="仿宋"/>
          <w:color w:val="auto"/>
          <w:sz w:val="24"/>
          <w:szCs w:val="24"/>
          <w:highlight w:val="none"/>
          <w:lang w:eastAsia="zh-CN"/>
        </w:rPr>
        <w:t>绿化养</w:t>
      </w:r>
      <w:r>
        <w:rPr>
          <w:rFonts w:hint="eastAsia" w:ascii="仿宋" w:hAnsi="仿宋" w:eastAsia="仿宋" w:cs="仿宋"/>
          <w:color w:val="auto"/>
          <w:sz w:val="24"/>
          <w:szCs w:val="24"/>
          <w:highlight w:val="none"/>
        </w:rPr>
        <w:t>护经费减0.002元/平方米，不足一分按一分费用扣减。</w:t>
      </w:r>
    </w:p>
    <w:p w14:paraId="67394604">
      <w:pPr>
        <w:pageBreakBefore w:val="0"/>
        <w:wordWrap/>
        <w:overflowPunct/>
        <w:topLinePunct w:val="0"/>
        <w:bidi w:val="0"/>
        <w:spacing w:line="460" w:lineRule="exact"/>
        <w:ind w:firstLine="480" w:firstLineChars="200"/>
        <w:outlineLvl w:val="1"/>
        <w:rPr>
          <w:rFonts w:hint="eastAsia" w:ascii="仿宋" w:hAnsi="仿宋" w:eastAsia="仿宋" w:cs="仿宋"/>
          <w:color w:val="auto"/>
          <w:sz w:val="24"/>
          <w:szCs w:val="24"/>
          <w:highlight w:val="none"/>
        </w:rPr>
      </w:pPr>
      <w:bookmarkStart w:id="13" w:name="_Toc23883"/>
      <w:r>
        <w:rPr>
          <w:rFonts w:hint="eastAsia" w:ascii="仿宋" w:hAnsi="仿宋" w:eastAsia="仿宋" w:cs="仿宋"/>
          <w:color w:val="auto"/>
          <w:sz w:val="24"/>
          <w:szCs w:val="24"/>
          <w:highlight w:val="none"/>
        </w:rPr>
        <w:t>（二）不定期考核</w:t>
      </w:r>
      <w:bookmarkEnd w:id="13"/>
    </w:p>
    <w:p w14:paraId="5DD9129F">
      <w:pPr>
        <w:pageBreakBefore w:val="0"/>
        <w:wordWrap/>
        <w:overflowPunct/>
        <w:topLinePunct w:val="0"/>
        <w:bidi w:val="0"/>
        <w:spacing w:line="46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实行随机抽查，发现问题按照《南昌市象湖风景区管理处奖惩细则》进行处罚。</w:t>
      </w:r>
    </w:p>
    <w:p w14:paraId="0C3EF301">
      <w:pPr>
        <w:pageBreakBefore w:val="0"/>
        <w:wordWrap/>
        <w:overflowPunct/>
        <w:topLinePunct w:val="0"/>
        <w:bidi w:val="0"/>
        <w:spacing w:line="460" w:lineRule="exact"/>
        <w:ind w:firstLine="480" w:firstLineChars="200"/>
        <w:outlineLvl w:val="0"/>
        <w:rPr>
          <w:rFonts w:hint="eastAsia" w:ascii="仿宋" w:hAnsi="仿宋" w:eastAsia="仿宋" w:cs="仿宋"/>
          <w:color w:val="auto"/>
          <w:sz w:val="24"/>
          <w:szCs w:val="24"/>
          <w:highlight w:val="none"/>
        </w:rPr>
      </w:pPr>
      <w:bookmarkStart w:id="14" w:name="_Toc27372"/>
      <w:r>
        <w:rPr>
          <w:rFonts w:hint="eastAsia" w:ascii="仿宋" w:hAnsi="仿宋" w:eastAsia="仿宋" w:cs="仿宋"/>
          <w:color w:val="auto"/>
          <w:sz w:val="24"/>
          <w:szCs w:val="24"/>
          <w:highlight w:val="none"/>
        </w:rPr>
        <w:t>五、考核要求</w:t>
      </w:r>
      <w:bookmarkEnd w:id="14"/>
    </w:p>
    <w:p w14:paraId="0D923770">
      <w:pPr>
        <w:pageBreakBefore w:val="0"/>
        <w:wordWrap/>
        <w:overflowPunct/>
        <w:topLinePunct w:val="0"/>
        <w:bidi w:val="0"/>
        <w:spacing w:line="46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1、考核人员在</w:t>
      </w:r>
      <w:r>
        <w:rPr>
          <w:rFonts w:hint="eastAsia" w:ascii="仿宋" w:hAnsi="仿宋" w:eastAsia="仿宋" w:cs="仿宋"/>
          <w:color w:val="auto"/>
          <w:sz w:val="24"/>
          <w:szCs w:val="24"/>
          <w:highlight w:val="none"/>
          <w:lang w:eastAsia="zh-CN"/>
        </w:rPr>
        <w:t>中标单位</w:t>
      </w:r>
      <w:r>
        <w:rPr>
          <w:rFonts w:hint="eastAsia" w:ascii="仿宋" w:hAnsi="仿宋" w:eastAsia="仿宋" w:cs="仿宋"/>
          <w:color w:val="auto"/>
          <w:sz w:val="24"/>
          <w:szCs w:val="24"/>
          <w:highlight w:val="none"/>
        </w:rPr>
        <w:t>所管绿地内采取随机抽查的方式进行考核。</w:t>
      </w:r>
    </w:p>
    <w:p w14:paraId="3ECF1EE8">
      <w:pPr>
        <w:pageBreakBefore w:val="0"/>
        <w:wordWrap/>
        <w:overflowPunct/>
        <w:topLinePunct w:val="0"/>
        <w:bidi w:val="0"/>
        <w:spacing w:line="46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rPr>
        <w:t>、考核人员严格按照考核标准现场打分。</w:t>
      </w:r>
    </w:p>
    <w:p w14:paraId="2140B8D1">
      <w:pPr>
        <w:pageBreakBefore w:val="0"/>
        <w:wordWrap/>
        <w:overflowPunct/>
        <w:topLinePunct w:val="0"/>
        <w:bidi w:val="0"/>
        <w:spacing w:line="46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3</w:t>
      </w:r>
      <w:r>
        <w:rPr>
          <w:rFonts w:hint="eastAsia" w:ascii="仿宋" w:hAnsi="仿宋" w:eastAsia="仿宋" w:cs="仿宋"/>
          <w:color w:val="auto"/>
          <w:sz w:val="24"/>
          <w:szCs w:val="24"/>
          <w:highlight w:val="none"/>
        </w:rPr>
        <w:t>、对罚款、打分情况</w:t>
      </w:r>
      <w:r>
        <w:rPr>
          <w:rFonts w:hint="eastAsia" w:ascii="仿宋" w:hAnsi="仿宋" w:eastAsia="仿宋" w:cs="仿宋"/>
          <w:color w:val="auto"/>
          <w:sz w:val="24"/>
          <w:szCs w:val="24"/>
          <w:highlight w:val="none"/>
          <w:lang w:eastAsia="zh-CN"/>
        </w:rPr>
        <w:t>中标单位</w:t>
      </w:r>
      <w:r>
        <w:rPr>
          <w:rFonts w:hint="eastAsia" w:ascii="仿宋" w:hAnsi="仿宋" w:eastAsia="仿宋" w:cs="仿宋"/>
          <w:color w:val="auto"/>
          <w:sz w:val="24"/>
          <w:szCs w:val="24"/>
          <w:highlight w:val="none"/>
        </w:rPr>
        <w:t>认为不合理的，可以以书面形式向管理处提出申辩，管理处将根据实际情况进行复核，再作出是否更改的决定。</w:t>
      </w:r>
    </w:p>
    <w:p w14:paraId="0EBA1784">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4</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eastAsia="zh-CN"/>
        </w:rPr>
        <w:t>中标单位</w:t>
      </w:r>
      <w:r>
        <w:rPr>
          <w:rFonts w:hint="eastAsia" w:ascii="仿宋" w:hAnsi="仿宋" w:eastAsia="仿宋" w:cs="仿宋"/>
          <w:color w:val="auto"/>
          <w:sz w:val="24"/>
          <w:szCs w:val="24"/>
          <w:highlight w:val="none"/>
          <w:lang w:val="en-US" w:eastAsia="zh-CN"/>
        </w:rPr>
        <w:t>对</w:t>
      </w:r>
      <w:r>
        <w:rPr>
          <w:rFonts w:hint="eastAsia" w:ascii="仿宋" w:hAnsi="仿宋" w:eastAsia="仿宋" w:cs="仿宋"/>
          <w:color w:val="auto"/>
          <w:sz w:val="24"/>
          <w:szCs w:val="24"/>
          <w:highlight w:val="none"/>
        </w:rPr>
        <w:t>考核工作不配合，采购人有权对其进行处罚</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累计3次及以上拒不配合，采购人有权单方解除合作合同。</w:t>
      </w:r>
    </w:p>
    <w:p w14:paraId="264A2007">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rPr>
        <w:t>、每次考核人员数量不低于5人。</w:t>
      </w:r>
    </w:p>
    <w:p w14:paraId="2EAE160F">
      <w:pPr>
        <w:pageBreakBefore w:val="0"/>
        <w:wordWrap/>
        <w:overflowPunct/>
        <w:topLinePunct w:val="0"/>
        <w:bidi w:val="0"/>
        <w:spacing w:line="460" w:lineRule="exact"/>
        <w:ind w:firstLine="482" w:firstLineChars="200"/>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rPr>
        <w:t>附件：</w:t>
      </w:r>
    </w:p>
    <w:p w14:paraId="572A610D">
      <w:pPr>
        <w:pageBreakBefore w:val="0"/>
        <w:wordWrap/>
        <w:overflowPunct/>
        <w:topLinePunct w:val="0"/>
        <w:bidi w:val="0"/>
        <w:spacing w:line="46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1、南昌市象湖风景区管理处绿化养护管理考核评分标准</w:t>
      </w:r>
    </w:p>
    <w:p w14:paraId="2CAE3F4C">
      <w:pPr>
        <w:pageBreakBefore w:val="0"/>
        <w:wordWrap/>
        <w:overflowPunct/>
        <w:topLinePunct w:val="0"/>
        <w:bidi w:val="0"/>
        <w:spacing w:line="46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lang w:eastAsia="zh-CN"/>
        </w:rPr>
        <w:t>南昌市象湖风景区管理处绿化管理奖惩细则</w:t>
      </w:r>
    </w:p>
    <w:p w14:paraId="7018AB54">
      <w:pPr>
        <w:pageBreakBefore w:val="0"/>
        <w:wordWrap/>
        <w:overflowPunct/>
        <w:topLinePunct w:val="0"/>
        <w:bidi w:val="0"/>
        <w:spacing w:line="46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3</w:t>
      </w:r>
      <w:r>
        <w:rPr>
          <w:rFonts w:hint="eastAsia" w:ascii="仿宋" w:hAnsi="仿宋" w:eastAsia="仿宋" w:cs="仿宋"/>
          <w:color w:val="auto"/>
          <w:sz w:val="24"/>
          <w:szCs w:val="24"/>
          <w:highlight w:val="none"/>
        </w:rPr>
        <w:t>、整改通知单</w:t>
      </w:r>
    </w:p>
    <w:p w14:paraId="2A0C6623">
      <w:pPr>
        <w:pageBreakBefore w:val="0"/>
        <w:wordWrap/>
        <w:overflowPunct/>
        <w:topLinePunct w:val="0"/>
        <w:bidi w:val="0"/>
        <w:spacing w:line="46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4</w:t>
      </w:r>
      <w:r>
        <w:rPr>
          <w:rFonts w:hint="eastAsia" w:ascii="仿宋" w:hAnsi="仿宋" w:eastAsia="仿宋" w:cs="仿宋"/>
          <w:color w:val="auto"/>
          <w:sz w:val="24"/>
          <w:szCs w:val="24"/>
          <w:highlight w:val="none"/>
        </w:rPr>
        <w:t>、南昌市象湖风景区管理处绿化养护管理考核评分表</w:t>
      </w:r>
    </w:p>
    <w:p w14:paraId="24197E20">
      <w:pPr>
        <w:pageBreakBefore w:val="0"/>
        <w:wordWrap/>
        <w:overflowPunct/>
        <w:topLinePunct w:val="0"/>
        <w:bidi w:val="0"/>
        <w:spacing w:line="46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rPr>
        <w:t>、江西省城市园林绿化养护技术标准</w:t>
      </w:r>
    </w:p>
    <w:p w14:paraId="2BA09302">
      <w:pPr>
        <w:pageBreakBefore w:val="0"/>
        <w:numPr>
          <w:ilvl w:val="0"/>
          <w:numId w:val="0"/>
        </w:numPr>
        <w:wordWrap/>
        <w:overflowPunct/>
        <w:topLinePunct w:val="0"/>
        <w:bidi w:val="0"/>
        <w:spacing w:line="460" w:lineRule="exact"/>
        <w:ind w:left="0" w:leftChars="0" w:firstLine="0" w:firstLineChars="0"/>
        <w:outlineLvl w:val="0"/>
        <w:rPr>
          <w:rFonts w:hint="eastAsia" w:ascii="仿宋" w:hAnsi="仿宋" w:eastAsia="仿宋" w:cs="仿宋"/>
          <w:b/>
          <w:color w:val="auto"/>
          <w:sz w:val="24"/>
          <w:szCs w:val="24"/>
          <w:highlight w:val="none"/>
        </w:rPr>
      </w:pPr>
      <w:r>
        <w:rPr>
          <w:rFonts w:hint="eastAsia" w:ascii="仿宋" w:hAnsi="仿宋" w:eastAsia="仿宋" w:cs="仿宋"/>
          <w:color w:val="auto"/>
          <w:sz w:val="24"/>
          <w:szCs w:val="24"/>
          <w:highlight w:val="none"/>
          <w:lang w:val="en-US" w:eastAsia="zh-CN"/>
        </w:rPr>
        <w:br w:type="page"/>
      </w:r>
      <w:bookmarkStart w:id="15" w:name="_Toc19457"/>
      <w:r>
        <w:rPr>
          <w:rFonts w:hint="eastAsia" w:ascii="仿宋" w:hAnsi="仿宋" w:eastAsia="仿宋" w:cs="仿宋"/>
          <w:b/>
          <w:bCs/>
          <w:color w:val="auto"/>
          <w:sz w:val="24"/>
          <w:szCs w:val="24"/>
          <w:highlight w:val="none"/>
          <w:lang w:eastAsia="zh-CN"/>
        </w:rPr>
        <w:t>附件</w:t>
      </w:r>
      <w:r>
        <w:rPr>
          <w:rFonts w:hint="eastAsia" w:ascii="仿宋" w:hAnsi="仿宋" w:eastAsia="仿宋" w:cs="仿宋"/>
          <w:b/>
          <w:bCs/>
          <w:color w:val="auto"/>
          <w:sz w:val="24"/>
          <w:szCs w:val="24"/>
          <w:highlight w:val="none"/>
          <w:lang w:val="en-US" w:eastAsia="zh-CN"/>
        </w:rPr>
        <w:t>1.</w:t>
      </w:r>
      <w:r>
        <w:rPr>
          <w:rFonts w:hint="eastAsia" w:ascii="仿宋" w:hAnsi="仿宋" w:eastAsia="仿宋" w:cs="仿宋"/>
          <w:b/>
          <w:color w:val="auto"/>
          <w:sz w:val="24"/>
          <w:szCs w:val="24"/>
          <w:highlight w:val="none"/>
        </w:rPr>
        <w:t>南昌市象湖风景区管理处绿化养护管理考核评分标准</w:t>
      </w:r>
      <w:bookmarkEnd w:id="15"/>
    </w:p>
    <w:tbl>
      <w:tblPr>
        <w:tblStyle w:val="6"/>
        <w:tblW w:w="9256"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423"/>
        <w:gridCol w:w="4992"/>
        <w:gridCol w:w="2841"/>
      </w:tblGrid>
      <w:tr w14:paraId="38790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03" w:hRule="atLeast"/>
        </w:trPr>
        <w:tc>
          <w:tcPr>
            <w:tcW w:w="1423" w:type="dxa"/>
            <w:noWrap w:val="0"/>
            <w:vAlign w:val="center"/>
          </w:tcPr>
          <w:p w14:paraId="1489851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b/>
                <w:bCs/>
                <w:color w:val="auto"/>
                <w:sz w:val="24"/>
                <w:szCs w:val="24"/>
                <w:highlight w:val="none"/>
                <w:shd w:val="clear" w:color="auto" w:fill="FFFFFE"/>
              </w:rPr>
            </w:pPr>
            <w:r>
              <w:rPr>
                <w:rFonts w:hint="eastAsia" w:ascii="仿宋" w:hAnsi="仿宋" w:eastAsia="仿宋" w:cs="仿宋"/>
                <w:b/>
                <w:bCs/>
                <w:color w:val="auto"/>
                <w:sz w:val="24"/>
                <w:szCs w:val="24"/>
                <w:highlight w:val="none"/>
                <w:shd w:val="clear" w:color="auto" w:fill="FFFFFE"/>
              </w:rPr>
              <w:t>考核内容</w:t>
            </w:r>
          </w:p>
        </w:tc>
        <w:tc>
          <w:tcPr>
            <w:tcW w:w="4992" w:type="dxa"/>
            <w:noWrap w:val="0"/>
            <w:vAlign w:val="center"/>
          </w:tcPr>
          <w:p w14:paraId="4EAD7486">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b/>
                <w:bCs/>
                <w:color w:val="auto"/>
                <w:sz w:val="24"/>
                <w:szCs w:val="24"/>
                <w:highlight w:val="none"/>
                <w:shd w:val="clear" w:color="auto" w:fill="FFFFFE"/>
              </w:rPr>
            </w:pPr>
            <w:r>
              <w:rPr>
                <w:rFonts w:hint="eastAsia" w:ascii="仿宋" w:hAnsi="仿宋" w:eastAsia="仿宋" w:cs="仿宋"/>
                <w:b/>
                <w:bCs/>
                <w:color w:val="auto"/>
                <w:sz w:val="24"/>
                <w:szCs w:val="24"/>
                <w:highlight w:val="none"/>
                <w:shd w:val="clear" w:color="auto" w:fill="FFFFFE"/>
              </w:rPr>
              <w:t>质量标准</w:t>
            </w:r>
          </w:p>
        </w:tc>
        <w:tc>
          <w:tcPr>
            <w:tcW w:w="2841" w:type="dxa"/>
            <w:noWrap w:val="0"/>
            <w:vAlign w:val="center"/>
          </w:tcPr>
          <w:p w14:paraId="463F8EFD">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b/>
                <w:bCs/>
                <w:color w:val="auto"/>
                <w:sz w:val="24"/>
                <w:szCs w:val="24"/>
                <w:highlight w:val="none"/>
                <w:shd w:val="clear" w:color="auto" w:fill="FFFFFE"/>
              </w:rPr>
            </w:pPr>
            <w:r>
              <w:rPr>
                <w:rFonts w:hint="eastAsia" w:ascii="仿宋" w:hAnsi="仿宋" w:eastAsia="仿宋" w:cs="仿宋"/>
                <w:b/>
                <w:bCs/>
                <w:color w:val="auto"/>
                <w:sz w:val="24"/>
                <w:szCs w:val="24"/>
                <w:highlight w:val="none"/>
                <w:shd w:val="clear" w:color="auto" w:fill="FFFFFE"/>
              </w:rPr>
              <w:t>评分标准</w:t>
            </w:r>
          </w:p>
        </w:tc>
      </w:tr>
      <w:tr w14:paraId="56F23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5" w:hRule="atLeast"/>
        </w:trPr>
        <w:tc>
          <w:tcPr>
            <w:tcW w:w="1423" w:type="dxa"/>
            <w:vMerge w:val="restart"/>
            <w:noWrap w:val="0"/>
            <w:vAlign w:val="center"/>
          </w:tcPr>
          <w:p w14:paraId="6733CF1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管理机制及养护设备（5分）</w:t>
            </w:r>
          </w:p>
        </w:tc>
        <w:tc>
          <w:tcPr>
            <w:tcW w:w="4992" w:type="dxa"/>
            <w:noWrap w:val="0"/>
            <w:vAlign w:val="center"/>
          </w:tcPr>
          <w:p w14:paraId="571F2D2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管理制度不健全或没有严格执行</w:t>
            </w:r>
          </w:p>
        </w:tc>
        <w:tc>
          <w:tcPr>
            <w:tcW w:w="2841" w:type="dxa"/>
            <w:noWrap w:val="0"/>
            <w:vAlign w:val="center"/>
          </w:tcPr>
          <w:p w14:paraId="49C6610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扣1分</w:t>
            </w:r>
          </w:p>
        </w:tc>
      </w:tr>
      <w:tr w14:paraId="17110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0" w:hRule="atLeast"/>
        </w:trPr>
        <w:tc>
          <w:tcPr>
            <w:tcW w:w="1423" w:type="dxa"/>
            <w:vMerge w:val="continue"/>
            <w:noWrap w:val="0"/>
            <w:vAlign w:val="center"/>
          </w:tcPr>
          <w:p w14:paraId="1B1F06B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2CBC7FC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养护人员不具备相应的岗位证书</w:t>
            </w:r>
          </w:p>
        </w:tc>
        <w:tc>
          <w:tcPr>
            <w:tcW w:w="2841" w:type="dxa"/>
            <w:noWrap w:val="0"/>
            <w:vAlign w:val="center"/>
          </w:tcPr>
          <w:p w14:paraId="40BE7B4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每人扣1分</w:t>
            </w:r>
          </w:p>
        </w:tc>
      </w:tr>
      <w:tr w14:paraId="6B71C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6" w:hRule="atLeast"/>
        </w:trPr>
        <w:tc>
          <w:tcPr>
            <w:tcW w:w="1423" w:type="dxa"/>
            <w:vMerge w:val="continue"/>
            <w:noWrap w:val="0"/>
            <w:vAlign w:val="center"/>
          </w:tcPr>
          <w:p w14:paraId="2279D74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47B0C4E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缺少管护应有的机械设备，如洒水车、水泵、打草机等</w:t>
            </w:r>
          </w:p>
        </w:tc>
        <w:tc>
          <w:tcPr>
            <w:tcW w:w="2841" w:type="dxa"/>
            <w:noWrap w:val="0"/>
            <w:vAlign w:val="center"/>
          </w:tcPr>
          <w:p w14:paraId="6F6B484C">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每少一种扣1分</w:t>
            </w:r>
          </w:p>
        </w:tc>
      </w:tr>
      <w:tr w14:paraId="11436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0" w:hRule="atLeast"/>
        </w:trPr>
        <w:tc>
          <w:tcPr>
            <w:tcW w:w="1423" w:type="dxa"/>
            <w:vMerge w:val="restart"/>
            <w:noWrap w:val="0"/>
            <w:vAlign w:val="center"/>
          </w:tcPr>
          <w:p w14:paraId="6BE164B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人员在岗及安全文明</w:t>
            </w:r>
          </w:p>
          <w:p w14:paraId="3598862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（10分）</w:t>
            </w:r>
          </w:p>
        </w:tc>
        <w:tc>
          <w:tcPr>
            <w:tcW w:w="4992" w:type="dxa"/>
            <w:noWrap w:val="0"/>
            <w:vAlign w:val="center"/>
          </w:tcPr>
          <w:p w14:paraId="1E66440D">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按</w:t>
            </w:r>
            <w:r>
              <w:rPr>
                <w:rFonts w:hint="eastAsia" w:ascii="仿宋" w:hAnsi="仿宋" w:eastAsia="仿宋" w:cs="仿宋"/>
                <w:color w:val="auto"/>
                <w:sz w:val="24"/>
                <w:szCs w:val="24"/>
                <w:highlight w:val="none"/>
                <w:shd w:val="clear" w:color="auto" w:fill="FFFFFE"/>
                <w:lang w:val="en-US" w:eastAsia="zh-CN"/>
              </w:rPr>
              <w:t>合同文件</w:t>
            </w:r>
            <w:r>
              <w:rPr>
                <w:rFonts w:hint="eastAsia" w:ascii="仿宋" w:hAnsi="仿宋" w:eastAsia="仿宋" w:cs="仿宋"/>
                <w:color w:val="auto"/>
                <w:sz w:val="24"/>
                <w:szCs w:val="24"/>
                <w:highlight w:val="none"/>
                <w:shd w:val="clear" w:color="auto" w:fill="FFFFFE"/>
              </w:rPr>
              <w:t>配备养护人员</w:t>
            </w:r>
          </w:p>
        </w:tc>
        <w:tc>
          <w:tcPr>
            <w:tcW w:w="2841" w:type="dxa"/>
            <w:noWrap w:val="0"/>
            <w:vAlign w:val="center"/>
          </w:tcPr>
          <w:p w14:paraId="57B040BC">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每少一人扣2分</w:t>
            </w:r>
          </w:p>
        </w:tc>
      </w:tr>
      <w:tr w14:paraId="7A038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0" w:hRule="atLeast"/>
        </w:trPr>
        <w:tc>
          <w:tcPr>
            <w:tcW w:w="1423" w:type="dxa"/>
            <w:vMerge w:val="continue"/>
            <w:noWrap w:val="0"/>
            <w:vAlign w:val="center"/>
          </w:tcPr>
          <w:p w14:paraId="599A4D2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63F3A0AA">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未穿着统一的工作服</w:t>
            </w:r>
          </w:p>
        </w:tc>
        <w:tc>
          <w:tcPr>
            <w:tcW w:w="2841" w:type="dxa"/>
            <w:noWrap w:val="0"/>
            <w:vAlign w:val="center"/>
          </w:tcPr>
          <w:p w14:paraId="1C66F6C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每人扣1分</w:t>
            </w:r>
          </w:p>
        </w:tc>
      </w:tr>
      <w:tr w14:paraId="24EC9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trPr>
        <w:tc>
          <w:tcPr>
            <w:tcW w:w="1423" w:type="dxa"/>
            <w:vMerge w:val="continue"/>
            <w:noWrap w:val="0"/>
            <w:vAlign w:val="center"/>
          </w:tcPr>
          <w:p w14:paraId="2DDB36B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437AD7A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每月的工作总结和计划没有按时上交（每月24日）</w:t>
            </w:r>
          </w:p>
        </w:tc>
        <w:tc>
          <w:tcPr>
            <w:tcW w:w="2841" w:type="dxa"/>
            <w:noWrap w:val="0"/>
            <w:vAlign w:val="center"/>
          </w:tcPr>
          <w:p w14:paraId="54933CC2">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扣0.5分</w:t>
            </w:r>
          </w:p>
        </w:tc>
      </w:tr>
      <w:tr w14:paraId="5D13D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3" w:hRule="atLeast"/>
        </w:trPr>
        <w:tc>
          <w:tcPr>
            <w:tcW w:w="1423" w:type="dxa"/>
            <w:vMerge w:val="continue"/>
            <w:noWrap w:val="0"/>
            <w:vAlign w:val="center"/>
          </w:tcPr>
          <w:p w14:paraId="48F3929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6735328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安全意识淡薄，如未按操作机械设备等，造成安全事故。</w:t>
            </w:r>
          </w:p>
        </w:tc>
        <w:tc>
          <w:tcPr>
            <w:tcW w:w="2841" w:type="dxa"/>
            <w:noWrap w:val="0"/>
            <w:vAlign w:val="center"/>
          </w:tcPr>
          <w:p w14:paraId="6A3EA399">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每起扣5分，情节特别严重的加倍扣分</w:t>
            </w:r>
          </w:p>
        </w:tc>
      </w:tr>
      <w:tr w14:paraId="40533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2" w:hRule="atLeast"/>
        </w:trPr>
        <w:tc>
          <w:tcPr>
            <w:tcW w:w="1423" w:type="dxa"/>
            <w:vMerge w:val="restart"/>
            <w:noWrap w:val="0"/>
            <w:vAlign w:val="center"/>
          </w:tcPr>
          <w:p w14:paraId="5F8BACD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部门反映及考核评比</w:t>
            </w:r>
          </w:p>
          <w:p w14:paraId="2955110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（10分）</w:t>
            </w:r>
          </w:p>
        </w:tc>
        <w:tc>
          <w:tcPr>
            <w:tcW w:w="4992" w:type="dxa"/>
            <w:noWrap w:val="0"/>
            <w:vAlign w:val="center"/>
          </w:tcPr>
          <w:p w14:paraId="092CFF12">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在媒体上曝光管护工作不到位</w:t>
            </w:r>
          </w:p>
        </w:tc>
        <w:tc>
          <w:tcPr>
            <w:tcW w:w="2841" w:type="dxa"/>
            <w:noWrap w:val="0"/>
            <w:vAlign w:val="center"/>
          </w:tcPr>
          <w:p w14:paraId="5D2F061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省级媒体扣10分，市级媒体扣8分。</w:t>
            </w:r>
          </w:p>
        </w:tc>
      </w:tr>
      <w:tr w14:paraId="14278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5" w:hRule="atLeast"/>
        </w:trPr>
        <w:tc>
          <w:tcPr>
            <w:tcW w:w="1423" w:type="dxa"/>
            <w:vMerge w:val="continue"/>
            <w:noWrap w:val="0"/>
            <w:vAlign w:val="center"/>
          </w:tcPr>
          <w:p w14:paraId="3BBF6A8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020C4A09">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啄木鸟、创建办、文明办、“迎检”等检查存在问题</w:t>
            </w:r>
          </w:p>
        </w:tc>
        <w:tc>
          <w:tcPr>
            <w:tcW w:w="2841" w:type="dxa"/>
            <w:noWrap w:val="0"/>
            <w:vAlign w:val="center"/>
          </w:tcPr>
          <w:p w14:paraId="3C2D7AD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每个问题扣10分</w:t>
            </w:r>
          </w:p>
        </w:tc>
      </w:tr>
      <w:tr w14:paraId="68D28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0" w:hRule="atLeast"/>
        </w:trPr>
        <w:tc>
          <w:tcPr>
            <w:tcW w:w="1423" w:type="dxa"/>
            <w:vMerge w:val="continue"/>
            <w:noWrap w:val="0"/>
            <w:vAlign w:val="center"/>
          </w:tcPr>
          <w:p w14:paraId="0C4B34ED">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3513CD7D">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市长热线及群众来电反映问题</w:t>
            </w:r>
          </w:p>
        </w:tc>
        <w:tc>
          <w:tcPr>
            <w:tcW w:w="2841" w:type="dxa"/>
            <w:noWrap w:val="0"/>
            <w:vAlign w:val="center"/>
          </w:tcPr>
          <w:p w14:paraId="193D800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每个问题扣5分</w:t>
            </w:r>
          </w:p>
        </w:tc>
      </w:tr>
      <w:tr w14:paraId="589C1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87" w:hRule="atLeast"/>
        </w:trPr>
        <w:tc>
          <w:tcPr>
            <w:tcW w:w="1423" w:type="dxa"/>
            <w:vMerge w:val="continue"/>
            <w:noWrap w:val="0"/>
            <w:vAlign w:val="center"/>
          </w:tcPr>
          <w:p w14:paraId="6B20B266">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0797A9D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省级、市级及局里考核评比获得最后三名</w:t>
            </w:r>
          </w:p>
        </w:tc>
        <w:tc>
          <w:tcPr>
            <w:tcW w:w="2841" w:type="dxa"/>
            <w:noWrap w:val="0"/>
            <w:vAlign w:val="center"/>
          </w:tcPr>
          <w:p w14:paraId="1E8A62DA">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省级、市级分别扣10分、8分、6分，局级分别扣8分、6分、5分。</w:t>
            </w:r>
          </w:p>
        </w:tc>
      </w:tr>
      <w:tr w14:paraId="02263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92" w:hRule="atLeast"/>
        </w:trPr>
        <w:tc>
          <w:tcPr>
            <w:tcW w:w="1423" w:type="dxa"/>
            <w:vMerge w:val="continue"/>
            <w:noWrap w:val="0"/>
            <w:vAlign w:val="center"/>
          </w:tcPr>
          <w:p w14:paraId="04A0D6C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45B3638A">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省级、市级及局里领导对管护工作提出批评</w:t>
            </w:r>
          </w:p>
        </w:tc>
        <w:tc>
          <w:tcPr>
            <w:tcW w:w="2841" w:type="dxa"/>
            <w:noWrap w:val="0"/>
            <w:vAlign w:val="center"/>
          </w:tcPr>
          <w:p w14:paraId="2D284F7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省级、市级扣10分，局里扣8分。</w:t>
            </w:r>
          </w:p>
        </w:tc>
      </w:tr>
      <w:tr w14:paraId="5E5DC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5" w:hRule="atLeast"/>
        </w:trPr>
        <w:tc>
          <w:tcPr>
            <w:tcW w:w="1423" w:type="dxa"/>
            <w:vMerge w:val="restart"/>
            <w:noWrap w:val="0"/>
            <w:vAlign w:val="center"/>
          </w:tcPr>
          <w:p w14:paraId="1008F75C">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lang w:eastAsia="zh-CN"/>
              </w:rPr>
              <w:t>数字城管或掌上城管</w:t>
            </w:r>
            <w:r>
              <w:rPr>
                <w:rFonts w:hint="eastAsia" w:ascii="仿宋" w:hAnsi="仿宋" w:eastAsia="仿宋" w:cs="仿宋"/>
                <w:color w:val="auto"/>
                <w:sz w:val="24"/>
                <w:szCs w:val="24"/>
                <w:highlight w:val="none"/>
                <w:shd w:val="clear" w:color="auto" w:fill="FFFFFE"/>
              </w:rPr>
              <w:t>（5分）</w:t>
            </w:r>
          </w:p>
        </w:tc>
        <w:tc>
          <w:tcPr>
            <w:tcW w:w="4992" w:type="dxa"/>
            <w:noWrap w:val="0"/>
            <w:vAlign w:val="center"/>
          </w:tcPr>
          <w:p w14:paraId="3144D92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lang w:eastAsia="zh-CN"/>
              </w:rPr>
              <w:t>数字城管或掌上城管</w:t>
            </w:r>
            <w:r>
              <w:rPr>
                <w:rFonts w:hint="eastAsia" w:ascii="仿宋" w:hAnsi="仿宋" w:eastAsia="仿宋" w:cs="仿宋"/>
                <w:color w:val="auto"/>
                <w:sz w:val="24"/>
                <w:szCs w:val="24"/>
                <w:highlight w:val="none"/>
                <w:shd w:val="clear" w:color="auto" w:fill="FFFFFE"/>
              </w:rPr>
              <w:t>网网上派遣问题</w:t>
            </w:r>
          </w:p>
        </w:tc>
        <w:tc>
          <w:tcPr>
            <w:tcW w:w="2841" w:type="dxa"/>
            <w:noWrap w:val="0"/>
            <w:vAlign w:val="center"/>
          </w:tcPr>
          <w:p w14:paraId="766ADE4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每个扣2分</w:t>
            </w:r>
          </w:p>
        </w:tc>
      </w:tr>
      <w:tr w14:paraId="4D8BA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6" w:hRule="atLeast"/>
        </w:trPr>
        <w:tc>
          <w:tcPr>
            <w:tcW w:w="1423" w:type="dxa"/>
            <w:vMerge w:val="continue"/>
            <w:noWrap w:val="0"/>
            <w:vAlign w:val="center"/>
          </w:tcPr>
          <w:p w14:paraId="6B74006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30A37EA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派遣问题整改不到位，出现超时或返工现象</w:t>
            </w:r>
          </w:p>
        </w:tc>
        <w:tc>
          <w:tcPr>
            <w:tcW w:w="2841" w:type="dxa"/>
            <w:noWrap w:val="0"/>
            <w:vAlign w:val="center"/>
          </w:tcPr>
          <w:p w14:paraId="28DCFD4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每个扣3分</w:t>
            </w:r>
          </w:p>
        </w:tc>
      </w:tr>
      <w:tr w14:paraId="63C0B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0" w:hRule="atLeast"/>
        </w:trPr>
        <w:tc>
          <w:tcPr>
            <w:tcW w:w="1423" w:type="dxa"/>
            <w:vMerge w:val="restart"/>
            <w:noWrap w:val="0"/>
            <w:vAlign w:val="center"/>
          </w:tcPr>
          <w:p w14:paraId="3DFB847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p w14:paraId="6F3EE67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p w14:paraId="1E93E606">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p w14:paraId="4CE229D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p w14:paraId="075DECEA">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p w14:paraId="4E892EC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p w14:paraId="178AC1FD">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p w14:paraId="5BBD847D">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p w14:paraId="3EDCA2E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p w14:paraId="64E71649">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p w14:paraId="4E0A1C96">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p w14:paraId="571D0CB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p w14:paraId="23B0D1A9">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p w14:paraId="6137A3D2">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p w14:paraId="22A7C56A">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卫生保洁（10分）</w:t>
            </w:r>
          </w:p>
        </w:tc>
        <w:tc>
          <w:tcPr>
            <w:tcW w:w="4992" w:type="dxa"/>
            <w:noWrap w:val="0"/>
            <w:vAlign w:val="center"/>
          </w:tcPr>
          <w:p w14:paraId="49567FA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未在8：00点之前完成一遍卫生保洁工作</w:t>
            </w:r>
          </w:p>
        </w:tc>
        <w:tc>
          <w:tcPr>
            <w:tcW w:w="2841" w:type="dxa"/>
            <w:noWrap w:val="0"/>
            <w:vAlign w:val="center"/>
          </w:tcPr>
          <w:p w14:paraId="6D55123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每发现一处扣2分</w:t>
            </w:r>
          </w:p>
        </w:tc>
      </w:tr>
      <w:tr w14:paraId="0483D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5" w:hRule="atLeast"/>
        </w:trPr>
        <w:tc>
          <w:tcPr>
            <w:tcW w:w="1423" w:type="dxa"/>
            <w:vMerge w:val="continue"/>
            <w:noWrap w:val="0"/>
            <w:vAlign w:val="center"/>
          </w:tcPr>
          <w:p w14:paraId="5556707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384712B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植物有飘挂物、缠绕性植物、有明显枯枝和吊枝等严重影响景观</w:t>
            </w:r>
          </w:p>
        </w:tc>
        <w:tc>
          <w:tcPr>
            <w:tcW w:w="2841" w:type="dxa"/>
            <w:noWrap w:val="0"/>
            <w:vAlign w:val="center"/>
          </w:tcPr>
          <w:p w14:paraId="29E839B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每发现一处扣1分</w:t>
            </w:r>
          </w:p>
        </w:tc>
      </w:tr>
      <w:tr w14:paraId="26C1A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0" w:hRule="atLeast"/>
        </w:trPr>
        <w:tc>
          <w:tcPr>
            <w:tcW w:w="1423" w:type="dxa"/>
            <w:vMerge w:val="continue"/>
            <w:noWrap w:val="0"/>
            <w:vAlign w:val="center"/>
          </w:tcPr>
          <w:p w14:paraId="7C4CFFB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79F1A86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绿地不清洁，存有垃圾、污迹、冰雪等</w:t>
            </w:r>
          </w:p>
        </w:tc>
        <w:tc>
          <w:tcPr>
            <w:tcW w:w="2841" w:type="dxa"/>
            <w:noWrap w:val="0"/>
            <w:vAlign w:val="center"/>
          </w:tcPr>
          <w:p w14:paraId="15232EF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每发现一处扣1分</w:t>
            </w:r>
          </w:p>
        </w:tc>
      </w:tr>
      <w:tr w14:paraId="6A297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643" w:hRule="atLeast"/>
        </w:trPr>
        <w:tc>
          <w:tcPr>
            <w:tcW w:w="1423" w:type="dxa"/>
            <w:vMerge w:val="continue"/>
            <w:noWrap w:val="0"/>
            <w:vAlign w:val="center"/>
          </w:tcPr>
          <w:p w14:paraId="1E09620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10561A1A">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厕所的墙壁、隔板存在无乱涂乱画现象，大小便池未冲洗干净，纸篓内垃圾未及时清理，洗手池、地面大小便池的存在积水、尿碱、污物、异味等现象。</w:t>
            </w:r>
          </w:p>
        </w:tc>
        <w:tc>
          <w:tcPr>
            <w:tcW w:w="2841" w:type="dxa"/>
            <w:noWrap w:val="0"/>
            <w:vAlign w:val="center"/>
          </w:tcPr>
          <w:p w14:paraId="7169D95F">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每发现一处扣1分</w:t>
            </w:r>
          </w:p>
        </w:tc>
      </w:tr>
      <w:tr w14:paraId="7D377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0" w:hRule="atLeast"/>
        </w:trPr>
        <w:tc>
          <w:tcPr>
            <w:tcW w:w="1423" w:type="dxa"/>
            <w:vMerge w:val="continue"/>
            <w:noWrap w:val="0"/>
            <w:vAlign w:val="center"/>
          </w:tcPr>
          <w:p w14:paraId="3F593349">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70C2E9F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垃圾未日铲日清，清运率</w:t>
            </w:r>
            <w:r>
              <w:rPr>
                <w:rFonts w:hint="eastAsia" w:ascii="仿宋" w:hAnsi="仿宋" w:eastAsia="仿宋" w:cs="仿宋"/>
                <w:color w:val="auto"/>
                <w:sz w:val="24"/>
                <w:szCs w:val="24"/>
                <w:highlight w:val="none"/>
                <w:shd w:val="clear" w:color="auto" w:fill="FFFFFE"/>
                <w:lang w:eastAsia="zh-CN"/>
              </w:rPr>
              <w:t>未</w:t>
            </w:r>
            <w:r>
              <w:rPr>
                <w:rFonts w:hint="eastAsia" w:ascii="仿宋" w:hAnsi="仿宋" w:eastAsia="仿宋" w:cs="仿宋"/>
                <w:color w:val="auto"/>
                <w:sz w:val="24"/>
                <w:szCs w:val="24"/>
                <w:highlight w:val="none"/>
                <w:shd w:val="clear" w:color="auto" w:fill="FFFFFE"/>
              </w:rPr>
              <w:t>达到100%</w:t>
            </w:r>
          </w:p>
        </w:tc>
        <w:tc>
          <w:tcPr>
            <w:tcW w:w="2841" w:type="dxa"/>
            <w:noWrap w:val="0"/>
            <w:vAlign w:val="center"/>
          </w:tcPr>
          <w:p w14:paraId="201B8E8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每发现一处扣2分</w:t>
            </w:r>
          </w:p>
        </w:tc>
      </w:tr>
      <w:tr w14:paraId="516C1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5" w:hRule="atLeast"/>
        </w:trPr>
        <w:tc>
          <w:tcPr>
            <w:tcW w:w="1423" w:type="dxa"/>
            <w:vMerge w:val="continue"/>
            <w:noWrap w:val="0"/>
            <w:vAlign w:val="center"/>
          </w:tcPr>
          <w:p w14:paraId="103846C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5D62715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体积≥0.5m³的大体量垃圾在发现后，2小</w:t>
            </w:r>
          </w:p>
          <w:p w14:paraId="5226F2D2">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时内没有清理干净。</w:t>
            </w:r>
          </w:p>
        </w:tc>
        <w:tc>
          <w:tcPr>
            <w:tcW w:w="2841" w:type="dxa"/>
            <w:noWrap w:val="0"/>
            <w:vAlign w:val="center"/>
          </w:tcPr>
          <w:p w14:paraId="6AAAFC16">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每发现一处扣1分</w:t>
            </w:r>
          </w:p>
        </w:tc>
      </w:tr>
      <w:tr w14:paraId="0C5CB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81" w:hRule="atLeast"/>
        </w:trPr>
        <w:tc>
          <w:tcPr>
            <w:tcW w:w="1423" w:type="dxa"/>
            <w:vMerge w:val="continue"/>
            <w:noWrap w:val="0"/>
            <w:vAlign w:val="center"/>
          </w:tcPr>
          <w:p w14:paraId="1C1691A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73CA1B3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景区区内所属亭、挡土墙、花坛、指示牌、垃圾箱、等未在保持干净整洁、有明显污渍、垃圾广告</w:t>
            </w:r>
          </w:p>
        </w:tc>
        <w:tc>
          <w:tcPr>
            <w:tcW w:w="2841" w:type="dxa"/>
            <w:noWrap w:val="0"/>
            <w:vAlign w:val="center"/>
          </w:tcPr>
          <w:p w14:paraId="078D4A1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每发现一处扣0.5分</w:t>
            </w:r>
          </w:p>
        </w:tc>
      </w:tr>
      <w:tr w14:paraId="20ECF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91" w:hRule="atLeast"/>
        </w:trPr>
        <w:tc>
          <w:tcPr>
            <w:tcW w:w="1423" w:type="dxa"/>
            <w:vMerge w:val="continue"/>
            <w:noWrap w:val="0"/>
            <w:vAlign w:val="center"/>
          </w:tcPr>
          <w:p w14:paraId="57C0F0F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6B20C8D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垃圾广告未在1小时内清理干净，覆盖垃圾广告的涂料颜色未与其周边颜色一致，每100㎡范围内未及时清理的垃圾广告多于1处</w:t>
            </w:r>
          </w:p>
        </w:tc>
        <w:tc>
          <w:tcPr>
            <w:tcW w:w="2841" w:type="dxa"/>
            <w:noWrap w:val="0"/>
            <w:vAlign w:val="center"/>
          </w:tcPr>
          <w:p w14:paraId="5F95DAC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每发现一处扣1分</w:t>
            </w:r>
          </w:p>
        </w:tc>
      </w:tr>
      <w:tr w14:paraId="3ED8C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2" w:hRule="atLeast"/>
        </w:trPr>
        <w:tc>
          <w:tcPr>
            <w:tcW w:w="1423" w:type="dxa"/>
            <w:vMerge w:val="continue"/>
            <w:noWrap w:val="0"/>
            <w:vAlign w:val="center"/>
          </w:tcPr>
          <w:p w14:paraId="4CFC7CCA">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2F15F8A9">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出现焚烧垃圾的现象</w:t>
            </w:r>
          </w:p>
        </w:tc>
        <w:tc>
          <w:tcPr>
            <w:tcW w:w="2841" w:type="dxa"/>
            <w:noWrap w:val="0"/>
            <w:vAlign w:val="center"/>
          </w:tcPr>
          <w:p w14:paraId="239877AC">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每发现一处扣3分</w:t>
            </w:r>
          </w:p>
        </w:tc>
      </w:tr>
      <w:tr w14:paraId="28147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82" w:hRule="atLeast"/>
        </w:trPr>
        <w:tc>
          <w:tcPr>
            <w:tcW w:w="1423" w:type="dxa"/>
            <w:vMerge w:val="restart"/>
            <w:noWrap w:val="0"/>
            <w:vAlign w:val="center"/>
          </w:tcPr>
          <w:p w14:paraId="5C3E065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植物景观（5分）</w:t>
            </w:r>
          </w:p>
        </w:tc>
        <w:tc>
          <w:tcPr>
            <w:tcW w:w="4992" w:type="dxa"/>
            <w:noWrap w:val="0"/>
            <w:vAlign w:val="center"/>
          </w:tcPr>
          <w:p w14:paraId="53D47DB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绿地内乔灌木、绿篱及地被未及时冲洗，叶片有厚重粉尘、污物覆盖；绿地内有杂草，地被纯度未达到95%</w:t>
            </w:r>
          </w:p>
        </w:tc>
        <w:tc>
          <w:tcPr>
            <w:tcW w:w="2841" w:type="dxa"/>
            <w:noWrap w:val="0"/>
            <w:vAlign w:val="center"/>
          </w:tcPr>
          <w:p w14:paraId="0A208F0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每发现一处扣1分</w:t>
            </w:r>
          </w:p>
        </w:tc>
      </w:tr>
      <w:tr w14:paraId="28DD0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60" w:hRule="atLeast"/>
        </w:trPr>
        <w:tc>
          <w:tcPr>
            <w:tcW w:w="1423" w:type="dxa"/>
            <w:vMerge w:val="continue"/>
            <w:noWrap w:val="0"/>
            <w:vAlign w:val="center"/>
          </w:tcPr>
          <w:p w14:paraId="599BE21A">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6F8D8D4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乔木树冠不完整，偏冠、无树冠，分枝点不合适，主体侧枝分布不均匀，树形较差，有明显病虫害</w:t>
            </w:r>
          </w:p>
        </w:tc>
        <w:tc>
          <w:tcPr>
            <w:tcW w:w="2841" w:type="dxa"/>
            <w:noWrap w:val="0"/>
            <w:vAlign w:val="center"/>
          </w:tcPr>
          <w:p w14:paraId="6E7D487A">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每发现一处扣1分</w:t>
            </w:r>
          </w:p>
        </w:tc>
      </w:tr>
      <w:tr w14:paraId="66F78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5" w:hRule="atLeast"/>
        </w:trPr>
        <w:tc>
          <w:tcPr>
            <w:tcW w:w="1423" w:type="dxa"/>
            <w:vMerge w:val="continue"/>
            <w:noWrap w:val="0"/>
            <w:vAlign w:val="center"/>
          </w:tcPr>
          <w:p w14:paraId="14EFE6DA">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0B28A602">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灌木内膛杂乱，通风透光较差，树形不美观，影响景观效果</w:t>
            </w:r>
          </w:p>
        </w:tc>
        <w:tc>
          <w:tcPr>
            <w:tcW w:w="2841" w:type="dxa"/>
            <w:noWrap w:val="0"/>
            <w:vAlign w:val="center"/>
          </w:tcPr>
          <w:p w14:paraId="1EFC6292">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每发现一处扣1分</w:t>
            </w:r>
          </w:p>
        </w:tc>
      </w:tr>
      <w:tr w14:paraId="0009C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78" w:hRule="atLeast"/>
        </w:trPr>
        <w:tc>
          <w:tcPr>
            <w:tcW w:w="1423" w:type="dxa"/>
            <w:vMerge w:val="continue"/>
            <w:noWrap w:val="0"/>
            <w:vAlign w:val="center"/>
          </w:tcPr>
          <w:p w14:paraId="615AB75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2F24B4F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绿篱色块图形杂乱，层次不清，有死株缺株现象，有明显病虫害，未及时松土，影响景观效果</w:t>
            </w:r>
          </w:p>
        </w:tc>
        <w:tc>
          <w:tcPr>
            <w:tcW w:w="2841" w:type="dxa"/>
            <w:noWrap w:val="0"/>
            <w:vAlign w:val="center"/>
          </w:tcPr>
          <w:p w14:paraId="52BD236D">
            <w:pPr>
              <w:keepNext w:val="0"/>
              <w:keepLines w:val="0"/>
              <w:pageBreakBefore w:val="0"/>
              <w:suppressLineNumbers w:val="0"/>
              <w:kinsoku w:val="0"/>
              <w:wordWrap/>
              <w:overflowPunct/>
              <w:topLinePunct w:val="0"/>
              <w:autoSpaceDE w:val="0"/>
              <w:autoSpaceDN w:val="0"/>
              <w:bidi w:val="0"/>
              <w:adjustRightInd w:val="0"/>
              <w:snapToGrid w:val="0"/>
              <w:spacing w:before="88" w:beforeAutospacing="0" w:after="0" w:afterAutospacing="0" w:line="460" w:lineRule="exact"/>
              <w:ind w:left="141" w:leftChars="67" w:right="172" w:rightChars="82" w:firstLine="347"/>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每发现一处扣1分</w:t>
            </w:r>
          </w:p>
        </w:tc>
      </w:tr>
      <w:tr w14:paraId="34152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81" w:hRule="atLeast"/>
        </w:trPr>
        <w:tc>
          <w:tcPr>
            <w:tcW w:w="1423" w:type="dxa"/>
            <w:vMerge w:val="continue"/>
            <w:noWrap w:val="0"/>
            <w:vAlign w:val="center"/>
          </w:tcPr>
          <w:p w14:paraId="3A1C07C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4902C10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草坪及地被生长势弱，生长季节枯黄有杂草，有明显大于0.5㎡的集中秃斑，修剪不规范整齐，有明显病虫害</w:t>
            </w:r>
          </w:p>
        </w:tc>
        <w:tc>
          <w:tcPr>
            <w:tcW w:w="2841" w:type="dxa"/>
            <w:noWrap w:val="0"/>
            <w:vAlign w:val="center"/>
          </w:tcPr>
          <w:p w14:paraId="78B5F8DD">
            <w:pPr>
              <w:keepNext w:val="0"/>
              <w:keepLines w:val="0"/>
              <w:pageBreakBefore w:val="0"/>
              <w:suppressLineNumbers w:val="0"/>
              <w:kinsoku w:val="0"/>
              <w:wordWrap/>
              <w:overflowPunct/>
              <w:topLinePunct w:val="0"/>
              <w:autoSpaceDE w:val="0"/>
              <w:autoSpaceDN w:val="0"/>
              <w:bidi w:val="0"/>
              <w:adjustRightInd w:val="0"/>
              <w:snapToGrid w:val="0"/>
              <w:spacing w:before="88" w:beforeAutospacing="0" w:after="0" w:afterAutospacing="0" w:line="460" w:lineRule="exact"/>
              <w:ind w:left="141" w:leftChars="67" w:right="172" w:rightChars="82" w:firstLine="347"/>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每发现一处扣1分</w:t>
            </w:r>
          </w:p>
        </w:tc>
      </w:tr>
      <w:tr w14:paraId="69D10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2" w:hRule="atLeast"/>
        </w:trPr>
        <w:tc>
          <w:tcPr>
            <w:tcW w:w="1423" w:type="dxa"/>
            <w:vMerge w:val="continue"/>
            <w:noWrap w:val="0"/>
            <w:vAlign w:val="center"/>
          </w:tcPr>
          <w:p w14:paraId="166FD82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5A9A41E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植物歪斜超过20度</w:t>
            </w:r>
          </w:p>
        </w:tc>
        <w:tc>
          <w:tcPr>
            <w:tcW w:w="2841" w:type="dxa"/>
            <w:noWrap w:val="0"/>
            <w:vAlign w:val="center"/>
          </w:tcPr>
          <w:p w14:paraId="5A0BBC3C">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每5株扣1分</w:t>
            </w:r>
          </w:p>
        </w:tc>
      </w:tr>
      <w:tr w14:paraId="0A0F5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78" w:hRule="atLeast"/>
        </w:trPr>
        <w:tc>
          <w:tcPr>
            <w:tcW w:w="1423" w:type="dxa"/>
            <w:vMerge w:val="restart"/>
            <w:noWrap w:val="0"/>
            <w:vAlign w:val="center"/>
          </w:tcPr>
          <w:p w14:paraId="51BB2F7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整形修剪（5分）</w:t>
            </w:r>
          </w:p>
        </w:tc>
        <w:tc>
          <w:tcPr>
            <w:tcW w:w="4992" w:type="dxa"/>
            <w:noWrap w:val="0"/>
            <w:vAlign w:val="center"/>
          </w:tcPr>
          <w:p w14:paraId="03192FDA">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乔木不按其生长规律及技术规范修剪、未及时去除明显枯枝、吊枝，未清理内膛，枝条杂乱，未及时清理分枝点以下萌芽</w:t>
            </w:r>
          </w:p>
        </w:tc>
        <w:tc>
          <w:tcPr>
            <w:tcW w:w="2841" w:type="dxa"/>
            <w:noWrap w:val="0"/>
            <w:vAlign w:val="center"/>
          </w:tcPr>
          <w:p w14:paraId="0749994A">
            <w:pPr>
              <w:keepNext w:val="0"/>
              <w:keepLines w:val="0"/>
              <w:pageBreakBefore w:val="0"/>
              <w:suppressLineNumbers w:val="0"/>
              <w:kinsoku w:val="0"/>
              <w:wordWrap/>
              <w:overflowPunct/>
              <w:topLinePunct w:val="0"/>
              <w:autoSpaceDE w:val="0"/>
              <w:autoSpaceDN w:val="0"/>
              <w:bidi w:val="0"/>
              <w:adjustRightInd w:val="0"/>
              <w:snapToGrid w:val="0"/>
              <w:spacing w:before="88" w:beforeAutospacing="0" w:after="0" w:afterAutospacing="0" w:line="460" w:lineRule="exact"/>
              <w:ind w:left="141" w:leftChars="67" w:right="172" w:rightChars="82" w:firstLine="619"/>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每5株扣1分</w:t>
            </w:r>
          </w:p>
        </w:tc>
      </w:tr>
      <w:tr w14:paraId="15F0A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6" w:hRule="atLeast"/>
        </w:trPr>
        <w:tc>
          <w:tcPr>
            <w:tcW w:w="1423" w:type="dxa"/>
            <w:vMerge w:val="continue"/>
            <w:noWrap w:val="0"/>
            <w:vAlign w:val="center"/>
          </w:tcPr>
          <w:p w14:paraId="09EB592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0D7F099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灌木未按植物生长特性修剪，未根据树种规定整形修剪，新梢未控制在5cm以内</w:t>
            </w:r>
          </w:p>
        </w:tc>
        <w:tc>
          <w:tcPr>
            <w:tcW w:w="2841" w:type="dxa"/>
            <w:noWrap w:val="0"/>
            <w:vAlign w:val="center"/>
          </w:tcPr>
          <w:p w14:paraId="3FA35F7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每5株扣1分</w:t>
            </w:r>
          </w:p>
        </w:tc>
      </w:tr>
      <w:tr w14:paraId="644E5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21" w:hRule="atLeast"/>
        </w:trPr>
        <w:tc>
          <w:tcPr>
            <w:tcW w:w="1423" w:type="dxa"/>
            <w:vMerge w:val="continue"/>
            <w:noWrap w:val="0"/>
            <w:vAlign w:val="center"/>
          </w:tcPr>
          <w:p w14:paraId="2CB9F9BF">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6A74FD2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绿篱未按造型要求进行修剪；修剪过轻、过重、出现大于0.5㎡的集中秃斑，严重超过绿篱高度未及时修剪，与原高度不一致</w:t>
            </w:r>
          </w:p>
        </w:tc>
        <w:tc>
          <w:tcPr>
            <w:tcW w:w="2841" w:type="dxa"/>
            <w:noWrap w:val="0"/>
            <w:vAlign w:val="center"/>
          </w:tcPr>
          <w:p w14:paraId="7C6546D5">
            <w:pPr>
              <w:keepNext w:val="0"/>
              <w:keepLines w:val="0"/>
              <w:pageBreakBefore w:val="0"/>
              <w:suppressLineNumbers w:val="0"/>
              <w:kinsoku w:val="0"/>
              <w:wordWrap/>
              <w:overflowPunct/>
              <w:topLinePunct w:val="0"/>
              <w:autoSpaceDE w:val="0"/>
              <w:autoSpaceDN w:val="0"/>
              <w:bidi w:val="0"/>
              <w:adjustRightInd w:val="0"/>
              <w:snapToGrid w:val="0"/>
              <w:spacing w:before="88" w:beforeAutospacing="0" w:after="0" w:afterAutospacing="0" w:line="460" w:lineRule="exact"/>
              <w:ind w:left="141" w:leftChars="67" w:right="172" w:rightChars="82" w:firstLine="551"/>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每10㎡扣1分</w:t>
            </w:r>
          </w:p>
        </w:tc>
      </w:tr>
      <w:tr w14:paraId="4CEE5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35" w:hRule="atLeast"/>
        </w:trPr>
        <w:tc>
          <w:tcPr>
            <w:tcW w:w="1423" w:type="dxa"/>
            <w:vMerge w:val="continue"/>
            <w:noWrap w:val="0"/>
            <w:vAlign w:val="center"/>
          </w:tcPr>
          <w:p w14:paraId="4FE7722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372128C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草坪未按规定及时修剪，高度超过6cm以上，修剪高度不一致，有遗漏，草坪边缘线不清晰，出现大于0.5㎡的集中裸露黄土</w:t>
            </w:r>
          </w:p>
        </w:tc>
        <w:tc>
          <w:tcPr>
            <w:tcW w:w="2841" w:type="dxa"/>
            <w:noWrap w:val="0"/>
            <w:vAlign w:val="center"/>
          </w:tcPr>
          <w:p w14:paraId="70DFB61C">
            <w:pPr>
              <w:keepNext w:val="0"/>
              <w:keepLines w:val="0"/>
              <w:pageBreakBefore w:val="0"/>
              <w:suppressLineNumbers w:val="0"/>
              <w:kinsoku w:val="0"/>
              <w:wordWrap/>
              <w:overflowPunct/>
              <w:topLinePunct w:val="0"/>
              <w:autoSpaceDE w:val="0"/>
              <w:autoSpaceDN w:val="0"/>
              <w:bidi w:val="0"/>
              <w:adjustRightInd w:val="0"/>
              <w:snapToGrid w:val="0"/>
              <w:spacing w:before="88" w:beforeAutospacing="0" w:after="0" w:afterAutospacing="0" w:line="460" w:lineRule="exact"/>
              <w:ind w:left="141" w:leftChars="67" w:right="172" w:rightChars="82" w:firstLine="551"/>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每10㎡扣1分</w:t>
            </w:r>
          </w:p>
        </w:tc>
      </w:tr>
      <w:tr w14:paraId="64DD8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86" w:hRule="atLeast"/>
        </w:trPr>
        <w:tc>
          <w:tcPr>
            <w:tcW w:w="1423" w:type="dxa"/>
            <w:vMerge w:val="restart"/>
            <w:noWrap w:val="0"/>
            <w:vAlign w:val="center"/>
          </w:tcPr>
          <w:p w14:paraId="36727F4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中耕除草（</w:t>
            </w:r>
            <w:r>
              <w:rPr>
                <w:rFonts w:hint="eastAsia" w:ascii="仿宋" w:hAnsi="仿宋" w:eastAsia="仿宋" w:cs="仿宋"/>
                <w:color w:val="auto"/>
                <w:sz w:val="24"/>
                <w:szCs w:val="24"/>
                <w:highlight w:val="none"/>
                <w:shd w:val="clear" w:color="auto" w:fill="FFFFFE"/>
                <w:lang w:val="en-US" w:eastAsia="zh-CN"/>
              </w:rPr>
              <w:t>10</w:t>
            </w:r>
            <w:r>
              <w:rPr>
                <w:rFonts w:hint="eastAsia" w:ascii="仿宋" w:hAnsi="仿宋" w:eastAsia="仿宋" w:cs="仿宋"/>
                <w:color w:val="auto"/>
                <w:sz w:val="24"/>
                <w:szCs w:val="24"/>
                <w:highlight w:val="none"/>
                <w:shd w:val="clear" w:color="auto" w:fill="FFFFFE"/>
              </w:rPr>
              <w:t>分）</w:t>
            </w:r>
          </w:p>
          <w:p w14:paraId="1E89EB0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574E2C8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绿地内的乔灌木未及时松土除草，未保持土壤疏松，绿地内土壤板结、积水，杂草、杂物明显</w:t>
            </w:r>
          </w:p>
        </w:tc>
        <w:tc>
          <w:tcPr>
            <w:tcW w:w="2841" w:type="dxa"/>
            <w:noWrap w:val="0"/>
            <w:vAlign w:val="center"/>
          </w:tcPr>
          <w:p w14:paraId="0474CD4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每10㎡扣</w:t>
            </w:r>
            <w:r>
              <w:rPr>
                <w:rFonts w:hint="eastAsia" w:ascii="仿宋" w:hAnsi="仿宋" w:eastAsia="仿宋" w:cs="仿宋"/>
                <w:color w:val="auto"/>
                <w:sz w:val="24"/>
                <w:szCs w:val="24"/>
                <w:highlight w:val="none"/>
                <w:shd w:val="clear" w:color="auto" w:fill="FFFFFE"/>
                <w:lang w:val="en-US" w:eastAsia="zh-CN"/>
              </w:rPr>
              <w:t>2</w:t>
            </w:r>
            <w:r>
              <w:rPr>
                <w:rFonts w:hint="eastAsia" w:ascii="仿宋" w:hAnsi="仿宋" w:eastAsia="仿宋" w:cs="仿宋"/>
                <w:color w:val="auto"/>
                <w:sz w:val="24"/>
                <w:szCs w:val="24"/>
                <w:highlight w:val="none"/>
                <w:shd w:val="clear" w:color="auto" w:fill="FFFFFE"/>
              </w:rPr>
              <w:t>分</w:t>
            </w:r>
          </w:p>
        </w:tc>
      </w:tr>
      <w:tr w14:paraId="6424B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6" w:hRule="atLeast"/>
        </w:trPr>
        <w:tc>
          <w:tcPr>
            <w:tcW w:w="1423" w:type="dxa"/>
            <w:vMerge w:val="continue"/>
            <w:noWrap w:val="0"/>
            <w:vAlign w:val="center"/>
          </w:tcPr>
          <w:p w14:paraId="1F34BA6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2E10C7C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松土时造成根系裸露或措施不规范</w:t>
            </w:r>
          </w:p>
        </w:tc>
        <w:tc>
          <w:tcPr>
            <w:tcW w:w="2841" w:type="dxa"/>
            <w:noWrap w:val="0"/>
            <w:vAlign w:val="center"/>
          </w:tcPr>
          <w:p w14:paraId="4D5A169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lang w:val="en-US" w:eastAsia="zh-CN"/>
              </w:rPr>
            </w:pPr>
            <w:r>
              <w:rPr>
                <w:rFonts w:hint="eastAsia" w:ascii="仿宋" w:hAnsi="仿宋" w:eastAsia="仿宋" w:cs="仿宋"/>
                <w:color w:val="auto"/>
                <w:sz w:val="24"/>
                <w:szCs w:val="24"/>
                <w:highlight w:val="none"/>
                <w:shd w:val="clear" w:color="auto" w:fill="FFFFFE"/>
                <w:lang w:eastAsia="zh-CN"/>
              </w:rPr>
              <w:t>灌木、色块、绿篱等每</w:t>
            </w:r>
            <w:r>
              <w:rPr>
                <w:rFonts w:hint="eastAsia" w:ascii="仿宋" w:hAnsi="仿宋" w:eastAsia="仿宋" w:cs="仿宋"/>
                <w:color w:val="auto"/>
                <w:sz w:val="24"/>
                <w:szCs w:val="24"/>
                <w:highlight w:val="none"/>
                <w:shd w:val="clear" w:color="auto" w:fill="FFFFFE"/>
                <w:lang w:val="en-US" w:eastAsia="zh-CN"/>
              </w:rPr>
              <w:t>10株</w:t>
            </w:r>
            <w:r>
              <w:rPr>
                <w:rFonts w:hint="eastAsia" w:ascii="仿宋" w:hAnsi="仿宋" w:eastAsia="仿宋" w:cs="仿宋"/>
                <w:color w:val="auto"/>
                <w:sz w:val="24"/>
                <w:szCs w:val="24"/>
                <w:highlight w:val="none"/>
                <w:shd w:val="clear" w:color="auto" w:fill="FFFFFE"/>
              </w:rPr>
              <w:t>扣</w:t>
            </w:r>
            <w:r>
              <w:rPr>
                <w:rFonts w:hint="eastAsia" w:ascii="仿宋" w:hAnsi="仿宋" w:eastAsia="仿宋" w:cs="仿宋"/>
                <w:color w:val="auto"/>
                <w:sz w:val="24"/>
                <w:szCs w:val="24"/>
                <w:highlight w:val="none"/>
                <w:shd w:val="clear" w:color="auto" w:fill="FFFFFE"/>
                <w:lang w:val="en-US" w:eastAsia="zh-CN"/>
              </w:rPr>
              <w:t>1</w:t>
            </w:r>
            <w:r>
              <w:rPr>
                <w:rFonts w:hint="eastAsia" w:ascii="仿宋" w:hAnsi="仿宋" w:eastAsia="仿宋" w:cs="仿宋"/>
                <w:color w:val="auto"/>
                <w:sz w:val="24"/>
                <w:szCs w:val="24"/>
                <w:highlight w:val="none"/>
                <w:shd w:val="clear" w:color="auto" w:fill="FFFFFE"/>
              </w:rPr>
              <w:t>分</w:t>
            </w:r>
            <w:r>
              <w:rPr>
                <w:rFonts w:hint="eastAsia" w:ascii="仿宋" w:hAnsi="仿宋" w:eastAsia="仿宋" w:cs="仿宋"/>
                <w:color w:val="auto"/>
                <w:sz w:val="24"/>
                <w:szCs w:val="24"/>
                <w:highlight w:val="none"/>
                <w:shd w:val="clear" w:color="auto" w:fill="FFFFFE"/>
                <w:lang w:eastAsia="zh-CN"/>
              </w:rPr>
              <w:t>，乔木每株扣</w:t>
            </w:r>
            <w:r>
              <w:rPr>
                <w:rFonts w:hint="eastAsia" w:ascii="仿宋" w:hAnsi="仿宋" w:eastAsia="仿宋" w:cs="仿宋"/>
                <w:color w:val="auto"/>
                <w:sz w:val="24"/>
                <w:szCs w:val="24"/>
                <w:highlight w:val="none"/>
                <w:shd w:val="clear" w:color="auto" w:fill="FFFFFE"/>
                <w:lang w:val="en-US" w:eastAsia="zh-CN"/>
              </w:rPr>
              <w:t>1分</w:t>
            </w:r>
          </w:p>
        </w:tc>
      </w:tr>
      <w:tr w14:paraId="592D7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6" w:hRule="atLeast"/>
        </w:trPr>
        <w:tc>
          <w:tcPr>
            <w:tcW w:w="1423" w:type="dxa"/>
            <w:vMerge w:val="continue"/>
            <w:noWrap w:val="0"/>
            <w:vAlign w:val="center"/>
          </w:tcPr>
          <w:p w14:paraId="0E0934CF">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6D2A8C49">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乔木未按照树兜下80×80cm,锄草松土深10cm.堆土15cm要求做树围</w:t>
            </w:r>
          </w:p>
        </w:tc>
        <w:tc>
          <w:tcPr>
            <w:tcW w:w="2841" w:type="dxa"/>
            <w:noWrap w:val="0"/>
            <w:vAlign w:val="center"/>
          </w:tcPr>
          <w:p w14:paraId="55DA2269">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每5株扣</w:t>
            </w:r>
            <w:r>
              <w:rPr>
                <w:rFonts w:hint="eastAsia" w:ascii="仿宋" w:hAnsi="仿宋" w:eastAsia="仿宋" w:cs="仿宋"/>
                <w:color w:val="auto"/>
                <w:sz w:val="24"/>
                <w:szCs w:val="24"/>
                <w:highlight w:val="none"/>
                <w:shd w:val="clear" w:color="auto" w:fill="FFFFFE"/>
                <w:lang w:val="en-US" w:eastAsia="zh-CN"/>
              </w:rPr>
              <w:t>2</w:t>
            </w:r>
            <w:r>
              <w:rPr>
                <w:rFonts w:hint="eastAsia" w:ascii="仿宋" w:hAnsi="仿宋" w:eastAsia="仿宋" w:cs="仿宋"/>
                <w:color w:val="auto"/>
                <w:sz w:val="24"/>
                <w:szCs w:val="24"/>
                <w:highlight w:val="none"/>
                <w:shd w:val="clear" w:color="auto" w:fill="FFFFFE"/>
              </w:rPr>
              <w:t>分</w:t>
            </w:r>
          </w:p>
        </w:tc>
      </w:tr>
      <w:tr w14:paraId="1B6EC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6" w:hRule="atLeast"/>
        </w:trPr>
        <w:tc>
          <w:tcPr>
            <w:tcW w:w="1423" w:type="dxa"/>
            <w:vMerge w:val="continue"/>
            <w:noWrap w:val="0"/>
            <w:vAlign w:val="center"/>
          </w:tcPr>
          <w:p w14:paraId="00EEFC6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1C52BC6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草坪和地被植物杂草量超过5%，有明显高于草坪和地被植物的杂草</w:t>
            </w:r>
          </w:p>
        </w:tc>
        <w:tc>
          <w:tcPr>
            <w:tcW w:w="2841" w:type="dxa"/>
            <w:noWrap w:val="0"/>
            <w:vAlign w:val="center"/>
          </w:tcPr>
          <w:p w14:paraId="0DAABA8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每10㎡扣</w:t>
            </w:r>
            <w:r>
              <w:rPr>
                <w:rFonts w:hint="eastAsia" w:ascii="仿宋" w:hAnsi="仿宋" w:eastAsia="仿宋" w:cs="仿宋"/>
                <w:color w:val="auto"/>
                <w:sz w:val="24"/>
                <w:szCs w:val="24"/>
                <w:highlight w:val="none"/>
                <w:shd w:val="clear" w:color="auto" w:fill="FFFFFE"/>
                <w:lang w:val="en-US" w:eastAsia="zh-CN"/>
              </w:rPr>
              <w:t>2</w:t>
            </w:r>
            <w:r>
              <w:rPr>
                <w:rFonts w:hint="eastAsia" w:ascii="仿宋" w:hAnsi="仿宋" w:eastAsia="仿宋" w:cs="仿宋"/>
                <w:color w:val="auto"/>
                <w:sz w:val="24"/>
                <w:szCs w:val="24"/>
                <w:highlight w:val="none"/>
                <w:shd w:val="clear" w:color="auto" w:fill="FFFFFE"/>
              </w:rPr>
              <w:t>分</w:t>
            </w:r>
          </w:p>
        </w:tc>
      </w:tr>
      <w:tr w14:paraId="2CA13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81" w:hRule="atLeast"/>
        </w:trPr>
        <w:tc>
          <w:tcPr>
            <w:tcW w:w="1423" w:type="dxa"/>
            <w:vMerge w:val="continue"/>
            <w:noWrap w:val="0"/>
            <w:vAlign w:val="center"/>
          </w:tcPr>
          <w:p w14:paraId="34316C1D">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3693166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树围出现跑水、漏水，无铺装地块树围未满足乔木树干胸径×10，有铺装地块未以预留池为准</w:t>
            </w:r>
          </w:p>
        </w:tc>
        <w:tc>
          <w:tcPr>
            <w:tcW w:w="2841" w:type="dxa"/>
            <w:noWrap w:val="0"/>
            <w:vAlign w:val="center"/>
          </w:tcPr>
          <w:p w14:paraId="6AA32214">
            <w:pPr>
              <w:keepNext w:val="0"/>
              <w:keepLines w:val="0"/>
              <w:pageBreakBefore w:val="0"/>
              <w:suppressLineNumbers w:val="0"/>
              <w:kinsoku w:val="0"/>
              <w:wordWrap/>
              <w:overflowPunct/>
              <w:topLinePunct w:val="0"/>
              <w:autoSpaceDE w:val="0"/>
              <w:autoSpaceDN w:val="0"/>
              <w:bidi w:val="0"/>
              <w:adjustRightInd w:val="0"/>
              <w:snapToGrid w:val="0"/>
              <w:spacing w:before="87" w:beforeAutospacing="0" w:after="0" w:afterAutospacing="0" w:line="460" w:lineRule="exact"/>
              <w:ind w:left="0"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每5株扣</w:t>
            </w:r>
            <w:r>
              <w:rPr>
                <w:rFonts w:hint="eastAsia" w:ascii="仿宋" w:hAnsi="仿宋" w:eastAsia="仿宋" w:cs="仿宋"/>
                <w:color w:val="auto"/>
                <w:sz w:val="24"/>
                <w:szCs w:val="24"/>
                <w:highlight w:val="none"/>
                <w:shd w:val="clear" w:color="auto" w:fill="FFFFFE"/>
                <w:lang w:val="en-US" w:eastAsia="zh-CN"/>
              </w:rPr>
              <w:t>2</w:t>
            </w:r>
            <w:r>
              <w:rPr>
                <w:rFonts w:hint="eastAsia" w:ascii="仿宋" w:hAnsi="仿宋" w:eastAsia="仿宋" w:cs="仿宋"/>
                <w:color w:val="auto"/>
                <w:sz w:val="24"/>
                <w:szCs w:val="24"/>
                <w:highlight w:val="none"/>
                <w:shd w:val="clear" w:color="auto" w:fill="FFFFFE"/>
              </w:rPr>
              <w:t>分</w:t>
            </w:r>
          </w:p>
        </w:tc>
      </w:tr>
      <w:tr w14:paraId="68152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6" w:hRule="atLeast"/>
        </w:trPr>
        <w:tc>
          <w:tcPr>
            <w:tcW w:w="1423" w:type="dxa"/>
            <w:vMerge w:val="restart"/>
            <w:noWrap w:val="0"/>
            <w:vAlign w:val="center"/>
          </w:tcPr>
          <w:p w14:paraId="3803D09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病虫防治（5分）</w:t>
            </w:r>
          </w:p>
        </w:tc>
        <w:tc>
          <w:tcPr>
            <w:tcW w:w="4992" w:type="dxa"/>
            <w:noWrap w:val="0"/>
            <w:vAlign w:val="center"/>
          </w:tcPr>
          <w:p w14:paraId="1548796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乔灌木枝叶有病虫及恶性、缠绕性杂草，受害率在5%以上，树干受害率在5%以上</w:t>
            </w:r>
          </w:p>
        </w:tc>
        <w:tc>
          <w:tcPr>
            <w:tcW w:w="2841" w:type="dxa"/>
            <w:noWrap w:val="0"/>
            <w:vAlign w:val="center"/>
          </w:tcPr>
          <w:p w14:paraId="2F9C7D9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每5株扣1分</w:t>
            </w:r>
          </w:p>
        </w:tc>
      </w:tr>
      <w:tr w14:paraId="326F6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3" w:hRule="atLeast"/>
        </w:trPr>
        <w:tc>
          <w:tcPr>
            <w:tcW w:w="1423" w:type="dxa"/>
            <w:vMerge w:val="continue"/>
            <w:noWrap w:val="0"/>
            <w:vAlign w:val="center"/>
          </w:tcPr>
          <w:p w14:paraId="0663F9C2">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1CB2FA5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地被受害率在5%以上，草坪、草花受害率在5%以上</w:t>
            </w:r>
          </w:p>
        </w:tc>
        <w:tc>
          <w:tcPr>
            <w:tcW w:w="2841" w:type="dxa"/>
            <w:noWrap w:val="0"/>
            <w:vAlign w:val="center"/>
          </w:tcPr>
          <w:p w14:paraId="2935DF7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每10㎡扣1分</w:t>
            </w:r>
          </w:p>
        </w:tc>
      </w:tr>
      <w:tr w14:paraId="42776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5" w:hRule="atLeast"/>
        </w:trPr>
        <w:tc>
          <w:tcPr>
            <w:tcW w:w="1423" w:type="dxa"/>
            <w:vMerge w:val="continue"/>
            <w:noWrap w:val="0"/>
            <w:vAlign w:val="center"/>
          </w:tcPr>
          <w:p w14:paraId="03955D1D">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4C0FDA8C">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竹叶受害率在5%以上，树梢、竹竿受害率在5%以上</w:t>
            </w:r>
          </w:p>
        </w:tc>
        <w:tc>
          <w:tcPr>
            <w:tcW w:w="2841" w:type="dxa"/>
            <w:noWrap w:val="0"/>
            <w:vAlign w:val="center"/>
          </w:tcPr>
          <w:p w14:paraId="326F40B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每10㎡扣1分</w:t>
            </w:r>
          </w:p>
        </w:tc>
      </w:tr>
      <w:tr w14:paraId="26136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0" w:hRule="atLeast"/>
        </w:trPr>
        <w:tc>
          <w:tcPr>
            <w:tcW w:w="1423" w:type="dxa"/>
            <w:vMerge w:val="continue"/>
            <w:noWrap w:val="0"/>
            <w:vAlign w:val="center"/>
          </w:tcPr>
          <w:p w14:paraId="33D30AD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7DB4A1EC">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发生大面积病虫害未及时处理</w:t>
            </w:r>
          </w:p>
        </w:tc>
        <w:tc>
          <w:tcPr>
            <w:tcW w:w="2841" w:type="dxa"/>
            <w:noWrap w:val="0"/>
            <w:vAlign w:val="center"/>
          </w:tcPr>
          <w:p w14:paraId="31ED84ED">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每发现一处扣1分</w:t>
            </w:r>
          </w:p>
        </w:tc>
      </w:tr>
      <w:tr w14:paraId="26B8E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0" w:hRule="atLeast"/>
        </w:trPr>
        <w:tc>
          <w:tcPr>
            <w:tcW w:w="1423" w:type="dxa"/>
            <w:vMerge w:val="continue"/>
            <w:noWrap w:val="0"/>
            <w:vAlign w:val="center"/>
          </w:tcPr>
          <w:p w14:paraId="7D2B03E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469BCDA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用药配比失误，操作不当</w:t>
            </w:r>
          </w:p>
        </w:tc>
        <w:tc>
          <w:tcPr>
            <w:tcW w:w="2841" w:type="dxa"/>
            <w:noWrap w:val="0"/>
            <w:vAlign w:val="center"/>
          </w:tcPr>
          <w:p w14:paraId="35E6CCD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每发现一处扣2分</w:t>
            </w:r>
          </w:p>
        </w:tc>
      </w:tr>
      <w:tr w14:paraId="7B5C0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0" w:hRule="atLeast"/>
        </w:trPr>
        <w:tc>
          <w:tcPr>
            <w:tcW w:w="1423" w:type="dxa"/>
            <w:vMerge w:val="restart"/>
            <w:noWrap w:val="0"/>
            <w:vAlign w:val="center"/>
          </w:tcPr>
          <w:p w14:paraId="7E73577F">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施肥管理（5分）</w:t>
            </w:r>
          </w:p>
        </w:tc>
        <w:tc>
          <w:tcPr>
            <w:tcW w:w="4992" w:type="dxa"/>
            <w:noWrap w:val="0"/>
            <w:vAlign w:val="center"/>
          </w:tcPr>
          <w:p w14:paraId="1180778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lang w:val="en-US" w:eastAsia="zh-CN"/>
              </w:rPr>
            </w:pPr>
            <w:r>
              <w:rPr>
                <w:rFonts w:hint="eastAsia" w:ascii="仿宋" w:hAnsi="仿宋" w:eastAsia="仿宋" w:cs="仿宋"/>
                <w:color w:val="auto"/>
                <w:sz w:val="24"/>
                <w:szCs w:val="24"/>
                <w:highlight w:val="none"/>
                <w:shd w:val="clear" w:color="auto" w:fill="FFFFFE"/>
                <w:lang w:val="en-US" w:eastAsia="zh-CN"/>
              </w:rPr>
              <w:t>乔木土面露肥或因缺肥导致生长不良</w:t>
            </w:r>
          </w:p>
        </w:tc>
        <w:tc>
          <w:tcPr>
            <w:tcW w:w="2841" w:type="dxa"/>
            <w:noWrap w:val="0"/>
            <w:vAlign w:val="center"/>
          </w:tcPr>
          <w:p w14:paraId="7F1ABF4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w:t>
            </w:r>
            <w:r>
              <w:rPr>
                <w:rFonts w:hint="eastAsia" w:ascii="仿宋" w:hAnsi="仿宋" w:eastAsia="仿宋" w:cs="仿宋"/>
                <w:color w:val="auto"/>
                <w:sz w:val="24"/>
                <w:szCs w:val="24"/>
                <w:highlight w:val="none"/>
                <w:shd w:val="clear" w:color="auto" w:fill="FFFFFE"/>
                <w:lang w:val="en-US" w:eastAsia="zh-CN"/>
              </w:rPr>
              <w:t>1</w:t>
            </w:r>
            <w:r>
              <w:rPr>
                <w:rFonts w:hint="eastAsia" w:ascii="仿宋" w:hAnsi="仿宋" w:eastAsia="仿宋" w:cs="仿宋"/>
                <w:color w:val="auto"/>
                <w:sz w:val="24"/>
                <w:szCs w:val="24"/>
                <w:highlight w:val="none"/>
                <w:shd w:val="clear" w:color="auto" w:fill="FFFFFE"/>
              </w:rPr>
              <w:t>分</w:t>
            </w:r>
          </w:p>
        </w:tc>
      </w:tr>
      <w:tr w14:paraId="209B2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0" w:hRule="atLeast"/>
        </w:trPr>
        <w:tc>
          <w:tcPr>
            <w:tcW w:w="1423" w:type="dxa"/>
            <w:vMerge w:val="continue"/>
            <w:noWrap w:val="0"/>
            <w:vAlign w:val="center"/>
          </w:tcPr>
          <w:p w14:paraId="41EA60E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5532A9A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lang w:val="en-US" w:eastAsia="zh-CN"/>
              </w:rPr>
            </w:pPr>
            <w:r>
              <w:rPr>
                <w:rFonts w:hint="eastAsia" w:ascii="仿宋" w:hAnsi="仿宋" w:eastAsia="仿宋" w:cs="仿宋"/>
                <w:color w:val="auto"/>
                <w:sz w:val="24"/>
                <w:szCs w:val="24"/>
                <w:highlight w:val="none"/>
                <w:shd w:val="clear" w:color="auto" w:fill="FFFFFE"/>
                <w:lang w:val="en-US" w:eastAsia="zh-CN"/>
              </w:rPr>
              <w:t>灌木、绿篱、色块等植物因为缺肥导致生长不良，或因施肥不当徒长、长势不好</w:t>
            </w:r>
          </w:p>
        </w:tc>
        <w:tc>
          <w:tcPr>
            <w:tcW w:w="2841" w:type="dxa"/>
            <w:noWrap w:val="0"/>
            <w:vAlign w:val="center"/>
          </w:tcPr>
          <w:p w14:paraId="210D4A2A">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w:t>
            </w:r>
            <w:r>
              <w:rPr>
                <w:rFonts w:hint="eastAsia" w:ascii="仿宋" w:hAnsi="仿宋" w:eastAsia="仿宋" w:cs="仿宋"/>
                <w:color w:val="auto"/>
                <w:sz w:val="24"/>
                <w:szCs w:val="24"/>
                <w:highlight w:val="none"/>
                <w:shd w:val="clear" w:color="auto" w:fill="FFFFFE"/>
                <w:lang w:val="en-US" w:eastAsia="zh-CN"/>
              </w:rPr>
              <w:t>10㎡</w:t>
            </w:r>
            <w:r>
              <w:rPr>
                <w:rFonts w:hint="eastAsia" w:ascii="仿宋" w:hAnsi="仿宋" w:eastAsia="仿宋" w:cs="仿宋"/>
                <w:color w:val="auto"/>
                <w:sz w:val="24"/>
                <w:szCs w:val="24"/>
                <w:highlight w:val="none"/>
                <w:shd w:val="clear" w:color="auto" w:fill="FFFFFE"/>
              </w:rPr>
              <w:t>扣1分</w:t>
            </w:r>
          </w:p>
        </w:tc>
      </w:tr>
      <w:tr w14:paraId="2ED30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61" w:hRule="atLeast"/>
        </w:trPr>
        <w:tc>
          <w:tcPr>
            <w:tcW w:w="1423" w:type="dxa"/>
            <w:vMerge w:val="restart"/>
            <w:noWrap w:val="0"/>
            <w:vAlign w:val="center"/>
          </w:tcPr>
          <w:p w14:paraId="4F33C0A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灌水排水（5分）</w:t>
            </w:r>
          </w:p>
        </w:tc>
        <w:tc>
          <w:tcPr>
            <w:tcW w:w="4992" w:type="dxa"/>
            <w:noWrap w:val="0"/>
            <w:vAlign w:val="center"/>
          </w:tcPr>
          <w:p w14:paraId="66364B96">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植株因缺水造成枯黄或死亡现象</w:t>
            </w:r>
          </w:p>
        </w:tc>
        <w:tc>
          <w:tcPr>
            <w:tcW w:w="2841" w:type="dxa"/>
            <w:noWrap w:val="0"/>
            <w:vAlign w:val="center"/>
          </w:tcPr>
          <w:p w14:paraId="7642057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每株扣1分，死亡的加倍扣分</w:t>
            </w:r>
          </w:p>
        </w:tc>
      </w:tr>
      <w:tr w14:paraId="5F213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5" w:hRule="atLeast"/>
        </w:trPr>
        <w:tc>
          <w:tcPr>
            <w:tcW w:w="1423" w:type="dxa"/>
            <w:vMerge w:val="continue"/>
            <w:noWrap w:val="0"/>
            <w:vAlign w:val="center"/>
          </w:tcPr>
          <w:p w14:paraId="1678754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2785453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绿地积水出现苗木萎蔫或死亡现象</w:t>
            </w:r>
          </w:p>
        </w:tc>
        <w:tc>
          <w:tcPr>
            <w:tcW w:w="2841" w:type="dxa"/>
            <w:noWrap w:val="0"/>
            <w:vAlign w:val="center"/>
          </w:tcPr>
          <w:p w14:paraId="4A9556C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每株扣1分，死亡的加倍扣分</w:t>
            </w:r>
          </w:p>
        </w:tc>
      </w:tr>
      <w:tr w14:paraId="46CA2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5" w:hRule="atLeast"/>
        </w:trPr>
        <w:tc>
          <w:tcPr>
            <w:tcW w:w="1423" w:type="dxa"/>
            <w:vMerge w:val="continue"/>
            <w:noWrap w:val="0"/>
            <w:vAlign w:val="center"/>
          </w:tcPr>
          <w:p w14:paraId="7E688C0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52B0040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浇水作业操作不当造成绿地内有黄泥、石块等</w:t>
            </w:r>
          </w:p>
        </w:tc>
        <w:tc>
          <w:tcPr>
            <w:tcW w:w="2841" w:type="dxa"/>
            <w:noWrap w:val="0"/>
            <w:vAlign w:val="center"/>
          </w:tcPr>
          <w:p w14:paraId="2A60B56F">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每发现一处扣1分</w:t>
            </w:r>
          </w:p>
        </w:tc>
      </w:tr>
      <w:tr w14:paraId="4868B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5" w:hRule="atLeast"/>
        </w:trPr>
        <w:tc>
          <w:tcPr>
            <w:tcW w:w="1423" w:type="dxa"/>
            <w:vMerge w:val="restart"/>
            <w:noWrap w:val="0"/>
            <w:vAlign w:val="center"/>
          </w:tcPr>
          <w:p w14:paraId="14F733E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冬季刷白（5分）</w:t>
            </w:r>
          </w:p>
        </w:tc>
        <w:tc>
          <w:tcPr>
            <w:tcW w:w="4992" w:type="dxa"/>
            <w:noWrap w:val="0"/>
            <w:vAlign w:val="center"/>
          </w:tcPr>
          <w:p w14:paraId="6E175E9F">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乔木刷白高度未达到标准（离地面1.3m）,高度不统一影响整体美观</w:t>
            </w:r>
          </w:p>
        </w:tc>
        <w:tc>
          <w:tcPr>
            <w:tcW w:w="2841" w:type="dxa"/>
            <w:noWrap w:val="0"/>
            <w:vAlign w:val="center"/>
          </w:tcPr>
          <w:p w14:paraId="739456C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每5株扣1分</w:t>
            </w:r>
          </w:p>
        </w:tc>
      </w:tr>
      <w:tr w14:paraId="25247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1" w:hRule="atLeast"/>
        </w:trPr>
        <w:tc>
          <w:tcPr>
            <w:tcW w:w="1423" w:type="dxa"/>
            <w:vMerge w:val="continue"/>
            <w:noWrap w:val="0"/>
            <w:vAlign w:val="center"/>
          </w:tcPr>
          <w:p w14:paraId="1427717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06511C5A">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刷白不均匀，漏刷</w:t>
            </w:r>
          </w:p>
        </w:tc>
        <w:tc>
          <w:tcPr>
            <w:tcW w:w="2841" w:type="dxa"/>
            <w:noWrap w:val="0"/>
            <w:vAlign w:val="center"/>
          </w:tcPr>
          <w:p w14:paraId="75C82259">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每5株扣1分</w:t>
            </w:r>
          </w:p>
        </w:tc>
      </w:tr>
      <w:tr w14:paraId="2C0E9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3" w:hRule="atLeast"/>
        </w:trPr>
        <w:tc>
          <w:tcPr>
            <w:tcW w:w="1423" w:type="dxa"/>
            <w:vMerge w:val="restart"/>
            <w:noWrap w:val="0"/>
            <w:vAlign w:val="center"/>
          </w:tcPr>
          <w:p w14:paraId="0071ABA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园林设施（5分）</w:t>
            </w:r>
          </w:p>
        </w:tc>
        <w:tc>
          <w:tcPr>
            <w:tcW w:w="4992" w:type="dxa"/>
            <w:noWrap w:val="0"/>
            <w:vAlign w:val="center"/>
          </w:tcPr>
          <w:p w14:paraId="3BF3C4A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各种标牌</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园林建筑和辅助设施不干净有污渍</w:t>
            </w:r>
          </w:p>
        </w:tc>
        <w:tc>
          <w:tcPr>
            <w:tcW w:w="2841" w:type="dxa"/>
            <w:noWrap w:val="0"/>
            <w:vAlign w:val="center"/>
          </w:tcPr>
          <w:p w14:paraId="6E76553D">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每发现一处扣1分</w:t>
            </w:r>
          </w:p>
        </w:tc>
      </w:tr>
      <w:tr w14:paraId="0B7E9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5" w:hRule="atLeast"/>
        </w:trPr>
        <w:tc>
          <w:tcPr>
            <w:tcW w:w="1423" w:type="dxa"/>
            <w:vMerge w:val="continue"/>
            <w:noWrap w:val="0"/>
            <w:vAlign w:val="center"/>
          </w:tcPr>
          <w:p w14:paraId="75591676">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73C1943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临水护栏、边坡挡土墙等设施损坏，未及时报告</w:t>
            </w:r>
          </w:p>
        </w:tc>
        <w:tc>
          <w:tcPr>
            <w:tcW w:w="2841" w:type="dxa"/>
            <w:noWrap w:val="0"/>
            <w:vAlign w:val="center"/>
          </w:tcPr>
          <w:p w14:paraId="2A9090B2">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每处扣3分，造成安全事故的加倍扣分</w:t>
            </w:r>
          </w:p>
        </w:tc>
      </w:tr>
      <w:tr w14:paraId="3C7A2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6" w:hRule="atLeast"/>
        </w:trPr>
        <w:tc>
          <w:tcPr>
            <w:tcW w:w="1423" w:type="dxa"/>
            <w:vMerge w:val="continue"/>
            <w:noWrap w:val="0"/>
            <w:vAlign w:val="center"/>
          </w:tcPr>
          <w:p w14:paraId="00DDF4AF">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014B753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园林建筑和辅助设施不整洁，乱涂乱画，植物缠绕</w:t>
            </w:r>
          </w:p>
        </w:tc>
        <w:tc>
          <w:tcPr>
            <w:tcW w:w="2841" w:type="dxa"/>
            <w:noWrap w:val="0"/>
            <w:vAlign w:val="center"/>
          </w:tcPr>
          <w:p w14:paraId="2F946B5D">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每发现一处扣0.5分</w:t>
            </w:r>
          </w:p>
        </w:tc>
      </w:tr>
      <w:tr w14:paraId="02418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6" w:hRule="atLeast"/>
        </w:trPr>
        <w:tc>
          <w:tcPr>
            <w:tcW w:w="1423" w:type="dxa"/>
            <w:vMerge w:val="continue"/>
            <w:noWrap w:val="0"/>
            <w:vAlign w:val="center"/>
          </w:tcPr>
          <w:p w14:paraId="6E34046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6AC3EA89">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lang w:eastAsia="zh-CN"/>
              </w:rPr>
              <w:t>园林工具随意摆放，垃圾桶未摆放至指定位置或未盖好</w:t>
            </w:r>
          </w:p>
        </w:tc>
        <w:tc>
          <w:tcPr>
            <w:tcW w:w="2841" w:type="dxa"/>
            <w:noWrap w:val="0"/>
            <w:vAlign w:val="center"/>
          </w:tcPr>
          <w:p w14:paraId="6316FE8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w:t>
            </w:r>
            <w:r>
              <w:rPr>
                <w:rFonts w:hint="eastAsia" w:ascii="仿宋" w:hAnsi="仿宋" w:eastAsia="仿宋" w:cs="仿宋"/>
                <w:color w:val="auto"/>
                <w:sz w:val="24"/>
                <w:szCs w:val="24"/>
                <w:highlight w:val="none"/>
                <w:shd w:val="clear" w:color="auto" w:fill="FFFFFE"/>
                <w:lang w:val="en-US" w:eastAsia="zh-CN"/>
              </w:rPr>
              <w:t>1</w:t>
            </w:r>
            <w:r>
              <w:rPr>
                <w:rFonts w:hint="eastAsia" w:ascii="仿宋" w:hAnsi="仿宋" w:eastAsia="仿宋" w:cs="仿宋"/>
                <w:color w:val="auto"/>
                <w:sz w:val="24"/>
                <w:szCs w:val="24"/>
                <w:highlight w:val="none"/>
                <w:shd w:val="clear" w:color="auto" w:fill="FFFFFE"/>
              </w:rPr>
              <w:t>分</w:t>
            </w:r>
          </w:p>
        </w:tc>
      </w:tr>
      <w:tr w14:paraId="114D7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2" w:hRule="atLeast"/>
        </w:trPr>
        <w:tc>
          <w:tcPr>
            <w:tcW w:w="1423" w:type="dxa"/>
            <w:vMerge w:val="restart"/>
            <w:noWrap w:val="0"/>
            <w:vAlign w:val="center"/>
          </w:tcPr>
          <w:p w14:paraId="4F87B17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绿地保护（5分）</w:t>
            </w:r>
          </w:p>
        </w:tc>
        <w:tc>
          <w:tcPr>
            <w:tcW w:w="4992" w:type="dxa"/>
            <w:noWrap w:val="0"/>
            <w:vAlign w:val="center"/>
          </w:tcPr>
          <w:p w14:paraId="49054686">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植物上有挂、贴、画、钉等现象</w:t>
            </w:r>
          </w:p>
        </w:tc>
        <w:tc>
          <w:tcPr>
            <w:tcW w:w="2841" w:type="dxa"/>
            <w:noWrap w:val="0"/>
            <w:vAlign w:val="center"/>
          </w:tcPr>
          <w:p w14:paraId="1EFC81F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每发现一处扣0.5分</w:t>
            </w:r>
          </w:p>
        </w:tc>
      </w:tr>
      <w:tr w14:paraId="2033F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5" w:hRule="atLeast"/>
        </w:trPr>
        <w:tc>
          <w:tcPr>
            <w:tcW w:w="1423" w:type="dxa"/>
            <w:vMerge w:val="continue"/>
            <w:noWrap w:val="0"/>
            <w:vAlign w:val="center"/>
          </w:tcPr>
          <w:p w14:paraId="1B4D60E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106B1FC6">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绿地中有乱搭乱建、乱堆乱放及种菜现象未及时发现、制止和上报的</w:t>
            </w:r>
          </w:p>
        </w:tc>
        <w:tc>
          <w:tcPr>
            <w:tcW w:w="2841" w:type="dxa"/>
            <w:noWrap w:val="0"/>
            <w:vAlign w:val="center"/>
          </w:tcPr>
          <w:p w14:paraId="7EF68CC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每发现一处扣2分</w:t>
            </w:r>
          </w:p>
        </w:tc>
      </w:tr>
      <w:tr w14:paraId="0BD62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5" w:hRule="atLeast"/>
        </w:trPr>
        <w:tc>
          <w:tcPr>
            <w:tcW w:w="1423" w:type="dxa"/>
            <w:vMerge w:val="continue"/>
            <w:noWrap w:val="0"/>
            <w:vAlign w:val="center"/>
          </w:tcPr>
          <w:p w14:paraId="0635869F">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4992" w:type="dxa"/>
            <w:noWrap w:val="0"/>
            <w:vAlign w:val="center"/>
          </w:tcPr>
          <w:p w14:paraId="4E2561F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有损毁、破坏绿地及偷盗现象未及时发现、制止和上报的</w:t>
            </w:r>
          </w:p>
        </w:tc>
        <w:tc>
          <w:tcPr>
            <w:tcW w:w="2841" w:type="dxa"/>
            <w:noWrap w:val="0"/>
            <w:vAlign w:val="center"/>
          </w:tcPr>
          <w:p w14:paraId="4F6163A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每发现一处扣2分</w:t>
            </w:r>
          </w:p>
        </w:tc>
      </w:tr>
      <w:tr w14:paraId="259A9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4" w:hRule="atLeast"/>
        </w:trPr>
        <w:tc>
          <w:tcPr>
            <w:tcW w:w="1423" w:type="dxa"/>
            <w:vMerge w:val="restart"/>
            <w:shd w:val="clear" w:color="auto" w:fill="auto"/>
            <w:noWrap w:val="0"/>
            <w:vAlign w:val="center"/>
          </w:tcPr>
          <w:p w14:paraId="10AC0592">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厕所</w:t>
            </w:r>
            <w:r>
              <w:rPr>
                <w:rFonts w:hint="eastAsia" w:ascii="仿宋" w:hAnsi="仿宋" w:eastAsia="仿宋" w:cs="仿宋"/>
                <w:color w:val="auto"/>
                <w:sz w:val="24"/>
                <w:szCs w:val="24"/>
                <w:highlight w:val="none"/>
                <w:shd w:val="clear" w:color="auto" w:fill="FFFFFE"/>
                <w:lang w:eastAsia="zh-CN"/>
              </w:rPr>
              <w:t>保洁</w:t>
            </w:r>
            <w:r>
              <w:rPr>
                <w:rFonts w:hint="eastAsia" w:ascii="仿宋" w:hAnsi="仿宋" w:eastAsia="仿宋" w:cs="仿宋"/>
                <w:color w:val="auto"/>
                <w:sz w:val="24"/>
                <w:szCs w:val="24"/>
                <w:highlight w:val="none"/>
                <w:shd w:val="clear" w:color="auto" w:fill="FFFFFE"/>
              </w:rPr>
              <w:t>（10分）</w:t>
            </w:r>
            <w:r>
              <w:rPr>
                <w:rFonts w:hint="eastAsia" w:ascii="仿宋" w:hAnsi="仿宋" w:eastAsia="仿宋" w:cs="仿宋"/>
                <w:color w:val="auto"/>
                <w:sz w:val="24"/>
                <w:szCs w:val="24"/>
                <w:highlight w:val="none"/>
                <w:shd w:val="clear" w:color="auto" w:fill="FFFFFE"/>
              </w:rPr>
              <w:cr/>
            </w:r>
          </w:p>
        </w:tc>
        <w:tc>
          <w:tcPr>
            <w:tcW w:w="4992" w:type="dxa"/>
            <w:shd w:val="clear" w:color="auto" w:fill="FFFFFF"/>
            <w:noWrap w:val="0"/>
            <w:vAlign w:val="center"/>
          </w:tcPr>
          <w:p w14:paraId="32990A7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厕所内设施及辅助设施不干净有污渍</w:t>
            </w:r>
          </w:p>
        </w:tc>
        <w:tc>
          <w:tcPr>
            <w:tcW w:w="2841" w:type="dxa"/>
            <w:shd w:val="clear" w:color="auto" w:fill="FFFFFF"/>
            <w:noWrap w:val="0"/>
            <w:vAlign w:val="center"/>
          </w:tcPr>
          <w:p w14:paraId="0E305D2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每发现一处扣2分</w:t>
            </w:r>
          </w:p>
        </w:tc>
      </w:tr>
      <w:tr w14:paraId="2B110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8" w:hRule="atLeast"/>
        </w:trPr>
        <w:tc>
          <w:tcPr>
            <w:tcW w:w="1423" w:type="dxa"/>
            <w:vMerge w:val="continue"/>
            <w:shd w:val="clear" w:color="auto" w:fill="auto"/>
            <w:noWrap w:val="0"/>
            <w:vAlign w:val="center"/>
          </w:tcPr>
          <w:p w14:paraId="6121E550">
            <w:pPr>
              <w:keepNext w:val="0"/>
              <w:keepLines w:val="0"/>
              <w:pageBreakBefore w:val="0"/>
              <w:suppressLineNumbers w:val="0"/>
              <w:wordWrap/>
              <w:overflowPunct/>
              <w:topLinePunct w:val="0"/>
              <w:bidi w:val="0"/>
              <w:spacing w:before="0" w:beforeAutospacing="0" w:after="0" w:afterAutospacing="0" w:line="460" w:lineRule="exact"/>
              <w:ind w:left="0" w:right="0"/>
              <w:jc w:val="center"/>
              <w:rPr>
                <w:rFonts w:hint="eastAsia" w:ascii="仿宋" w:hAnsi="仿宋" w:eastAsia="仿宋" w:cs="仿宋"/>
                <w:color w:val="auto"/>
                <w:sz w:val="24"/>
                <w:szCs w:val="24"/>
                <w:highlight w:val="none"/>
              </w:rPr>
            </w:pPr>
          </w:p>
        </w:tc>
        <w:tc>
          <w:tcPr>
            <w:tcW w:w="4992" w:type="dxa"/>
            <w:shd w:val="clear" w:color="auto" w:fill="FFFFFF"/>
            <w:noWrap w:val="0"/>
            <w:vAlign w:val="center"/>
          </w:tcPr>
          <w:p w14:paraId="2651A61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厕所的墙壁、隔板存在乱涂乱画现象，大小便池未冲洗干净，纸篓内垃圾未及时清理，洗手池、地面大小便池的存在积水、尿碱、污物、异味等现象。</w:t>
            </w:r>
          </w:p>
        </w:tc>
        <w:tc>
          <w:tcPr>
            <w:tcW w:w="2841" w:type="dxa"/>
            <w:shd w:val="clear" w:color="auto" w:fill="FFFFFF"/>
            <w:noWrap w:val="0"/>
            <w:vAlign w:val="center"/>
          </w:tcPr>
          <w:p w14:paraId="40C86F8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每发现一处扣</w:t>
            </w:r>
            <w:r>
              <w:rPr>
                <w:rFonts w:hint="eastAsia" w:ascii="仿宋" w:hAnsi="仿宋" w:eastAsia="仿宋" w:cs="仿宋"/>
                <w:color w:val="auto"/>
                <w:sz w:val="24"/>
                <w:szCs w:val="24"/>
                <w:highlight w:val="none"/>
                <w:shd w:val="clear" w:color="auto" w:fill="FFFFFE"/>
                <w:lang w:val="en-US" w:eastAsia="zh-CN"/>
              </w:rPr>
              <w:t>2</w:t>
            </w:r>
            <w:r>
              <w:rPr>
                <w:rFonts w:hint="eastAsia" w:ascii="仿宋" w:hAnsi="仿宋" w:eastAsia="仿宋" w:cs="仿宋"/>
                <w:color w:val="auto"/>
                <w:sz w:val="24"/>
                <w:szCs w:val="24"/>
                <w:highlight w:val="none"/>
                <w:shd w:val="clear" w:color="auto" w:fill="FFFFFE"/>
              </w:rPr>
              <w:t>分</w:t>
            </w:r>
          </w:p>
        </w:tc>
      </w:tr>
      <w:tr w14:paraId="20819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8" w:hRule="atLeast"/>
        </w:trPr>
        <w:tc>
          <w:tcPr>
            <w:tcW w:w="1423" w:type="dxa"/>
            <w:vMerge w:val="continue"/>
            <w:shd w:val="clear" w:color="auto" w:fill="auto"/>
            <w:noWrap w:val="0"/>
            <w:vAlign w:val="center"/>
          </w:tcPr>
          <w:p w14:paraId="3E8C6431">
            <w:pPr>
              <w:keepNext w:val="0"/>
              <w:keepLines w:val="0"/>
              <w:pageBreakBefore w:val="0"/>
              <w:suppressLineNumbers w:val="0"/>
              <w:wordWrap/>
              <w:overflowPunct/>
              <w:topLinePunct w:val="0"/>
              <w:bidi w:val="0"/>
              <w:spacing w:before="0" w:beforeAutospacing="0" w:after="0" w:afterAutospacing="0" w:line="460" w:lineRule="exact"/>
              <w:ind w:left="0" w:right="0"/>
              <w:jc w:val="center"/>
              <w:rPr>
                <w:rFonts w:hint="eastAsia" w:ascii="仿宋" w:hAnsi="仿宋" w:eastAsia="仿宋" w:cs="仿宋"/>
                <w:color w:val="auto"/>
                <w:sz w:val="24"/>
                <w:szCs w:val="24"/>
                <w:highlight w:val="none"/>
              </w:rPr>
            </w:pPr>
          </w:p>
        </w:tc>
        <w:tc>
          <w:tcPr>
            <w:tcW w:w="4992" w:type="dxa"/>
            <w:shd w:val="clear" w:color="auto" w:fill="FFFFFF"/>
            <w:noWrap w:val="0"/>
            <w:vAlign w:val="center"/>
          </w:tcPr>
          <w:p w14:paraId="78F47AF8">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snapToGrid w:val="0"/>
                <w:color w:val="auto"/>
                <w:sz w:val="24"/>
                <w:szCs w:val="24"/>
                <w:highlight w:val="none"/>
                <w:shd w:val="clear" w:color="auto" w:fill="FFFFFE"/>
                <w:lang w:val="en-US" w:eastAsia="zh-CN" w:bidi="ar-SA"/>
              </w:rPr>
            </w:pPr>
            <w:r>
              <w:rPr>
                <w:rFonts w:hint="eastAsia" w:ascii="仿宋" w:hAnsi="仿宋" w:eastAsia="仿宋" w:cs="仿宋"/>
                <w:color w:val="auto"/>
                <w:sz w:val="24"/>
                <w:szCs w:val="24"/>
                <w:highlight w:val="none"/>
                <w:shd w:val="clear" w:color="auto" w:fill="FFFFFE"/>
                <w:lang w:val="en-US" w:eastAsia="zh-CN"/>
              </w:rPr>
              <w:t>厕所内</w:t>
            </w:r>
            <w:r>
              <w:rPr>
                <w:rFonts w:hint="eastAsia" w:ascii="仿宋" w:hAnsi="仿宋" w:eastAsia="仿宋" w:cs="仿宋"/>
                <w:color w:val="auto"/>
                <w:sz w:val="24"/>
                <w:szCs w:val="24"/>
                <w:highlight w:val="none"/>
                <w:lang w:eastAsia="zh-CN"/>
              </w:rPr>
              <w:t>“纸巾”、“洗手液”、“香氛”、“除臭剂”等物品未按要求配备的。</w:t>
            </w:r>
          </w:p>
        </w:tc>
        <w:tc>
          <w:tcPr>
            <w:tcW w:w="2841" w:type="dxa"/>
            <w:shd w:val="clear" w:color="auto" w:fill="FFFFFF"/>
            <w:noWrap w:val="0"/>
            <w:vAlign w:val="center"/>
          </w:tcPr>
          <w:p w14:paraId="5778772A">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snapToGrid w:val="0"/>
                <w:color w:val="auto"/>
                <w:sz w:val="24"/>
                <w:szCs w:val="24"/>
                <w:highlight w:val="none"/>
                <w:shd w:val="clear" w:color="auto" w:fill="FFFFFE"/>
                <w:lang w:val="en-US" w:eastAsia="en-US" w:bidi="ar-SA"/>
              </w:rPr>
            </w:pPr>
            <w:r>
              <w:rPr>
                <w:rFonts w:hint="eastAsia" w:ascii="仿宋" w:hAnsi="仿宋" w:eastAsia="仿宋" w:cs="仿宋"/>
                <w:color w:val="auto"/>
                <w:sz w:val="24"/>
                <w:szCs w:val="24"/>
                <w:highlight w:val="none"/>
                <w:shd w:val="clear" w:color="auto" w:fill="FFFFFE"/>
              </w:rPr>
              <w:t>每发现一处扣</w:t>
            </w:r>
            <w:r>
              <w:rPr>
                <w:rFonts w:hint="eastAsia" w:ascii="仿宋" w:hAnsi="仿宋" w:eastAsia="仿宋" w:cs="仿宋"/>
                <w:color w:val="auto"/>
                <w:sz w:val="24"/>
                <w:szCs w:val="24"/>
                <w:highlight w:val="none"/>
                <w:shd w:val="clear" w:color="auto" w:fill="FFFFFE"/>
                <w:lang w:val="en-US" w:eastAsia="zh-CN"/>
              </w:rPr>
              <w:t>2</w:t>
            </w:r>
            <w:r>
              <w:rPr>
                <w:rFonts w:hint="eastAsia" w:ascii="仿宋" w:hAnsi="仿宋" w:eastAsia="仿宋" w:cs="仿宋"/>
                <w:color w:val="auto"/>
                <w:sz w:val="24"/>
                <w:szCs w:val="24"/>
                <w:highlight w:val="none"/>
                <w:shd w:val="clear" w:color="auto" w:fill="FFFFFE"/>
              </w:rPr>
              <w:t>分</w:t>
            </w:r>
          </w:p>
        </w:tc>
      </w:tr>
    </w:tbl>
    <w:p w14:paraId="046E212D">
      <w:pPr>
        <w:pageBreakBefore w:val="0"/>
        <w:widowControl/>
        <w:wordWrap/>
        <w:overflowPunct/>
        <w:topLinePunct w:val="0"/>
        <w:bidi w:val="0"/>
        <w:spacing w:line="460" w:lineRule="exact"/>
        <w:jc w:val="center"/>
        <w:rPr>
          <w:rFonts w:hint="eastAsia" w:ascii="仿宋" w:hAnsi="仿宋" w:eastAsia="仿宋" w:cs="仿宋"/>
          <w:b/>
          <w:color w:val="auto"/>
          <w:sz w:val="24"/>
          <w:szCs w:val="24"/>
          <w:highlight w:val="none"/>
        </w:rPr>
      </w:pPr>
    </w:p>
    <w:p w14:paraId="1DC27B50">
      <w:pPr>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rPr>
        <w:br w:type="page"/>
      </w:r>
    </w:p>
    <w:p w14:paraId="4B4A4D8E">
      <w:pPr>
        <w:keepNext w:val="0"/>
        <w:keepLines w:val="0"/>
        <w:pageBreakBefore w:val="0"/>
        <w:widowControl/>
        <w:kinsoku/>
        <w:wordWrap/>
        <w:overflowPunct/>
        <w:topLinePunct w:val="0"/>
        <w:autoSpaceDE/>
        <w:autoSpaceDN/>
        <w:bidi w:val="0"/>
        <w:adjustRightInd/>
        <w:snapToGrid/>
        <w:spacing w:after="157" w:afterLines="50" w:line="460" w:lineRule="exact"/>
        <w:jc w:val="left"/>
        <w:textAlignment w:val="auto"/>
        <w:outlineLvl w:val="0"/>
        <w:rPr>
          <w:rFonts w:hint="eastAsia" w:ascii="仿宋" w:hAnsi="仿宋" w:eastAsia="仿宋" w:cs="仿宋"/>
          <w:b/>
          <w:color w:val="auto"/>
          <w:sz w:val="24"/>
          <w:szCs w:val="24"/>
          <w:highlight w:val="none"/>
          <w:lang w:val="en-US" w:eastAsia="zh-CN"/>
        </w:rPr>
      </w:pPr>
      <w:bookmarkStart w:id="16" w:name="_Toc7302"/>
      <w:r>
        <w:rPr>
          <w:rFonts w:hint="eastAsia" w:ascii="仿宋" w:hAnsi="仿宋" w:eastAsia="仿宋" w:cs="仿宋"/>
          <w:b/>
          <w:color w:val="auto"/>
          <w:sz w:val="24"/>
          <w:szCs w:val="24"/>
          <w:highlight w:val="none"/>
          <w:lang w:eastAsia="zh-CN"/>
        </w:rPr>
        <w:t>附件</w:t>
      </w:r>
      <w:r>
        <w:rPr>
          <w:rFonts w:hint="eastAsia" w:ascii="仿宋" w:hAnsi="仿宋" w:eastAsia="仿宋" w:cs="仿宋"/>
          <w:b/>
          <w:color w:val="auto"/>
          <w:sz w:val="24"/>
          <w:szCs w:val="24"/>
          <w:highlight w:val="none"/>
          <w:lang w:val="en-US" w:eastAsia="zh-CN"/>
        </w:rPr>
        <w:t>2.南昌市象湖风景区管理处绿化管理奖惩细则</w:t>
      </w:r>
      <w:bookmarkEnd w:id="16"/>
    </w:p>
    <w:p w14:paraId="49D9064A">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1、上级部门提出口头或书面批评的，每出现一次扣2000元整。</w:t>
      </w:r>
    </w:p>
    <w:p w14:paraId="26CDDC89">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2、景区内发生火灾或其他等毁坏苗木的现象，没有及时发现处理，每次分别按造成经济损失总额的20%赔偿(不足2000元的，按2000元赔偿)；</w:t>
      </w:r>
    </w:p>
    <w:p w14:paraId="15098E7B">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3、甲方不定期抽查人员到位情况，人员不在岗数当月</w:t>
      </w:r>
      <w:r>
        <w:rPr>
          <w:rFonts w:hint="eastAsia" w:ascii="仿宋" w:hAnsi="仿宋" w:eastAsia="仿宋" w:cs="仿宋"/>
          <w:color w:val="auto"/>
          <w:sz w:val="24"/>
          <w:szCs w:val="24"/>
          <w:highlight w:val="none"/>
          <w:lang w:val="en-US" w:eastAsia="zh-CN"/>
        </w:rPr>
        <w:t>累计10</w:t>
      </w:r>
      <w:r>
        <w:rPr>
          <w:rFonts w:hint="eastAsia" w:ascii="仿宋" w:hAnsi="仿宋" w:eastAsia="仿宋" w:cs="仿宋"/>
          <w:color w:val="auto"/>
          <w:sz w:val="24"/>
          <w:szCs w:val="24"/>
          <w:highlight w:val="none"/>
          <w:lang w:eastAsia="zh-CN"/>
        </w:rPr>
        <w:t>人</w:t>
      </w:r>
      <w:r>
        <w:rPr>
          <w:rFonts w:hint="eastAsia" w:ascii="仿宋" w:hAnsi="仿宋" w:eastAsia="仿宋" w:cs="仿宋"/>
          <w:b w:val="0"/>
          <w:bCs/>
          <w:color w:val="auto"/>
          <w:sz w:val="24"/>
          <w:szCs w:val="24"/>
          <w:highlight w:val="none"/>
          <w:lang w:eastAsia="zh-CN"/>
        </w:rPr>
        <w:t>次</w:t>
      </w:r>
      <w:r>
        <w:rPr>
          <w:rFonts w:hint="eastAsia" w:ascii="仿宋" w:hAnsi="仿宋" w:eastAsia="仿宋" w:cs="仿宋"/>
          <w:color w:val="auto"/>
          <w:sz w:val="24"/>
          <w:szCs w:val="24"/>
          <w:highlight w:val="none"/>
          <w:lang w:eastAsia="zh-CN"/>
        </w:rPr>
        <w:t>以内（含</w:t>
      </w:r>
      <w:r>
        <w:rPr>
          <w:rFonts w:hint="eastAsia" w:ascii="仿宋" w:hAnsi="仿宋" w:eastAsia="仿宋" w:cs="仿宋"/>
          <w:color w:val="auto"/>
          <w:sz w:val="24"/>
          <w:szCs w:val="24"/>
          <w:highlight w:val="none"/>
          <w:lang w:val="en-US" w:eastAsia="zh-CN"/>
        </w:rPr>
        <w:t>10</w:t>
      </w:r>
      <w:r>
        <w:rPr>
          <w:rFonts w:hint="eastAsia" w:ascii="仿宋" w:hAnsi="仿宋" w:eastAsia="仿宋" w:cs="仿宋"/>
          <w:color w:val="auto"/>
          <w:sz w:val="24"/>
          <w:szCs w:val="24"/>
          <w:highlight w:val="none"/>
          <w:lang w:eastAsia="zh-CN"/>
        </w:rPr>
        <w:t>人</w:t>
      </w:r>
      <w:r>
        <w:rPr>
          <w:rFonts w:hint="eastAsia" w:ascii="仿宋" w:hAnsi="仿宋" w:eastAsia="仿宋" w:cs="仿宋"/>
          <w:b w:val="0"/>
          <w:bCs/>
          <w:color w:val="auto"/>
          <w:sz w:val="24"/>
          <w:szCs w:val="24"/>
          <w:highlight w:val="none"/>
          <w:lang w:eastAsia="zh-CN"/>
        </w:rPr>
        <w:t>次</w:t>
      </w:r>
      <w:r>
        <w:rPr>
          <w:rFonts w:hint="eastAsia" w:ascii="仿宋" w:hAnsi="仿宋" w:eastAsia="仿宋" w:cs="仿宋"/>
          <w:color w:val="auto"/>
          <w:sz w:val="24"/>
          <w:szCs w:val="24"/>
          <w:highlight w:val="none"/>
          <w:lang w:eastAsia="zh-CN"/>
        </w:rPr>
        <w:t>），扣除当月管护经费的5%/次；人员不在岗数当月</w:t>
      </w:r>
      <w:r>
        <w:rPr>
          <w:rFonts w:hint="eastAsia" w:ascii="仿宋" w:hAnsi="仿宋" w:eastAsia="仿宋" w:cs="仿宋"/>
          <w:color w:val="auto"/>
          <w:sz w:val="24"/>
          <w:szCs w:val="24"/>
          <w:highlight w:val="none"/>
          <w:lang w:val="en-US" w:eastAsia="zh-CN"/>
        </w:rPr>
        <w:t>累计10</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15</w:t>
      </w:r>
      <w:r>
        <w:rPr>
          <w:rFonts w:hint="eastAsia" w:ascii="仿宋" w:hAnsi="仿宋" w:eastAsia="仿宋" w:cs="仿宋"/>
          <w:color w:val="auto"/>
          <w:sz w:val="24"/>
          <w:szCs w:val="24"/>
          <w:highlight w:val="none"/>
          <w:lang w:eastAsia="zh-CN"/>
        </w:rPr>
        <w:t>人</w:t>
      </w:r>
      <w:r>
        <w:rPr>
          <w:rFonts w:hint="eastAsia" w:ascii="仿宋" w:hAnsi="仿宋" w:eastAsia="仿宋" w:cs="仿宋"/>
          <w:b w:val="0"/>
          <w:bCs/>
          <w:color w:val="auto"/>
          <w:sz w:val="24"/>
          <w:szCs w:val="24"/>
          <w:highlight w:val="none"/>
          <w:lang w:eastAsia="zh-CN"/>
        </w:rPr>
        <w:t>次</w:t>
      </w:r>
      <w:r>
        <w:rPr>
          <w:rFonts w:hint="eastAsia" w:ascii="仿宋" w:hAnsi="仿宋" w:eastAsia="仿宋" w:cs="仿宋"/>
          <w:color w:val="auto"/>
          <w:sz w:val="24"/>
          <w:szCs w:val="24"/>
          <w:highlight w:val="none"/>
          <w:lang w:eastAsia="zh-CN"/>
        </w:rPr>
        <w:t>（含</w:t>
      </w:r>
      <w:r>
        <w:rPr>
          <w:rFonts w:hint="eastAsia" w:ascii="仿宋" w:hAnsi="仿宋" w:eastAsia="仿宋" w:cs="仿宋"/>
          <w:color w:val="auto"/>
          <w:sz w:val="24"/>
          <w:szCs w:val="24"/>
          <w:highlight w:val="none"/>
          <w:lang w:val="en-US" w:eastAsia="zh-CN"/>
        </w:rPr>
        <w:t>15</w:t>
      </w:r>
      <w:r>
        <w:rPr>
          <w:rFonts w:hint="eastAsia" w:ascii="仿宋" w:hAnsi="仿宋" w:eastAsia="仿宋" w:cs="仿宋"/>
          <w:color w:val="auto"/>
          <w:sz w:val="24"/>
          <w:szCs w:val="24"/>
          <w:highlight w:val="none"/>
          <w:lang w:eastAsia="zh-CN"/>
        </w:rPr>
        <w:t>人</w:t>
      </w:r>
      <w:r>
        <w:rPr>
          <w:rFonts w:hint="eastAsia" w:ascii="仿宋" w:hAnsi="仿宋" w:eastAsia="仿宋" w:cs="仿宋"/>
          <w:b w:val="0"/>
          <w:bCs/>
          <w:color w:val="auto"/>
          <w:sz w:val="24"/>
          <w:szCs w:val="24"/>
          <w:highlight w:val="none"/>
          <w:lang w:eastAsia="zh-CN"/>
        </w:rPr>
        <w:t>次</w:t>
      </w:r>
      <w:r>
        <w:rPr>
          <w:rFonts w:hint="eastAsia" w:ascii="仿宋" w:hAnsi="仿宋" w:eastAsia="仿宋" w:cs="仿宋"/>
          <w:color w:val="auto"/>
          <w:sz w:val="24"/>
          <w:szCs w:val="24"/>
          <w:highlight w:val="none"/>
          <w:lang w:eastAsia="zh-CN"/>
        </w:rPr>
        <w:t>），扣除当月管护经费的10%/次；人员不在岗数当月</w:t>
      </w:r>
      <w:r>
        <w:rPr>
          <w:rFonts w:hint="eastAsia" w:ascii="仿宋" w:hAnsi="仿宋" w:eastAsia="仿宋" w:cs="仿宋"/>
          <w:color w:val="auto"/>
          <w:sz w:val="24"/>
          <w:szCs w:val="24"/>
          <w:highlight w:val="none"/>
          <w:lang w:val="en-US" w:eastAsia="zh-CN"/>
        </w:rPr>
        <w:t>累计15</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20</w:t>
      </w:r>
      <w:r>
        <w:rPr>
          <w:rFonts w:hint="eastAsia" w:ascii="仿宋" w:hAnsi="仿宋" w:eastAsia="仿宋" w:cs="仿宋"/>
          <w:color w:val="auto"/>
          <w:sz w:val="24"/>
          <w:szCs w:val="24"/>
          <w:highlight w:val="none"/>
          <w:lang w:eastAsia="zh-CN"/>
        </w:rPr>
        <w:t>人</w:t>
      </w:r>
      <w:r>
        <w:rPr>
          <w:rFonts w:hint="eastAsia" w:ascii="仿宋" w:hAnsi="仿宋" w:eastAsia="仿宋" w:cs="仿宋"/>
          <w:b w:val="0"/>
          <w:bCs/>
          <w:color w:val="auto"/>
          <w:sz w:val="24"/>
          <w:szCs w:val="24"/>
          <w:highlight w:val="none"/>
          <w:lang w:eastAsia="zh-CN"/>
        </w:rPr>
        <w:t>次</w:t>
      </w:r>
      <w:r>
        <w:rPr>
          <w:rFonts w:hint="eastAsia" w:ascii="仿宋" w:hAnsi="仿宋" w:eastAsia="仿宋" w:cs="仿宋"/>
          <w:color w:val="auto"/>
          <w:sz w:val="24"/>
          <w:szCs w:val="24"/>
          <w:highlight w:val="none"/>
          <w:lang w:eastAsia="zh-CN"/>
        </w:rPr>
        <w:t>（含</w:t>
      </w:r>
      <w:r>
        <w:rPr>
          <w:rFonts w:hint="eastAsia" w:ascii="仿宋" w:hAnsi="仿宋" w:eastAsia="仿宋" w:cs="仿宋"/>
          <w:color w:val="auto"/>
          <w:sz w:val="24"/>
          <w:szCs w:val="24"/>
          <w:highlight w:val="none"/>
          <w:lang w:val="en-US" w:eastAsia="zh-CN"/>
        </w:rPr>
        <w:t>20</w:t>
      </w:r>
      <w:r>
        <w:rPr>
          <w:rFonts w:hint="eastAsia" w:ascii="仿宋" w:hAnsi="仿宋" w:eastAsia="仿宋" w:cs="仿宋"/>
          <w:color w:val="auto"/>
          <w:sz w:val="24"/>
          <w:szCs w:val="24"/>
          <w:highlight w:val="none"/>
          <w:lang w:eastAsia="zh-CN"/>
        </w:rPr>
        <w:t>人</w:t>
      </w:r>
      <w:r>
        <w:rPr>
          <w:rFonts w:hint="eastAsia" w:ascii="仿宋" w:hAnsi="仿宋" w:eastAsia="仿宋" w:cs="仿宋"/>
          <w:b w:val="0"/>
          <w:bCs/>
          <w:color w:val="auto"/>
          <w:sz w:val="24"/>
          <w:szCs w:val="24"/>
          <w:highlight w:val="none"/>
          <w:lang w:eastAsia="zh-CN"/>
        </w:rPr>
        <w:t>次</w:t>
      </w:r>
      <w:r>
        <w:rPr>
          <w:rFonts w:hint="eastAsia" w:ascii="仿宋" w:hAnsi="仿宋" w:eastAsia="仿宋" w:cs="仿宋"/>
          <w:color w:val="auto"/>
          <w:sz w:val="24"/>
          <w:szCs w:val="24"/>
          <w:highlight w:val="none"/>
          <w:lang w:eastAsia="zh-CN"/>
        </w:rPr>
        <w:t>），扣除当月管护经费的20%/次；人员不在岗数当月</w:t>
      </w:r>
      <w:r>
        <w:rPr>
          <w:rFonts w:hint="eastAsia" w:ascii="仿宋" w:hAnsi="仿宋" w:eastAsia="仿宋" w:cs="仿宋"/>
          <w:color w:val="auto"/>
          <w:sz w:val="24"/>
          <w:szCs w:val="24"/>
          <w:highlight w:val="none"/>
          <w:lang w:val="en-US" w:eastAsia="zh-CN"/>
        </w:rPr>
        <w:t>累计</w:t>
      </w:r>
      <w:r>
        <w:rPr>
          <w:rFonts w:hint="eastAsia" w:ascii="仿宋" w:hAnsi="仿宋" w:eastAsia="仿宋" w:cs="仿宋"/>
          <w:color w:val="auto"/>
          <w:sz w:val="24"/>
          <w:szCs w:val="24"/>
          <w:highlight w:val="none"/>
          <w:lang w:eastAsia="zh-CN"/>
        </w:rPr>
        <w:t>超过</w:t>
      </w:r>
      <w:r>
        <w:rPr>
          <w:rFonts w:hint="eastAsia" w:ascii="仿宋" w:hAnsi="仿宋" w:eastAsia="仿宋" w:cs="仿宋"/>
          <w:color w:val="auto"/>
          <w:sz w:val="24"/>
          <w:szCs w:val="24"/>
          <w:highlight w:val="none"/>
          <w:lang w:val="en-US" w:eastAsia="zh-CN"/>
        </w:rPr>
        <w:t>20</w:t>
      </w:r>
      <w:r>
        <w:rPr>
          <w:rFonts w:hint="eastAsia" w:ascii="仿宋" w:hAnsi="仿宋" w:eastAsia="仿宋" w:cs="仿宋"/>
          <w:color w:val="auto"/>
          <w:sz w:val="24"/>
          <w:szCs w:val="24"/>
          <w:highlight w:val="none"/>
          <w:lang w:eastAsia="zh-CN"/>
        </w:rPr>
        <w:t>人</w:t>
      </w:r>
      <w:r>
        <w:rPr>
          <w:rFonts w:hint="eastAsia" w:ascii="仿宋" w:hAnsi="仿宋" w:eastAsia="仿宋" w:cs="仿宋"/>
          <w:b w:val="0"/>
          <w:bCs/>
          <w:color w:val="auto"/>
          <w:sz w:val="24"/>
          <w:szCs w:val="24"/>
          <w:highlight w:val="none"/>
          <w:lang w:eastAsia="zh-CN"/>
        </w:rPr>
        <w:t>次</w:t>
      </w:r>
      <w:r>
        <w:rPr>
          <w:rFonts w:hint="eastAsia" w:ascii="仿宋" w:hAnsi="仿宋" w:eastAsia="仿宋" w:cs="仿宋"/>
          <w:color w:val="auto"/>
          <w:sz w:val="24"/>
          <w:szCs w:val="24"/>
          <w:highlight w:val="none"/>
          <w:lang w:eastAsia="zh-CN"/>
        </w:rPr>
        <w:t>，不支付当月管护经费；</w:t>
      </w:r>
    </w:p>
    <w:p w14:paraId="1BCEE15E">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4、保洁及养护人员未按要求统一身着工作服，每人每次罚款50元整；</w:t>
      </w:r>
    </w:p>
    <w:p w14:paraId="21A59FA1">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lang w:eastAsia="zh-CN"/>
        </w:rPr>
        <w:t>、乔灌木未按规范修剪整形的，每株罚款</w:t>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lang w:eastAsia="zh-CN"/>
        </w:rPr>
        <w:t>00元整；桩景未按规范修剪整形的，每株罚款</w:t>
      </w: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lang w:eastAsia="zh-CN"/>
        </w:rPr>
        <w:t>00元整；水岸边水生植物未按规定修剪整形的，每次每处罚款</w:t>
      </w: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lang w:eastAsia="zh-CN"/>
        </w:rPr>
        <w:t>00元整；</w:t>
      </w:r>
    </w:p>
    <w:p w14:paraId="54F59071">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6</w:t>
      </w:r>
      <w:r>
        <w:rPr>
          <w:rFonts w:hint="eastAsia" w:ascii="仿宋" w:hAnsi="仿宋" w:eastAsia="仿宋" w:cs="仿宋"/>
          <w:color w:val="auto"/>
          <w:sz w:val="24"/>
          <w:szCs w:val="24"/>
          <w:highlight w:val="none"/>
          <w:lang w:eastAsia="zh-CN"/>
        </w:rPr>
        <w:t>、色块、绿篱未按规范修剪整形的，每平方</w:t>
      </w:r>
      <w:r>
        <w:rPr>
          <w:rFonts w:hint="eastAsia" w:ascii="仿宋" w:hAnsi="仿宋" w:eastAsia="仿宋" w:cs="仿宋"/>
          <w:color w:val="auto"/>
          <w:sz w:val="24"/>
          <w:szCs w:val="24"/>
          <w:highlight w:val="none"/>
          <w:lang w:val="en-US" w:eastAsia="zh-CN"/>
        </w:rPr>
        <w:t>米</w:t>
      </w:r>
      <w:r>
        <w:rPr>
          <w:rFonts w:hint="eastAsia" w:ascii="仿宋" w:hAnsi="仿宋" w:eastAsia="仿宋" w:cs="仿宋"/>
          <w:color w:val="auto"/>
          <w:sz w:val="24"/>
          <w:szCs w:val="24"/>
          <w:highlight w:val="none"/>
          <w:lang w:eastAsia="zh-CN"/>
        </w:rPr>
        <w:t>罚款</w:t>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lang w:eastAsia="zh-CN"/>
        </w:rPr>
        <w:t>00元整；</w:t>
      </w:r>
    </w:p>
    <w:p w14:paraId="2AC8BB5E">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7</w:t>
      </w:r>
      <w:r>
        <w:rPr>
          <w:rFonts w:hint="eastAsia" w:ascii="仿宋" w:hAnsi="仿宋" w:eastAsia="仿宋" w:cs="仿宋"/>
          <w:color w:val="auto"/>
          <w:sz w:val="24"/>
          <w:szCs w:val="24"/>
          <w:highlight w:val="none"/>
          <w:lang w:eastAsia="zh-CN"/>
        </w:rPr>
        <w:t>、草坪未按规范修剪整形的，每平方</w:t>
      </w:r>
      <w:r>
        <w:rPr>
          <w:rFonts w:hint="eastAsia" w:ascii="仿宋" w:hAnsi="仿宋" w:eastAsia="仿宋" w:cs="仿宋"/>
          <w:color w:val="auto"/>
          <w:sz w:val="24"/>
          <w:szCs w:val="24"/>
          <w:highlight w:val="none"/>
          <w:lang w:val="en-US" w:eastAsia="zh-CN"/>
        </w:rPr>
        <w:t>米</w:t>
      </w:r>
      <w:r>
        <w:rPr>
          <w:rFonts w:hint="eastAsia" w:ascii="仿宋" w:hAnsi="仿宋" w:eastAsia="仿宋" w:cs="仿宋"/>
          <w:color w:val="auto"/>
          <w:sz w:val="24"/>
          <w:szCs w:val="24"/>
          <w:highlight w:val="none"/>
          <w:lang w:eastAsia="zh-CN"/>
        </w:rPr>
        <w:t>罚款</w:t>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lang w:eastAsia="zh-CN"/>
        </w:rPr>
        <w:t>00元整；</w:t>
      </w:r>
    </w:p>
    <w:p w14:paraId="28E77308">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8</w:t>
      </w:r>
      <w:r>
        <w:rPr>
          <w:rFonts w:hint="eastAsia" w:ascii="仿宋" w:hAnsi="仿宋" w:eastAsia="仿宋" w:cs="仿宋"/>
          <w:color w:val="auto"/>
          <w:sz w:val="24"/>
          <w:szCs w:val="24"/>
          <w:highlight w:val="none"/>
          <w:lang w:eastAsia="zh-CN"/>
        </w:rPr>
        <w:t>、夹竹桃、色块、绿篱内有杂草未除的，每平方</w:t>
      </w:r>
      <w:r>
        <w:rPr>
          <w:rFonts w:hint="eastAsia" w:ascii="仿宋" w:hAnsi="仿宋" w:eastAsia="仿宋" w:cs="仿宋"/>
          <w:color w:val="auto"/>
          <w:sz w:val="24"/>
          <w:szCs w:val="24"/>
          <w:highlight w:val="none"/>
          <w:lang w:val="en-US" w:eastAsia="zh-CN"/>
        </w:rPr>
        <w:t>米</w:t>
      </w:r>
      <w:r>
        <w:rPr>
          <w:rFonts w:hint="eastAsia" w:ascii="仿宋" w:hAnsi="仿宋" w:eastAsia="仿宋" w:cs="仿宋"/>
          <w:color w:val="auto"/>
          <w:sz w:val="24"/>
          <w:szCs w:val="24"/>
          <w:highlight w:val="none"/>
          <w:lang w:eastAsia="zh-CN"/>
        </w:rPr>
        <w:t>罚款</w:t>
      </w: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lang w:eastAsia="zh-CN"/>
        </w:rPr>
        <w:t>00元整；</w:t>
      </w:r>
    </w:p>
    <w:p w14:paraId="1F1E374D">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9</w:t>
      </w:r>
      <w:r>
        <w:rPr>
          <w:rFonts w:hint="eastAsia" w:ascii="仿宋" w:hAnsi="仿宋" w:eastAsia="仿宋" w:cs="仿宋"/>
          <w:color w:val="auto"/>
          <w:sz w:val="24"/>
          <w:szCs w:val="24"/>
          <w:highlight w:val="none"/>
          <w:lang w:eastAsia="zh-CN"/>
        </w:rPr>
        <w:t>、乔灌木未按规范抹芽的，每株罚款</w:t>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lang w:eastAsia="zh-CN"/>
        </w:rPr>
        <w:t>00元整；</w:t>
      </w:r>
    </w:p>
    <w:p w14:paraId="1E7ED0BA">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10</w:t>
      </w:r>
      <w:r>
        <w:rPr>
          <w:rFonts w:hint="eastAsia" w:ascii="仿宋" w:hAnsi="仿宋" w:eastAsia="仿宋" w:cs="仿宋"/>
          <w:color w:val="auto"/>
          <w:sz w:val="24"/>
          <w:szCs w:val="24"/>
          <w:highlight w:val="none"/>
          <w:lang w:eastAsia="zh-CN"/>
        </w:rPr>
        <w:t>、乔木、灌木、色块、绿篱等发生病虫害未及时发现并采取相应措施的，每次每处罚款</w:t>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lang w:eastAsia="zh-CN"/>
        </w:rPr>
        <w:t>00元整；桩景植物发生病虫害未及时发现并采取相应措施的，每次每处罚款</w:t>
      </w:r>
      <w:r>
        <w:rPr>
          <w:rFonts w:hint="eastAsia" w:ascii="仿宋" w:hAnsi="仿宋" w:eastAsia="仿宋" w:cs="仿宋"/>
          <w:color w:val="auto"/>
          <w:sz w:val="24"/>
          <w:szCs w:val="24"/>
          <w:highlight w:val="none"/>
          <w:lang w:val="en-US" w:eastAsia="zh-CN"/>
        </w:rPr>
        <w:t>200</w:t>
      </w:r>
      <w:r>
        <w:rPr>
          <w:rFonts w:hint="eastAsia" w:ascii="仿宋" w:hAnsi="仿宋" w:eastAsia="仿宋" w:cs="仿宋"/>
          <w:color w:val="auto"/>
          <w:sz w:val="24"/>
          <w:szCs w:val="24"/>
          <w:highlight w:val="none"/>
          <w:lang w:eastAsia="zh-CN"/>
        </w:rPr>
        <w:t>元整；</w:t>
      </w:r>
    </w:p>
    <w:p w14:paraId="18471858">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11</w:t>
      </w:r>
      <w:r>
        <w:rPr>
          <w:rFonts w:hint="eastAsia" w:ascii="仿宋" w:hAnsi="仿宋" w:eastAsia="仿宋" w:cs="仿宋"/>
          <w:color w:val="auto"/>
          <w:sz w:val="24"/>
          <w:szCs w:val="24"/>
          <w:highlight w:val="none"/>
          <w:lang w:eastAsia="zh-CN"/>
        </w:rPr>
        <w:t>、乔灌木、色块、绿篱因养护不当造成死亡的，必须</w:t>
      </w:r>
      <w:r>
        <w:rPr>
          <w:rFonts w:hint="eastAsia" w:ascii="仿宋" w:hAnsi="仿宋" w:eastAsia="仿宋" w:cs="仿宋"/>
          <w:color w:val="auto"/>
          <w:sz w:val="24"/>
          <w:szCs w:val="24"/>
          <w:highlight w:val="none"/>
          <w:lang w:val="en-US" w:eastAsia="zh-CN"/>
        </w:rPr>
        <w:t>按原品种及相应规格</w:t>
      </w:r>
      <w:r>
        <w:rPr>
          <w:rFonts w:hint="eastAsia" w:ascii="仿宋" w:hAnsi="仿宋" w:eastAsia="仿宋" w:cs="仿宋"/>
          <w:color w:val="auto"/>
          <w:sz w:val="24"/>
          <w:szCs w:val="24"/>
          <w:highlight w:val="none"/>
          <w:lang w:eastAsia="zh-CN"/>
        </w:rPr>
        <w:t>全部补栽到位；</w:t>
      </w:r>
    </w:p>
    <w:p w14:paraId="3C0B9F8C">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12</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绿化面积内有垃圾的，每次每处</w:t>
      </w:r>
      <w:r>
        <w:rPr>
          <w:rFonts w:hint="eastAsia" w:ascii="仿宋" w:hAnsi="仿宋" w:eastAsia="仿宋" w:cs="仿宋"/>
          <w:color w:val="auto"/>
          <w:sz w:val="24"/>
          <w:szCs w:val="24"/>
          <w:highlight w:val="none"/>
          <w:lang w:eastAsia="zh-CN"/>
        </w:rPr>
        <w:t>罚款</w:t>
      </w:r>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lang w:eastAsia="zh-CN"/>
        </w:rPr>
        <w:t>0元整；</w:t>
      </w:r>
    </w:p>
    <w:p w14:paraId="09C76349">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13</w:t>
      </w:r>
      <w:r>
        <w:rPr>
          <w:rFonts w:hint="eastAsia" w:ascii="仿宋" w:hAnsi="仿宋" w:eastAsia="仿宋" w:cs="仿宋"/>
          <w:color w:val="auto"/>
          <w:sz w:val="24"/>
          <w:szCs w:val="24"/>
          <w:highlight w:val="none"/>
          <w:lang w:eastAsia="zh-CN"/>
        </w:rPr>
        <w:t>、管辖地段内路面有泥土未及时冲洗或冲洗不到位的，每次每处罚款</w:t>
      </w: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lang w:eastAsia="zh-CN"/>
        </w:rPr>
        <w:t>00元整。</w:t>
      </w:r>
    </w:p>
    <w:p w14:paraId="46C3C7EA">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14</w:t>
      </w:r>
      <w:r>
        <w:rPr>
          <w:rFonts w:hint="eastAsia" w:ascii="仿宋" w:hAnsi="仿宋" w:eastAsia="仿宋" w:cs="仿宋"/>
          <w:color w:val="auto"/>
          <w:sz w:val="24"/>
          <w:szCs w:val="24"/>
          <w:highlight w:val="none"/>
          <w:lang w:eastAsia="zh-CN"/>
        </w:rPr>
        <w:t>、未按规定标准完成施肥工作的，每次每处罚款</w:t>
      </w: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lang w:eastAsia="zh-CN"/>
        </w:rPr>
        <w:t>00元整；</w:t>
      </w:r>
    </w:p>
    <w:p w14:paraId="045CCABC">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15</w:t>
      </w:r>
      <w:r>
        <w:rPr>
          <w:rFonts w:hint="eastAsia" w:ascii="仿宋" w:hAnsi="仿宋" w:eastAsia="仿宋" w:cs="仿宋"/>
          <w:color w:val="auto"/>
          <w:sz w:val="24"/>
          <w:szCs w:val="24"/>
          <w:highlight w:val="none"/>
          <w:lang w:eastAsia="zh-CN"/>
        </w:rPr>
        <w:t>、未按规定标准完成刷白工作的，每株罚款</w:t>
      </w:r>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lang w:eastAsia="zh-CN"/>
        </w:rPr>
        <w:t>0元整；</w:t>
      </w:r>
    </w:p>
    <w:p w14:paraId="3225FC4B">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16</w:t>
      </w:r>
      <w:r>
        <w:rPr>
          <w:rFonts w:hint="eastAsia" w:ascii="仿宋" w:hAnsi="仿宋" w:eastAsia="仿宋" w:cs="仿宋"/>
          <w:color w:val="auto"/>
          <w:sz w:val="24"/>
          <w:szCs w:val="24"/>
          <w:highlight w:val="none"/>
          <w:lang w:eastAsia="zh-CN"/>
        </w:rPr>
        <w:t>、未按规定标准完成打树围、</w:t>
      </w:r>
      <w:r>
        <w:rPr>
          <w:rFonts w:hint="eastAsia" w:ascii="仿宋" w:hAnsi="仿宋" w:eastAsia="仿宋" w:cs="仿宋"/>
          <w:color w:val="auto"/>
          <w:sz w:val="24"/>
          <w:szCs w:val="24"/>
          <w:highlight w:val="none"/>
          <w:lang w:val="en-US" w:eastAsia="zh-CN"/>
        </w:rPr>
        <w:t>挖绿篱沟</w:t>
      </w:r>
      <w:r>
        <w:rPr>
          <w:rFonts w:hint="eastAsia" w:ascii="仿宋" w:hAnsi="仿宋" w:eastAsia="仿宋" w:cs="仿宋"/>
          <w:color w:val="auto"/>
          <w:sz w:val="24"/>
          <w:szCs w:val="24"/>
          <w:highlight w:val="none"/>
          <w:lang w:eastAsia="zh-CN"/>
        </w:rPr>
        <w:t>工作的，每</w:t>
      </w:r>
      <w:r>
        <w:rPr>
          <w:rFonts w:hint="eastAsia" w:ascii="仿宋" w:hAnsi="仿宋" w:eastAsia="仿宋" w:cs="仿宋"/>
          <w:color w:val="auto"/>
          <w:sz w:val="24"/>
          <w:szCs w:val="24"/>
          <w:highlight w:val="none"/>
          <w:lang w:val="en-US" w:eastAsia="zh-CN"/>
        </w:rPr>
        <w:t>株</w:t>
      </w:r>
      <w:r>
        <w:rPr>
          <w:rFonts w:hint="eastAsia" w:ascii="仿宋" w:hAnsi="仿宋" w:eastAsia="仿宋" w:cs="仿宋"/>
          <w:color w:val="auto"/>
          <w:sz w:val="24"/>
          <w:szCs w:val="24"/>
          <w:highlight w:val="none"/>
          <w:lang w:eastAsia="zh-CN"/>
        </w:rPr>
        <w:t>罚款</w:t>
      </w:r>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lang w:eastAsia="zh-CN"/>
        </w:rPr>
        <w:t>0元整；</w:t>
      </w:r>
    </w:p>
    <w:p w14:paraId="78B4924A">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17</w:t>
      </w:r>
      <w:r>
        <w:rPr>
          <w:rFonts w:hint="eastAsia" w:ascii="仿宋" w:hAnsi="仿宋" w:eastAsia="仿宋" w:cs="仿宋"/>
          <w:color w:val="auto"/>
          <w:sz w:val="24"/>
          <w:szCs w:val="24"/>
          <w:highlight w:val="none"/>
          <w:lang w:eastAsia="zh-CN"/>
        </w:rPr>
        <w:t>、死树枯枝未清理的，每次每株罚款</w:t>
      </w:r>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lang w:eastAsia="zh-CN"/>
        </w:rPr>
        <w:t>0元整；</w:t>
      </w:r>
    </w:p>
    <w:p w14:paraId="39930CA0">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18</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植物</w:t>
      </w:r>
      <w:r>
        <w:rPr>
          <w:rFonts w:hint="eastAsia" w:ascii="仿宋" w:hAnsi="仿宋" w:eastAsia="仿宋" w:cs="仿宋"/>
          <w:color w:val="auto"/>
          <w:sz w:val="24"/>
          <w:szCs w:val="24"/>
          <w:highlight w:val="none"/>
          <w:lang w:eastAsia="zh-CN"/>
        </w:rPr>
        <w:t>积水现象未及时排涝的，每次每处罚款</w:t>
      </w: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lang w:eastAsia="zh-CN"/>
        </w:rPr>
        <w:t>00元整；</w:t>
      </w:r>
    </w:p>
    <w:p w14:paraId="0A84A1D0">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19</w:t>
      </w:r>
      <w:r>
        <w:rPr>
          <w:rFonts w:hint="eastAsia" w:ascii="仿宋" w:hAnsi="仿宋" w:eastAsia="仿宋" w:cs="仿宋"/>
          <w:color w:val="auto"/>
          <w:sz w:val="24"/>
          <w:szCs w:val="24"/>
          <w:highlight w:val="none"/>
          <w:lang w:eastAsia="zh-CN"/>
        </w:rPr>
        <w:t>、乔灌木及设施上有攀援植物，每次每处罚款</w:t>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lang w:eastAsia="zh-CN"/>
        </w:rPr>
        <w:t>00元整；</w:t>
      </w:r>
    </w:p>
    <w:p w14:paraId="307FD0E9">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20</w:t>
      </w:r>
      <w:r>
        <w:rPr>
          <w:rFonts w:hint="eastAsia" w:ascii="仿宋" w:hAnsi="仿宋" w:eastAsia="仿宋" w:cs="仿宋"/>
          <w:color w:val="auto"/>
          <w:sz w:val="24"/>
          <w:szCs w:val="24"/>
          <w:highlight w:val="none"/>
          <w:lang w:eastAsia="zh-CN"/>
        </w:rPr>
        <w:t>、抗旱工作不到位或不听从抗旱指挥的，每出现一次罚款</w:t>
      </w: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lang w:eastAsia="zh-CN"/>
        </w:rPr>
        <w:t>000元整。</w:t>
      </w:r>
    </w:p>
    <w:p w14:paraId="2B4381C1">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21</w:t>
      </w:r>
      <w:r>
        <w:rPr>
          <w:rFonts w:hint="eastAsia" w:ascii="仿宋" w:hAnsi="仿宋" w:eastAsia="仿宋" w:cs="仿宋"/>
          <w:color w:val="auto"/>
          <w:sz w:val="24"/>
          <w:szCs w:val="24"/>
          <w:highlight w:val="none"/>
          <w:lang w:eastAsia="zh-CN"/>
        </w:rPr>
        <w:t>、</w:t>
      </w:r>
      <w:bookmarkStart w:id="17" w:name="OLE_LINK6"/>
      <w:r>
        <w:rPr>
          <w:rFonts w:hint="eastAsia" w:ascii="仿宋" w:hAnsi="仿宋" w:eastAsia="仿宋" w:cs="仿宋"/>
          <w:color w:val="auto"/>
          <w:sz w:val="24"/>
          <w:szCs w:val="24"/>
          <w:highlight w:val="none"/>
          <w:lang w:eastAsia="zh-CN"/>
        </w:rPr>
        <w:t>厕所</w:t>
      </w:r>
      <w:bookmarkEnd w:id="17"/>
      <w:r>
        <w:rPr>
          <w:rFonts w:hint="eastAsia" w:ascii="仿宋" w:hAnsi="仿宋" w:eastAsia="仿宋" w:cs="仿宋"/>
          <w:color w:val="auto"/>
          <w:sz w:val="24"/>
          <w:szCs w:val="24"/>
          <w:highlight w:val="none"/>
          <w:lang w:eastAsia="zh-CN"/>
        </w:rPr>
        <w:t>脏污，每次每处罚款</w:t>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lang w:eastAsia="zh-CN"/>
        </w:rPr>
        <w:t>00元整；</w:t>
      </w:r>
    </w:p>
    <w:p w14:paraId="2C692C06">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22</w:t>
      </w:r>
      <w:r>
        <w:rPr>
          <w:rFonts w:hint="eastAsia" w:ascii="仿宋" w:hAnsi="仿宋" w:eastAsia="仿宋" w:cs="仿宋"/>
          <w:color w:val="auto"/>
          <w:sz w:val="24"/>
          <w:szCs w:val="24"/>
          <w:highlight w:val="none"/>
          <w:lang w:eastAsia="zh-CN"/>
        </w:rPr>
        <w:t>、绿地乱搭乱建、毁坏、占用未及时制止并汇报的，每次每处罚款1000元整；</w:t>
      </w:r>
    </w:p>
    <w:p w14:paraId="20031C7C">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23</w:t>
      </w:r>
      <w:r>
        <w:rPr>
          <w:rFonts w:hint="eastAsia" w:ascii="仿宋" w:hAnsi="仿宋" w:eastAsia="仿宋" w:cs="仿宋"/>
          <w:color w:val="auto"/>
          <w:sz w:val="24"/>
          <w:szCs w:val="24"/>
          <w:highlight w:val="none"/>
          <w:lang w:eastAsia="zh-CN"/>
        </w:rPr>
        <w:t>、未按要求上交工作台账或按时报送统计数据的，每次罚款</w:t>
      </w:r>
      <w:r>
        <w:rPr>
          <w:rFonts w:hint="eastAsia" w:ascii="仿宋" w:hAnsi="仿宋" w:eastAsia="仿宋" w:cs="仿宋"/>
          <w:color w:val="auto"/>
          <w:sz w:val="24"/>
          <w:szCs w:val="24"/>
          <w:highlight w:val="none"/>
          <w:lang w:val="en-US" w:eastAsia="zh-CN"/>
        </w:rPr>
        <w:t>10</w:t>
      </w:r>
      <w:r>
        <w:rPr>
          <w:rFonts w:hint="eastAsia" w:ascii="仿宋" w:hAnsi="仿宋" w:eastAsia="仿宋" w:cs="仿宋"/>
          <w:color w:val="auto"/>
          <w:sz w:val="24"/>
          <w:szCs w:val="24"/>
          <w:highlight w:val="none"/>
          <w:lang w:eastAsia="zh-CN"/>
        </w:rPr>
        <w:t>00元整。</w:t>
      </w:r>
    </w:p>
    <w:p w14:paraId="2142E035">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24</w:t>
      </w:r>
      <w:r>
        <w:rPr>
          <w:rFonts w:hint="eastAsia" w:ascii="仿宋" w:hAnsi="仿宋" w:eastAsia="仿宋" w:cs="仿宋"/>
          <w:color w:val="auto"/>
          <w:sz w:val="24"/>
          <w:szCs w:val="24"/>
          <w:highlight w:val="none"/>
          <w:lang w:eastAsia="zh-CN"/>
        </w:rPr>
        <w:t>、厕所未按相关规定配备“纸巾”、“洗手液”、“香氛”、“除臭剂”等物品的，每次每处罚款</w:t>
      </w:r>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lang w:eastAsia="zh-CN"/>
        </w:rPr>
        <w:t>0元整。</w:t>
      </w:r>
    </w:p>
    <w:p w14:paraId="0BE70A6F">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25</w:t>
      </w:r>
      <w:r>
        <w:rPr>
          <w:rFonts w:hint="eastAsia" w:ascii="仿宋" w:hAnsi="仿宋" w:eastAsia="仿宋" w:cs="仿宋"/>
          <w:color w:val="auto"/>
          <w:sz w:val="24"/>
          <w:szCs w:val="24"/>
          <w:highlight w:val="none"/>
          <w:lang w:eastAsia="zh-CN"/>
        </w:rPr>
        <w:t>、对外来入侵物种（</w:t>
      </w:r>
      <w:r>
        <w:rPr>
          <w:rFonts w:hint="eastAsia" w:ascii="仿宋" w:hAnsi="仿宋" w:eastAsia="仿宋" w:cs="仿宋"/>
          <w:color w:val="auto"/>
          <w:sz w:val="24"/>
          <w:szCs w:val="24"/>
          <w:highlight w:val="none"/>
          <w:lang w:val="en-US" w:eastAsia="zh-CN"/>
        </w:rPr>
        <w:t>一枝黄花、福寿螺</w:t>
      </w:r>
      <w:r>
        <w:rPr>
          <w:rFonts w:hint="eastAsia" w:ascii="仿宋" w:hAnsi="仿宋" w:eastAsia="仿宋" w:cs="仿宋"/>
          <w:color w:val="auto"/>
          <w:sz w:val="24"/>
          <w:szCs w:val="24"/>
          <w:highlight w:val="none"/>
          <w:lang w:eastAsia="zh-CN"/>
        </w:rPr>
        <w:t>）未进行防治或清理的，每次每处罚款500元整。</w:t>
      </w:r>
    </w:p>
    <w:p w14:paraId="4637591C">
      <w:pPr>
        <w:spacing w:line="460" w:lineRule="exact"/>
        <w:ind w:firstLine="480" w:firstLineChars="200"/>
        <w:rPr>
          <w:rFonts w:hint="eastAsia" w:ascii="仿宋" w:hAnsi="仿宋" w:eastAsia="仿宋" w:cs="仿宋"/>
          <w:b w:val="0"/>
          <w:bCs w:val="0"/>
          <w:color w:val="auto"/>
          <w:sz w:val="24"/>
          <w:szCs w:val="24"/>
          <w:highlight w:val="none"/>
          <w:lang w:eastAsia="zh-CN"/>
        </w:rPr>
      </w:pPr>
      <w:r>
        <w:rPr>
          <w:rFonts w:hint="eastAsia" w:ascii="仿宋" w:hAnsi="仿宋" w:eastAsia="仿宋" w:cs="仿宋"/>
          <w:b w:val="0"/>
          <w:bCs w:val="0"/>
          <w:color w:val="auto"/>
          <w:sz w:val="24"/>
          <w:szCs w:val="24"/>
          <w:highlight w:val="none"/>
          <w:lang w:val="en-US" w:eastAsia="zh-CN"/>
        </w:rPr>
        <w:t>26</w:t>
      </w:r>
      <w:r>
        <w:rPr>
          <w:rFonts w:hint="eastAsia" w:ascii="仿宋" w:hAnsi="仿宋" w:eastAsia="仿宋" w:cs="仿宋"/>
          <w:b w:val="0"/>
          <w:bCs w:val="0"/>
          <w:color w:val="auto"/>
          <w:sz w:val="24"/>
          <w:szCs w:val="24"/>
          <w:highlight w:val="none"/>
          <w:lang w:eastAsia="zh-CN"/>
        </w:rPr>
        <w:t>、</w:t>
      </w:r>
      <w:r>
        <w:rPr>
          <w:rFonts w:hint="eastAsia" w:ascii="仿宋" w:hAnsi="仿宋" w:eastAsia="仿宋" w:cs="仿宋"/>
          <w:b w:val="0"/>
          <w:bCs w:val="0"/>
          <w:color w:val="auto"/>
          <w:sz w:val="24"/>
          <w:szCs w:val="24"/>
          <w:highlight w:val="none"/>
          <w:lang w:val="en-US" w:eastAsia="zh-CN"/>
        </w:rPr>
        <w:t>服务要求设备清单设备未到位，每次每台罚款1000元整</w:t>
      </w:r>
      <w:r>
        <w:rPr>
          <w:rFonts w:hint="eastAsia" w:ascii="仿宋" w:hAnsi="仿宋" w:eastAsia="仿宋" w:cs="仿宋"/>
          <w:b w:val="0"/>
          <w:bCs w:val="0"/>
          <w:color w:val="auto"/>
          <w:sz w:val="24"/>
          <w:szCs w:val="24"/>
          <w:highlight w:val="none"/>
          <w:lang w:eastAsia="zh-CN"/>
        </w:rPr>
        <w:t>。</w:t>
      </w:r>
    </w:p>
    <w:p w14:paraId="687E5E1A">
      <w:pPr>
        <w:spacing w:line="460" w:lineRule="exact"/>
        <w:ind w:firstLine="480" w:firstLineChars="20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27</w:t>
      </w:r>
      <w:r>
        <w:rPr>
          <w:rFonts w:hint="eastAsia" w:ascii="仿宋" w:hAnsi="仿宋" w:eastAsia="仿宋" w:cs="仿宋"/>
          <w:color w:val="auto"/>
          <w:sz w:val="24"/>
          <w:szCs w:val="24"/>
          <w:highlight w:val="none"/>
          <w:lang w:eastAsia="zh-CN"/>
        </w:rPr>
        <w:t>、仓库和厕所不允许私自拉线充电，每发现一次，罚款</w:t>
      </w:r>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lang w:eastAsia="zh-CN"/>
        </w:rPr>
        <w:t>00元整。</w:t>
      </w:r>
    </w:p>
    <w:p w14:paraId="5CF58E62">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28</w:t>
      </w:r>
      <w:r>
        <w:rPr>
          <w:rFonts w:hint="eastAsia" w:ascii="仿宋" w:hAnsi="仿宋" w:eastAsia="仿宋" w:cs="仿宋"/>
          <w:color w:val="auto"/>
          <w:sz w:val="24"/>
          <w:szCs w:val="24"/>
          <w:highlight w:val="none"/>
          <w:lang w:eastAsia="zh-CN"/>
        </w:rPr>
        <w:t>、对于临时交代的任务未及时完成的，或需要整改的问题未在整改期限内整改的，第一次予以口头警告，若警告后还未执行到位的，每次扣除费用</w:t>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lang w:eastAsia="zh-CN"/>
        </w:rPr>
        <w:t>000元。</w:t>
      </w:r>
    </w:p>
    <w:p w14:paraId="29A30E60">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29</w:t>
      </w:r>
      <w:r>
        <w:rPr>
          <w:rFonts w:hint="eastAsia" w:ascii="仿宋" w:hAnsi="仿宋" w:eastAsia="仿宋" w:cs="仿宋"/>
          <w:color w:val="auto"/>
          <w:sz w:val="24"/>
          <w:szCs w:val="24"/>
          <w:highlight w:val="none"/>
          <w:lang w:eastAsia="zh-CN"/>
        </w:rPr>
        <w:t>、文明服务，礼貌待人，热情对待游客，使用礼貌用语，如发现不使用礼貌用语每次处罚款200元；</w:t>
      </w:r>
    </w:p>
    <w:p w14:paraId="0B5F7FF4">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30</w:t>
      </w:r>
      <w:r>
        <w:rPr>
          <w:rFonts w:hint="eastAsia" w:ascii="仿宋" w:hAnsi="仿宋" w:eastAsia="仿宋" w:cs="仿宋"/>
          <w:color w:val="auto"/>
          <w:sz w:val="24"/>
          <w:szCs w:val="24"/>
          <w:highlight w:val="none"/>
          <w:lang w:eastAsia="zh-CN"/>
        </w:rPr>
        <w:t>、除不可抗力外，造成媒体曝光,引发社会舆论,造成负面影响每次处罚款3000元。</w:t>
      </w:r>
    </w:p>
    <w:p w14:paraId="3F079A3F">
      <w:pPr>
        <w:spacing w:after="120" w:afterLines="50" w:line="44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31</w:t>
      </w:r>
      <w:r>
        <w:rPr>
          <w:rFonts w:hint="eastAsia" w:ascii="仿宋" w:hAnsi="仿宋" w:eastAsia="仿宋" w:cs="仿宋"/>
          <w:color w:val="auto"/>
          <w:sz w:val="24"/>
          <w:szCs w:val="24"/>
          <w:highlight w:val="none"/>
          <w:lang w:eastAsia="zh-CN"/>
        </w:rPr>
        <w:t>、每日环境保洁工作须于8点前完成初步保洁，如因保洁人员缺岗造成的保洁不到位的每次处罚款200元。</w:t>
      </w:r>
    </w:p>
    <w:p w14:paraId="29E85AE4">
      <w:pPr>
        <w:spacing w:after="120" w:afterLines="50" w:line="440" w:lineRule="exact"/>
        <w:ind w:firstLine="480" w:firstLineChars="20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32</w:t>
      </w:r>
      <w:r>
        <w:rPr>
          <w:rFonts w:hint="eastAsia" w:ascii="仿宋" w:hAnsi="仿宋" w:eastAsia="仿宋" w:cs="仿宋"/>
          <w:color w:val="auto"/>
          <w:sz w:val="24"/>
          <w:szCs w:val="24"/>
          <w:highlight w:val="none"/>
          <w:lang w:eastAsia="zh-CN"/>
        </w:rPr>
        <w:t>、未按要求提交整改对比情况的（含整改照片），每次罚款100元整</w:t>
      </w:r>
      <w:r>
        <w:rPr>
          <w:rFonts w:hint="eastAsia" w:ascii="仿宋" w:hAnsi="仿宋" w:eastAsia="仿宋" w:cs="仿宋"/>
          <w:color w:val="auto"/>
          <w:sz w:val="24"/>
          <w:szCs w:val="24"/>
          <w:highlight w:val="none"/>
          <w:lang w:val="en-US" w:eastAsia="zh-CN"/>
        </w:rPr>
        <w:t>。</w:t>
      </w:r>
    </w:p>
    <w:p w14:paraId="3E049BA4">
      <w:pPr>
        <w:pStyle w:val="2"/>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仿宋" w:hAnsi="仿宋" w:eastAsia="仿宋" w:cs="仿宋"/>
          <w:snapToGrid w:val="0"/>
          <w:color w:val="auto"/>
          <w:sz w:val="24"/>
          <w:szCs w:val="24"/>
          <w:highlight w:val="none"/>
          <w:lang w:val="en-US" w:eastAsia="zh-CN" w:bidi="ar-SA"/>
        </w:rPr>
      </w:pPr>
      <w:r>
        <w:rPr>
          <w:rFonts w:hint="eastAsia" w:ascii="仿宋" w:hAnsi="仿宋" w:eastAsia="仿宋" w:cs="仿宋"/>
          <w:snapToGrid w:val="0"/>
          <w:color w:val="auto"/>
          <w:sz w:val="24"/>
          <w:szCs w:val="24"/>
          <w:highlight w:val="none"/>
          <w:lang w:val="en-US" w:eastAsia="zh-CN" w:bidi="ar-SA"/>
        </w:rPr>
        <w:t>33、未及时清理将军桥桥面及桥体垃圾的，每次每处罚款300元整。</w:t>
      </w:r>
    </w:p>
    <w:p w14:paraId="1A21D1C6">
      <w:pPr>
        <w:pageBreakBefore w:val="0"/>
        <w:widowControl/>
        <w:wordWrap/>
        <w:overflowPunct/>
        <w:topLinePunct w:val="0"/>
        <w:bidi w:val="0"/>
        <w:spacing w:line="460" w:lineRule="exact"/>
        <w:jc w:val="left"/>
        <w:outlineLvl w:val="0"/>
        <w:rPr>
          <w:rFonts w:hint="eastAsia" w:ascii="仿宋" w:hAnsi="仿宋" w:eastAsia="仿宋" w:cs="仿宋"/>
          <w:b/>
          <w:color w:val="auto"/>
          <w:sz w:val="24"/>
          <w:szCs w:val="24"/>
          <w:highlight w:val="none"/>
          <w:shd w:val="clear" w:color="auto" w:fill="FFFFFE"/>
          <w:lang w:eastAsia="zh-CN"/>
        </w:rPr>
      </w:pPr>
      <w:bookmarkStart w:id="18" w:name="_Toc22290"/>
    </w:p>
    <w:p w14:paraId="4E4F0330">
      <w:pPr>
        <w:pageBreakBefore w:val="0"/>
        <w:widowControl/>
        <w:wordWrap/>
        <w:overflowPunct/>
        <w:topLinePunct w:val="0"/>
        <w:bidi w:val="0"/>
        <w:spacing w:line="460" w:lineRule="exact"/>
        <w:jc w:val="left"/>
        <w:outlineLvl w:val="0"/>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shd w:val="clear" w:color="auto" w:fill="FFFFFE"/>
          <w:lang w:eastAsia="zh-CN"/>
        </w:rPr>
        <w:t>附件</w:t>
      </w:r>
      <w:r>
        <w:rPr>
          <w:rFonts w:hint="eastAsia" w:ascii="仿宋" w:hAnsi="仿宋" w:eastAsia="仿宋" w:cs="仿宋"/>
          <w:b/>
          <w:color w:val="auto"/>
          <w:sz w:val="24"/>
          <w:szCs w:val="24"/>
          <w:highlight w:val="none"/>
          <w:shd w:val="clear" w:color="auto" w:fill="FFFFFE"/>
          <w:lang w:val="en-US" w:eastAsia="zh-CN"/>
        </w:rPr>
        <w:t>3.</w:t>
      </w:r>
      <w:r>
        <w:rPr>
          <w:rFonts w:hint="eastAsia" w:ascii="仿宋" w:hAnsi="仿宋" w:eastAsia="仿宋" w:cs="仿宋"/>
          <w:b/>
          <w:color w:val="auto"/>
          <w:sz w:val="24"/>
          <w:szCs w:val="24"/>
          <w:highlight w:val="none"/>
          <w:shd w:val="clear" w:color="auto" w:fill="FFFFFE"/>
        </w:rPr>
        <w:t>整改通知单</w:t>
      </w:r>
      <w:bookmarkEnd w:id="18"/>
    </w:p>
    <w:p w14:paraId="3F651437">
      <w:pPr>
        <w:pageBreakBefore w:val="0"/>
        <w:wordWrap/>
        <w:overflowPunct/>
        <w:topLinePunct w:val="0"/>
        <w:bidi w:val="0"/>
        <w:spacing w:before="65" w:line="460" w:lineRule="exact"/>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rPr>
        <w:t>编号：</w:t>
      </w:r>
    </w:p>
    <w:tbl>
      <w:tblPr>
        <w:tblStyle w:val="6"/>
        <w:tblW w:w="9474"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193"/>
        <w:gridCol w:w="5038"/>
        <w:gridCol w:w="1259"/>
        <w:gridCol w:w="1984"/>
      </w:tblGrid>
      <w:tr w14:paraId="1D86A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79" w:hRule="atLeast"/>
        </w:trPr>
        <w:tc>
          <w:tcPr>
            <w:tcW w:w="1193" w:type="dxa"/>
            <w:noWrap w:val="0"/>
            <w:vAlign w:val="center"/>
          </w:tcPr>
          <w:p w14:paraId="2E56B80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jc w:val="center"/>
              <w:textAlignment w:val="baseline"/>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shd w:val="clear" w:color="auto" w:fill="FFFFFE"/>
                <w:lang w:eastAsia="zh-CN"/>
              </w:rPr>
              <w:t>中标单位</w:t>
            </w:r>
          </w:p>
        </w:tc>
        <w:tc>
          <w:tcPr>
            <w:tcW w:w="5038" w:type="dxa"/>
            <w:noWrap w:val="0"/>
            <w:vAlign w:val="center"/>
          </w:tcPr>
          <w:p w14:paraId="099B6D9F">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jc w:val="center"/>
              <w:textAlignment w:val="baseline"/>
              <w:rPr>
                <w:rFonts w:hint="eastAsia" w:ascii="仿宋" w:hAnsi="仿宋" w:eastAsia="仿宋" w:cs="仿宋"/>
                <w:color w:val="auto"/>
                <w:sz w:val="24"/>
                <w:szCs w:val="24"/>
                <w:highlight w:val="none"/>
              </w:rPr>
            </w:pPr>
          </w:p>
        </w:tc>
        <w:tc>
          <w:tcPr>
            <w:tcW w:w="1259" w:type="dxa"/>
            <w:noWrap w:val="0"/>
            <w:vAlign w:val="center"/>
          </w:tcPr>
          <w:p w14:paraId="5158D572">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检查时间</w:t>
            </w:r>
          </w:p>
        </w:tc>
        <w:tc>
          <w:tcPr>
            <w:tcW w:w="1984" w:type="dxa"/>
            <w:noWrap w:val="0"/>
            <w:vAlign w:val="center"/>
          </w:tcPr>
          <w:p w14:paraId="5D53491C">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jc w:val="center"/>
              <w:textAlignment w:val="baseline"/>
              <w:rPr>
                <w:rFonts w:hint="eastAsia" w:ascii="仿宋" w:hAnsi="仿宋" w:eastAsia="仿宋" w:cs="仿宋"/>
                <w:color w:val="auto"/>
                <w:sz w:val="24"/>
                <w:szCs w:val="24"/>
                <w:highlight w:val="none"/>
              </w:rPr>
            </w:pPr>
          </w:p>
        </w:tc>
      </w:tr>
      <w:tr w14:paraId="6F044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74" w:hRule="atLeast"/>
        </w:trPr>
        <w:tc>
          <w:tcPr>
            <w:tcW w:w="1193" w:type="dxa"/>
            <w:noWrap w:val="0"/>
            <w:vAlign w:val="center"/>
          </w:tcPr>
          <w:p w14:paraId="41B2B1BF">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整改地段</w:t>
            </w:r>
          </w:p>
        </w:tc>
        <w:tc>
          <w:tcPr>
            <w:tcW w:w="5038" w:type="dxa"/>
            <w:noWrap w:val="0"/>
            <w:vAlign w:val="center"/>
          </w:tcPr>
          <w:p w14:paraId="400427A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jc w:val="center"/>
              <w:textAlignment w:val="baseline"/>
              <w:rPr>
                <w:rFonts w:hint="eastAsia" w:ascii="仿宋" w:hAnsi="仿宋" w:eastAsia="仿宋" w:cs="仿宋"/>
                <w:color w:val="auto"/>
                <w:sz w:val="24"/>
                <w:szCs w:val="24"/>
                <w:highlight w:val="none"/>
              </w:rPr>
            </w:pPr>
          </w:p>
        </w:tc>
        <w:tc>
          <w:tcPr>
            <w:tcW w:w="1259" w:type="dxa"/>
            <w:noWrap w:val="0"/>
            <w:vAlign w:val="center"/>
          </w:tcPr>
          <w:p w14:paraId="336C0C9F">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整改时限</w:t>
            </w:r>
          </w:p>
        </w:tc>
        <w:tc>
          <w:tcPr>
            <w:tcW w:w="1984" w:type="dxa"/>
            <w:noWrap w:val="0"/>
            <w:vAlign w:val="center"/>
          </w:tcPr>
          <w:p w14:paraId="269950D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jc w:val="center"/>
              <w:textAlignment w:val="baseline"/>
              <w:rPr>
                <w:rFonts w:hint="eastAsia" w:ascii="仿宋" w:hAnsi="仿宋" w:eastAsia="仿宋" w:cs="仿宋"/>
                <w:color w:val="auto"/>
                <w:sz w:val="24"/>
                <w:szCs w:val="24"/>
                <w:highlight w:val="none"/>
              </w:rPr>
            </w:pPr>
          </w:p>
        </w:tc>
      </w:tr>
      <w:tr w14:paraId="33BE2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270" w:hRule="atLeast"/>
        </w:trPr>
        <w:tc>
          <w:tcPr>
            <w:tcW w:w="1193" w:type="dxa"/>
            <w:noWrap w:val="0"/>
            <w:vAlign w:val="center"/>
          </w:tcPr>
          <w:p w14:paraId="1E442FA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存在问题</w:t>
            </w:r>
          </w:p>
        </w:tc>
        <w:tc>
          <w:tcPr>
            <w:tcW w:w="8281" w:type="dxa"/>
            <w:gridSpan w:val="3"/>
            <w:noWrap w:val="0"/>
            <w:vAlign w:val="center"/>
          </w:tcPr>
          <w:p w14:paraId="729A69CF">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jc w:val="center"/>
              <w:textAlignment w:val="baseline"/>
              <w:rPr>
                <w:rFonts w:hint="eastAsia" w:ascii="仿宋" w:hAnsi="仿宋" w:eastAsia="仿宋" w:cs="仿宋"/>
                <w:color w:val="auto"/>
                <w:sz w:val="24"/>
                <w:szCs w:val="24"/>
                <w:highlight w:val="none"/>
              </w:rPr>
            </w:pPr>
          </w:p>
        </w:tc>
      </w:tr>
      <w:tr w14:paraId="18A98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270" w:hRule="atLeast"/>
        </w:trPr>
        <w:tc>
          <w:tcPr>
            <w:tcW w:w="1193" w:type="dxa"/>
            <w:noWrap w:val="0"/>
            <w:vAlign w:val="center"/>
          </w:tcPr>
          <w:p w14:paraId="006B771B">
            <w:pPr>
              <w:keepNext w:val="0"/>
              <w:keepLines w:val="0"/>
              <w:pageBreakBefore w:val="0"/>
              <w:suppressLineNumbers w:val="0"/>
              <w:kinsoku w:val="0"/>
              <w:wordWrap/>
              <w:overflowPunct/>
              <w:topLinePunct w:val="0"/>
              <w:autoSpaceDE w:val="0"/>
              <w:autoSpaceDN w:val="0"/>
              <w:bidi w:val="0"/>
              <w:adjustRightInd w:val="0"/>
              <w:snapToGrid w:val="0"/>
              <w:spacing w:before="65" w:beforeAutospacing="0" w:after="0" w:afterAutospacing="0" w:line="460" w:lineRule="exact"/>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整改要求</w:t>
            </w:r>
          </w:p>
        </w:tc>
        <w:tc>
          <w:tcPr>
            <w:tcW w:w="8281" w:type="dxa"/>
            <w:gridSpan w:val="3"/>
            <w:noWrap w:val="0"/>
            <w:vAlign w:val="center"/>
          </w:tcPr>
          <w:p w14:paraId="2CC832E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jc w:val="center"/>
              <w:textAlignment w:val="baseline"/>
              <w:rPr>
                <w:rFonts w:hint="eastAsia" w:ascii="仿宋" w:hAnsi="仿宋" w:eastAsia="仿宋" w:cs="仿宋"/>
                <w:color w:val="auto"/>
                <w:sz w:val="24"/>
                <w:szCs w:val="24"/>
                <w:highlight w:val="none"/>
              </w:rPr>
            </w:pPr>
          </w:p>
        </w:tc>
      </w:tr>
      <w:tr w14:paraId="26310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268" w:hRule="atLeast"/>
        </w:trPr>
        <w:tc>
          <w:tcPr>
            <w:tcW w:w="1193" w:type="dxa"/>
            <w:noWrap w:val="0"/>
            <w:vAlign w:val="center"/>
          </w:tcPr>
          <w:p w14:paraId="5FAE5EF4">
            <w:pPr>
              <w:keepNext w:val="0"/>
              <w:keepLines w:val="0"/>
              <w:pageBreakBefore w:val="0"/>
              <w:suppressLineNumbers w:val="0"/>
              <w:kinsoku w:val="0"/>
              <w:wordWrap/>
              <w:overflowPunct/>
              <w:topLinePunct w:val="0"/>
              <w:autoSpaceDE w:val="0"/>
              <w:autoSpaceDN w:val="0"/>
              <w:bidi w:val="0"/>
              <w:adjustRightInd w:val="0"/>
              <w:snapToGrid w:val="0"/>
              <w:spacing w:before="65" w:beforeAutospacing="0" w:after="0" w:afterAutospacing="0" w:line="460" w:lineRule="exact"/>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复查情况</w:t>
            </w:r>
          </w:p>
        </w:tc>
        <w:tc>
          <w:tcPr>
            <w:tcW w:w="8281" w:type="dxa"/>
            <w:gridSpan w:val="3"/>
            <w:noWrap w:val="0"/>
            <w:vAlign w:val="center"/>
          </w:tcPr>
          <w:p w14:paraId="2230E1F6">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jc w:val="center"/>
              <w:textAlignment w:val="baseline"/>
              <w:rPr>
                <w:rFonts w:hint="eastAsia" w:ascii="仿宋" w:hAnsi="仿宋" w:eastAsia="仿宋" w:cs="仿宋"/>
                <w:color w:val="auto"/>
                <w:sz w:val="24"/>
                <w:szCs w:val="24"/>
                <w:highlight w:val="none"/>
              </w:rPr>
            </w:pPr>
          </w:p>
        </w:tc>
      </w:tr>
      <w:tr w14:paraId="239C1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7" w:hRule="atLeast"/>
        </w:trPr>
        <w:tc>
          <w:tcPr>
            <w:tcW w:w="9474" w:type="dxa"/>
            <w:gridSpan w:val="4"/>
            <w:noWrap w:val="0"/>
            <w:vAlign w:val="center"/>
          </w:tcPr>
          <w:p w14:paraId="39ABD79C">
            <w:pPr>
              <w:keepNext w:val="0"/>
              <w:keepLines w:val="0"/>
              <w:pageBreakBefore w:val="0"/>
              <w:suppressLineNumbers w:val="0"/>
              <w:kinsoku w:val="0"/>
              <w:wordWrap/>
              <w:overflowPunct/>
              <w:topLinePunct w:val="0"/>
              <w:autoSpaceDE w:val="0"/>
              <w:autoSpaceDN w:val="0"/>
              <w:bidi w:val="0"/>
              <w:adjustRightInd w:val="0"/>
              <w:snapToGrid w:val="0"/>
              <w:spacing w:before="141" w:beforeAutospacing="0" w:after="0" w:afterAutospacing="0" w:line="460" w:lineRule="exact"/>
              <w:ind w:left="0" w:right="0" w:firstLine="115"/>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注：本表一式叁份，养护公司、管护科、财务科各一份</w:t>
            </w:r>
          </w:p>
        </w:tc>
      </w:tr>
    </w:tbl>
    <w:p w14:paraId="46D2F7BA">
      <w:pPr>
        <w:pageBreakBefore w:val="0"/>
        <w:widowControl/>
        <w:wordWrap/>
        <w:overflowPunct/>
        <w:topLinePunct w:val="0"/>
        <w:bidi w:val="0"/>
        <w:spacing w:line="460" w:lineRule="exact"/>
        <w:jc w:val="left"/>
        <w:rPr>
          <w:rFonts w:hint="eastAsia" w:ascii="仿宋" w:hAnsi="仿宋" w:eastAsia="仿宋" w:cs="仿宋"/>
          <w:b/>
          <w:color w:val="auto"/>
          <w:sz w:val="24"/>
          <w:szCs w:val="24"/>
          <w:highlight w:val="none"/>
        </w:rPr>
      </w:pPr>
    </w:p>
    <w:p w14:paraId="0175DE1D">
      <w:pPr>
        <w:pageBreakBefore w:val="0"/>
        <w:wordWrap/>
        <w:overflowPunct/>
        <w:topLinePunct w:val="0"/>
        <w:bidi w:val="0"/>
        <w:spacing w:before="54" w:line="460" w:lineRule="exact"/>
        <w:outlineLvl w:val="0"/>
        <w:rPr>
          <w:rFonts w:hint="eastAsia" w:ascii="仿宋" w:hAnsi="仿宋" w:eastAsia="仿宋" w:cs="仿宋"/>
          <w:b/>
          <w:bCs/>
          <w:color w:val="auto"/>
          <w:sz w:val="24"/>
          <w:szCs w:val="24"/>
          <w:highlight w:val="none"/>
        </w:rPr>
      </w:pPr>
      <w:r>
        <w:rPr>
          <w:rFonts w:hint="eastAsia" w:ascii="仿宋" w:hAnsi="仿宋" w:eastAsia="仿宋" w:cs="仿宋"/>
          <w:color w:val="auto"/>
          <w:sz w:val="24"/>
          <w:szCs w:val="24"/>
          <w:highlight w:val="none"/>
          <w:shd w:val="clear" w:color="auto" w:fill="FFFFFE"/>
        </w:rPr>
        <w:br w:type="page"/>
      </w:r>
      <w:bookmarkStart w:id="19" w:name="_Toc23004"/>
      <w:r>
        <w:rPr>
          <w:rFonts w:hint="eastAsia" w:ascii="仿宋" w:hAnsi="仿宋" w:eastAsia="仿宋" w:cs="仿宋"/>
          <w:b/>
          <w:bCs/>
          <w:color w:val="auto"/>
          <w:sz w:val="24"/>
          <w:szCs w:val="24"/>
          <w:highlight w:val="none"/>
          <w:shd w:val="clear" w:color="auto" w:fill="FFFFFE"/>
          <w:lang w:eastAsia="zh-CN"/>
        </w:rPr>
        <w:t>附件</w:t>
      </w:r>
      <w:r>
        <w:rPr>
          <w:rFonts w:hint="eastAsia" w:ascii="仿宋" w:hAnsi="仿宋" w:eastAsia="仿宋" w:cs="仿宋"/>
          <w:b/>
          <w:bCs/>
          <w:color w:val="auto"/>
          <w:sz w:val="24"/>
          <w:szCs w:val="24"/>
          <w:highlight w:val="none"/>
          <w:shd w:val="clear" w:color="auto" w:fill="FFFFFE"/>
          <w:lang w:val="en-US" w:eastAsia="zh-CN"/>
        </w:rPr>
        <w:t>4.</w:t>
      </w:r>
      <w:r>
        <w:rPr>
          <w:rFonts w:hint="eastAsia" w:ascii="仿宋" w:hAnsi="仿宋" w:eastAsia="仿宋" w:cs="仿宋"/>
          <w:b/>
          <w:bCs/>
          <w:color w:val="auto"/>
          <w:sz w:val="24"/>
          <w:szCs w:val="24"/>
          <w:highlight w:val="none"/>
          <w:shd w:val="clear" w:color="auto" w:fill="FFFFFE"/>
        </w:rPr>
        <w:t>南昌市象湖风景区管理处绿化养护管理考核评分表</w:t>
      </w:r>
      <w:bookmarkEnd w:id="19"/>
    </w:p>
    <w:tbl>
      <w:tblPr>
        <w:tblStyle w:val="6"/>
        <w:tblW w:w="9474"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423"/>
        <w:gridCol w:w="3368"/>
        <w:gridCol w:w="900"/>
        <w:gridCol w:w="899"/>
        <w:gridCol w:w="1600"/>
        <w:gridCol w:w="1284"/>
      </w:tblGrid>
      <w:tr w14:paraId="17655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10" w:hRule="atLeast"/>
        </w:trPr>
        <w:tc>
          <w:tcPr>
            <w:tcW w:w="1423" w:type="dxa"/>
            <w:noWrap w:val="0"/>
            <w:vAlign w:val="center"/>
          </w:tcPr>
          <w:p w14:paraId="73971B8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考核项目</w:t>
            </w:r>
          </w:p>
        </w:tc>
        <w:tc>
          <w:tcPr>
            <w:tcW w:w="3368" w:type="dxa"/>
            <w:noWrap w:val="0"/>
            <w:vAlign w:val="center"/>
          </w:tcPr>
          <w:p w14:paraId="3B3AC18D">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考核分项内容</w:t>
            </w:r>
          </w:p>
        </w:tc>
        <w:tc>
          <w:tcPr>
            <w:tcW w:w="900" w:type="dxa"/>
            <w:noWrap w:val="0"/>
            <w:vAlign w:val="center"/>
          </w:tcPr>
          <w:p w14:paraId="42AF6937">
            <w:pPr>
              <w:keepNext w:val="0"/>
              <w:keepLines w:val="0"/>
              <w:pageBreakBefore w:val="0"/>
              <w:suppressLineNumbers w:val="0"/>
              <w:wordWrap/>
              <w:overflowPunct/>
              <w:topLinePunct w:val="0"/>
              <w:bidi w:val="0"/>
              <w:spacing w:before="0" w:beforeAutospacing="0" w:after="0" w:afterAutospacing="0" w:line="460" w:lineRule="exact"/>
              <w:ind w:left="141" w:leftChars="67" w:right="172" w:rightChars="82"/>
              <w:jc w:val="center"/>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分项评分</w:t>
            </w:r>
          </w:p>
        </w:tc>
        <w:tc>
          <w:tcPr>
            <w:tcW w:w="899" w:type="dxa"/>
            <w:noWrap w:val="0"/>
            <w:vAlign w:val="center"/>
          </w:tcPr>
          <w:p w14:paraId="72AECDA1">
            <w:pPr>
              <w:keepNext w:val="0"/>
              <w:keepLines w:val="0"/>
              <w:pageBreakBefore w:val="0"/>
              <w:suppressLineNumbers w:val="0"/>
              <w:wordWrap/>
              <w:overflowPunct/>
              <w:topLinePunct w:val="0"/>
              <w:bidi w:val="0"/>
              <w:spacing w:before="0" w:beforeAutospacing="0" w:after="0" w:afterAutospacing="0" w:line="460" w:lineRule="exact"/>
              <w:ind w:left="141" w:leftChars="67" w:right="172" w:rightChars="82"/>
              <w:jc w:val="center"/>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考核总分</w:t>
            </w:r>
          </w:p>
        </w:tc>
        <w:tc>
          <w:tcPr>
            <w:tcW w:w="1600" w:type="dxa"/>
            <w:noWrap w:val="0"/>
            <w:vAlign w:val="center"/>
          </w:tcPr>
          <w:p w14:paraId="4EF19C86">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扣分原因</w:t>
            </w:r>
          </w:p>
        </w:tc>
        <w:tc>
          <w:tcPr>
            <w:tcW w:w="1284" w:type="dxa"/>
            <w:noWrap w:val="0"/>
            <w:vAlign w:val="center"/>
          </w:tcPr>
          <w:p w14:paraId="2E091A3C">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考核地段</w:t>
            </w:r>
          </w:p>
        </w:tc>
      </w:tr>
      <w:tr w14:paraId="58429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8" w:hRule="atLeast"/>
        </w:trPr>
        <w:tc>
          <w:tcPr>
            <w:tcW w:w="1423" w:type="dxa"/>
            <w:vMerge w:val="restart"/>
            <w:noWrap w:val="0"/>
            <w:vAlign w:val="center"/>
          </w:tcPr>
          <w:p w14:paraId="0CC7F4B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管理机制及养护设备（5分）</w:t>
            </w:r>
          </w:p>
        </w:tc>
        <w:tc>
          <w:tcPr>
            <w:tcW w:w="3368" w:type="dxa"/>
            <w:noWrap w:val="0"/>
            <w:vAlign w:val="center"/>
          </w:tcPr>
          <w:p w14:paraId="4802141A">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管理制度要求</w:t>
            </w:r>
          </w:p>
        </w:tc>
        <w:tc>
          <w:tcPr>
            <w:tcW w:w="900" w:type="dxa"/>
            <w:noWrap w:val="0"/>
            <w:vAlign w:val="center"/>
          </w:tcPr>
          <w:p w14:paraId="0E707F1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2</w:t>
            </w:r>
          </w:p>
        </w:tc>
        <w:tc>
          <w:tcPr>
            <w:tcW w:w="899" w:type="dxa"/>
            <w:noWrap w:val="0"/>
            <w:vAlign w:val="center"/>
          </w:tcPr>
          <w:p w14:paraId="1B08260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600" w:type="dxa"/>
            <w:noWrap w:val="0"/>
            <w:vAlign w:val="center"/>
          </w:tcPr>
          <w:p w14:paraId="4A9199E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284" w:type="dxa"/>
            <w:noWrap w:val="0"/>
            <w:vAlign w:val="center"/>
          </w:tcPr>
          <w:p w14:paraId="086DBC0A">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r>
      <w:tr w14:paraId="26AB7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1" w:hRule="atLeast"/>
        </w:trPr>
        <w:tc>
          <w:tcPr>
            <w:tcW w:w="1423" w:type="dxa"/>
            <w:vMerge w:val="continue"/>
            <w:noWrap w:val="0"/>
            <w:vAlign w:val="center"/>
          </w:tcPr>
          <w:p w14:paraId="4AEF661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3368" w:type="dxa"/>
            <w:noWrap w:val="0"/>
            <w:vAlign w:val="center"/>
          </w:tcPr>
          <w:p w14:paraId="28BC12A6">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养护人员</w:t>
            </w:r>
            <w:r>
              <w:rPr>
                <w:rFonts w:hint="eastAsia" w:ascii="仿宋" w:hAnsi="仿宋" w:eastAsia="仿宋" w:cs="仿宋"/>
                <w:color w:val="auto"/>
                <w:sz w:val="24"/>
                <w:szCs w:val="24"/>
                <w:highlight w:val="none"/>
                <w:shd w:val="clear" w:color="auto" w:fill="FFFFFE"/>
                <w:lang w:eastAsia="zh-CN"/>
              </w:rPr>
              <w:t>证书</w:t>
            </w:r>
            <w:r>
              <w:rPr>
                <w:rFonts w:hint="eastAsia" w:ascii="仿宋" w:hAnsi="仿宋" w:eastAsia="仿宋" w:cs="仿宋"/>
                <w:color w:val="auto"/>
                <w:sz w:val="24"/>
                <w:szCs w:val="24"/>
                <w:highlight w:val="none"/>
                <w:shd w:val="clear" w:color="auto" w:fill="FFFFFE"/>
              </w:rPr>
              <w:t>要求</w:t>
            </w:r>
          </w:p>
        </w:tc>
        <w:tc>
          <w:tcPr>
            <w:tcW w:w="900" w:type="dxa"/>
            <w:noWrap w:val="0"/>
            <w:vAlign w:val="center"/>
          </w:tcPr>
          <w:p w14:paraId="0DD9FCC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w:t>
            </w:r>
          </w:p>
        </w:tc>
        <w:tc>
          <w:tcPr>
            <w:tcW w:w="899" w:type="dxa"/>
            <w:noWrap w:val="0"/>
            <w:vAlign w:val="center"/>
          </w:tcPr>
          <w:p w14:paraId="12C2E0E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600" w:type="dxa"/>
            <w:noWrap w:val="0"/>
            <w:vAlign w:val="center"/>
          </w:tcPr>
          <w:p w14:paraId="546B495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284" w:type="dxa"/>
            <w:noWrap w:val="0"/>
            <w:vAlign w:val="center"/>
          </w:tcPr>
          <w:p w14:paraId="57AE6CD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r>
      <w:tr w14:paraId="56C39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5" w:hRule="atLeast"/>
        </w:trPr>
        <w:tc>
          <w:tcPr>
            <w:tcW w:w="1423" w:type="dxa"/>
            <w:vMerge w:val="continue"/>
            <w:noWrap w:val="0"/>
            <w:vAlign w:val="center"/>
          </w:tcPr>
          <w:p w14:paraId="42A6F98C">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3368" w:type="dxa"/>
            <w:noWrap w:val="0"/>
            <w:vAlign w:val="center"/>
          </w:tcPr>
          <w:p w14:paraId="154B758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洒水车、水泵、打草机、三轮垃圾清运车等到位情况</w:t>
            </w:r>
          </w:p>
        </w:tc>
        <w:tc>
          <w:tcPr>
            <w:tcW w:w="900" w:type="dxa"/>
            <w:noWrap w:val="0"/>
            <w:vAlign w:val="center"/>
          </w:tcPr>
          <w:p w14:paraId="2315754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2</w:t>
            </w:r>
          </w:p>
        </w:tc>
        <w:tc>
          <w:tcPr>
            <w:tcW w:w="899" w:type="dxa"/>
            <w:noWrap w:val="0"/>
            <w:vAlign w:val="center"/>
          </w:tcPr>
          <w:p w14:paraId="6F4FC4AC">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600" w:type="dxa"/>
            <w:noWrap w:val="0"/>
            <w:vAlign w:val="center"/>
          </w:tcPr>
          <w:p w14:paraId="146074B2">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284" w:type="dxa"/>
            <w:noWrap w:val="0"/>
            <w:vAlign w:val="center"/>
          </w:tcPr>
          <w:p w14:paraId="2C95DF4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r>
      <w:tr w14:paraId="7B6E6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8" w:hRule="atLeast"/>
        </w:trPr>
        <w:tc>
          <w:tcPr>
            <w:tcW w:w="1423" w:type="dxa"/>
            <w:vMerge w:val="restart"/>
            <w:noWrap w:val="0"/>
            <w:vAlign w:val="center"/>
          </w:tcPr>
          <w:p w14:paraId="1C65E7E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人员在岗及安全文明（10分）</w:t>
            </w:r>
          </w:p>
        </w:tc>
        <w:tc>
          <w:tcPr>
            <w:tcW w:w="3368" w:type="dxa"/>
            <w:noWrap w:val="0"/>
            <w:vAlign w:val="center"/>
          </w:tcPr>
          <w:p w14:paraId="2DD7203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管护人员在岗</w:t>
            </w:r>
          </w:p>
        </w:tc>
        <w:tc>
          <w:tcPr>
            <w:tcW w:w="900" w:type="dxa"/>
            <w:noWrap w:val="0"/>
            <w:vAlign w:val="center"/>
          </w:tcPr>
          <w:p w14:paraId="6EDAFC06">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lang w:eastAsia="zh-CN"/>
              </w:rPr>
            </w:pPr>
            <w:r>
              <w:rPr>
                <w:rFonts w:hint="eastAsia" w:ascii="仿宋" w:hAnsi="仿宋" w:eastAsia="仿宋" w:cs="仿宋"/>
                <w:color w:val="auto"/>
                <w:sz w:val="24"/>
                <w:szCs w:val="24"/>
                <w:highlight w:val="none"/>
                <w:shd w:val="clear" w:color="auto" w:fill="FFFFFE"/>
                <w:lang w:val="en-US" w:eastAsia="zh-CN"/>
              </w:rPr>
              <w:t>8</w:t>
            </w:r>
          </w:p>
        </w:tc>
        <w:tc>
          <w:tcPr>
            <w:tcW w:w="899" w:type="dxa"/>
            <w:noWrap w:val="0"/>
            <w:vAlign w:val="center"/>
          </w:tcPr>
          <w:p w14:paraId="7DAA841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600" w:type="dxa"/>
            <w:noWrap w:val="0"/>
            <w:vAlign w:val="center"/>
          </w:tcPr>
          <w:p w14:paraId="3F2863CD">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284" w:type="dxa"/>
            <w:noWrap w:val="0"/>
            <w:vAlign w:val="center"/>
          </w:tcPr>
          <w:p w14:paraId="76C9198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r>
      <w:tr w14:paraId="48A20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1" w:hRule="atLeast"/>
        </w:trPr>
        <w:tc>
          <w:tcPr>
            <w:tcW w:w="1423" w:type="dxa"/>
            <w:vMerge w:val="continue"/>
            <w:noWrap w:val="0"/>
            <w:vAlign w:val="center"/>
          </w:tcPr>
          <w:p w14:paraId="44BD829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3368" w:type="dxa"/>
            <w:noWrap w:val="0"/>
            <w:vAlign w:val="center"/>
          </w:tcPr>
          <w:p w14:paraId="7D8E898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工作服</w:t>
            </w:r>
          </w:p>
        </w:tc>
        <w:tc>
          <w:tcPr>
            <w:tcW w:w="900" w:type="dxa"/>
            <w:noWrap w:val="0"/>
            <w:vAlign w:val="center"/>
          </w:tcPr>
          <w:p w14:paraId="319F3BA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w:t>
            </w:r>
          </w:p>
        </w:tc>
        <w:tc>
          <w:tcPr>
            <w:tcW w:w="899" w:type="dxa"/>
            <w:noWrap w:val="0"/>
            <w:vAlign w:val="center"/>
          </w:tcPr>
          <w:p w14:paraId="1221816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600" w:type="dxa"/>
            <w:noWrap w:val="0"/>
            <w:vAlign w:val="center"/>
          </w:tcPr>
          <w:p w14:paraId="4D1B0AF2">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284" w:type="dxa"/>
            <w:noWrap w:val="0"/>
            <w:vAlign w:val="center"/>
          </w:tcPr>
          <w:p w14:paraId="3FCE3F7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r>
      <w:tr w14:paraId="009C2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1" w:hRule="atLeast"/>
        </w:trPr>
        <w:tc>
          <w:tcPr>
            <w:tcW w:w="1423" w:type="dxa"/>
            <w:vMerge w:val="continue"/>
            <w:noWrap w:val="0"/>
            <w:vAlign w:val="center"/>
          </w:tcPr>
          <w:p w14:paraId="462000A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3368" w:type="dxa"/>
            <w:noWrap w:val="0"/>
            <w:vAlign w:val="center"/>
          </w:tcPr>
          <w:p w14:paraId="4C1A63D9">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工作台账</w:t>
            </w:r>
          </w:p>
        </w:tc>
        <w:tc>
          <w:tcPr>
            <w:tcW w:w="900" w:type="dxa"/>
            <w:noWrap w:val="0"/>
            <w:vAlign w:val="center"/>
          </w:tcPr>
          <w:p w14:paraId="585CFB4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w:t>
            </w:r>
          </w:p>
        </w:tc>
        <w:tc>
          <w:tcPr>
            <w:tcW w:w="899" w:type="dxa"/>
            <w:noWrap w:val="0"/>
            <w:vAlign w:val="center"/>
          </w:tcPr>
          <w:p w14:paraId="0207AF8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600" w:type="dxa"/>
            <w:noWrap w:val="0"/>
            <w:vAlign w:val="center"/>
          </w:tcPr>
          <w:p w14:paraId="7BFFACBF">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284" w:type="dxa"/>
            <w:noWrap w:val="0"/>
            <w:vAlign w:val="center"/>
          </w:tcPr>
          <w:p w14:paraId="01F9909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r>
      <w:tr w14:paraId="71703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9" w:hRule="atLeast"/>
        </w:trPr>
        <w:tc>
          <w:tcPr>
            <w:tcW w:w="1423" w:type="dxa"/>
            <w:vMerge w:val="continue"/>
            <w:noWrap w:val="0"/>
            <w:vAlign w:val="center"/>
          </w:tcPr>
          <w:p w14:paraId="494721AD">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3368" w:type="dxa"/>
            <w:noWrap w:val="0"/>
            <w:vAlign w:val="center"/>
          </w:tcPr>
          <w:p w14:paraId="057EC5A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安全事故</w:t>
            </w:r>
          </w:p>
        </w:tc>
        <w:tc>
          <w:tcPr>
            <w:tcW w:w="900" w:type="dxa"/>
            <w:noWrap w:val="0"/>
            <w:vAlign w:val="center"/>
          </w:tcPr>
          <w:p w14:paraId="04DC831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w:t>
            </w:r>
          </w:p>
        </w:tc>
        <w:tc>
          <w:tcPr>
            <w:tcW w:w="899" w:type="dxa"/>
            <w:noWrap w:val="0"/>
            <w:vAlign w:val="center"/>
          </w:tcPr>
          <w:p w14:paraId="5A09029A">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600" w:type="dxa"/>
            <w:noWrap w:val="0"/>
            <w:vAlign w:val="center"/>
          </w:tcPr>
          <w:p w14:paraId="27F6123C">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284" w:type="dxa"/>
            <w:noWrap w:val="0"/>
            <w:vAlign w:val="center"/>
          </w:tcPr>
          <w:p w14:paraId="18548346">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r>
      <w:tr w14:paraId="347D1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1" w:hRule="atLeast"/>
        </w:trPr>
        <w:tc>
          <w:tcPr>
            <w:tcW w:w="1423" w:type="dxa"/>
            <w:vMerge w:val="restart"/>
            <w:noWrap w:val="0"/>
            <w:vAlign w:val="center"/>
          </w:tcPr>
          <w:p w14:paraId="14CCA54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部门反映及考核评比（10分）</w:t>
            </w:r>
          </w:p>
        </w:tc>
        <w:tc>
          <w:tcPr>
            <w:tcW w:w="3368" w:type="dxa"/>
            <w:noWrap w:val="0"/>
            <w:vAlign w:val="center"/>
          </w:tcPr>
          <w:p w14:paraId="557C94DD">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媒体曝光</w:t>
            </w:r>
          </w:p>
        </w:tc>
        <w:tc>
          <w:tcPr>
            <w:tcW w:w="900" w:type="dxa"/>
            <w:vMerge w:val="restart"/>
            <w:noWrap w:val="0"/>
            <w:vAlign w:val="center"/>
          </w:tcPr>
          <w:p w14:paraId="479963CF">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lang w:eastAsia="zh-CN"/>
              </w:rPr>
            </w:pPr>
            <w:r>
              <w:rPr>
                <w:rFonts w:hint="eastAsia" w:ascii="仿宋" w:hAnsi="仿宋" w:eastAsia="仿宋" w:cs="仿宋"/>
                <w:color w:val="auto"/>
                <w:sz w:val="24"/>
                <w:szCs w:val="24"/>
                <w:highlight w:val="none"/>
                <w:shd w:val="clear" w:color="auto" w:fill="FFFFFE"/>
                <w:lang w:val="en-US" w:eastAsia="zh-CN"/>
              </w:rPr>
              <w:t>5</w:t>
            </w:r>
          </w:p>
        </w:tc>
        <w:tc>
          <w:tcPr>
            <w:tcW w:w="899" w:type="dxa"/>
            <w:vMerge w:val="restart"/>
            <w:noWrap w:val="0"/>
            <w:vAlign w:val="center"/>
          </w:tcPr>
          <w:p w14:paraId="13DD2A6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600" w:type="dxa"/>
            <w:vMerge w:val="restart"/>
            <w:noWrap w:val="0"/>
            <w:vAlign w:val="center"/>
          </w:tcPr>
          <w:p w14:paraId="539D548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284" w:type="dxa"/>
            <w:vMerge w:val="restart"/>
            <w:noWrap w:val="0"/>
            <w:vAlign w:val="center"/>
          </w:tcPr>
          <w:p w14:paraId="37D651E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r>
      <w:tr w14:paraId="6F45D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1" w:hRule="atLeast"/>
        </w:trPr>
        <w:tc>
          <w:tcPr>
            <w:tcW w:w="1423" w:type="dxa"/>
            <w:vMerge w:val="continue"/>
            <w:noWrap w:val="0"/>
            <w:vAlign w:val="center"/>
          </w:tcPr>
          <w:p w14:paraId="0CA4F34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3368" w:type="dxa"/>
            <w:noWrap w:val="0"/>
            <w:vAlign w:val="center"/>
          </w:tcPr>
          <w:p w14:paraId="6A21937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“迎检”存在问题</w:t>
            </w:r>
          </w:p>
        </w:tc>
        <w:tc>
          <w:tcPr>
            <w:tcW w:w="900" w:type="dxa"/>
            <w:vMerge w:val="continue"/>
            <w:noWrap w:val="0"/>
            <w:vAlign w:val="center"/>
          </w:tcPr>
          <w:p w14:paraId="56FC9D33">
            <w:pPr>
              <w:keepNext w:val="0"/>
              <w:keepLines w:val="0"/>
              <w:pageBreakBefore w:val="0"/>
              <w:suppressLineNumbers w:val="0"/>
              <w:wordWrap/>
              <w:overflowPunct/>
              <w:topLinePunct w:val="0"/>
              <w:bidi w:val="0"/>
              <w:spacing w:before="0" w:beforeAutospacing="0" w:after="0" w:afterAutospacing="0" w:line="460" w:lineRule="exact"/>
              <w:ind w:left="141" w:leftChars="67" w:right="172" w:rightChars="82"/>
              <w:jc w:val="center"/>
              <w:rPr>
                <w:rFonts w:hint="eastAsia" w:ascii="仿宋" w:hAnsi="仿宋" w:eastAsia="仿宋" w:cs="仿宋"/>
                <w:color w:val="auto"/>
                <w:sz w:val="24"/>
                <w:szCs w:val="24"/>
                <w:highlight w:val="none"/>
                <w:shd w:val="clear" w:color="auto" w:fill="FFFFFE"/>
              </w:rPr>
            </w:pPr>
          </w:p>
        </w:tc>
        <w:tc>
          <w:tcPr>
            <w:tcW w:w="899" w:type="dxa"/>
            <w:vMerge w:val="continue"/>
            <w:noWrap w:val="0"/>
            <w:vAlign w:val="center"/>
          </w:tcPr>
          <w:p w14:paraId="6A6E1817">
            <w:pPr>
              <w:keepNext w:val="0"/>
              <w:keepLines w:val="0"/>
              <w:pageBreakBefore w:val="0"/>
              <w:suppressLineNumbers w:val="0"/>
              <w:wordWrap/>
              <w:overflowPunct/>
              <w:topLinePunct w:val="0"/>
              <w:bidi w:val="0"/>
              <w:spacing w:before="0" w:beforeAutospacing="0" w:after="0" w:afterAutospacing="0" w:line="460" w:lineRule="exact"/>
              <w:ind w:left="141" w:leftChars="67" w:right="172" w:rightChars="82"/>
              <w:jc w:val="center"/>
              <w:rPr>
                <w:rFonts w:hint="eastAsia" w:ascii="仿宋" w:hAnsi="仿宋" w:eastAsia="仿宋" w:cs="仿宋"/>
                <w:color w:val="auto"/>
                <w:sz w:val="24"/>
                <w:szCs w:val="24"/>
                <w:highlight w:val="none"/>
                <w:shd w:val="clear" w:color="auto" w:fill="FFFFFE"/>
              </w:rPr>
            </w:pPr>
          </w:p>
        </w:tc>
        <w:tc>
          <w:tcPr>
            <w:tcW w:w="1600" w:type="dxa"/>
            <w:vMerge w:val="continue"/>
            <w:noWrap w:val="0"/>
            <w:vAlign w:val="center"/>
          </w:tcPr>
          <w:p w14:paraId="7366245E">
            <w:pPr>
              <w:keepNext w:val="0"/>
              <w:keepLines w:val="0"/>
              <w:pageBreakBefore w:val="0"/>
              <w:suppressLineNumbers w:val="0"/>
              <w:wordWrap/>
              <w:overflowPunct/>
              <w:topLinePunct w:val="0"/>
              <w:bidi w:val="0"/>
              <w:spacing w:before="0" w:beforeAutospacing="0" w:after="0" w:afterAutospacing="0" w:line="460" w:lineRule="exact"/>
              <w:ind w:left="141" w:leftChars="67" w:right="172" w:rightChars="82"/>
              <w:jc w:val="center"/>
              <w:rPr>
                <w:rFonts w:hint="eastAsia" w:ascii="仿宋" w:hAnsi="仿宋" w:eastAsia="仿宋" w:cs="仿宋"/>
                <w:color w:val="auto"/>
                <w:sz w:val="24"/>
                <w:szCs w:val="24"/>
                <w:highlight w:val="none"/>
                <w:shd w:val="clear" w:color="auto" w:fill="FFFFFE"/>
              </w:rPr>
            </w:pPr>
          </w:p>
        </w:tc>
        <w:tc>
          <w:tcPr>
            <w:tcW w:w="1284" w:type="dxa"/>
            <w:vMerge w:val="continue"/>
            <w:noWrap w:val="0"/>
            <w:vAlign w:val="center"/>
          </w:tcPr>
          <w:p w14:paraId="7E53D332">
            <w:pPr>
              <w:keepNext w:val="0"/>
              <w:keepLines w:val="0"/>
              <w:pageBreakBefore w:val="0"/>
              <w:suppressLineNumbers w:val="0"/>
              <w:wordWrap/>
              <w:overflowPunct/>
              <w:topLinePunct w:val="0"/>
              <w:bidi w:val="0"/>
              <w:spacing w:before="0" w:beforeAutospacing="0" w:after="0" w:afterAutospacing="0" w:line="460" w:lineRule="exact"/>
              <w:ind w:left="141" w:leftChars="67" w:right="172" w:rightChars="82"/>
              <w:jc w:val="center"/>
              <w:rPr>
                <w:rFonts w:hint="eastAsia" w:ascii="仿宋" w:hAnsi="仿宋" w:eastAsia="仿宋" w:cs="仿宋"/>
                <w:color w:val="auto"/>
                <w:sz w:val="24"/>
                <w:szCs w:val="24"/>
                <w:highlight w:val="none"/>
                <w:shd w:val="clear" w:color="auto" w:fill="FFFFFE"/>
              </w:rPr>
            </w:pPr>
          </w:p>
        </w:tc>
      </w:tr>
      <w:tr w14:paraId="4241C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8" w:hRule="atLeast"/>
        </w:trPr>
        <w:tc>
          <w:tcPr>
            <w:tcW w:w="1423" w:type="dxa"/>
            <w:vMerge w:val="continue"/>
            <w:noWrap w:val="0"/>
            <w:vAlign w:val="center"/>
          </w:tcPr>
          <w:p w14:paraId="3A07C05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3368" w:type="dxa"/>
            <w:noWrap w:val="0"/>
            <w:vAlign w:val="center"/>
          </w:tcPr>
          <w:p w14:paraId="6A50FA4C">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市长热线</w:t>
            </w:r>
          </w:p>
        </w:tc>
        <w:tc>
          <w:tcPr>
            <w:tcW w:w="900" w:type="dxa"/>
            <w:vMerge w:val="continue"/>
            <w:noWrap w:val="0"/>
            <w:vAlign w:val="center"/>
          </w:tcPr>
          <w:p w14:paraId="22D26877">
            <w:pPr>
              <w:keepNext w:val="0"/>
              <w:keepLines w:val="0"/>
              <w:pageBreakBefore w:val="0"/>
              <w:suppressLineNumbers w:val="0"/>
              <w:wordWrap/>
              <w:overflowPunct/>
              <w:topLinePunct w:val="0"/>
              <w:bidi w:val="0"/>
              <w:spacing w:before="0" w:beforeAutospacing="0" w:after="0" w:afterAutospacing="0" w:line="460" w:lineRule="exact"/>
              <w:ind w:left="141" w:leftChars="67" w:right="172" w:rightChars="82"/>
              <w:jc w:val="center"/>
              <w:rPr>
                <w:rFonts w:hint="eastAsia" w:ascii="仿宋" w:hAnsi="仿宋" w:eastAsia="仿宋" w:cs="仿宋"/>
                <w:color w:val="auto"/>
                <w:sz w:val="24"/>
                <w:szCs w:val="24"/>
                <w:highlight w:val="none"/>
                <w:shd w:val="clear" w:color="auto" w:fill="FFFFFE"/>
              </w:rPr>
            </w:pPr>
          </w:p>
        </w:tc>
        <w:tc>
          <w:tcPr>
            <w:tcW w:w="899" w:type="dxa"/>
            <w:vMerge w:val="continue"/>
            <w:noWrap w:val="0"/>
            <w:vAlign w:val="center"/>
          </w:tcPr>
          <w:p w14:paraId="4B21F81C">
            <w:pPr>
              <w:keepNext w:val="0"/>
              <w:keepLines w:val="0"/>
              <w:pageBreakBefore w:val="0"/>
              <w:suppressLineNumbers w:val="0"/>
              <w:wordWrap/>
              <w:overflowPunct/>
              <w:topLinePunct w:val="0"/>
              <w:bidi w:val="0"/>
              <w:spacing w:before="0" w:beforeAutospacing="0" w:after="0" w:afterAutospacing="0" w:line="460" w:lineRule="exact"/>
              <w:ind w:left="141" w:leftChars="67" w:right="172" w:rightChars="82"/>
              <w:jc w:val="center"/>
              <w:rPr>
                <w:rFonts w:hint="eastAsia" w:ascii="仿宋" w:hAnsi="仿宋" w:eastAsia="仿宋" w:cs="仿宋"/>
                <w:color w:val="auto"/>
                <w:sz w:val="24"/>
                <w:szCs w:val="24"/>
                <w:highlight w:val="none"/>
                <w:shd w:val="clear" w:color="auto" w:fill="FFFFFE"/>
              </w:rPr>
            </w:pPr>
          </w:p>
        </w:tc>
        <w:tc>
          <w:tcPr>
            <w:tcW w:w="1600" w:type="dxa"/>
            <w:vMerge w:val="continue"/>
            <w:noWrap w:val="0"/>
            <w:vAlign w:val="center"/>
          </w:tcPr>
          <w:p w14:paraId="1392A3FD">
            <w:pPr>
              <w:keepNext w:val="0"/>
              <w:keepLines w:val="0"/>
              <w:pageBreakBefore w:val="0"/>
              <w:suppressLineNumbers w:val="0"/>
              <w:wordWrap/>
              <w:overflowPunct/>
              <w:topLinePunct w:val="0"/>
              <w:bidi w:val="0"/>
              <w:spacing w:before="0" w:beforeAutospacing="0" w:after="0" w:afterAutospacing="0" w:line="460" w:lineRule="exact"/>
              <w:ind w:left="141" w:leftChars="67" w:right="172" w:rightChars="82"/>
              <w:jc w:val="center"/>
              <w:rPr>
                <w:rFonts w:hint="eastAsia" w:ascii="仿宋" w:hAnsi="仿宋" w:eastAsia="仿宋" w:cs="仿宋"/>
                <w:color w:val="auto"/>
                <w:sz w:val="24"/>
                <w:szCs w:val="24"/>
                <w:highlight w:val="none"/>
                <w:shd w:val="clear" w:color="auto" w:fill="FFFFFE"/>
              </w:rPr>
            </w:pPr>
          </w:p>
        </w:tc>
        <w:tc>
          <w:tcPr>
            <w:tcW w:w="1284" w:type="dxa"/>
            <w:vMerge w:val="continue"/>
            <w:noWrap w:val="0"/>
            <w:vAlign w:val="center"/>
          </w:tcPr>
          <w:p w14:paraId="3FBE35A9">
            <w:pPr>
              <w:keepNext w:val="0"/>
              <w:keepLines w:val="0"/>
              <w:pageBreakBefore w:val="0"/>
              <w:suppressLineNumbers w:val="0"/>
              <w:wordWrap/>
              <w:overflowPunct/>
              <w:topLinePunct w:val="0"/>
              <w:bidi w:val="0"/>
              <w:spacing w:before="0" w:beforeAutospacing="0" w:after="0" w:afterAutospacing="0" w:line="460" w:lineRule="exact"/>
              <w:ind w:left="141" w:leftChars="67" w:right="172" w:rightChars="82"/>
              <w:jc w:val="center"/>
              <w:rPr>
                <w:rFonts w:hint="eastAsia" w:ascii="仿宋" w:hAnsi="仿宋" w:eastAsia="仿宋" w:cs="仿宋"/>
                <w:color w:val="auto"/>
                <w:sz w:val="24"/>
                <w:szCs w:val="24"/>
                <w:highlight w:val="none"/>
                <w:shd w:val="clear" w:color="auto" w:fill="FFFFFE"/>
              </w:rPr>
            </w:pPr>
          </w:p>
        </w:tc>
      </w:tr>
      <w:tr w14:paraId="65B43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1" w:hRule="atLeast"/>
        </w:trPr>
        <w:tc>
          <w:tcPr>
            <w:tcW w:w="1423" w:type="dxa"/>
            <w:vMerge w:val="continue"/>
            <w:noWrap w:val="0"/>
            <w:vAlign w:val="center"/>
          </w:tcPr>
          <w:p w14:paraId="6CA85509">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3368" w:type="dxa"/>
            <w:noWrap w:val="0"/>
            <w:vAlign w:val="center"/>
          </w:tcPr>
          <w:p w14:paraId="448B39C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考核评比</w:t>
            </w:r>
          </w:p>
        </w:tc>
        <w:tc>
          <w:tcPr>
            <w:tcW w:w="900" w:type="dxa"/>
            <w:vMerge w:val="continue"/>
            <w:noWrap w:val="0"/>
            <w:vAlign w:val="center"/>
          </w:tcPr>
          <w:p w14:paraId="2699E696">
            <w:pPr>
              <w:keepNext w:val="0"/>
              <w:keepLines w:val="0"/>
              <w:pageBreakBefore w:val="0"/>
              <w:suppressLineNumbers w:val="0"/>
              <w:wordWrap/>
              <w:overflowPunct/>
              <w:topLinePunct w:val="0"/>
              <w:bidi w:val="0"/>
              <w:spacing w:before="0" w:beforeAutospacing="0" w:after="0" w:afterAutospacing="0" w:line="460" w:lineRule="exact"/>
              <w:ind w:left="141" w:leftChars="67" w:right="172" w:rightChars="82"/>
              <w:jc w:val="center"/>
              <w:rPr>
                <w:rFonts w:hint="eastAsia" w:ascii="仿宋" w:hAnsi="仿宋" w:eastAsia="仿宋" w:cs="仿宋"/>
                <w:color w:val="auto"/>
                <w:sz w:val="24"/>
                <w:szCs w:val="24"/>
                <w:highlight w:val="none"/>
                <w:shd w:val="clear" w:color="auto" w:fill="FFFFFE"/>
              </w:rPr>
            </w:pPr>
          </w:p>
        </w:tc>
        <w:tc>
          <w:tcPr>
            <w:tcW w:w="899" w:type="dxa"/>
            <w:vMerge w:val="continue"/>
            <w:noWrap w:val="0"/>
            <w:vAlign w:val="center"/>
          </w:tcPr>
          <w:p w14:paraId="5D9B04C2">
            <w:pPr>
              <w:keepNext w:val="0"/>
              <w:keepLines w:val="0"/>
              <w:pageBreakBefore w:val="0"/>
              <w:suppressLineNumbers w:val="0"/>
              <w:wordWrap/>
              <w:overflowPunct/>
              <w:topLinePunct w:val="0"/>
              <w:bidi w:val="0"/>
              <w:spacing w:before="0" w:beforeAutospacing="0" w:after="0" w:afterAutospacing="0" w:line="460" w:lineRule="exact"/>
              <w:ind w:left="141" w:leftChars="67" w:right="172" w:rightChars="82"/>
              <w:jc w:val="center"/>
              <w:rPr>
                <w:rFonts w:hint="eastAsia" w:ascii="仿宋" w:hAnsi="仿宋" w:eastAsia="仿宋" w:cs="仿宋"/>
                <w:color w:val="auto"/>
                <w:sz w:val="24"/>
                <w:szCs w:val="24"/>
                <w:highlight w:val="none"/>
                <w:shd w:val="clear" w:color="auto" w:fill="FFFFFE"/>
              </w:rPr>
            </w:pPr>
          </w:p>
        </w:tc>
        <w:tc>
          <w:tcPr>
            <w:tcW w:w="1600" w:type="dxa"/>
            <w:vMerge w:val="continue"/>
            <w:noWrap w:val="0"/>
            <w:vAlign w:val="center"/>
          </w:tcPr>
          <w:p w14:paraId="0752191D">
            <w:pPr>
              <w:keepNext w:val="0"/>
              <w:keepLines w:val="0"/>
              <w:pageBreakBefore w:val="0"/>
              <w:suppressLineNumbers w:val="0"/>
              <w:wordWrap/>
              <w:overflowPunct/>
              <w:topLinePunct w:val="0"/>
              <w:bidi w:val="0"/>
              <w:spacing w:before="0" w:beforeAutospacing="0" w:after="0" w:afterAutospacing="0" w:line="460" w:lineRule="exact"/>
              <w:ind w:left="141" w:leftChars="67" w:right="172" w:rightChars="82"/>
              <w:jc w:val="center"/>
              <w:rPr>
                <w:rFonts w:hint="eastAsia" w:ascii="仿宋" w:hAnsi="仿宋" w:eastAsia="仿宋" w:cs="仿宋"/>
                <w:color w:val="auto"/>
                <w:sz w:val="24"/>
                <w:szCs w:val="24"/>
                <w:highlight w:val="none"/>
                <w:shd w:val="clear" w:color="auto" w:fill="FFFFFE"/>
              </w:rPr>
            </w:pPr>
          </w:p>
        </w:tc>
        <w:tc>
          <w:tcPr>
            <w:tcW w:w="1284" w:type="dxa"/>
            <w:vMerge w:val="continue"/>
            <w:noWrap w:val="0"/>
            <w:vAlign w:val="center"/>
          </w:tcPr>
          <w:p w14:paraId="42061F59">
            <w:pPr>
              <w:keepNext w:val="0"/>
              <w:keepLines w:val="0"/>
              <w:pageBreakBefore w:val="0"/>
              <w:suppressLineNumbers w:val="0"/>
              <w:wordWrap/>
              <w:overflowPunct/>
              <w:topLinePunct w:val="0"/>
              <w:bidi w:val="0"/>
              <w:spacing w:before="0" w:beforeAutospacing="0" w:after="0" w:afterAutospacing="0" w:line="460" w:lineRule="exact"/>
              <w:ind w:left="141" w:leftChars="67" w:right="172" w:rightChars="82"/>
              <w:jc w:val="center"/>
              <w:rPr>
                <w:rFonts w:hint="eastAsia" w:ascii="仿宋" w:hAnsi="仿宋" w:eastAsia="仿宋" w:cs="仿宋"/>
                <w:color w:val="auto"/>
                <w:sz w:val="24"/>
                <w:szCs w:val="24"/>
                <w:highlight w:val="none"/>
                <w:shd w:val="clear" w:color="auto" w:fill="FFFFFE"/>
              </w:rPr>
            </w:pPr>
          </w:p>
        </w:tc>
      </w:tr>
      <w:tr w14:paraId="3F4FF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1" w:hRule="atLeast"/>
        </w:trPr>
        <w:tc>
          <w:tcPr>
            <w:tcW w:w="1423" w:type="dxa"/>
            <w:vMerge w:val="continue"/>
            <w:noWrap w:val="0"/>
            <w:vAlign w:val="center"/>
          </w:tcPr>
          <w:p w14:paraId="0F14336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3368" w:type="dxa"/>
            <w:noWrap w:val="0"/>
            <w:vAlign w:val="center"/>
          </w:tcPr>
          <w:p w14:paraId="36F0EBAD">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领导批评</w:t>
            </w:r>
          </w:p>
        </w:tc>
        <w:tc>
          <w:tcPr>
            <w:tcW w:w="900" w:type="dxa"/>
            <w:vMerge w:val="continue"/>
            <w:noWrap w:val="0"/>
            <w:vAlign w:val="center"/>
          </w:tcPr>
          <w:p w14:paraId="746F13FB">
            <w:pPr>
              <w:keepNext w:val="0"/>
              <w:keepLines w:val="0"/>
              <w:pageBreakBefore w:val="0"/>
              <w:suppressLineNumbers w:val="0"/>
              <w:wordWrap/>
              <w:overflowPunct/>
              <w:topLinePunct w:val="0"/>
              <w:bidi w:val="0"/>
              <w:spacing w:before="0" w:beforeAutospacing="0" w:after="0" w:afterAutospacing="0" w:line="460" w:lineRule="exact"/>
              <w:ind w:left="141" w:leftChars="67" w:right="172" w:rightChars="82"/>
              <w:jc w:val="center"/>
              <w:rPr>
                <w:rFonts w:hint="eastAsia" w:ascii="仿宋" w:hAnsi="仿宋" w:eastAsia="仿宋" w:cs="仿宋"/>
                <w:color w:val="auto"/>
                <w:sz w:val="24"/>
                <w:szCs w:val="24"/>
                <w:highlight w:val="none"/>
                <w:shd w:val="clear" w:color="auto" w:fill="FFFFFE"/>
              </w:rPr>
            </w:pPr>
          </w:p>
        </w:tc>
        <w:tc>
          <w:tcPr>
            <w:tcW w:w="899" w:type="dxa"/>
            <w:vMerge w:val="continue"/>
            <w:noWrap w:val="0"/>
            <w:vAlign w:val="center"/>
          </w:tcPr>
          <w:p w14:paraId="5490D150">
            <w:pPr>
              <w:keepNext w:val="0"/>
              <w:keepLines w:val="0"/>
              <w:pageBreakBefore w:val="0"/>
              <w:suppressLineNumbers w:val="0"/>
              <w:wordWrap/>
              <w:overflowPunct/>
              <w:topLinePunct w:val="0"/>
              <w:bidi w:val="0"/>
              <w:spacing w:before="0" w:beforeAutospacing="0" w:after="0" w:afterAutospacing="0" w:line="460" w:lineRule="exact"/>
              <w:ind w:left="141" w:leftChars="67" w:right="172" w:rightChars="82"/>
              <w:jc w:val="center"/>
              <w:rPr>
                <w:rFonts w:hint="eastAsia" w:ascii="仿宋" w:hAnsi="仿宋" w:eastAsia="仿宋" w:cs="仿宋"/>
                <w:color w:val="auto"/>
                <w:sz w:val="24"/>
                <w:szCs w:val="24"/>
                <w:highlight w:val="none"/>
                <w:shd w:val="clear" w:color="auto" w:fill="FFFFFE"/>
              </w:rPr>
            </w:pPr>
          </w:p>
        </w:tc>
        <w:tc>
          <w:tcPr>
            <w:tcW w:w="1600" w:type="dxa"/>
            <w:vMerge w:val="continue"/>
            <w:noWrap w:val="0"/>
            <w:vAlign w:val="center"/>
          </w:tcPr>
          <w:p w14:paraId="1F1335DC">
            <w:pPr>
              <w:keepNext w:val="0"/>
              <w:keepLines w:val="0"/>
              <w:pageBreakBefore w:val="0"/>
              <w:suppressLineNumbers w:val="0"/>
              <w:wordWrap/>
              <w:overflowPunct/>
              <w:topLinePunct w:val="0"/>
              <w:bidi w:val="0"/>
              <w:spacing w:before="0" w:beforeAutospacing="0" w:after="0" w:afterAutospacing="0" w:line="460" w:lineRule="exact"/>
              <w:ind w:left="141" w:leftChars="67" w:right="172" w:rightChars="82"/>
              <w:jc w:val="center"/>
              <w:rPr>
                <w:rFonts w:hint="eastAsia" w:ascii="仿宋" w:hAnsi="仿宋" w:eastAsia="仿宋" w:cs="仿宋"/>
                <w:color w:val="auto"/>
                <w:sz w:val="24"/>
                <w:szCs w:val="24"/>
                <w:highlight w:val="none"/>
                <w:shd w:val="clear" w:color="auto" w:fill="FFFFFE"/>
              </w:rPr>
            </w:pPr>
          </w:p>
        </w:tc>
        <w:tc>
          <w:tcPr>
            <w:tcW w:w="1284" w:type="dxa"/>
            <w:vMerge w:val="continue"/>
            <w:noWrap w:val="0"/>
            <w:vAlign w:val="center"/>
          </w:tcPr>
          <w:p w14:paraId="2F63E5FE">
            <w:pPr>
              <w:keepNext w:val="0"/>
              <w:keepLines w:val="0"/>
              <w:pageBreakBefore w:val="0"/>
              <w:suppressLineNumbers w:val="0"/>
              <w:wordWrap/>
              <w:overflowPunct/>
              <w:topLinePunct w:val="0"/>
              <w:bidi w:val="0"/>
              <w:spacing w:before="0" w:beforeAutospacing="0" w:after="0" w:afterAutospacing="0" w:line="460" w:lineRule="exact"/>
              <w:ind w:left="141" w:leftChars="67" w:right="172" w:rightChars="82"/>
              <w:jc w:val="center"/>
              <w:rPr>
                <w:rFonts w:hint="eastAsia" w:ascii="仿宋" w:hAnsi="仿宋" w:eastAsia="仿宋" w:cs="仿宋"/>
                <w:color w:val="auto"/>
                <w:sz w:val="24"/>
                <w:szCs w:val="24"/>
                <w:highlight w:val="none"/>
                <w:shd w:val="clear" w:color="auto" w:fill="FFFFFE"/>
              </w:rPr>
            </w:pPr>
          </w:p>
        </w:tc>
      </w:tr>
      <w:tr w14:paraId="0EFBD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8" w:hRule="atLeast"/>
        </w:trPr>
        <w:tc>
          <w:tcPr>
            <w:tcW w:w="1423" w:type="dxa"/>
            <w:vMerge w:val="restart"/>
            <w:noWrap w:val="0"/>
            <w:vAlign w:val="center"/>
          </w:tcPr>
          <w:p w14:paraId="7025C35F">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lang w:eastAsia="zh-CN"/>
              </w:rPr>
              <w:t>数字城管或掌上城管</w:t>
            </w:r>
            <w:r>
              <w:rPr>
                <w:rFonts w:hint="eastAsia" w:ascii="仿宋" w:hAnsi="仿宋" w:eastAsia="仿宋" w:cs="仿宋"/>
                <w:color w:val="auto"/>
                <w:sz w:val="24"/>
                <w:szCs w:val="24"/>
                <w:highlight w:val="none"/>
                <w:shd w:val="clear" w:color="auto" w:fill="FFFFFE"/>
              </w:rPr>
              <w:t>（5分）</w:t>
            </w:r>
          </w:p>
        </w:tc>
        <w:tc>
          <w:tcPr>
            <w:tcW w:w="3368" w:type="dxa"/>
            <w:noWrap w:val="0"/>
            <w:vAlign w:val="center"/>
          </w:tcPr>
          <w:p w14:paraId="4066BF6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网上派遣问题</w:t>
            </w:r>
          </w:p>
        </w:tc>
        <w:tc>
          <w:tcPr>
            <w:tcW w:w="900" w:type="dxa"/>
            <w:noWrap w:val="0"/>
            <w:vAlign w:val="center"/>
          </w:tcPr>
          <w:p w14:paraId="5807079C">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2</w:t>
            </w:r>
          </w:p>
        </w:tc>
        <w:tc>
          <w:tcPr>
            <w:tcW w:w="899" w:type="dxa"/>
            <w:noWrap w:val="0"/>
            <w:vAlign w:val="center"/>
          </w:tcPr>
          <w:p w14:paraId="10CDA7B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600" w:type="dxa"/>
            <w:noWrap w:val="0"/>
            <w:vAlign w:val="center"/>
          </w:tcPr>
          <w:p w14:paraId="51852FC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284" w:type="dxa"/>
            <w:noWrap w:val="0"/>
            <w:vAlign w:val="center"/>
          </w:tcPr>
          <w:p w14:paraId="024461B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r>
      <w:tr w14:paraId="34533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1" w:hRule="atLeast"/>
        </w:trPr>
        <w:tc>
          <w:tcPr>
            <w:tcW w:w="1423" w:type="dxa"/>
            <w:vMerge w:val="continue"/>
            <w:noWrap w:val="0"/>
            <w:vAlign w:val="center"/>
          </w:tcPr>
          <w:p w14:paraId="7CCC65D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3368" w:type="dxa"/>
            <w:noWrap w:val="0"/>
            <w:vAlign w:val="center"/>
          </w:tcPr>
          <w:p w14:paraId="0677187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整改不到位</w:t>
            </w:r>
          </w:p>
        </w:tc>
        <w:tc>
          <w:tcPr>
            <w:tcW w:w="900" w:type="dxa"/>
            <w:noWrap w:val="0"/>
            <w:vAlign w:val="center"/>
          </w:tcPr>
          <w:p w14:paraId="683C909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3</w:t>
            </w:r>
          </w:p>
        </w:tc>
        <w:tc>
          <w:tcPr>
            <w:tcW w:w="899" w:type="dxa"/>
            <w:noWrap w:val="0"/>
            <w:vAlign w:val="center"/>
          </w:tcPr>
          <w:p w14:paraId="0C28F81F">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600" w:type="dxa"/>
            <w:noWrap w:val="0"/>
            <w:vAlign w:val="center"/>
          </w:tcPr>
          <w:p w14:paraId="4CEB6816">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284" w:type="dxa"/>
            <w:noWrap w:val="0"/>
            <w:vAlign w:val="center"/>
          </w:tcPr>
          <w:p w14:paraId="2E35329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r>
      <w:tr w14:paraId="230E7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8" w:hRule="atLeast"/>
        </w:trPr>
        <w:tc>
          <w:tcPr>
            <w:tcW w:w="1423" w:type="dxa"/>
            <w:vMerge w:val="restart"/>
            <w:noWrap w:val="0"/>
            <w:vAlign w:val="center"/>
          </w:tcPr>
          <w:p w14:paraId="35C4EA8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绿化养护（60分）</w:t>
            </w:r>
          </w:p>
        </w:tc>
        <w:tc>
          <w:tcPr>
            <w:tcW w:w="3368" w:type="dxa"/>
            <w:noWrap w:val="0"/>
            <w:vAlign w:val="center"/>
          </w:tcPr>
          <w:p w14:paraId="4D41242A">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卫生保洁</w:t>
            </w:r>
          </w:p>
        </w:tc>
        <w:tc>
          <w:tcPr>
            <w:tcW w:w="900" w:type="dxa"/>
            <w:noWrap w:val="0"/>
            <w:vAlign w:val="center"/>
          </w:tcPr>
          <w:p w14:paraId="3F6B81E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10</w:t>
            </w:r>
          </w:p>
        </w:tc>
        <w:tc>
          <w:tcPr>
            <w:tcW w:w="899" w:type="dxa"/>
            <w:noWrap w:val="0"/>
            <w:vAlign w:val="center"/>
          </w:tcPr>
          <w:p w14:paraId="35086F7C">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600" w:type="dxa"/>
            <w:noWrap w:val="0"/>
            <w:vAlign w:val="center"/>
          </w:tcPr>
          <w:p w14:paraId="329AE63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284" w:type="dxa"/>
            <w:noWrap w:val="0"/>
            <w:vAlign w:val="center"/>
          </w:tcPr>
          <w:p w14:paraId="3D9759F6">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r>
      <w:tr w14:paraId="38BE0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1" w:hRule="atLeast"/>
        </w:trPr>
        <w:tc>
          <w:tcPr>
            <w:tcW w:w="1423" w:type="dxa"/>
            <w:vMerge w:val="continue"/>
            <w:noWrap w:val="0"/>
            <w:vAlign w:val="center"/>
          </w:tcPr>
          <w:p w14:paraId="583DFDC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3368" w:type="dxa"/>
            <w:noWrap w:val="0"/>
            <w:vAlign w:val="center"/>
          </w:tcPr>
          <w:p w14:paraId="6D45769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植物景观</w:t>
            </w:r>
          </w:p>
        </w:tc>
        <w:tc>
          <w:tcPr>
            <w:tcW w:w="900" w:type="dxa"/>
            <w:noWrap w:val="0"/>
            <w:vAlign w:val="center"/>
          </w:tcPr>
          <w:p w14:paraId="5D6F89B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w:t>
            </w:r>
          </w:p>
        </w:tc>
        <w:tc>
          <w:tcPr>
            <w:tcW w:w="899" w:type="dxa"/>
            <w:noWrap w:val="0"/>
            <w:vAlign w:val="center"/>
          </w:tcPr>
          <w:p w14:paraId="4F333FD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600" w:type="dxa"/>
            <w:noWrap w:val="0"/>
            <w:vAlign w:val="center"/>
          </w:tcPr>
          <w:p w14:paraId="44BD1A5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284" w:type="dxa"/>
            <w:noWrap w:val="0"/>
            <w:vAlign w:val="center"/>
          </w:tcPr>
          <w:p w14:paraId="654B018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r>
      <w:tr w14:paraId="373CE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8" w:hRule="atLeast"/>
        </w:trPr>
        <w:tc>
          <w:tcPr>
            <w:tcW w:w="1423" w:type="dxa"/>
            <w:vMerge w:val="continue"/>
            <w:noWrap w:val="0"/>
            <w:vAlign w:val="center"/>
          </w:tcPr>
          <w:p w14:paraId="52A6B73C">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3368" w:type="dxa"/>
            <w:noWrap w:val="0"/>
            <w:vAlign w:val="center"/>
          </w:tcPr>
          <w:p w14:paraId="19D53F0A">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整形修剪</w:t>
            </w:r>
          </w:p>
        </w:tc>
        <w:tc>
          <w:tcPr>
            <w:tcW w:w="900" w:type="dxa"/>
            <w:noWrap w:val="0"/>
            <w:vAlign w:val="center"/>
          </w:tcPr>
          <w:p w14:paraId="31C55CB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w:t>
            </w:r>
          </w:p>
        </w:tc>
        <w:tc>
          <w:tcPr>
            <w:tcW w:w="899" w:type="dxa"/>
            <w:noWrap w:val="0"/>
            <w:vAlign w:val="center"/>
          </w:tcPr>
          <w:p w14:paraId="6B09D3F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600" w:type="dxa"/>
            <w:noWrap w:val="0"/>
            <w:vAlign w:val="center"/>
          </w:tcPr>
          <w:p w14:paraId="01A2592D">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284" w:type="dxa"/>
            <w:noWrap w:val="0"/>
            <w:vAlign w:val="center"/>
          </w:tcPr>
          <w:p w14:paraId="760F7CB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r>
      <w:tr w14:paraId="2CD82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1" w:hRule="atLeast"/>
        </w:trPr>
        <w:tc>
          <w:tcPr>
            <w:tcW w:w="1423" w:type="dxa"/>
            <w:vMerge w:val="continue"/>
            <w:noWrap w:val="0"/>
            <w:vAlign w:val="center"/>
          </w:tcPr>
          <w:p w14:paraId="115077E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3368" w:type="dxa"/>
            <w:noWrap w:val="0"/>
            <w:vAlign w:val="center"/>
          </w:tcPr>
          <w:p w14:paraId="22B4E31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中耕除草</w:t>
            </w:r>
          </w:p>
        </w:tc>
        <w:tc>
          <w:tcPr>
            <w:tcW w:w="900" w:type="dxa"/>
            <w:noWrap w:val="0"/>
            <w:vAlign w:val="center"/>
          </w:tcPr>
          <w:p w14:paraId="7A733DF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default" w:ascii="仿宋" w:hAnsi="仿宋" w:eastAsia="仿宋" w:cs="仿宋"/>
                <w:color w:val="auto"/>
                <w:sz w:val="24"/>
                <w:szCs w:val="24"/>
                <w:highlight w:val="none"/>
                <w:shd w:val="clear" w:color="auto" w:fill="FFFFFE"/>
                <w:lang w:val="en-US" w:eastAsia="zh-CN"/>
              </w:rPr>
            </w:pPr>
            <w:r>
              <w:rPr>
                <w:rFonts w:hint="eastAsia" w:ascii="仿宋" w:hAnsi="仿宋" w:eastAsia="仿宋" w:cs="仿宋"/>
                <w:color w:val="auto"/>
                <w:sz w:val="24"/>
                <w:szCs w:val="24"/>
                <w:highlight w:val="none"/>
                <w:shd w:val="clear" w:color="auto" w:fill="FFFFFE"/>
                <w:lang w:val="en-US" w:eastAsia="zh-CN"/>
              </w:rPr>
              <w:t>10</w:t>
            </w:r>
          </w:p>
        </w:tc>
        <w:tc>
          <w:tcPr>
            <w:tcW w:w="899" w:type="dxa"/>
            <w:noWrap w:val="0"/>
            <w:vAlign w:val="center"/>
          </w:tcPr>
          <w:p w14:paraId="2ECADDD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600" w:type="dxa"/>
            <w:noWrap w:val="0"/>
            <w:vAlign w:val="center"/>
          </w:tcPr>
          <w:p w14:paraId="0E330252">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284" w:type="dxa"/>
            <w:noWrap w:val="0"/>
            <w:vAlign w:val="center"/>
          </w:tcPr>
          <w:p w14:paraId="0617410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r>
      <w:tr w14:paraId="268E6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1" w:hRule="atLeast"/>
        </w:trPr>
        <w:tc>
          <w:tcPr>
            <w:tcW w:w="1423" w:type="dxa"/>
            <w:vMerge w:val="continue"/>
            <w:noWrap w:val="0"/>
            <w:vAlign w:val="center"/>
          </w:tcPr>
          <w:p w14:paraId="55AC396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3368" w:type="dxa"/>
            <w:noWrap w:val="0"/>
            <w:vAlign w:val="center"/>
          </w:tcPr>
          <w:p w14:paraId="7A435D9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病虫防治</w:t>
            </w:r>
          </w:p>
        </w:tc>
        <w:tc>
          <w:tcPr>
            <w:tcW w:w="900" w:type="dxa"/>
            <w:noWrap w:val="0"/>
            <w:vAlign w:val="center"/>
          </w:tcPr>
          <w:p w14:paraId="40F1A299">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w:t>
            </w:r>
          </w:p>
        </w:tc>
        <w:tc>
          <w:tcPr>
            <w:tcW w:w="899" w:type="dxa"/>
            <w:noWrap w:val="0"/>
            <w:vAlign w:val="center"/>
          </w:tcPr>
          <w:p w14:paraId="3A3820C9">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600" w:type="dxa"/>
            <w:noWrap w:val="0"/>
            <w:vAlign w:val="center"/>
          </w:tcPr>
          <w:p w14:paraId="5E261B3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284" w:type="dxa"/>
            <w:noWrap w:val="0"/>
            <w:vAlign w:val="center"/>
          </w:tcPr>
          <w:p w14:paraId="2561C21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r>
      <w:tr w14:paraId="49A14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1" w:hRule="atLeast"/>
        </w:trPr>
        <w:tc>
          <w:tcPr>
            <w:tcW w:w="1423" w:type="dxa"/>
            <w:vMerge w:val="continue"/>
            <w:noWrap w:val="0"/>
            <w:vAlign w:val="center"/>
          </w:tcPr>
          <w:p w14:paraId="27B17D9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3368" w:type="dxa"/>
            <w:noWrap w:val="0"/>
            <w:vAlign w:val="center"/>
          </w:tcPr>
          <w:p w14:paraId="2C898C4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施肥管理</w:t>
            </w:r>
          </w:p>
        </w:tc>
        <w:tc>
          <w:tcPr>
            <w:tcW w:w="900" w:type="dxa"/>
            <w:noWrap w:val="0"/>
            <w:vAlign w:val="center"/>
          </w:tcPr>
          <w:p w14:paraId="7A831A1A">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w:t>
            </w:r>
          </w:p>
        </w:tc>
        <w:tc>
          <w:tcPr>
            <w:tcW w:w="899" w:type="dxa"/>
            <w:noWrap w:val="0"/>
            <w:vAlign w:val="center"/>
          </w:tcPr>
          <w:p w14:paraId="4EE98D76">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600" w:type="dxa"/>
            <w:noWrap w:val="0"/>
            <w:vAlign w:val="center"/>
          </w:tcPr>
          <w:p w14:paraId="2EE448AC">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284" w:type="dxa"/>
            <w:noWrap w:val="0"/>
            <w:vAlign w:val="center"/>
          </w:tcPr>
          <w:p w14:paraId="7C50F16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r>
      <w:tr w14:paraId="7709E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1" w:hRule="atLeast"/>
        </w:trPr>
        <w:tc>
          <w:tcPr>
            <w:tcW w:w="1423" w:type="dxa"/>
            <w:vMerge w:val="continue"/>
            <w:noWrap w:val="0"/>
            <w:vAlign w:val="center"/>
          </w:tcPr>
          <w:p w14:paraId="1B510972">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3368" w:type="dxa"/>
            <w:noWrap w:val="0"/>
            <w:vAlign w:val="center"/>
          </w:tcPr>
          <w:p w14:paraId="67C60FC6">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灌水排水</w:t>
            </w:r>
          </w:p>
        </w:tc>
        <w:tc>
          <w:tcPr>
            <w:tcW w:w="900" w:type="dxa"/>
            <w:noWrap w:val="0"/>
            <w:vAlign w:val="center"/>
          </w:tcPr>
          <w:p w14:paraId="755A7242">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w:t>
            </w:r>
          </w:p>
        </w:tc>
        <w:tc>
          <w:tcPr>
            <w:tcW w:w="899" w:type="dxa"/>
            <w:noWrap w:val="0"/>
            <w:vAlign w:val="center"/>
          </w:tcPr>
          <w:p w14:paraId="24852599">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600" w:type="dxa"/>
            <w:noWrap w:val="0"/>
            <w:vAlign w:val="center"/>
          </w:tcPr>
          <w:p w14:paraId="53A12BC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284" w:type="dxa"/>
            <w:noWrap w:val="0"/>
            <w:vAlign w:val="center"/>
          </w:tcPr>
          <w:p w14:paraId="210FA8A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r>
      <w:tr w14:paraId="53AD3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8" w:hRule="atLeast"/>
        </w:trPr>
        <w:tc>
          <w:tcPr>
            <w:tcW w:w="1423" w:type="dxa"/>
            <w:vMerge w:val="continue"/>
            <w:noWrap w:val="0"/>
            <w:vAlign w:val="center"/>
          </w:tcPr>
          <w:p w14:paraId="1878398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3368" w:type="dxa"/>
            <w:noWrap w:val="0"/>
            <w:vAlign w:val="center"/>
          </w:tcPr>
          <w:p w14:paraId="3E3BD0B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冬季刷白</w:t>
            </w:r>
          </w:p>
        </w:tc>
        <w:tc>
          <w:tcPr>
            <w:tcW w:w="900" w:type="dxa"/>
            <w:noWrap w:val="0"/>
            <w:vAlign w:val="center"/>
          </w:tcPr>
          <w:p w14:paraId="35C7ABA9">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w:t>
            </w:r>
          </w:p>
        </w:tc>
        <w:tc>
          <w:tcPr>
            <w:tcW w:w="899" w:type="dxa"/>
            <w:noWrap w:val="0"/>
            <w:vAlign w:val="center"/>
          </w:tcPr>
          <w:p w14:paraId="0F9F696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600" w:type="dxa"/>
            <w:noWrap w:val="0"/>
            <w:vAlign w:val="center"/>
          </w:tcPr>
          <w:p w14:paraId="37C9B5D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284" w:type="dxa"/>
            <w:noWrap w:val="0"/>
            <w:vAlign w:val="center"/>
          </w:tcPr>
          <w:p w14:paraId="595F878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r>
      <w:tr w14:paraId="5A707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1" w:hRule="atLeast"/>
        </w:trPr>
        <w:tc>
          <w:tcPr>
            <w:tcW w:w="1423" w:type="dxa"/>
            <w:vMerge w:val="continue"/>
            <w:noWrap w:val="0"/>
            <w:vAlign w:val="center"/>
          </w:tcPr>
          <w:p w14:paraId="51E8E85D">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3368" w:type="dxa"/>
            <w:noWrap w:val="0"/>
            <w:vAlign w:val="center"/>
          </w:tcPr>
          <w:p w14:paraId="1CFDDB6A">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lang w:eastAsia="zh-CN"/>
              </w:rPr>
            </w:pPr>
            <w:r>
              <w:rPr>
                <w:rFonts w:hint="eastAsia" w:ascii="仿宋" w:hAnsi="仿宋" w:eastAsia="仿宋" w:cs="仿宋"/>
                <w:color w:val="auto"/>
                <w:sz w:val="24"/>
                <w:szCs w:val="24"/>
                <w:highlight w:val="none"/>
                <w:shd w:val="clear" w:color="auto" w:fill="FFFFFE"/>
              </w:rPr>
              <w:t>园林设施</w:t>
            </w:r>
            <w:r>
              <w:rPr>
                <w:rFonts w:hint="eastAsia" w:ascii="仿宋" w:hAnsi="仿宋" w:eastAsia="仿宋" w:cs="仿宋"/>
                <w:color w:val="auto"/>
                <w:sz w:val="24"/>
                <w:szCs w:val="24"/>
                <w:highlight w:val="none"/>
                <w:shd w:val="clear" w:color="auto" w:fill="FFFFFE"/>
                <w:lang w:eastAsia="zh-CN"/>
              </w:rPr>
              <w:t>及工具摆放</w:t>
            </w:r>
          </w:p>
        </w:tc>
        <w:tc>
          <w:tcPr>
            <w:tcW w:w="900" w:type="dxa"/>
            <w:noWrap w:val="0"/>
            <w:vAlign w:val="center"/>
          </w:tcPr>
          <w:p w14:paraId="10BE020D">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w:t>
            </w:r>
          </w:p>
        </w:tc>
        <w:tc>
          <w:tcPr>
            <w:tcW w:w="899" w:type="dxa"/>
            <w:noWrap w:val="0"/>
            <w:vAlign w:val="center"/>
          </w:tcPr>
          <w:p w14:paraId="0E7F4F9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600" w:type="dxa"/>
            <w:noWrap w:val="0"/>
            <w:vAlign w:val="center"/>
          </w:tcPr>
          <w:p w14:paraId="1545E8CF">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284" w:type="dxa"/>
            <w:noWrap w:val="0"/>
            <w:vAlign w:val="center"/>
          </w:tcPr>
          <w:p w14:paraId="423D2AB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r>
      <w:tr w14:paraId="1BD06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1" w:hRule="atLeast"/>
        </w:trPr>
        <w:tc>
          <w:tcPr>
            <w:tcW w:w="1423" w:type="dxa"/>
            <w:vMerge w:val="continue"/>
            <w:noWrap w:val="0"/>
            <w:vAlign w:val="center"/>
          </w:tcPr>
          <w:p w14:paraId="6BAA6C8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3368" w:type="dxa"/>
            <w:noWrap w:val="0"/>
            <w:vAlign w:val="center"/>
          </w:tcPr>
          <w:p w14:paraId="0094403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绿地保护</w:t>
            </w:r>
          </w:p>
        </w:tc>
        <w:tc>
          <w:tcPr>
            <w:tcW w:w="900" w:type="dxa"/>
            <w:noWrap w:val="0"/>
            <w:vAlign w:val="center"/>
          </w:tcPr>
          <w:p w14:paraId="0DCD5492">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w:t>
            </w:r>
          </w:p>
        </w:tc>
        <w:tc>
          <w:tcPr>
            <w:tcW w:w="899" w:type="dxa"/>
            <w:noWrap w:val="0"/>
            <w:vAlign w:val="center"/>
          </w:tcPr>
          <w:p w14:paraId="22B1C1A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600" w:type="dxa"/>
            <w:noWrap w:val="0"/>
            <w:vAlign w:val="center"/>
          </w:tcPr>
          <w:p w14:paraId="60B348B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284" w:type="dxa"/>
            <w:noWrap w:val="0"/>
            <w:vAlign w:val="center"/>
          </w:tcPr>
          <w:p w14:paraId="5A2AD5E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r>
      <w:tr w14:paraId="7B107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6" w:hRule="atLeast"/>
        </w:trPr>
        <w:tc>
          <w:tcPr>
            <w:tcW w:w="1423" w:type="dxa"/>
            <w:noWrap w:val="0"/>
            <w:vAlign w:val="center"/>
          </w:tcPr>
          <w:p w14:paraId="2EAAE0F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厕所保洁（10分）</w:t>
            </w:r>
          </w:p>
        </w:tc>
        <w:tc>
          <w:tcPr>
            <w:tcW w:w="3368" w:type="dxa"/>
            <w:noWrap w:val="0"/>
            <w:vAlign w:val="center"/>
          </w:tcPr>
          <w:p w14:paraId="720A6B0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lang w:eastAsia="zh-CN"/>
              </w:rPr>
            </w:pPr>
            <w:r>
              <w:rPr>
                <w:rFonts w:hint="eastAsia" w:ascii="仿宋" w:hAnsi="仿宋" w:eastAsia="仿宋" w:cs="仿宋"/>
                <w:color w:val="auto"/>
                <w:sz w:val="24"/>
                <w:szCs w:val="24"/>
                <w:highlight w:val="none"/>
                <w:shd w:val="clear" w:color="auto" w:fill="FFFFFE"/>
              </w:rPr>
              <w:t>卫生保洁</w:t>
            </w:r>
            <w:r>
              <w:rPr>
                <w:rFonts w:hint="eastAsia" w:ascii="仿宋" w:hAnsi="仿宋" w:eastAsia="仿宋" w:cs="仿宋"/>
                <w:color w:val="auto"/>
                <w:sz w:val="24"/>
                <w:szCs w:val="24"/>
                <w:highlight w:val="none"/>
                <w:shd w:val="clear" w:color="auto" w:fill="FFFFFE"/>
                <w:lang w:eastAsia="zh-CN"/>
              </w:rPr>
              <w:t>及清洁物品配备</w:t>
            </w:r>
          </w:p>
        </w:tc>
        <w:tc>
          <w:tcPr>
            <w:tcW w:w="900" w:type="dxa"/>
            <w:noWrap w:val="0"/>
            <w:vAlign w:val="center"/>
          </w:tcPr>
          <w:p w14:paraId="4E98909F">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10</w:t>
            </w:r>
          </w:p>
        </w:tc>
        <w:tc>
          <w:tcPr>
            <w:tcW w:w="899" w:type="dxa"/>
            <w:noWrap w:val="0"/>
            <w:vAlign w:val="center"/>
          </w:tcPr>
          <w:p w14:paraId="612B961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600" w:type="dxa"/>
            <w:noWrap w:val="0"/>
            <w:vAlign w:val="center"/>
          </w:tcPr>
          <w:p w14:paraId="3AC9558C">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284" w:type="dxa"/>
            <w:noWrap w:val="0"/>
            <w:vAlign w:val="center"/>
          </w:tcPr>
          <w:p w14:paraId="3E19D46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r>
      <w:tr w14:paraId="2D469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56" w:hRule="atLeast"/>
        </w:trPr>
        <w:tc>
          <w:tcPr>
            <w:tcW w:w="4791" w:type="dxa"/>
            <w:gridSpan w:val="2"/>
            <w:noWrap w:val="0"/>
            <w:vAlign w:val="center"/>
          </w:tcPr>
          <w:p w14:paraId="5CB9CCC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总分</w:t>
            </w:r>
          </w:p>
        </w:tc>
        <w:tc>
          <w:tcPr>
            <w:tcW w:w="900" w:type="dxa"/>
            <w:noWrap w:val="0"/>
            <w:vAlign w:val="center"/>
          </w:tcPr>
          <w:p w14:paraId="193C73CD">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100</w:t>
            </w:r>
          </w:p>
        </w:tc>
        <w:tc>
          <w:tcPr>
            <w:tcW w:w="899" w:type="dxa"/>
            <w:noWrap w:val="0"/>
            <w:vAlign w:val="center"/>
          </w:tcPr>
          <w:p w14:paraId="6622C1F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600" w:type="dxa"/>
            <w:noWrap w:val="0"/>
            <w:vAlign w:val="center"/>
          </w:tcPr>
          <w:p w14:paraId="04999C6A">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c>
          <w:tcPr>
            <w:tcW w:w="1284" w:type="dxa"/>
            <w:noWrap w:val="0"/>
            <w:vAlign w:val="center"/>
          </w:tcPr>
          <w:p w14:paraId="69E9ECD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center"/>
              <w:textAlignment w:val="baseline"/>
              <w:rPr>
                <w:rFonts w:hint="eastAsia" w:ascii="仿宋" w:hAnsi="仿宋" w:eastAsia="仿宋" w:cs="仿宋"/>
                <w:color w:val="auto"/>
                <w:sz w:val="24"/>
                <w:szCs w:val="24"/>
                <w:highlight w:val="none"/>
                <w:shd w:val="clear" w:color="auto" w:fill="FFFFFE"/>
              </w:rPr>
            </w:pPr>
          </w:p>
        </w:tc>
      </w:tr>
      <w:tr w14:paraId="6C69B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10" w:hRule="atLeast"/>
        </w:trPr>
        <w:tc>
          <w:tcPr>
            <w:tcW w:w="9474" w:type="dxa"/>
            <w:gridSpan w:val="6"/>
            <w:noWrap w:val="0"/>
            <w:vAlign w:val="center"/>
          </w:tcPr>
          <w:p w14:paraId="7A1D26B2">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41" w:leftChars="67" w:right="172" w:rightChars="8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管理机制及养护设备、部门反映及考核评比、</w:t>
            </w:r>
            <w:r>
              <w:rPr>
                <w:rFonts w:hint="eastAsia" w:ascii="仿宋" w:hAnsi="仿宋" w:eastAsia="仿宋" w:cs="仿宋"/>
                <w:color w:val="auto"/>
                <w:sz w:val="24"/>
                <w:szCs w:val="24"/>
                <w:highlight w:val="none"/>
                <w:shd w:val="clear" w:color="auto" w:fill="FFFFFE"/>
                <w:lang w:eastAsia="zh-CN"/>
              </w:rPr>
              <w:t>数字城管或掌上城管</w:t>
            </w:r>
            <w:r>
              <w:rPr>
                <w:rFonts w:hint="eastAsia" w:ascii="仿宋" w:hAnsi="仿宋" w:eastAsia="仿宋" w:cs="仿宋"/>
                <w:color w:val="auto"/>
                <w:sz w:val="24"/>
                <w:szCs w:val="24"/>
                <w:highlight w:val="none"/>
                <w:shd w:val="clear" w:color="auto" w:fill="FFFFFE"/>
              </w:rPr>
              <w:t>三项根据实际情况集中评分确定，其余考核项目由考评小组现</w:t>
            </w:r>
            <w:r>
              <w:rPr>
                <w:rFonts w:hint="eastAsia" w:ascii="仿宋" w:hAnsi="仿宋" w:eastAsia="仿宋" w:cs="仿宋"/>
                <w:color w:val="auto"/>
                <w:sz w:val="24"/>
                <w:szCs w:val="24"/>
                <w:highlight w:val="none"/>
              </w:rPr>
              <w:t>场打分。</w:t>
            </w:r>
          </w:p>
        </w:tc>
      </w:tr>
    </w:tbl>
    <w:p w14:paraId="2B1D6D00">
      <w:pPr>
        <w:pageBreakBefore w:val="0"/>
        <w:wordWrap/>
        <w:overflowPunct/>
        <w:topLinePunct w:val="0"/>
        <w:bidi w:val="0"/>
        <w:spacing w:line="460" w:lineRule="exac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 xml:space="preserve">考核人员：                               考核日期： </w:t>
      </w:r>
    </w:p>
    <w:p w14:paraId="3B87D5AB">
      <w:pPr>
        <w:pageBreakBefore w:val="0"/>
        <w:wordWrap/>
        <w:overflowPunct/>
        <w:topLinePunct w:val="0"/>
        <w:bidi w:val="0"/>
        <w:spacing w:before="47" w:line="460" w:lineRule="exact"/>
        <w:jc w:val="both"/>
        <w:outlineLvl w:val="0"/>
        <w:rPr>
          <w:rFonts w:hint="eastAsia" w:ascii="仿宋" w:hAnsi="仿宋" w:eastAsia="仿宋" w:cs="仿宋"/>
          <w:b/>
          <w:color w:val="auto"/>
          <w:sz w:val="24"/>
          <w:szCs w:val="24"/>
          <w:highlight w:val="none"/>
          <w:shd w:val="clear" w:color="auto" w:fill="FFFFFE"/>
        </w:rPr>
      </w:pPr>
      <w:r>
        <w:rPr>
          <w:rFonts w:hint="eastAsia" w:ascii="仿宋" w:hAnsi="仿宋" w:eastAsia="仿宋" w:cs="仿宋"/>
          <w:b/>
          <w:color w:val="auto"/>
          <w:sz w:val="24"/>
          <w:szCs w:val="24"/>
          <w:highlight w:val="none"/>
        </w:rPr>
        <w:br w:type="page"/>
      </w:r>
      <w:bookmarkStart w:id="20" w:name="_Toc30058"/>
      <w:r>
        <w:rPr>
          <w:rFonts w:hint="eastAsia" w:ascii="仿宋" w:hAnsi="仿宋" w:eastAsia="仿宋" w:cs="仿宋"/>
          <w:b/>
          <w:color w:val="auto"/>
          <w:sz w:val="24"/>
          <w:szCs w:val="24"/>
          <w:highlight w:val="none"/>
          <w:lang w:eastAsia="zh-CN"/>
        </w:rPr>
        <w:t>附件</w:t>
      </w:r>
      <w:r>
        <w:rPr>
          <w:rFonts w:hint="eastAsia" w:ascii="仿宋" w:hAnsi="仿宋" w:eastAsia="仿宋" w:cs="仿宋"/>
          <w:b/>
          <w:color w:val="auto"/>
          <w:sz w:val="24"/>
          <w:szCs w:val="24"/>
          <w:highlight w:val="none"/>
          <w:lang w:val="en-US" w:eastAsia="zh-CN"/>
        </w:rPr>
        <w:t>5.</w:t>
      </w:r>
      <w:r>
        <w:rPr>
          <w:rFonts w:hint="eastAsia" w:ascii="仿宋" w:hAnsi="仿宋" w:eastAsia="仿宋" w:cs="仿宋"/>
          <w:b/>
          <w:color w:val="auto"/>
          <w:sz w:val="24"/>
          <w:szCs w:val="24"/>
          <w:highlight w:val="none"/>
          <w:shd w:val="clear" w:color="auto" w:fill="FFFFFE"/>
        </w:rPr>
        <w:t>江西省城市园林绿化养护技术标准</w:t>
      </w:r>
      <w:bookmarkEnd w:id="20"/>
    </w:p>
    <w:p w14:paraId="6A422029">
      <w:pPr>
        <w:pageBreakBefore w:val="0"/>
        <w:wordWrap/>
        <w:overflowPunct/>
        <w:topLinePunct w:val="0"/>
        <w:bidi w:val="0"/>
        <w:spacing w:before="47" w:line="460" w:lineRule="exact"/>
        <w:jc w:val="center"/>
        <w:outlineLvl w:val="0"/>
        <w:rPr>
          <w:rFonts w:hint="eastAsia" w:ascii="仿宋" w:hAnsi="仿宋" w:eastAsia="仿宋" w:cs="仿宋"/>
          <w:color w:val="auto"/>
          <w:sz w:val="24"/>
          <w:szCs w:val="24"/>
          <w:highlight w:val="none"/>
          <w:shd w:val="clear" w:color="auto" w:fill="FFFFFE"/>
        </w:rPr>
      </w:pPr>
      <w:bookmarkStart w:id="21" w:name="_Toc23663"/>
      <w:r>
        <w:rPr>
          <w:rFonts w:hint="eastAsia" w:ascii="仿宋" w:hAnsi="仿宋" w:eastAsia="仿宋" w:cs="仿宋"/>
          <w:color w:val="auto"/>
          <w:sz w:val="24"/>
          <w:szCs w:val="24"/>
          <w:highlight w:val="none"/>
          <w:shd w:val="clear" w:color="auto" w:fill="FFFFFE"/>
        </w:rPr>
        <w:t>总则</w:t>
      </w:r>
      <w:bookmarkEnd w:id="21"/>
    </w:p>
    <w:p w14:paraId="156D5796">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lang w:val="en-US" w:eastAsia="zh-CN"/>
        </w:rPr>
        <w:t>1、</w:t>
      </w:r>
      <w:r>
        <w:rPr>
          <w:rFonts w:hint="eastAsia" w:ascii="仿宋" w:hAnsi="仿宋" w:eastAsia="仿宋" w:cs="仿宋"/>
          <w:color w:val="auto"/>
          <w:sz w:val="24"/>
          <w:szCs w:val="24"/>
          <w:highlight w:val="none"/>
          <w:shd w:val="clear" w:color="auto" w:fill="FFFFFE"/>
        </w:rPr>
        <w:t>为促进全省城市园林绿化发展，加强城市绿化养护管理，根据有关法律、法规，结合我省实际情况，制定本标准。</w:t>
      </w:r>
    </w:p>
    <w:p w14:paraId="235DD1C6">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lang w:val="en-US" w:eastAsia="zh-CN"/>
        </w:rPr>
        <w:t>2、</w:t>
      </w:r>
      <w:r>
        <w:rPr>
          <w:rFonts w:hint="eastAsia" w:ascii="仿宋" w:hAnsi="仿宋" w:eastAsia="仿宋" w:cs="仿宋"/>
          <w:color w:val="auto"/>
          <w:sz w:val="24"/>
          <w:szCs w:val="24"/>
          <w:highlight w:val="none"/>
          <w:shd w:val="clear" w:color="auto" w:fill="FFFFFE"/>
        </w:rPr>
        <w:t>本标准按园林绿地的组成元素进行编号，以各元素在养护技术上必须达到的要求为基本标准，在基本标准基础上，达到完善的水准为一级标准，介于谅解之间的为二级标准。</w:t>
      </w:r>
    </w:p>
    <w:p w14:paraId="4C4287E4">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lang w:val="en-US" w:eastAsia="zh-CN"/>
        </w:rPr>
        <w:t>3、</w:t>
      </w:r>
      <w:r>
        <w:rPr>
          <w:rFonts w:hint="eastAsia" w:ascii="仿宋" w:hAnsi="仿宋" w:eastAsia="仿宋" w:cs="仿宋"/>
          <w:color w:val="auto"/>
          <w:sz w:val="24"/>
          <w:szCs w:val="24"/>
          <w:highlight w:val="none"/>
          <w:shd w:val="clear" w:color="auto" w:fill="FFFFFE"/>
        </w:rPr>
        <w:t>本标准使用与全省各类绿地。</w:t>
      </w:r>
    </w:p>
    <w:p w14:paraId="5696314D">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lang w:val="en-US" w:eastAsia="zh-CN"/>
        </w:rPr>
        <w:t>4、</w:t>
      </w:r>
      <w:r>
        <w:rPr>
          <w:rFonts w:hint="eastAsia" w:ascii="仿宋" w:hAnsi="仿宋" w:eastAsia="仿宋" w:cs="仿宋"/>
          <w:color w:val="auto"/>
          <w:sz w:val="24"/>
          <w:szCs w:val="24"/>
          <w:highlight w:val="none"/>
          <w:shd w:val="clear" w:color="auto" w:fill="FFFFFE"/>
        </w:rPr>
        <w:t>全省各类绿地的养护，除按本标准执行外，还必须遵守国家有关法规、规范及行业标准的规定。</w:t>
      </w:r>
    </w:p>
    <w:p w14:paraId="3A579D2A">
      <w:pPr>
        <w:pageBreakBefore w:val="0"/>
        <w:wordWrap/>
        <w:overflowPunct/>
        <w:topLinePunct w:val="0"/>
        <w:bidi w:val="0"/>
        <w:spacing w:before="47" w:line="460" w:lineRule="exact"/>
        <w:ind w:firstLine="480" w:firstLineChars="200"/>
        <w:jc w:val="center"/>
        <w:outlineLvl w:val="0"/>
        <w:rPr>
          <w:rFonts w:hint="eastAsia" w:ascii="仿宋" w:hAnsi="仿宋" w:eastAsia="仿宋" w:cs="仿宋"/>
          <w:color w:val="auto"/>
          <w:sz w:val="24"/>
          <w:szCs w:val="24"/>
          <w:highlight w:val="none"/>
          <w:shd w:val="clear" w:color="auto" w:fill="FFFFFE"/>
        </w:rPr>
      </w:pPr>
      <w:bookmarkStart w:id="22" w:name="_Toc18944"/>
      <w:r>
        <w:rPr>
          <w:rFonts w:hint="eastAsia" w:ascii="仿宋" w:hAnsi="仿宋" w:eastAsia="仿宋" w:cs="仿宋"/>
          <w:color w:val="auto"/>
          <w:sz w:val="24"/>
          <w:szCs w:val="24"/>
          <w:highlight w:val="none"/>
          <w:shd w:val="clear" w:color="auto" w:fill="FFFFFE"/>
        </w:rPr>
        <w:t>术语</w:t>
      </w:r>
      <w:bookmarkEnd w:id="22"/>
    </w:p>
    <w:p w14:paraId="58168878">
      <w:pPr>
        <w:pageBreakBefore w:val="0"/>
        <w:wordWrap/>
        <w:overflowPunct/>
        <w:topLinePunct w:val="0"/>
        <w:bidi w:val="0"/>
        <w:spacing w:before="47" w:line="460" w:lineRule="exact"/>
        <w:ind w:firstLine="480" w:firstLineChars="200"/>
        <w:outlineLvl w:val="1"/>
        <w:rPr>
          <w:rFonts w:hint="eastAsia" w:ascii="仿宋" w:hAnsi="仿宋" w:eastAsia="仿宋" w:cs="仿宋"/>
          <w:color w:val="auto"/>
          <w:sz w:val="24"/>
          <w:szCs w:val="24"/>
          <w:highlight w:val="none"/>
          <w:shd w:val="clear" w:color="auto" w:fill="FFFFFE"/>
        </w:rPr>
      </w:pPr>
      <w:bookmarkStart w:id="23" w:name="_Toc27230"/>
      <w:r>
        <w:rPr>
          <w:rFonts w:hint="eastAsia" w:ascii="仿宋" w:hAnsi="仿宋" w:eastAsia="仿宋" w:cs="仿宋"/>
          <w:color w:val="auto"/>
          <w:sz w:val="24"/>
          <w:szCs w:val="24"/>
          <w:highlight w:val="none"/>
          <w:shd w:val="clear" w:color="auto" w:fill="FFFFFE"/>
          <w:lang w:val="en-US" w:eastAsia="zh-CN"/>
        </w:rPr>
        <w:t>1、</w:t>
      </w:r>
      <w:r>
        <w:rPr>
          <w:rFonts w:hint="eastAsia" w:ascii="仿宋" w:hAnsi="仿宋" w:eastAsia="仿宋" w:cs="仿宋"/>
          <w:color w:val="auto"/>
          <w:sz w:val="24"/>
          <w:szCs w:val="24"/>
          <w:highlight w:val="none"/>
          <w:shd w:val="clear" w:color="auto" w:fill="FFFFFE"/>
        </w:rPr>
        <w:t>树林woods</w:t>
      </w:r>
      <w:bookmarkEnd w:id="23"/>
    </w:p>
    <w:p w14:paraId="3F625655">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较大面积成块成片栽植（一般在30株以上），以乔木为主，适量配置灌木、地被或草地的组合混交林或纯林。</w:t>
      </w:r>
    </w:p>
    <w:p w14:paraId="202D3EC6">
      <w:pPr>
        <w:pageBreakBefore w:val="0"/>
        <w:wordWrap/>
        <w:overflowPunct/>
        <w:topLinePunct w:val="0"/>
        <w:bidi w:val="0"/>
        <w:spacing w:before="47" w:line="460" w:lineRule="exact"/>
        <w:ind w:firstLine="480" w:firstLineChars="200"/>
        <w:outlineLvl w:val="1"/>
        <w:rPr>
          <w:rFonts w:hint="eastAsia" w:ascii="仿宋" w:hAnsi="仿宋" w:eastAsia="仿宋" w:cs="仿宋"/>
          <w:color w:val="auto"/>
          <w:sz w:val="24"/>
          <w:szCs w:val="24"/>
          <w:highlight w:val="none"/>
          <w:shd w:val="clear" w:color="auto" w:fill="FFFFFE"/>
        </w:rPr>
      </w:pPr>
      <w:bookmarkStart w:id="24" w:name="_Toc6975"/>
      <w:r>
        <w:rPr>
          <w:rFonts w:hint="eastAsia" w:ascii="仿宋" w:hAnsi="仿宋" w:eastAsia="仿宋" w:cs="仿宋"/>
          <w:color w:val="auto"/>
          <w:sz w:val="24"/>
          <w:szCs w:val="24"/>
          <w:highlight w:val="none"/>
          <w:shd w:val="clear" w:color="auto" w:fill="FFFFFE"/>
          <w:lang w:val="en-US" w:eastAsia="zh-CN"/>
        </w:rPr>
        <w:t>2、</w:t>
      </w:r>
      <w:r>
        <w:rPr>
          <w:rFonts w:hint="eastAsia" w:ascii="仿宋" w:hAnsi="仿宋" w:eastAsia="仿宋" w:cs="仿宋"/>
          <w:color w:val="auto"/>
          <w:sz w:val="24"/>
          <w:szCs w:val="24"/>
          <w:highlight w:val="none"/>
          <w:shd w:val="clear" w:color="auto" w:fill="FFFFFE"/>
        </w:rPr>
        <w:t>树丛grove</w:t>
      </w:r>
      <w:bookmarkEnd w:id="24"/>
    </w:p>
    <w:p w14:paraId="038FF9C2">
      <w:pPr>
        <w:pageBreakBefore w:val="0"/>
        <w:wordWrap/>
        <w:overflowPunct/>
        <w:topLinePunct w:val="0"/>
        <w:bidi w:val="0"/>
        <w:spacing w:before="47" w:line="460" w:lineRule="exact"/>
        <w:ind w:firstLine="480" w:firstLineChars="200"/>
        <w:outlineLvl w:val="1"/>
        <w:rPr>
          <w:rFonts w:hint="eastAsia" w:ascii="仿宋" w:hAnsi="仿宋" w:eastAsia="仿宋" w:cs="仿宋"/>
          <w:color w:val="auto"/>
          <w:sz w:val="24"/>
          <w:szCs w:val="24"/>
          <w:highlight w:val="none"/>
          <w:shd w:val="clear" w:color="auto" w:fill="FFFFFE"/>
        </w:rPr>
      </w:pPr>
      <w:bookmarkStart w:id="25" w:name="_Toc11035"/>
      <w:r>
        <w:rPr>
          <w:rFonts w:hint="eastAsia" w:ascii="仿宋" w:hAnsi="仿宋" w:eastAsia="仿宋" w:cs="仿宋"/>
          <w:color w:val="auto"/>
          <w:sz w:val="24"/>
          <w:szCs w:val="24"/>
          <w:highlight w:val="none"/>
          <w:shd w:val="clear" w:color="auto" w:fill="FFFFFE"/>
          <w:lang w:val="en-US" w:eastAsia="zh-CN"/>
        </w:rPr>
        <w:t>3、</w:t>
      </w:r>
      <w:r>
        <w:rPr>
          <w:rFonts w:hint="eastAsia" w:ascii="仿宋" w:hAnsi="仿宋" w:eastAsia="仿宋" w:cs="仿宋"/>
          <w:color w:val="auto"/>
          <w:sz w:val="24"/>
          <w:szCs w:val="24"/>
          <w:highlight w:val="none"/>
          <w:shd w:val="clear" w:color="auto" w:fill="FFFFFE"/>
        </w:rPr>
        <w:t>孤植树 isolated tree</w:t>
      </w:r>
      <w:bookmarkEnd w:id="25"/>
    </w:p>
    <w:p w14:paraId="67BED25C">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树形美观，自成一景，独株生长的乔木或灌木。</w:t>
      </w:r>
    </w:p>
    <w:p w14:paraId="742B6CC8">
      <w:pPr>
        <w:pageBreakBefore w:val="0"/>
        <w:wordWrap/>
        <w:overflowPunct/>
        <w:topLinePunct w:val="0"/>
        <w:bidi w:val="0"/>
        <w:spacing w:before="47" w:line="460" w:lineRule="exact"/>
        <w:ind w:firstLine="480" w:firstLineChars="200"/>
        <w:outlineLvl w:val="1"/>
        <w:rPr>
          <w:rFonts w:hint="eastAsia" w:ascii="仿宋" w:hAnsi="仿宋" w:eastAsia="仿宋" w:cs="仿宋"/>
          <w:color w:val="auto"/>
          <w:sz w:val="24"/>
          <w:szCs w:val="24"/>
          <w:highlight w:val="none"/>
          <w:shd w:val="clear" w:color="auto" w:fill="FFFFFE"/>
        </w:rPr>
      </w:pPr>
      <w:bookmarkStart w:id="26" w:name="_Toc19134"/>
      <w:r>
        <w:rPr>
          <w:rFonts w:hint="eastAsia" w:ascii="仿宋" w:hAnsi="仿宋" w:eastAsia="仿宋" w:cs="仿宋"/>
          <w:color w:val="auto"/>
          <w:sz w:val="24"/>
          <w:szCs w:val="24"/>
          <w:highlight w:val="none"/>
          <w:shd w:val="clear" w:color="auto" w:fill="FFFFFE"/>
          <w:lang w:val="en-US" w:eastAsia="zh-CN"/>
        </w:rPr>
        <w:t>4、</w:t>
      </w:r>
      <w:r>
        <w:rPr>
          <w:rFonts w:hint="eastAsia" w:ascii="仿宋" w:hAnsi="仿宋" w:eastAsia="仿宋" w:cs="仿宋"/>
          <w:color w:val="auto"/>
          <w:sz w:val="24"/>
          <w:szCs w:val="24"/>
          <w:highlight w:val="none"/>
          <w:shd w:val="clear" w:color="auto" w:fill="FFFFFE"/>
        </w:rPr>
        <w:t>行道树 street trees</w:t>
      </w:r>
      <w:bookmarkEnd w:id="26"/>
    </w:p>
    <w:p w14:paraId="40F7B3F4">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道路两旁的树木，常成行栽植，排列整齐，规格统一，株间有一定距离，具有遮阴、防尘、护路、美化街景的功能，随着道路形式的变化，行道树种植形式可单行或多行种植，亦可多株乔木规则或不规则丛植。</w:t>
      </w:r>
    </w:p>
    <w:p w14:paraId="7A95697D">
      <w:pPr>
        <w:pageBreakBefore w:val="0"/>
        <w:wordWrap/>
        <w:overflowPunct/>
        <w:topLinePunct w:val="0"/>
        <w:bidi w:val="0"/>
        <w:spacing w:before="47" w:line="460" w:lineRule="exact"/>
        <w:ind w:firstLine="480" w:firstLineChars="200"/>
        <w:outlineLvl w:val="1"/>
        <w:rPr>
          <w:rFonts w:hint="eastAsia" w:ascii="仿宋" w:hAnsi="仿宋" w:eastAsia="仿宋" w:cs="仿宋"/>
          <w:color w:val="auto"/>
          <w:sz w:val="24"/>
          <w:szCs w:val="24"/>
          <w:highlight w:val="none"/>
          <w:shd w:val="clear" w:color="auto" w:fill="FFFFFE"/>
        </w:rPr>
      </w:pPr>
      <w:bookmarkStart w:id="27" w:name="_Toc6689"/>
      <w:r>
        <w:rPr>
          <w:rFonts w:hint="eastAsia" w:ascii="仿宋" w:hAnsi="仿宋" w:eastAsia="仿宋" w:cs="仿宋"/>
          <w:color w:val="auto"/>
          <w:sz w:val="24"/>
          <w:szCs w:val="24"/>
          <w:highlight w:val="none"/>
          <w:shd w:val="clear" w:color="auto" w:fill="FFFFFE"/>
          <w:lang w:val="en-US" w:eastAsia="zh-CN"/>
        </w:rPr>
        <w:t>5、</w:t>
      </w:r>
      <w:r>
        <w:rPr>
          <w:rFonts w:hint="eastAsia" w:ascii="仿宋" w:hAnsi="仿宋" w:eastAsia="仿宋" w:cs="仿宋"/>
          <w:color w:val="auto"/>
          <w:sz w:val="24"/>
          <w:szCs w:val="24"/>
          <w:highlight w:val="none"/>
          <w:shd w:val="clear" w:color="auto" w:fill="FFFFFE"/>
        </w:rPr>
        <w:t>花坛 flower bed</w:t>
      </w:r>
      <w:bookmarkEnd w:id="27"/>
    </w:p>
    <w:p w14:paraId="5ADD8BB7">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应用一、二年生花卉、球根花卉和温室花卉等为主，种植成规则或不规则的、群体的、平面图案精细的、具平面美观效果的布置形式。</w:t>
      </w:r>
    </w:p>
    <w:p w14:paraId="2707846C">
      <w:pPr>
        <w:pageBreakBefore w:val="0"/>
        <w:wordWrap/>
        <w:overflowPunct/>
        <w:topLinePunct w:val="0"/>
        <w:bidi w:val="0"/>
        <w:spacing w:before="47" w:line="460" w:lineRule="exact"/>
        <w:ind w:firstLine="480" w:firstLineChars="200"/>
        <w:outlineLvl w:val="1"/>
        <w:rPr>
          <w:rFonts w:hint="eastAsia" w:ascii="仿宋" w:hAnsi="仿宋" w:eastAsia="仿宋" w:cs="仿宋"/>
          <w:color w:val="auto"/>
          <w:sz w:val="24"/>
          <w:szCs w:val="24"/>
          <w:highlight w:val="none"/>
          <w:shd w:val="clear" w:color="auto" w:fill="FFFFFE"/>
        </w:rPr>
      </w:pPr>
      <w:bookmarkStart w:id="28" w:name="_Toc3394"/>
      <w:r>
        <w:rPr>
          <w:rFonts w:hint="eastAsia" w:ascii="仿宋" w:hAnsi="仿宋" w:eastAsia="仿宋" w:cs="仿宋"/>
          <w:color w:val="auto"/>
          <w:sz w:val="24"/>
          <w:szCs w:val="24"/>
          <w:highlight w:val="none"/>
          <w:shd w:val="clear" w:color="auto" w:fill="FFFFFE"/>
        </w:rPr>
        <w:t>6</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花镜 flower border</w:t>
      </w:r>
      <w:bookmarkEnd w:id="28"/>
    </w:p>
    <w:p w14:paraId="44BFA247">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以宿根花卉为主，间有其他类型的灌木花卉或观赏草的带状或自然块状布置形式。大多位于树林、树丛、草坪、道路、建筑等边缘，具有季相变化和立面效果。</w:t>
      </w:r>
    </w:p>
    <w:p w14:paraId="1A295468">
      <w:pPr>
        <w:pageBreakBefore w:val="0"/>
        <w:wordWrap/>
        <w:overflowPunct/>
        <w:topLinePunct w:val="0"/>
        <w:bidi w:val="0"/>
        <w:spacing w:before="47" w:line="460" w:lineRule="exact"/>
        <w:ind w:firstLine="480" w:firstLineChars="200"/>
        <w:outlineLvl w:val="1"/>
        <w:rPr>
          <w:rFonts w:hint="eastAsia" w:ascii="仿宋" w:hAnsi="仿宋" w:eastAsia="仿宋" w:cs="仿宋"/>
          <w:color w:val="auto"/>
          <w:sz w:val="24"/>
          <w:szCs w:val="24"/>
          <w:highlight w:val="none"/>
          <w:shd w:val="clear" w:color="auto" w:fill="FFFFFE"/>
        </w:rPr>
      </w:pPr>
      <w:bookmarkStart w:id="29" w:name="_Toc2933"/>
      <w:r>
        <w:rPr>
          <w:rFonts w:hint="eastAsia" w:ascii="仿宋" w:hAnsi="仿宋" w:eastAsia="仿宋" w:cs="仿宋"/>
          <w:color w:val="auto"/>
          <w:sz w:val="24"/>
          <w:szCs w:val="24"/>
          <w:highlight w:val="none"/>
          <w:shd w:val="clear" w:color="auto" w:fill="FFFFFE"/>
        </w:rPr>
        <w:t>7</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切边 edging</w:t>
      </w:r>
      <w:bookmarkEnd w:id="29"/>
    </w:p>
    <w:p w14:paraId="67D17011">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为阻隔两种不同植物生长带来相互影响所采取的养护措施，有时也可采用插片等新技术达到切边目的。</w:t>
      </w:r>
    </w:p>
    <w:p w14:paraId="52B9F8CA">
      <w:pPr>
        <w:pageBreakBefore w:val="0"/>
        <w:wordWrap/>
        <w:overflowPunct/>
        <w:topLinePunct w:val="0"/>
        <w:bidi w:val="0"/>
        <w:spacing w:before="47" w:line="460" w:lineRule="exact"/>
        <w:ind w:firstLine="480" w:firstLineChars="200"/>
        <w:outlineLvl w:val="1"/>
        <w:rPr>
          <w:rFonts w:hint="eastAsia" w:ascii="仿宋" w:hAnsi="仿宋" w:eastAsia="仿宋" w:cs="仿宋"/>
          <w:color w:val="auto"/>
          <w:sz w:val="24"/>
          <w:szCs w:val="24"/>
          <w:highlight w:val="none"/>
          <w:shd w:val="clear" w:color="auto" w:fill="FFFFFE"/>
        </w:rPr>
      </w:pPr>
      <w:bookmarkStart w:id="30" w:name="_Toc22471"/>
      <w:r>
        <w:rPr>
          <w:rFonts w:hint="eastAsia" w:ascii="仿宋" w:hAnsi="仿宋" w:eastAsia="仿宋" w:cs="仿宋"/>
          <w:color w:val="auto"/>
          <w:sz w:val="24"/>
          <w:szCs w:val="24"/>
          <w:highlight w:val="none"/>
          <w:shd w:val="clear" w:color="auto" w:fill="FFFFFE"/>
        </w:rPr>
        <w:t>8</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绿篱 hedge</w:t>
      </w:r>
      <w:bookmarkEnd w:id="30"/>
    </w:p>
    <w:p w14:paraId="5F48EA8A">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由灌木或小乔木单行或多行规则种植成带状或墙状，可整形修剪或自然生长。绿篱可用以代替篱笆、栏杆或墙垣，具有分隔、防护和装饰作用。根据植物性状的不同，绿篱又可分为花篱、刺篱、果篱等。</w:t>
      </w:r>
    </w:p>
    <w:p w14:paraId="489887A0">
      <w:pPr>
        <w:pageBreakBefore w:val="0"/>
        <w:wordWrap/>
        <w:overflowPunct/>
        <w:topLinePunct w:val="0"/>
        <w:bidi w:val="0"/>
        <w:spacing w:before="47" w:line="460" w:lineRule="exact"/>
        <w:ind w:firstLine="480" w:firstLineChars="200"/>
        <w:outlineLvl w:val="1"/>
        <w:rPr>
          <w:rFonts w:hint="eastAsia" w:ascii="仿宋" w:hAnsi="仿宋" w:eastAsia="仿宋" w:cs="仿宋"/>
          <w:color w:val="auto"/>
          <w:sz w:val="24"/>
          <w:szCs w:val="24"/>
          <w:highlight w:val="none"/>
          <w:shd w:val="clear" w:color="auto" w:fill="FFFFFE"/>
        </w:rPr>
      </w:pPr>
      <w:bookmarkStart w:id="31" w:name="_Toc29958"/>
      <w:r>
        <w:rPr>
          <w:rFonts w:hint="eastAsia" w:ascii="仿宋" w:hAnsi="仿宋" w:eastAsia="仿宋" w:cs="仿宋"/>
          <w:color w:val="auto"/>
          <w:sz w:val="24"/>
          <w:szCs w:val="24"/>
          <w:highlight w:val="none"/>
          <w:shd w:val="clear" w:color="auto" w:fill="FFFFFE"/>
        </w:rPr>
        <w:t>9</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垂直绿化 vertical landscape</w:t>
      </w:r>
      <w:bookmarkEnd w:id="31"/>
    </w:p>
    <w:p w14:paraId="5A17A76D">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利用藤本等植物攀附于建筑物墙面或构建筑上的绿化形式。</w:t>
      </w:r>
    </w:p>
    <w:p w14:paraId="353307BB">
      <w:pPr>
        <w:pageBreakBefore w:val="0"/>
        <w:wordWrap/>
        <w:overflowPunct/>
        <w:topLinePunct w:val="0"/>
        <w:bidi w:val="0"/>
        <w:spacing w:before="47" w:line="460" w:lineRule="exact"/>
        <w:ind w:firstLine="480" w:firstLineChars="200"/>
        <w:outlineLvl w:val="1"/>
        <w:rPr>
          <w:rFonts w:hint="eastAsia" w:ascii="仿宋" w:hAnsi="仿宋" w:eastAsia="仿宋" w:cs="仿宋"/>
          <w:color w:val="auto"/>
          <w:sz w:val="24"/>
          <w:szCs w:val="24"/>
          <w:highlight w:val="none"/>
          <w:shd w:val="clear" w:color="auto" w:fill="FFFFFE"/>
        </w:rPr>
      </w:pPr>
      <w:bookmarkStart w:id="32" w:name="_Toc20954"/>
      <w:r>
        <w:rPr>
          <w:rFonts w:hint="eastAsia" w:ascii="仿宋" w:hAnsi="仿宋" w:eastAsia="仿宋" w:cs="仿宋"/>
          <w:color w:val="auto"/>
          <w:sz w:val="24"/>
          <w:szCs w:val="24"/>
          <w:highlight w:val="none"/>
          <w:shd w:val="clear" w:color="auto" w:fill="FFFFFE"/>
        </w:rPr>
        <w:t>10</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盆栽植物 potted plants</w:t>
      </w:r>
      <w:bookmarkEnd w:id="32"/>
    </w:p>
    <w:p w14:paraId="78347D01">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以容器栽植的植物</w:t>
      </w:r>
    </w:p>
    <w:p w14:paraId="75C0228B">
      <w:pPr>
        <w:pageBreakBefore w:val="0"/>
        <w:wordWrap/>
        <w:overflowPunct/>
        <w:topLinePunct w:val="0"/>
        <w:bidi w:val="0"/>
        <w:spacing w:before="47" w:line="460" w:lineRule="exact"/>
        <w:ind w:firstLine="480" w:firstLineChars="200"/>
        <w:outlineLvl w:val="1"/>
        <w:rPr>
          <w:rFonts w:hint="eastAsia" w:ascii="仿宋" w:hAnsi="仿宋" w:eastAsia="仿宋" w:cs="仿宋"/>
          <w:color w:val="auto"/>
          <w:sz w:val="24"/>
          <w:szCs w:val="24"/>
          <w:highlight w:val="none"/>
          <w:shd w:val="clear" w:color="auto" w:fill="FFFFFE"/>
        </w:rPr>
      </w:pPr>
      <w:bookmarkStart w:id="33" w:name="_Toc11290"/>
      <w:r>
        <w:rPr>
          <w:rFonts w:hint="eastAsia" w:ascii="仿宋" w:hAnsi="仿宋" w:eastAsia="仿宋" w:cs="仿宋"/>
          <w:color w:val="auto"/>
          <w:sz w:val="24"/>
          <w:szCs w:val="24"/>
          <w:highlight w:val="none"/>
          <w:shd w:val="clear" w:color="auto" w:fill="FFFFFE"/>
        </w:rPr>
        <w:t>11</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草坪 lawn</w:t>
      </w:r>
      <w:bookmarkEnd w:id="33"/>
    </w:p>
    <w:p w14:paraId="22CF6763">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需定期轧剪的覆盖地表的低矮草层。大多选用质地纤细，耐踩踏的禾本科植物，仅少数是莎草科、豆科或其他科植物。</w:t>
      </w:r>
    </w:p>
    <w:p w14:paraId="6E5F6C94">
      <w:pPr>
        <w:pageBreakBefore w:val="0"/>
        <w:wordWrap/>
        <w:overflowPunct/>
        <w:topLinePunct w:val="0"/>
        <w:bidi w:val="0"/>
        <w:spacing w:before="47" w:line="460" w:lineRule="exact"/>
        <w:ind w:firstLine="480" w:firstLineChars="200"/>
        <w:outlineLvl w:val="1"/>
        <w:rPr>
          <w:rFonts w:hint="eastAsia" w:ascii="仿宋" w:hAnsi="仿宋" w:eastAsia="仿宋" w:cs="仿宋"/>
          <w:color w:val="auto"/>
          <w:sz w:val="24"/>
          <w:szCs w:val="24"/>
          <w:highlight w:val="none"/>
          <w:shd w:val="clear" w:color="auto" w:fill="FFFFFE"/>
        </w:rPr>
      </w:pPr>
      <w:bookmarkStart w:id="34" w:name="_Toc24529"/>
      <w:r>
        <w:rPr>
          <w:rFonts w:hint="eastAsia" w:ascii="仿宋" w:hAnsi="仿宋" w:eastAsia="仿宋" w:cs="仿宋"/>
          <w:color w:val="auto"/>
          <w:sz w:val="24"/>
          <w:szCs w:val="24"/>
          <w:highlight w:val="none"/>
          <w:shd w:val="clear" w:color="auto" w:fill="FFFFFE"/>
        </w:rPr>
        <w:t>12</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草地 turf grass land</w:t>
      </w:r>
      <w:bookmarkEnd w:id="34"/>
    </w:p>
    <w:p w14:paraId="7E11DF02">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一般不进行轧剪的低矮草层。包括混植各种花卉的草地。</w:t>
      </w:r>
    </w:p>
    <w:p w14:paraId="3BAC40EF">
      <w:pPr>
        <w:pageBreakBefore w:val="0"/>
        <w:wordWrap/>
        <w:overflowPunct/>
        <w:topLinePunct w:val="0"/>
        <w:bidi w:val="0"/>
        <w:spacing w:before="47" w:line="460" w:lineRule="exact"/>
        <w:ind w:firstLine="480" w:firstLineChars="200"/>
        <w:outlineLvl w:val="1"/>
        <w:rPr>
          <w:rFonts w:hint="eastAsia" w:ascii="仿宋" w:hAnsi="仿宋" w:eastAsia="仿宋" w:cs="仿宋"/>
          <w:color w:val="auto"/>
          <w:sz w:val="24"/>
          <w:szCs w:val="24"/>
          <w:highlight w:val="none"/>
          <w:shd w:val="clear" w:color="auto" w:fill="FFFFFE"/>
        </w:rPr>
      </w:pPr>
      <w:bookmarkStart w:id="35" w:name="_Toc32566"/>
      <w:r>
        <w:rPr>
          <w:rFonts w:hint="eastAsia" w:ascii="仿宋" w:hAnsi="仿宋" w:eastAsia="仿宋" w:cs="仿宋"/>
          <w:color w:val="auto"/>
          <w:sz w:val="24"/>
          <w:szCs w:val="24"/>
          <w:highlight w:val="none"/>
          <w:shd w:val="clear" w:color="auto" w:fill="FFFFFE"/>
        </w:rPr>
        <w:t>13</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地被植物 ground cover</w:t>
      </w:r>
      <w:bookmarkEnd w:id="35"/>
    </w:p>
    <w:p w14:paraId="4B9869D2">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植株低矮、枝叶密集，具有较强扩展能力，能迅速覆盖裸露平底或坡地的植物，一般高度不超过60cm，地被植物可单一种植也可混植。</w:t>
      </w:r>
    </w:p>
    <w:p w14:paraId="2F2C60AB">
      <w:pPr>
        <w:pageBreakBefore w:val="0"/>
        <w:wordWrap/>
        <w:overflowPunct/>
        <w:topLinePunct w:val="0"/>
        <w:bidi w:val="0"/>
        <w:spacing w:before="47" w:line="460" w:lineRule="exact"/>
        <w:ind w:firstLine="480" w:firstLineChars="200"/>
        <w:outlineLvl w:val="1"/>
        <w:rPr>
          <w:rFonts w:hint="eastAsia" w:ascii="仿宋" w:hAnsi="仿宋" w:eastAsia="仿宋" w:cs="仿宋"/>
          <w:color w:val="auto"/>
          <w:sz w:val="24"/>
          <w:szCs w:val="24"/>
          <w:highlight w:val="none"/>
          <w:shd w:val="clear" w:color="auto" w:fill="FFFFFE"/>
        </w:rPr>
      </w:pPr>
      <w:bookmarkStart w:id="36" w:name="_Toc11164"/>
      <w:r>
        <w:rPr>
          <w:rFonts w:hint="eastAsia" w:ascii="仿宋" w:hAnsi="仿宋" w:eastAsia="仿宋" w:cs="仿宋"/>
          <w:color w:val="auto"/>
          <w:sz w:val="24"/>
          <w:szCs w:val="24"/>
          <w:highlight w:val="none"/>
          <w:shd w:val="clear" w:color="auto" w:fill="FFFFFE"/>
        </w:rPr>
        <w:t>14</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绿化植物的有害生物 pest of afforest</w:t>
      </w:r>
      <w:bookmarkEnd w:id="36"/>
    </w:p>
    <w:p w14:paraId="300A2529">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指对园林绿化植物的生长、生存造成危害，影响园林绿化景观面貌的动物、植物、微生物，</w:t>
      </w:r>
    </w:p>
    <w:p w14:paraId="379EB853">
      <w:pPr>
        <w:pageBreakBefore w:val="0"/>
        <w:wordWrap/>
        <w:overflowPunct/>
        <w:topLinePunct w:val="0"/>
        <w:bidi w:val="0"/>
        <w:spacing w:before="47" w:line="460" w:lineRule="exact"/>
        <w:ind w:firstLine="480" w:firstLineChars="200"/>
        <w:outlineLvl w:val="1"/>
        <w:rPr>
          <w:rFonts w:hint="eastAsia" w:ascii="仿宋" w:hAnsi="仿宋" w:eastAsia="仿宋" w:cs="仿宋"/>
          <w:color w:val="auto"/>
          <w:sz w:val="24"/>
          <w:szCs w:val="24"/>
          <w:highlight w:val="none"/>
          <w:shd w:val="clear" w:color="auto" w:fill="FFFFFE"/>
        </w:rPr>
      </w:pPr>
      <w:bookmarkStart w:id="37" w:name="_Toc6168"/>
      <w:r>
        <w:rPr>
          <w:rFonts w:hint="eastAsia" w:ascii="仿宋" w:hAnsi="仿宋" w:eastAsia="仿宋" w:cs="仿宋"/>
          <w:color w:val="auto"/>
          <w:sz w:val="24"/>
          <w:szCs w:val="24"/>
          <w:highlight w:val="none"/>
          <w:shd w:val="clear" w:color="auto" w:fill="FFFFFE"/>
        </w:rPr>
        <w:t>15</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有害生物控制 pest control</w:t>
      </w:r>
      <w:bookmarkEnd w:id="37"/>
    </w:p>
    <w:p w14:paraId="58116166">
      <w:pPr>
        <w:keepNext w:val="0"/>
        <w:keepLines w:val="0"/>
        <w:pageBreakBefore w:val="0"/>
        <w:widowControl/>
        <w:kinsoku/>
        <w:wordWrap/>
        <w:overflowPunct/>
        <w:topLinePunct w:val="0"/>
        <w:autoSpaceDE w:val="0"/>
        <w:autoSpaceDN w:val="0"/>
        <w:bidi w:val="0"/>
        <w:adjustRightInd w:val="0"/>
        <w:snapToGrid w:val="0"/>
        <w:spacing w:before="47" w:line="460" w:lineRule="exact"/>
        <w:ind w:firstLine="480" w:firstLineChars="200"/>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从维护、促进园林生态平衡的角度出发，遵循有害生物综合治理的原则，运用科学的技术手段，协调园林植物与其他动植物一级环境因子之间的关系，有效地控制有害生物的危害。</w:t>
      </w:r>
    </w:p>
    <w:p w14:paraId="1D02D414">
      <w:pPr>
        <w:pageBreakBefore w:val="0"/>
        <w:wordWrap/>
        <w:overflowPunct/>
        <w:topLinePunct w:val="0"/>
        <w:bidi w:val="0"/>
        <w:spacing w:before="47" w:line="460" w:lineRule="exact"/>
        <w:ind w:firstLine="480" w:firstLineChars="200"/>
        <w:outlineLvl w:val="1"/>
        <w:rPr>
          <w:rFonts w:hint="eastAsia" w:ascii="仿宋" w:hAnsi="仿宋" w:eastAsia="仿宋" w:cs="仿宋"/>
          <w:color w:val="auto"/>
          <w:sz w:val="24"/>
          <w:szCs w:val="24"/>
          <w:highlight w:val="none"/>
          <w:shd w:val="clear" w:color="auto" w:fill="FFFFFE"/>
        </w:rPr>
      </w:pPr>
      <w:bookmarkStart w:id="38" w:name="_Toc2375"/>
      <w:r>
        <w:rPr>
          <w:rFonts w:hint="eastAsia" w:ascii="仿宋" w:hAnsi="仿宋" w:eastAsia="仿宋" w:cs="仿宋"/>
          <w:color w:val="auto"/>
          <w:sz w:val="24"/>
          <w:szCs w:val="24"/>
          <w:highlight w:val="none"/>
          <w:shd w:val="clear" w:color="auto" w:fill="FFFFFE"/>
        </w:rPr>
        <w:t>16</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古树 oldtrees</w:t>
      </w:r>
      <w:bookmarkEnd w:id="38"/>
    </w:p>
    <w:p w14:paraId="643C7B40">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树龄在100年以上的树木。</w:t>
      </w:r>
    </w:p>
    <w:p w14:paraId="2F4D06F6">
      <w:pPr>
        <w:pageBreakBefore w:val="0"/>
        <w:wordWrap/>
        <w:overflowPunct/>
        <w:topLinePunct w:val="0"/>
        <w:bidi w:val="0"/>
        <w:spacing w:before="47" w:line="460" w:lineRule="exact"/>
        <w:ind w:firstLine="480" w:firstLineChars="200"/>
        <w:outlineLvl w:val="1"/>
        <w:rPr>
          <w:rFonts w:hint="eastAsia" w:ascii="仿宋" w:hAnsi="仿宋" w:eastAsia="仿宋" w:cs="仿宋"/>
          <w:color w:val="auto"/>
          <w:sz w:val="24"/>
          <w:szCs w:val="24"/>
          <w:highlight w:val="none"/>
          <w:shd w:val="clear" w:color="auto" w:fill="FFFFFE"/>
        </w:rPr>
      </w:pPr>
      <w:bookmarkStart w:id="39" w:name="_Toc11971"/>
      <w:r>
        <w:rPr>
          <w:rFonts w:hint="eastAsia" w:ascii="仿宋" w:hAnsi="仿宋" w:eastAsia="仿宋" w:cs="仿宋"/>
          <w:color w:val="auto"/>
          <w:sz w:val="24"/>
          <w:szCs w:val="24"/>
          <w:highlight w:val="none"/>
          <w:shd w:val="clear" w:color="auto" w:fill="FFFFFE"/>
        </w:rPr>
        <w:t>17</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名树 famous trees</w:t>
      </w:r>
      <w:bookmarkEnd w:id="39"/>
    </w:p>
    <w:p w14:paraId="50FA5F0A">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珍贵稀有，有重要历史价值和纪念意义，具有重要科研价值的树木。</w:t>
      </w:r>
    </w:p>
    <w:p w14:paraId="307B5DD5">
      <w:pPr>
        <w:pageBreakBefore w:val="0"/>
        <w:wordWrap/>
        <w:overflowPunct/>
        <w:topLinePunct w:val="0"/>
        <w:bidi w:val="0"/>
        <w:spacing w:before="47" w:line="460" w:lineRule="exact"/>
        <w:ind w:firstLine="480" w:firstLineChars="200"/>
        <w:outlineLvl w:val="1"/>
        <w:rPr>
          <w:rFonts w:hint="eastAsia" w:ascii="仿宋" w:hAnsi="仿宋" w:eastAsia="仿宋" w:cs="仿宋"/>
          <w:color w:val="auto"/>
          <w:sz w:val="24"/>
          <w:szCs w:val="24"/>
          <w:highlight w:val="none"/>
          <w:shd w:val="clear" w:color="auto" w:fill="FFFFFE"/>
        </w:rPr>
      </w:pPr>
      <w:bookmarkStart w:id="40" w:name="_Toc15460"/>
      <w:r>
        <w:rPr>
          <w:rFonts w:hint="eastAsia" w:ascii="仿宋" w:hAnsi="仿宋" w:eastAsia="仿宋" w:cs="仿宋"/>
          <w:color w:val="auto"/>
          <w:sz w:val="24"/>
          <w:szCs w:val="24"/>
          <w:highlight w:val="none"/>
          <w:shd w:val="clear" w:color="auto" w:fill="FFFFFE"/>
        </w:rPr>
        <w:t>18</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古树后续资源 potentiall resource of old</w:t>
      </w:r>
      <w:bookmarkEnd w:id="40"/>
    </w:p>
    <w:p w14:paraId="609A5BBE">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树龄在八十年以上一百年一下的树木。</w:t>
      </w:r>
    </w:p>
    <w:p w14:paraId="1C2600FF">
      <w:pPr>
        <w:pageBreakBefore w:val="0"/>
        <w:wordWrap/>
        <w:overflowPunct/>
        <w:topLinePunct w:val="0"/>
        <w:bidi w:val="0"/>
        <w:spacing w:before="47" w:line="460" w:lineRule="exact"/>
        <w:ind w:firstLine="480" w:firstLineChars="200"/>
        <w:outlineLvl w:val="1"/>
        <w:rPr>
          <w:rFonts w:hint="eastAsia" w:ascii="仿宋" w:hAnsi="仿宋" w:eastAsia="仿宋" w:cs="仿宋"/>
          <w:color w:val="auto"/>
          <w:sz w:val="24"/>
          <w:szCs w:val="24"/>
          <w:highlight w:val="none"/>
          <w:shd w:val="clear" w:color="auto" w:fill="FFFFFE"/>
        </w:rPr>
      </w:pPr>
      <w:bookmarkStart w:id="41" w:name="_Toc7598"/>
      <w:r>
        <w:rPr>
          <w:rFonts w:hint="eastAsia" w:ascii="仿宋" w:hAnsi="仿宋" w:eastAsia="仿宋" w:cs="仿宋"/>
          <w:color w:val="auto"/>
          <w:sz w:val="24"/>
          <w:szCs w:val="24"/>
          <w:highlight w:val="none"/>
          <w:shd w:val="clear" w:color="auto" w:fill="FFFFFE"/>
        </w:rPr>
        <w:t>19</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古树名木保护区 conservation spots of old and historical trees</w:t>
      </w:r>
      <w:bookmarkEnd w:id="41"/>
      <w:r>
        <w:rPr>
          <w:rFonts w:hint="eastAsia" w:ascii="仿宋" w:hAnsi="仿宋" w:eastAsia="仿宋" w:cs="仿宋"/>
          <w:color w:val="auto"/>
          <w:sz w:val="24"/>
          <w:szCs w:val="24"/>
          <w:highlight w:val="none"/>
          <w:shd w:val="clear" w:color="auto" w:fill="FFFFFE"/>
        </w:rPr>
        <w:t xml:space="preserve"> </w:t>
      </w:r>
    </w:p>
    <w:p w14:paraId="19B7CE54">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古树、名木树冠垂直投影外不小于5米的区域。</w:t>
      </w:r>
    </w:p>
    <w:p w14:paraId="6917D0CF">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古树后续资源树冠垂直投影外不小于2米的区域。</w:t>
      </w:r>
    </w:p>
    <w:p w14:paraId="42675F20">
      <w:pPr>
        <w:pageBreakBefore w:val="0"/>
        <w:wordWrap/>
        <w:overflowPunct/>
        <w:topLinePunct w:val="0"/>
        <w:bidi w:val="0"/>
        <w:spacing w:before="47" w:line="460" w:lineRule="exact"/>
        <w:ind w:firstLine="480" w:firstLineChars="200"/>
        <w:outlineLvl w:val="1"/>
        <w:rPr>
          <w:rFonts w:hint="eastAsia" w:ascii="仿宋" w:hAnsi="仿宋" w:eastAsia="仿宋" w:cs="仿宋"/>
          <w:color w:val="auto"/>
          <w:sz w:val="24"/>
          <w:szCs w:val="24"/>
          <w:highlight w:val="none"/>
          <w:shd w:val="clear" w:color="auto" w:fill="FFFFFE"/>
        </w:rPr>
      </w:pPr>
      <w:bookmarkStart w:id="42" w:name="_Toc3577"/>
      <w:r>
        <w:rPr>
          <w:rFonts w:hint="eastAsia" w:ascii="仿宋" w:hAnsi="仿宋" w:eastAsia="仿宋" w:cs="仿宋"/>
          <w:color w:val="auto"/>
          <w:sz w:val="24"/>
          <w:szCs w:val="24"/>
          <w:highlight w:val="none"/>
          <w:shd w:val="clear" w:color="auto" w:fill="FFFFFE"/>
        </w:rPr>
        <w:t>20</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土壤溶液酸碱度 soil acidity and alkalinity （可有PH指表示）</w:t>
      </w:r>
      <w:bookmarkEnd w:id="42"/>
    </w:p>
    <w:p w14:paraId="70AD5591">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土壤溶液中氢离子溶度的负对数，即PH=-log[H+]表示土壤溶液的酸碱度。</w:t>
      </w:r>
    </w:p>
    <w:p w14:paraId="22E50A81">
      <w:pPr>
        <w:pageBreakBefore w:val="0"/>
        <w:wordWrap/>
        <w:overflowPunct/>
        <w:topLinePunct w:val="0"/>
        <w:bidi w:val="0"/>
        <w:spacing w:before="47" w:line="460" w:lineRule="exact"/>
        <w:ind w:firstLine="480" w:firstLineChars="200"/>
        <w:outlineLvl w:val="1"/>
        <w:rPr>
          <w:rFonts w:hint="eastAsia" w:ascii="仿宋" w:hAnsi="仿宋" w:eastAsia="仿宋" w:cs="仿宋"/>
          <w:color w:val="auto"/>
          <w:sz w:val="24"/>
          <w:szCs w:val="24"/>
          <w:highlight w:val="none"/>
          <w:shd w:val="clear" w:color="auto" w:fill="FFFFFE"/>
        </w:rPr>
      </w:pPr>
      <w:bookmarkStart w:id="43" w:name="_Toc10381"/>
      <w:r>
        <w:rPr>
          <w:rFonts w:hint="eastAsia" w:ascii="仿宋" w:hAnsi="仿宋" w:eastAsia="仿宋" w:cs="仿宋"/>
          <w:color w:val="auto"/>
          <w:sz w:val="24"/>
          <w:szCs w:val="24"/>
          <w:highlight w:val="none"/>
          <w:shd w:val="clear" w:color="auto" w:fill="FFFFFE"/>
        </w:rPr>
        <w:t>21</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土壤溶液电导率值 soil solution conductance （可用EC表示）</w:t>
      </w:r>
      <w:bookmarkEnd w:id="43"/>
    </w:p>
    <w:p w14:paraId="4F0F2BB7">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土壤溶液的导电强度，用于度量土壤中可溶性离子的总量，单位为毫西门子/厘米（mS/cm）。</w:t>
      </w:r>
    </w:p>
    <w:p w14:paraId="3D971CC2">
      <w:pPr>
        <w:pageBreakBefore w:val="0"/>
        <w:wordWrap/>
        <w:overflowPunct/>
        <w:topLinePunct w:val="0"/>
        <w:bidi w:val="0"/>
        <w:spacing w:before="47" w:line="460" w:lineRule="exact"/>
        <w:ind w:firstLine="480" w:firstLineChars="200"/>
        <w:outlineLvl w:val="1"/>
        <w:rPr>
          <w:rFonts w:hint="eastAsia" w:ascii="仿宋" w:hAnsi="仿宋" w:eastAsia="仿宋" w:cs="仿宋"/>
          <w:color w:val="auto"/>
          <w:sz w:val="24"/>
          <w:szCs w:val="24"/>
          <w:highlight w:val="none"/>
          <w:shd w:val="clear" w:color="auto" w:fill="FFFFFE"/>
        </w:rPr>
      </w:pPr>
      <w:bookmarkStart w:id="44" w:name="_Toc24229"/>
      <w:r>
        <w:rPr>
          <w:rFonts w:hint="eastAsia" w:ascii="仿宋" w:hAnsi="仿宋" w:eastAsia="仿宋" w:cs="仿宋"/>
          <w:color w:val="auto"/>
          <w:sz w:val="24"/>
          <w:szCs w:val="24"/>
          <w:highlight w:val="none"/>
          <w:shd w:val="clear" w:color="auto" w:fill="FFFFFE"/>
        </w:rPr>
        <w:t>22</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土壤有机质 soil oganic substance</w:t>
      </w:r>
      <w:bookmarkEnd w:id="44"/>
    </w:p>
    <w:p w14:paraId="4E5FE775">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土壤中动植物残体、微生物体以及其分解和合成的有机物质，用克/千克表示（g/kg）。</w:t>
      </w:r>
    </w:p>
    <w:p w14:paraId="4B74CE4F">
      <w:pPr>
        <w:pageBreakBefore w:val="0"/>
        <w:wordWrap/>
        <w:overflowPunct/>
        <w:topLinePunct w:val="0"/>
        <w:bidi w:val="0"/>
        <w:spacing w:before="47" w:line="460" w:lineRule="exact"/>
        <w:ind w:firstLine="480" w:firstLineChars="200"/>
        <w:outlineLvl w:val="2"/>
        <w:rPr>
          <w:rFonts w:hint="eastAsia" w:ascii="仿宋" w:hAnsi="仿宋" w:eastAsia="仿宋" w:cs="仿宋"/>
          <w:color w:val="auto"/>
          <w:sz w:val="24"/>
          <w:szCs w:val="24"/>
          <w:highlight w:val="none"/>
          <w:shd w:val="clear" w:color="auto" w:fill="FFFFFE"/>
        </w:rPr>
      </w:pPr>
      <w:bookmarkStart w:id="45" w:name="_Toc4692"/>
      <w:r>
        <w:rPr>
          <w:rFonts w:hint="eastAsia" w:ascii="仿宋" w:hAnsi="仿宋" w:eastAsia="仿宋" w:cs="仿宋"/>
          <w:color w:val="auto"/>
          <w:sz w:val="24"/>
          <w:szCs w:val="24"/>
          <w:highlight w:val="none"/>
          <w:shd w:val="clear" w:color="auto" w:fill="FFFFFE"/>
        </w:rPr>
        <w:t>23</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土壤容重 soil bulk density</w:t>
      </w:r>
      <w:bookmarkEnd w:id="45"/>
    </w:p>
    <w:p w14:paraId="66F6FFFA">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土壤在自然结构状态下，单位体积内干土重。</w:t>
      </w:r>
    </w:p>
    <w:p w14:paraId="3176981D">
      <w:pPr>
        <w:pageBreakBefore w:val="0"/>
        <w:wordWrap/>
        <w:overflowPunct/>
        <w:topLinePunct w:val="0"/>
        <w:bidi w:val="0"/>
        <w:spacing w:before="47" w:line="460" w:lineRule="exact"/>
        <w:ind w:firstLine="480" w:firstLineChars="200"/>
        <w:outlineLvl w:val="2"/>
        <w:rPr>
          <w:rFonts w:hint="eastAsia" w:ascii="仿宋" w:hAnsi="仿宋" w:eastAsia="仿宋" w:cs="仿宋"/>
          <w:color w:val="auto"/>
          <w:sz w:val="24"/>
          <w:szCs w:val="24"/>
          <w:highlight w:val="none"/>
          <w:shd w:val="clear" w:color="auto" w:fill="FFFFFE"/>
        </w:rPr>
      </w:pPr>
      <w:bookmarkStart w:id="46" w:name="_Toc32531"/>
      <w:r>
        <w:rPr>
          <w:rFonts w:hint="eastAsia" w:ascii="仿宋" w:hAnsi="仿宋" w:eastAsia="仿宋" w:cs="仿宋"/>
          <w:color w:val="auto"/>
          <w:sz w:val="24"/>
          <w:szCs w:val="24"/>
          <w:highlight w:val="none"/>
          <w:shd w:val="clear" w:color="auto" w:fill="FFFFFE"/>
        </w:rPr>
        <w:t>24</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土壤通气孔隙度 soli areation porosity</w:t>
      </w:r>
      <w:bookmarkEnd w:id="46"/>
    </w:p>
    <w:p w14:paraId="5D519FE8">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在土壤孔隙中，没有毛管作用的部分（一般值直径大于0.1mm的孔隙）所占的比例。用（%）表示。</w:t>
      </w:r>
    </w:p>
    <w:p w14:paraId="424D8018">
      <w:pPr>
        <w:pageBreakBefore w:val="0"/>
        <w:wordWrap/>
        <w:overflowPunct/>
        <w:topLinePunct w:val="0"/>
        <w:bidi w:val="0"/>
        <w:spacing w:before="47" w:line="460" w:lineRule="exact"/>
        <w:ind w:firstLine="480" w:firstLineChars="200"/>
        <w:outlineLvl w:val="2"/>
        <w:rPr>
          <w:rFonts w:hint="eastAsia" w:ascii="仿宋" w:hAnsi="仿宋" w:eastAsia="仿宋" w:cs="仿宋"/>
          <w:color w:val="auto"/>
          <w:sz w:val="24"/>
          <w:szCs w:val="24"/>
          <w:highlight w:val="none"/>
          <w:shd w:val="clear" w:color="auto" w:fill="FFFFFE"/>
        </w:rPr>
      </w:pPr>
      <w:bookmarkStart w:id="47" w:name="_Toc17507"/>
      <w:r>
        <w:rPr>
          <w:rFonts w:hint="eastAsia" w:ascii="仿宋" w:hAnsi="仿宋" w:eastAsia="仿宋" w:cs="仿宋"/>
          <w:color w:val="auto"/>
          <w:sz w:val="24"/>
          <w:szCs w:val="24"/>
          <w:highlight w:val="none"/>
          <w:shd w:val="clear" w:color="auto" w:fill="FFFFFE"/>
        </w:rPr>
        <w:t>25</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有效土层 effective soil horizon</w:t>
      </w:r>
      <w:bookmarkEnd w:id="47"/>
    </w:p>
    <w:p w14:paraId="27EE37FC">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植物根系能正常生长发育的土壤厚度。单位未厘米（cm）。</w:t>
      </w:r>
    </w:p>
    <w:p w14:paraId="6C917BE1">
      <w:pPr>
        <w:pageBreakBefore w:val="0"/>
        <w:wordWrap/>
        <w:overflowPunct/>
        <w:topLinePunct w:val="0"/>
        <w:bidi w:val="0"/>
        <w:spacing w:before="47" w:line="460" w:lineRule="exact"/>
        <w:ind w:firstLine="480" w:firstLineChars="200"/>
        <w:outlineLvl w:val="2"/>
        <w:rPr>
          <w:rFonts w:hint="eastAsia" w:ascii="仿宋" w:hAnsi="仿宋" w:eastAsia="仿宋" w:cs="仿宋"/>
          <w:color w:val="auto"/>
          <w:sz w:val="24"/>
          <w:szCs w:val="24"/>
          <w:highlight w:val="none"/>
          <w:shd w:val="clear" w:color="auto" w:fill="FFFFFE"/>
        </w:rPr>
      </w:pPr>
      <w:bookmarkStart w:id="48" w:name="_Toc10493"/>
      <w:r>
        <w:rPr>
          <w:rFonts w:hint="eastAsia" w:ascii="仿宋" w:hAnsi="仿宋" w:eastAsia="仿宋" w:cs="仿宋"/>
          <w:color w:val="auto"/>
          <w:sz w:val="24"/>
          <w:szCs w:val="24"/>
          <w:highlight w:val="none"/>
          <w:shd w:val="clear" w:color="auto" w:fill="FFFFFE"/>
        </w:rPr>
        <w:t>26</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石灰反应 lime reaction</w:t>
      </w:r>
      <w:bookmarkEnd w:id="48"/>
    </w:p>
    <w:p w14:paraId="45451339">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用80-100g/kg盐酸与土壤中的碳酸反应引起泡沫的强弱程度，用无（O）、弱（&lt;10g/kg），中（10-50g/kg），强（&gt;50g/kg）,表示</w:t>
      </w:r>
    </w:p>
    <w:p w14:paraId="20D91FED">
      <w:pPr>
        <w:pageBreakBefore w:val="0"/>
        <w:wordWrap/>
        <w:overflowPunct/>
        <w:topLinePunct w:val="0"/>
        <w:bidi w:val="0"/>
        <w:spacing w:before="47" w:line="460" w:lineRule="exact"/>
        <w:ind w:firstLine="480" w:firstLineChars="200"/>
        <w:outlineLvl w:val="2"/>
        <w:rPr>
          <w:rFonts w:hint="eastAsia" w:ascii="仿宋" w:hAnsi="仿宋" w:eastAsia="仿宋" w:cs="仿宋"/>
          <w:color w:val="auto"/>
          <w:sz w:val="24"/>
          <w:szCs w:val="24"/>
          <w:highlight w:val="none"/>
          <w:shd w:val="clear" w:color="auto" w:fill="FFFFFE"/>
        </w:rPr>
      </w:pPr>
      <w:bookmarkStart w:id="49" w:name="_Toc6139"/>
      <w:r>
        <w:rPr>
          <w:rFonts w:hint="eastAsia" w:ascii="仿宋" w:hAnsi="仿宋" w:eastAsia="仿宋" w:cs="仿宋"/>
          <w:color w:val="auto"/>
          <w:sz w:val="24"/>
          <w:szCs w:val="24"/>
          <w:highlight w:val="none"/>
          <w:shd w:val="clear" w:color="auto" w:fill="FFFFFE"/>
        </w:rPr>
        <w:t>27</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水体 water body</w:t>
      </w:r>
      <w:bookmarkEnd w:id="49"/>
    </w:p>
    <w:p w14:paraId="1B2A428B">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绿地内的水体分自然和人工建造两大类，人工建造的水体在形式上分规则水池和防自然水池，在驳岸和池底结构上又分自然（软底）和人工（铺装）两种类别。</w:t>
      </w:r>
    </w:p>
    <w:p w14:paraId="72CC5C8C">
      <w:pPr>
        <w:pageBreakBefore w:val="0"/>
        <w:wordWrap/>
        <w:overflowPunct/>
        <w:topLinePunct w:val="0"/>
        <w:bidi w:val="0"/>
        <w:spacing w:before="47" w:line="460" w:lineRule="exact"/>
        <w:ind w:firstLine="480" w:firstLineChars="200"/>
        <w:outlineLvl w:val="2"/>
        <w:rPr>
          <w:rFonts w:hint="eastAsia" w:ascii="仿宋" w:hAnsi="仿宋" w:eastAsia="仿宋" w:cs="仿宋"/>
          <w:color w:val="auto"/>
          <w:sz w:val="24"/>
          <w:szCs w:val="24"/>
          <w:highlight w:val="none"/>
          <w:shd w:val="clear" w:color="auto" w:fill="FFFFFE"/>
        </w:rPr>
      </w:pPr>
      <w:bookmarkStart w:id="50" w:name="_Toc1355"/>
      <w:r>
        <w:rPr>
          <w:rFonts w:hint="eastAsia" w:ascii="仿宋" w:hAnsi="仿宋" w:eastAsia="仿宋" w:cs="仿宋"/>
          <w:color w:val="auto"/>
          <w:sz w:val="24"/>
          <w:szCs w:val="24"/>
          <w:highlight w:val="none"/>
          <w:shd w:val="clear" w:color="auto" w:fill="FFFFFE"/>
        </w:rPr>
        <w:t>28</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假山叠石 rockery piling</w:t>
      </w:r>
      <w:bookmarkEnd w:id="50"/>
    </w:p>
    <w:p w14:paraId="7FE53D5C">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绿地中，人工堆砌的各类山石，含仿造山石。</w:t>
      </w:r>
    </w:p>
    <w:p w14:paraId="0F64F8F8">
      <w:pPr>
        <w:pageBreakBefore w:val="0"/>
        <w:wordWrap/>
        <w:overflowPunct/>
        <w:topLinePunct w:val="0"/>
        <w:bidi w:val="0"/>
        <w:spacing w:before="47" w:line="460" w:lineRule="exact"/>
        <w:ind w:firstLine="480" w:firstLineChars="200"/>
        <w:outlineLvl w:val="2"/>
        <w:rPr>
          <w:rFonts w:hint="eastAsia" w:ascii="仿宋" w:hAnsi="仿宋" w:eastAsia="仿宋" w:cs="仿宋"/>
          <w:color w:val="auto"/>
          <w:sz w:val="24"/>
          <w:szCs w:val="24"/>
          <w:highlight w:val="none"/>
          <w:shd w:val="clear" w:color="auto" w:fill="FFFFFE"/>
        </w:rPr>
      </w:pPr>
      <w:bookmarkStart w:id="51" w:name="_Toc7275"/>
      <w:r>
        <w:rPr>
          <w:rFonts w:hint="eastAsia" w:ascii="仿宋" w:hAnsi="仿宋" w:eastAsia="仿宋" w:cs="仿宋"/>
          <w:color w:val="auto"/>
          <w:sz w:val="24"/>
          <w:szCs w:val="24"/>
          <w:highlight w:val="none"/>
          <w:shd w:val="clear" w:color="auto" w:fill="FFFFFE"/>
        </w:rPr>
        <w:t>29</w:t>
      </w:r>
      <w:r>
        <w:rPr>
          <w:rFonts w:hint="eastAsia" w:ascii="仿宋" w:hAnsi="仿宋" w:eastAsia="仿宋" w:cs="仿宋"/>
          <w:color w:val="auto"/>
          <w:sz w:val="24"/>
          <w:szCs w:val="24"/>
          <w:highlight w:val="none"/>
          <w:shd w:val="clear" w:color="auto" w:fill="FFFFFE"/>
          <w:lang w:eastAsia="zh-CN"/>
        </w:rPr>
        <w:t>、</w:t>
      </w:r>
      <w:r>
        <w:rPr>
          <w:rFonts w:hint="eastAsia" w:ascii="仿宋" w:hAnsi="仿宋" w:eastAsia="仿宋" w:cs="仿宋"/>
          <w:color w:val="auto"/>
          <w:sz w:val="24"/>
          <w:szCs w:val="24"/>
          <w:highlight w:val="none"/>
          <w:shd w:val="clear" w:color="auto" w:fill="FFFFFE"/>
        </w:rPr>
        <w:t>萎蔫 wilting</w:t>
      </w:r>
      <w:bookmarkEnd w:id="51"/>
    </w:p>
    <w:p w14:paraId="46BF9747">
      <w:pPr>
        <w:pageBreakBefore w:val="0"/>
        <w:wordWrap/>
        <w:overflowPunct/>
        <w:topLinePunct w:val="0"/>
        <w:bidi w:val="0"/>
        <w:spacing w:before="47" w:line="460" w:lineRule="exact"/>
        <w:ind w:firstLine="480" w:firstLineChars="200"/>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某些植物栽水分亏缺严重时，细胞失去膨压，茎叶下垂现象称萎蔫。消除水分亏缺后能恢复原状。</w:t>
      </w:r>
    </w:p>
    <w:p w14:paraId="6A1F993C">
      <w:pPr>
        <w:pageBreakBefore w:val="0"/>
        <w:kinsoku w:val="0"/>
        <w:wordWrap/>
        <w:overflowPunct/>
        <w:topLinePunct w:val="0"/>
        <w:autoSpaceDE w:val="0"/>
        <w:autoSpaceDN w:val="0"/>
        <w:bidi w:val="0"/>
        <w:adjustRightInd w:val="0"/>
        <w:snapToGrid w:val="0"/>
        <w:spacing w:before="35" w:line="460" w:lineRule="exact"/>
        <w:ind w:left="114" w:right="104" w:firstLine="6"/>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br w:type="page"/>
      </w:r>
      <w:r>
        <w:rPr>
          <w:rFonts w:hint="eastAsia" w:ascii="仿宋" w:hAnsi="仿宋" w:eastAsia="仿宋" w:cs="仿宋"/>
          <w:color w:val="auto"/>
          <w:sz w:val="24"/>
          <w:szCs w:val="24"/>
          <w:highlight w:val="none"/>
        </w:rPr>
        <w:t>表3.0.1</w:t>
      </w:r>
      <w:r>
        <w:rPr>
          <w:rFonts w:hint="eastAsia" w:ascii="仿宋" w:hAnsi="仿宋" w:eastAsia="仿宋" w:cs="仿宋"/>
          <w:color w:val="auto"/>
          <w:sz w:val="24"/>
          <w:szCs w:val="24"/>
          <w:highlight w:val="none"/>
          <w:lang w:val="en-US" w:eastAsia="zh-CN"/>
        </w:rPr>
        <w:t xml:space="preserve"> </w:t>
      </w:r>
      <w:r>
        <w:rPr>
          <w:rFonts w:hint="eastAsia" w:ascii="仿宋" w:hAnsi="仿宋" w:eastAsia="仿宋" w:cs="仿宋"/>
          <w:color w:val="auto"/>
          <w:sz w:val="24"/>
          <w:szCs w:val="24"/>
          <w:highlight w:val="none"/>
        </w:rPr>
        <w:t>树</w:t>
      </w:r>
      <w:r>
        <w:rPr>
          <w:rFonts w:hint="eastAsia" w:ascii="仿宋" w:hAnsi="仿宋" w:eastAsia="仿宋" w:cs="仿宋"/>
          <w:color w:val="auto"/>
          <w:sz w:val="24"/>
          <w:szCs w:val="24"/>
          <w:highlight w:val="none"/>
          <w:lang w:val="en-US" w:eastAsia="zh-CN"/>
        </w:rPr>
        <w:t xml:space="preserve">  </w:t>
      </w:r>
      <w:r>
        <w:rPr>
          <w:rFonts w:hint="eastAsia" w:ascii="仿宋" w:hAnsi="仿宋" w:eastAsia="仿宋" w:cs="仿宋"/>
          <w:color w:val="auto"/>
          <w:sz w:val="24"/>
          <w:szCs w:val="24"/>
          <w:highlight w:val="none"/>
        </w:rPr>
        <w:t>林</w:t>
      </w:r>
    </w:p>
    <w:tbl>
      <w:tblPr>
        <w:tblStyle w:val="6"/>
        <w:tblW w:w="90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856"/>
        <w:gridCol w:w="1417"/>
        <w:gridCol w:w="1984"/>
        <w:gridCol w:w="2538"/>
        <w:gridCol w:w="2277"/>
      </w:tblGrid>
      <w:tr w14:paraId="115F3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2" w:hRule="atLeast"/>
          <w:jc w:val="center"/>
        </w:trPr>
        <w:tc>
          <w:tcPr>
            <w:tcW w:w="856" w:type="dxa"/>
            <w:noWrap w:val="0"/>
            <w:vAlign w:val="center"/>
          </w:tcPr>
          <w:p w14:paraId="3C79B90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6"/>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序号</w:t>
            </w:r>
          </w:p>
        </w:tc>
        <w:tc>
          <w:tcPr>
            <w:tcW w:w="1417" w:type="dxa"/>
            <w:noWrap w:val="0"/>
            <w:vAlign w:val="center"/>
          </w:tcPr>
          <w:p w14:paraId="0E88B45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6"/>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项目标准级别</w:t>
            </w:r>
          </w:p>
        </w:tc>
        <w:tc>
          <w:tcPr>
            <w:tcW w:w="1984" w:type="dxa"/>
            <w:noWrap w:val="0"/>
            <w:vAlign w:val="center"/>
          </w:tcPr>
          <w:p w14:paraId="0048216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6"/>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基本标准</w:t>
            </w:r>
          </w:p>
        </w:tc>
        <w:tc>
          <w:tcPr>
            <w:tcW w:w="2538" w:type="dxa"/>
            <w:noWrap w:val="0"/>
            <w:vAlign w:val="center"/>
          </w:tcPr>
          <w:p w14:paraId="5F0CBA4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6"/>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二级</w:t>
            </w:r>
          </w:p>
        </w:tc>
        <w:tc>
          <w:tcPr>
            <w:tcW w:w="2277" w:type="dxa"/>
            <w:noWrap w:val="0"/>
            <w:vAlign w:val="center"/>
          </w:tcPr>
          <w:p w14:paraId="0141FBB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6"/>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一级</w:t>
            </w:r>
          </w:p>
        </w:tc>
      </w:tr>
      <w:tr w14:paraId="26965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08" w:hRule="atLeast"/>
          <w:jc w:val="center"/>
        </w:trPr>
        <w:tc>
          <w:tcPr>
            <w:tcW w:w="856" w:type="dxa"/>
            <w:noWrap w:val="0"/>
            <w:vAlign w:val="center"/>
          </w:tcPr>
          <w:p w14:paraId="6308A63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p>
        </w:tc>
        <w:tc>
          <w:tcPr>
            <w:tcW w:w="1417" w:type="dxa"/>
            <w:noWrap w:val="0"/>
            <w:vAlign w:val="center"/>
          </w:tcPr>
          <w:p w14:paraId="6EC8266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景观</w:t>
            </w:r>
          </w:p>
        </w:tc>
        <w:tc>
          <w:tcPr>
            <w:tcW w:w="1984" w:type="dxa"/>
            <w:noWrap w:val="0"/>
            <w:vAlign w:val="center"/>
          </w:tcPr>
          <w:p w14:paraId="088D743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(1)有一定的群结构；</w:t>
            </w:r>
          </w:p>
          <w:p w14:paraId="4445296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(2)林相完整。</w:t>
            </w:r>
          </w:p>
        </w:tc>
        <w:tc>
          <w:tcPr>
            <w:tcW w:w="2538" w:type="dxa"/>
            <w:noWrap w:val="0"/>
            <w:vAlign w:val="center"/>
          </w:tcPr>
          <w:p w14:paraId="5B4FE34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(1)群落结构合理，植株间无明显抑制现象;</w:t>
            </w:r>
          </w:p>
          <w:p w14:paraId="29B8971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(2)林冠线和林缘线尚整齐。</w:t>
            </w:r>
          </w:p>
        </w:tc>
        <w:tc>
          <w:tcPr>
            <w:tcW w:w="2277" w:type="dxa"/>
            <w:noWrap w:val="0"/>
            <w:vAlign w:val="center"/>
          </w:tcPr>
          <w:p w14:paraId="4BBFB00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(1)群落结构合理，植株疏密得当，层次分明；</w:t>
            </w:r>
          </w:p>
          <w:p w14:paraId="7982224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(2)林冠线和林缘线饱满。</w:t>
            </w:r>
          </w:p>
        </w:tc>
      </w:tr>
      <w:tr w14:paraId="224F8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83" w:hRule="atLeast"/>
          <w:jc w:val="center"/>
        </w:trPr>
        <w:tc>
          <w:tcPr>
            <w:tcW w:w="856" w:type="dxa"/>
            <w:noWrap w:val="0"/>
            <w:vAlign w:val="center"/>
          </w:tcPr>
          <w:p w14:paraId="480F4DD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p>
        </w:tc>
        <w:tc>
          <w:tcPr>
            <w:tcW w:w="1417" w:type="dxa"/>
            <w:noWrap w:val="0"/>
            <w:vAlign w:val="center"/>
          </w:tcPr>
          <w:p w14:paraId="284778D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生长</w:t>
            </w:r>
          </w:p>
        </w:tc>
        <w:tc>
          <w:tcPr>
            <w:tcW w:w="1984" w:type="dxa"/>
            <w:noWrap w:val="0"/>
            <w:vAlign w:val="center"/>
          </w:tcPr>
          <w:p w14:paraId="5DBDD1C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枝叶生长量和色泽基本正常</w:t>
            </w:r>
          </w:p>
        </w:tc>
        <w:tc>
          <w:tcPr>
            <w:tcW w:w="2538" w:type="dxa"/>
            <w:noWrap w:val="0"/>
            <w:vAlign w:val="center"/>
          </w:tcPr>
          <w:p w14:paraId="2D86597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（1）枝叶生长正常；</w:t>
            </w:r>
          </w:p>
          <w:p w14:paraId="43799E5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（2）观花、观果树种正常开花结果；</w:t>
            </w:r>
          </w:p>
          <w:p w14:paraId="64823C2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（3）无大型枯枝。</w:t>
            </w:r>
            <w:r>
              <w:rPr>
                <w:rFonts w:hint="eastAsia" w:ascii="仿宋" w:hAnsi="仿宋" w:eastAsia="仿宋" w:cs="仿宋"/>
                <w:color w:val="auto"/>
                <w:sz w:val="24"/>
                <w:szCs w:val="24"/>
                <w:highlight w:val="none"/>
              </w:rPr>
              <w:cr/>
            </w:r>
          </w:p>
        </w:tc>
        <w:tc>
          <w:tcPr>
            <w:tcW w:w="2277" w:type="dxa"/>
            <w:noWrap w:val="0"/>
            <w:vAlign w:val="center"/>
          </w:tcPr>
          <w:p w14:paraId="19EC99E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(1)枝叶生长，色泽正常；</w:t>
            </w:r>
          </w:p>
          <w:p w14:paraId="0E36D53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(2)观花树木按时茂盛开花；</w:t>
            </w:r>
          </w:p>
          <w:p w14:paraId="6971FC4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(3)观果树种正常结果；</w:t>
            </w:r>
          </w:p>
          <w:p w14:paraId="09854CC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(4)无枯枝。</w:t>
            </w:r>
          </w:p>
        </w:tc>
      </w:tr>
      <w:tr w14:paraId="7E65A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10" w:hRule="atLeast"/>
          <w:jc w:val="center"/>
        </w:trPr>
        <w:tc>
          <w:tcPr>
            <w:tcW w:w="856" w:type="dxa"/>
            <w:noWrap w:val="0"/>
            <w:vAlign w:val="center"/>
          </w:tcPr>
          <w:p w14:paraId="6528CF0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p>
        </w:tc>
        <w:tc>
          <w:tcPr>
            <w:tcW w:w="1417" w:type="dxa"/>
            <w:noWrap w:val="0"/>
            <w:vAlign w:val="center"/>
          </w:tcPr>
          <w:p w14:paraId="2E0099B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有害生物控制</w:t>
            </w:r>
          </w:p>
        </w:tc>
        <w:tc>
          <w:tcPr>
            <w:tcW w:w="1984" w:type="dxa"/>
            <w:noWrap w:val="0"/>
            <w:vAlign w:val="center"/>
          </w:tcPr>
          <w:p w14:paraId="4E1C53C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(1)无严重的有害生物危状态；</w:t>
            </w:r>
          </w:p>
          <w:p w14:paraId="1678DBA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(2)基本无大型、恶性、缠绕性杂草；无明显影响的其他杂草。</w:t>
            </w:r>
          </w:p>
        </w:tc>
        <w:tc>
          <w:tcPr>
            <w:tcW w:w="2538" w:type="dxa"/>
            <w:noWrap w:val="0"/>
            <w:vAlign w:val="center"/>
          </w:tcPr>
          <w:p w14:paraId="7D2CAFA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(1)无明显的有害生物危害状；</w:t>
            </w:r>
          </w:p>
          <w:p w14:paraId="19C8876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(2)无大型、恶性、缠绕性杂草，基本无影响景观面貌的杂草。</w:t>
            </w:r>
          </w:p>
        </w:tc>
        <w:tc>
          <w:tcPr>
            <w:tcW w:w="2277" w:type="dxa"/>
            <w:noWrap w:val="0"/>
            <w:vAlign w:val="center"/>
          </w:tcPr>
          <w:p w14:paraId="378AF11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(1)基本无有害生物危害状；</w:t>
            </w:r>
          </w:p>
          <w:p w14:paraId="62570B2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(2)无大型、恶性、缠绕性杂草，无影响景观的杂草。</w:t>
            </w:r>
          </w:p>
        </w:tc>
      </w:tr>
      <w:tr w14:paraId="280F7D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9" w:hRule="atLeast"/>
          <w:jc w:val="center"/>
        </w:trPr>
        <w:tc>
          <w:tcPr>
            <w:tcW w:w="856" w:type="dxa"/>
            <w:noWrap w:val="0"/>
            <w:vAlign w:val="center"/>
          </w:tcPr>
          <w:p w14:paraId="3413262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w:t>
            </w:r>
          </w:p>
        </w:tc>
        <w:tc>
          <w:tcPr>
            <w:tcW w:w="1417" w:type="dxa"/>
            <w:noWrap w:val="0"/>
            <w:vAlign w:val="center"/>
          </w:tcPr>
          <w:p w14:paraId="6761AFF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保存率</w:t>
            </w:r>
          </w:p>
        </w:tc>
        <w:tc>
          <w:tcPr>
            <w:tcW w:w="1984" w:type="dxa"/>
            <w:noWrap w:val="0"/>
            <w:vAlign w:val="center"/>
          </w:tcPr>
          <w:p w14:paraId="1D456B8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95%以上</w:t>
            </w:r>
          </w:p>
        </w:tc>
        <w:tc>
          <w:tcPr>
            <w:tcW w:w="2538" w:type="dxa"/>
            <w:noWrap w:val="0"/>
            <w:vAlign w:val="center"/>
          </w:tcPr>
          <w:p w14:paraId="08FA663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98%以上</w:t>
            </w:r>
          </w:p>
        </w:tc>
        <w:tc>
          <w:tcPr>
            <w:tcW w:w="2277" w:type="dxa"/>
            <w:noWrap w:val="0"/>
            <w:vAlign w:val="center"/>
          </w:tcPr>
          <w:p w14:paraId="6E36B41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99%以上</w:t>
            </w:r>
          </w:p>
        </w:tc>
      </w:tr>
      <w:tr w14:paraId="59D08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53" w:hRule="atLeast"/>
          <w:jc w:val="center"/>
        </w:trPr>
        <w:tc>
          <w:tcPr>
            <w:tcW w:w="856" w:type="dxa"/>
            <w:noWrap w:val="0"/>
            <w:vAlign w:val="center"/>
          </w:tcPr>
          <w:p w14:paraId="26B58FA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5</w:t>
            </w:r>
          </w:p>
        </w:tc>
        <w:tc>
          <w:tcPr>
            <w:tcW w:w="1417" w:type="dxa"/>
            <w:noWrap w:val="0"/>
            <w:vAlign w:val="center"/>
          </w:tcPr>
          <w:p w14:paraId="6C16587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清洁</w:t>
            </w:r>
          </w:p>
        </w:tc>
        <w:tc>
          <w:tcPr>
            <w:tcW w:w="1984" w:type="dxa"/>
            <w:noWrap w:val="0"/>
            <w:vAlign w:val="center"/>
          </w:tcPr>
          <w:p w14:paraId="5CC237B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基本无垃圾，保留落叶层</w:t>
            </w:r>
          </w:p>
        </w:tc>
        <w:tc>
          <w:tcPr>
            <w:tcW w:w="2538" w:type="dxa"/>
            <w:noWrap w:val="0"/>
            <w:vAlign w:val="center"/>
          </w:tcPr>
          <w:p w14:paraId="7699635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基本无垃圾，保留落叶层</w:t>
            </w:r>
          </w:p>
        </w:tc>
        <w:tc>
          <w:tcPr>
            <w:tcW w:w="2277" w:type="dxa"/>
            <w:noWrap w:val="0"/>
            <w:vAlign w:val="center"/>
          </w:tcPr>
          <w:p w14:paraId="12C2D97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2" w:firstLine="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无垃圾，保留落叶层</w:t>
            </w:r>
          </w:p>
        </w:tc>
      </w:tr>
    </w:tbl>
    <w:p w14:paraId="0FE985CF">
      <w:pPr>
        <w:pageBreakBefore w:val="0"/>
        <w:kinsoku w:val="0"/>
        <w:wordWrap/>
        <w:overflowPunct/>
        <w:topLinePunct w:val="0"/>
        <w:autoSpaceDE w:val="0"/>
        <w:autoSpaceDN w:val="0"/>
        <w:bidi w:val="0"/>
        <w:adjustRightInd w:val="0"/>
        <w:snapToGrid w:val="0"/>
        <w:spacing w:before="35" w:line="460" w:lineRule="exact"/>
        <w:ind w:left="114" w:right="104" w:firstLine="6"/>
        <w:textAlignment w:val="baseline"/>
        <w:rPr>
          <w:rFonts w:hint="eastAsia" w:ascii="仿宋" w:hAnsi="仿宋" w:eastAsia="仿宋" w:cs="仿宋"/>
          <w:color w:val="auto"/>
          <w:sz w:val="24"/>
          <w:szCs w:val="24"/>
          <w:highlight w:val="none"/>
        </w:rPr>
      </w:pPr>
    </w:p>
    <w:p w14:paraId="778D78F6">
      <w:pPr>
        <w:pageBreakBefore w:val="0"/>
        <w:kinsoku w:val="0"/>
        <w:wordWrap/>
        <w:overflowPunct/>
        <w:topLinePunct w:val="0"/>
        <w:autoSpaceDE w:val="0"/>
        <w:autoSpaceDN w:val="0"/>
        <w:bidi w:val="0"/>
        <w:adjustRightInd w:val="0"/>
        <w:snapToGrid w:val="0"/>
        <w:spacing w:before="35" w:line="460" w:lineRule="exact"/>
        <w:ind w:left="114" w:right="104" w:firstLine="6"/>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br w:type="page"/>
      </w:r>
      <w:r>
        <w:rPr>
          <w:rFonts w:hint="eastAsia" w:ascii="仿宋" w:hAnsi="仿宋" w:eastAsia="仿宋" w:cs="仿宋"/>
          <w:color w:val="auto"/>
          <w:sz w:val="24"/>
          <w:szCs w:val="24"/>
          <w:highlight w:val="none"/>
        </w:rPr>
        <w:t>表 3.0.1  树  丛</w:t>
      </w:r>
    </w:p>
    <w:tbl>
      <w:tblPr>
        <w:tblStyle w:val="6"/>
        <w:tblW w:w="9072"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7"/>
        <w:gridCol w:w="1649"/>
        <w:gridCol w:w="2032"/>
        <w:gridCol w:w="2537"/>
        <w:gridCol w:w="2277"/>
      </w:tblGrid>
      <w:tr w14:paraId="4719BE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jc w:val="center"/>
        </w:trPr>
        <w:tc>
          <w:tcPr>
            <w:tcW w:w="577" w:type="dxa"/>
            <w:tcBorders>
              <w:top w:val="single" w:color="000000" w:sz="2" w:space="0"/>
              <w:left w:val="single" w:color="000000" w:sz="2" w:space="0"/>
              <w:bottom w:val="single" w:color="000000" w:sz="2" w:space="0"/>
              <w:right w:val="single" w:color="000000" w:sz="2" w:space="0"/>
            </w:tcBorders>
            <w:noWrap w:val="0"/>
            <w:vAlign w:val="center"/>
          </w:tcPr>
          <w:p w14:paraId="50F49B2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序号</w:t>
            </w:r>
          </w:p>
        </w:tc>
        <w:tc>
          <w:tcPr>
            <w:tcW w:w="1649" w:type="dxa"/>
            <w:tcBorders>
              <w:top w:val="single" w:color="000000" w:sz="2" w:space="0"/>
              <w:left w:val="single" w:color="000000" w:sz="2" w:space="0"/>
              <w:bottom w:val="single" w:color="000000" w:sz="2" w:space="0"/>
              <w:right w:val="single" w:color="000000" w:sz="2" w:space="0"/>
            </w:tcBorders>
            <w:noWrap w:val="0"/>
            <w:vAlign w:val="center"/>
          </w:tcPr>
          <w:p w14:paraId="5448779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项目标准级别</w:t>
            </w:r>
          </w:p>
        </w:tc>
        <w:tc>
          <w:tcPr>
            <w:tcW w:w="2032" w:type="dxa"/>
            <w:tcBorders>
              <w:top w:val="single" w:color="000000" w:sz="2" w:space="0"/>
              <w:left w:val="single" w:color="000000" w:sz="2" w:space="0"/>
              <w:bottom w:val="single" w:color="000000" w:sz="2" w:space="0"/>
              <w:right w:val="single" w:color="000000" w:sz="2" w:space="0"/>
            </w:tcBorders>
            <w:noWrap w:val="0"/>
            <w:vAlign w:val="center"/>
          </w:tcPr>
          <w:p w14:paraId="50B4A3B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基本标准</w:t>
            </w:r>
          </w:p>
        </w:tc>
        <w:tc>
          <w:tcPr>
            <w:tcW w:w="2537" w:type="dxa"/>
            <w:tcBorders>
              <w:top w:val="single" w:color="000000" w:sz="2" w:space="0"/>
              <w:left w:val="single" w:color="000000" w:sz="2" w:space="0"/>
              <w:bottom w:val="single" w:color="000000" w:sz="2" w:space="0"/>
              <w:right w:val="single" w:color="000000" w:sz="2" w:space="0"/>
            </w:tcBorders>
            <w:noWrap w:val="0"/>
            <w:vAlign w:val="center"/>
          </w:tcPr>
          <w:p w14:paraId="1CBA1BF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二级</w:t>
            </w:r>
          </w:p>
        </w:tc>
        <w:tc>
          <w:tcPr>
            <w:tcW w:w="2277" w:type="dxa"/>
            <w:tcBorders>
              <w:top w:val="single" w:color="000000" w:sz="2" w:space="0"/>
              <w:left w:val="single" w:color="000000" w:sz="2" w:space="0"/>
              <w:bottom w:val="single" w:color="000000" w:sz="2" w:space="0"/>
              <w:right w:val="single" w:color="000000" w:sz="2" w:space="0"/>
            </w:tcBorders>
            <w:noWrap w:val="0"/>
            <w:vAlign w:val="center"/>
          </w:tcPr>
          <w:p w14:paraId="321443E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一级</w:t>
            </w:r>
          </w:p>
        </w:tc>
      </w:tr>
      <w:tr w14:paraId="0D4AB8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71" w:hRule="atLeast"/>
          <w:jc w:val="center"/>
        </w:trPr>
        <w:tc>
          <w:tcPr>
            <w:tcW w:w="577" w:type="dxa"/>
            <w:tcBorders>
              <w:top w:val="single" w:color="000000" w:sz="2" w:space="0"/>
              <w:left w:val="single" w:color="000000" w:sz="2" w:space="0"/>
              <w:bottom w:val="single" w:color="000000" w:sz="2" w:space="0"/>
              <w:right w:val="single" w:color="000000" w:sz="2" w:space="0"/>
            </w:tcBorders>
            <w:shd w:val="clear" w:color="auto" w:fill="auto"/>
            <w:noWrap w:val="0"/>
            <w:vAlign w:val="center"/>
          </w:tcPr>
          <w:p w14:paraId="438F321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p>
        </w:tc>
        <w:tc>
          <w:tcPr>
            <w:tcW w:w="1649" w:type="dxa"/>
            <w:tcBorders>
              <w:top w:val="single" w:color="000000" w:sz="2" w:space="0"/>
              <w:left w:val="single" w:color="000000" w:sz="2" w:space="0"/>
              <w:bottom w:val="single" w:color="000000" w:sz="2" w:space="0"/>
              <w:right w:val="single" w:color="000000" w:sz="2" w:space="0"/>
            </w:tcBorders>
            <w:shd w:val="clear" w:color="auto" w:fill="auto"/>
            <w:noWrap w:val="0"/>
            <w:vAlign w:val="center"/>
          </w:tcPr>
          <w:p w14:paraId="3C9313D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景观</w:t>
            </w:r>
          </w:p>
        </w:tc>
        <w:tc>
          <w:tcPr>
            <w:tcW w:w="2032" w:type="dxa"/>
            <w:tcBorders>
              <w:top w:val="single" w:color="000000" w:sz="2" w:space="0"/>
              <w:left w:val="single" w:color="000000" w:sz="2" w:space="0"/>
              <w:bottom w:val="single" w:color="000000" w:sz="2" w:space="0"/>
              <w:right w:val="single" w:color="000000" w:sz="2" w:space="0"/>
            </w:tcBorders>
            <w:shd w:val="clear" w:color="auto" w:fill="auto"/>
            <w:noWrap w:val="0"/>
            <w:vAlign w:val="center"/>
          </w:tcPr>
          <w:p w14:paraId="0106298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各类乔木、灌木基本具有完整的外观</w:t>
            </w:r>
          </w:p>
        </w:tc>
        <w:tc>
          <w:tcPr>
            <w:tcW w:w="2537" w:type="dxa"/>
            <w:tcBorders>
              <w:top w:val="single" w:color="000000" w:sz="2" w:space="0"/>
              <w:left w:val="single" w:color="000000" w:sz="2" w:space="0"/>
              <w:bottom w:val="single" w:color="000000" w:sz="2" w:space="0"/>
              <w:right w:val="single" w:color="000000" w:sz="2" w:space="0"/>
            </w:tcBorders>
            <w:shd w:val="clear" w:color="auto" w:fill="auto"/>
            <w:noWrap w:val="0"/>
            <w:vAlign w:val="center"/>
          </w:tcPr>
          <w:p w14:paraId="1FBF772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（1）各类乔木及灌木基本达到层次合理，配置科学，密度基本合宜；</w:t>
            </w:r>
          </w:p>
          <w:p w14:paraId="50D1655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（2）特殊造型树丛基本符合设计意图。</w:t>
            </w:r>
          </w:p>
        </w:tc>
        <w:tc>
          <w:tcPr>
            <w:tcW w:w="2277" w:type="dxa"/>
            <w:tcBorders>
              <w:top w:val="single" w:color="000000" w:sz="2" w:space="0"/>
              <w:left w:val="single" w:color="000000" w:sz="2" w:space="0"/>
              <w:bottom w:val="single" w:color="000000" w:sz="2" w:space="0"/>
              <w:right w:val="single" w:color="000000" w:sz="2" w:space="0"/>
            </w:tcBorders>
            <w:shd w:val="clear" w:color="auto" w:fill="FFFFFF"/>
            <w:noWrap w:val="0"/>
            <w:vAlign w:val="center"/>
          </w:tcPr>
          <w:p w14:paraId="37AF05C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（1）各类乔木及灌木之间层次合理，配置科学，密度合宜，具有群体类；</w:t>
            </w:r>
          </w:p>
          <w:p w14:paraId="3732F8A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（2）特殊造型树丛符合设计意图。</w:t>
            </w:r>
          </w:p>
        </w:tc>
      </w:tr>
      <w:tr w14:paraId="3EFD26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05" w:hRule="atLeast"/>
          <w:jc w:val="center"/>
        </w:trPr>
        <w:tc>
          <w:tcPr>
            <w:tcW w:w="577" w:type="dxa"/>
            <w:tcBorders>
              <w:top w:val="single" w:color="000000" w:sz="2" w:space="0"/>
              <w:left w:val="single" w:color="000000" w:sz="2" w:space="0"/>
              <w:bottom w:val="single" w:color="000000" w:sz="2" w:space="0"/>
              <w:right w:val="single" w:color="000000" w:sz="2" w:space="0"/>
            </w:tcBorders>
            <w:noWrap w:val="0"/>
            <w:vAlign w:val="center"/>
          </w:tcPr>
          <w:p w14:paraId="0A428AE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2</w:t>
            </w:r>
          </w:p>
        </w:tc>
        <w:tc>
          <w:tcPr>
            <w:tcW w:w="1649" w:type="dxa"/>
            <w:tcBorders>
              <w:top w:val="single" w:color="000000" w:sz="2" w:space="0"/>
              <w:left w:val="single" w:color="000000" w:sz="2" w:space="0"/>
              <w:bottom w:val="single" w:color="000000" w:sz="2" w:space="0"/>
              <w:right w:val="single" w:color="000000" w:sz="2" w:space="0"/>
            </w:tcBorders>
            <w:noWrap w:val="0"/>
            <w:vAlign w:val="center"/>
          </w:tcPr>
          <w:p w14:paraId="59D52D3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生长</w:t>
            </w:r>
          </w:p>
        </w:tc>
        <w:tc>
          <w:tcPr>
            <w:tcW w:w="2032" w:type="dxa"/>
            <w:tcBorders>
              <w:top w:val="single" w:color="000000" w:sz="2" w:space="0"/>
              <w:left w:val="single" w:color="000000" w:sz="2" w:space="0"/>
              <w:bottom w:val="single" w:color="000000" w:sz="2" w:space="0"/>
              <w:right w:val="single" w:color="000000" w:sz="2" w:space="0"/>
            </w:tcBorders>
            <w:noWrap w:val="0"/>
            <w:vAlign w:val="center"/>
          </w:tcPr>
          <w:p w14:paraId="454EDDE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各类乔木及灌木枝叶生长量和色泽基本正常</w:t>
            </w:r>
          </w:p>
        </w:tc>
        <w:tc>
          <w:tcPr>
            <w:tcW w:w="2537" w:type="dxa"/>
            <w:tcBorders>
              <w:top w:val="single" w:color="000000" w:sz="2" w:space="0"/>
              <w:left w:val="single" w:color="000000" w:sz="2" w:space="0"/>
              <w:bottom w:val="single" w:color="000000" w:sz="2" w:space="0"/>
              <w:right w:val="single" w:color="000000" w:sz="2" w:space="0"/>
            </w:tcBorders>
            <w:noWrap w:val="0"/>
            <w:vAlign w:val="center"/>
          </w:tcPr>
          <w:p w14:paraId="5C159C1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各类乔木及灌木：</w:t>
            </w:r>
          </w:p>
          <w:p w14:paraId="2C91079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（1）枝叶生长正常；</w:t>
            </w:r>
          </w:p>
          <w:p w14:paraId="65C9350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（2）观花、观果树种正常开花结果。</w:t>
            </w:r>
          </w:p>
        </w:tc>
        <w:tc>
          <w:tcPr>
            <w:tcW w:w="2277" w:type="dxa"/>
            <w:tcBorders>
              <w:top w:val="single" w:color="000000" w:sz="2" w:space="0"/>
              <w:left w:val="single" w:color="000000" w:sz="2" w:space="0"/>
              <w:bottom w:val="single" w:color="000000" w:sz="2" w:space="0"/>
              <w:right w:val="single" w:color="000000" w:sz="2" w:space="0"/>
            </w:tcBorders>
            <w:noWrap w:val="0"/>
            <w:vAlign w:val="center"/>
          </w:tcPr>
          <w:p w14:paraId="72B006D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各类乔木及灌木：</w:t>
            </w:r>
          </w:p>
          <w:p w14:paraId="0CCD147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（1）枝叶生长色泽正常；</w:t>
            </w:r>
          </w:p>
          <w:p w14:paraId="73E6242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（2）观花树木按时茂盛开花；</w:t>
            </w:r>
          </w:p>
          <w:p w14:paraId="3AF62EE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（3）观果树木正常结果；</w:t>
            </w:r>
          </w:p>
          <w:p w14:paraId="6FFC186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（4）色叶树种季相变化明显。</w:t>
            </w:r>
          </w:p>
        </w:tc>
      </w:tr>
      <w:tr w14:paraId="0BEB65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60" w:hRule="atLeast"/>
          <w:jc w:val="center"/>
        </w:trPr>
        <w:tc>
          <w:tcPr>
            <w:tcW w:w="577" w:type="dxa"/>
            <w:tcBorders>
              <w:top w:val="single" w:color="000000" w:sz="2" w:space="0"/>
              <w:left w:val="single" w:color="000000" w:sz="2" w:space="0"/>
              <w:bottom w:val="single" w:color="000000" w:sz="2" w:space="0"/>
              <w:right w:val="single" w:color="000000" w:sz="2" w:space="0"/>
            </w:tcBorders>
            <w:noWrap w:val="0"/>
            <w:vAlign w:val="center"/>
          </w:tcPr>
          <w:p w14:paraId="16278B3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3</w:t>
            </w:r>
          </w:p>
        </w:tc>
        <w:tc>
          <w:tcPr>
            <w:tcW w:w="1649" w:type="dxa"/>
            <w:tcBorders>
              <w:top w:val="single" w:color="000000" w:sz="2" w:space="0"/>
              <w:left w:val="single" w:color="000000" w:sz="2" w:space="0"/>
              <w:bottom w:val="single" w:color="000000" w:sz="2" w:space="0"/>
              <w:right w:val="single" w:color="000000" w:sz="2" w:space="0"/>
            </w:tcBorders>
            <w:noWrap w:val="0"/>
            <w:vAlign w:val="center"/>
          </w:tcPr>
          <w:p w14:paraId="445655B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排灌</w:t>
            </w:r>
          </w:p>
        </w:tc>
        <w:tc>
          <w:tcPr>
            <w:tcW w:w="2032" w:type="dxa"/>
            <w:tcBorders>
              <w:top w:val="single" w:color="000000" w:sz="2" w:space="0"/>
              <w:left w:val="single" w:color="000000" w:sz="2" w:space="0"/>
              <w:bottom w:val="single" w:color="000000" w:sz="2" w:space="0"/>
              <w:right w:val="single" w:color="000000" w:sz="2" w:space="0"/>
            </w:tcBorders>
            <w:noWrap w:val="0"/>
            <w:vAlign w:val="center"/>
          </w:tcPr>
          <w:p w14:paraId="7603AEE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（1）树木范围内无长期积水，暴雨后24h内必须排完积水；</w:t>
            </w:r>
          </w:p>
          <w:p w14:paraId="3A4CF40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（2）植株出现失水萎蔫现象，及时采取措施。</w:t>
            </w:r>
          </w:p>
        </w:tc>
        <w:tc>
          <w:tcPr>
            <w:tcW w:w="2537" w:type="dxa"/>
            <w:tcBorders>
              <w:top w:val="single" w:color="000000" w:sz="2" w:space="0"/>
              <w:left w:val="single" w:color="000000" w:sz="2" w:space="0"/>
              <w:bottom w:val="single" w:color="000000" w:sz="2" w:space="0"/>
              <w:right w:val="single" w:color="000000" w:sz="2" w:space="0"/>
            </w:tcBorders>
            <w:noWrap w:val="0"/>
            <w:vAlign w:val="center"/>
          </w:tcPr>
          <w:p w14:paraId="18A7ED4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1）树丛范围内无积</w:t>
            </w:r>
          </w:p>
          <w:p w14:paraId="7D29B55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水，暴雨后10h内必</w:t>
            </w:r>
          </w:p>
          <w:p w14:paraId="353483C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须排完积水；</w:t>
            </w:r>
          </w:p>
          <w:p w14:paraId="69178BF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（2）植株失水萎蔫现</w:t>
            </w:r>
          </w:p>
          <w:p w14:paraId="06699CD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4"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象，1-2天内清除。</w:t>
            </w:r>
            <w:r>
              <w:rPr>
                <w:rFonts w:hint="eastAsia" w:ascii="仿宋" w:hAnsi="仿宋" w:eastAsia="仿宋" w:cs="仿宋"/>
                <w:color w:val="auto"/>
                <w:sz w:val="24"/>
                <w:szCs w:val="24"/>
                <w:highlight w:val="none"/>
              </w:rPr>
              <w:cr/>
            </w:r>
          </w:p>
        </w:tc>
        <w:tc>
          <w:tcPr>
            <w:tcW w:w="2277" w:type="dxa"/>
            <w:tcBorders>
              <w:top w:val="single" w:color="000000" w:sz="2" w:space="0"/>
              <w:left w:val="single" w:color="000000" w:sz="2" w:space="0"/>
              <w:bottom w:val="single" w:color="000000" w:sz="2" w:space="0"/>
              <w:right w:val="single" w:color="000000" w:sz="2" w:space="0"/>
            </w:tcBorders>
            <w:noWrap w:val="0"/>
            <w:vAlign w:val="center"/>
          </w:tcPr>
          <w:p w14:paraId="49AB849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6" w:right="105"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（1）树丛范围内无</w:t>
            </w:r>
          </w:p>
          <w:p w14:paraId="05B64B7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6" w:right="105"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积水，暴雨后2h</w:t>
            </w:r>
          </w:p>
          <w:p w14:paraId="5D4AA69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6" w:right="105"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内必须排完积水；</w:t>
            </w:r>
          </w:p>
          <w:p w14:paraId="4A374F6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6" w:right="105"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（2）植株不得出现</w:t>
            </w:r>
          </w:p>
          <w:p w14:paraId="763F143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6" w:right="105"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失水萎蔫现象。</w:t>
            </w:r>
          </w:p>
        </w:tc>
      </w:tr>
      <w:tr w14:paraId="763E50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8" w:hRule="atLeast"/>
          <w:jc w:val="center"/>
        </w:trPr>
        <w:tc>
          <w:tcPr>
            <w:tcW w:w="577" w:type="dxa"/>
            <w:tcBorders>
              <w:top w:val="single" w:color="000000" w:sz="2" w:space="0"/>
              <w:left w:val="single" w:color="000000" w:sz="2" w:space="0"/>
              <w:bottom w:val="single" w:color="000000" w:sz="2" w:space="0"/>
              <w:right w:val="single" w:color="000000" w:sz="2" w:space="0"/>
            </w:tcBorders>
            <w:noWrap w:val="0"/>
            <w:vAlign w:val="center"/>
          </w:tcPr>
          <w:p w14:paraId="1FC47D0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4</w:t>
            </w:r>
          </w:p>
        </w:tc>
        <w:tc>
          <w:tcPr>
            <w:tcW w:w="1649" w:type="dxa"/>
            <w:tcBorders>
              <w:top w:val="single" w:color="000000" w:sz="2" w:space="0"/>
              <w:left w:val="single" w:color="000000" w:sz="2" w:space="0"/>
              <w:bottom w:val="single" w:color="000000" w:sz="2" w:space="0"/>
              <w:right w:val="single" w:color="000000" w:sz="2" w:space="0"/>
            </w:tcBorders>
            <w:noWrap w:val="0"/>
            <w:vAlign w:val="center"/>
          </w:tcPr>
          <w:p w14:paraId="52FA127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有害生物控制</w:t>
            </w:r>
          </w:p>
        </w:tc>
        <w:tc>
          <w:tcPr>
            <w:tcW w:w="2032" w:type="dxa"/>
            <w:tcBorders>
              <w:top w:val="single" w:color="000000" w:sz="2" w:space="0"/>
              <w:left w:val="single" w:color="000000" w:sz="2" w:space="0"/>
              <w:bottom w:val="single" w:color="000000" w:sz="2" w:space="0"/>
              <w:right w:val="single" w:color="000000" w:sz="2" w:space="0"/>
            </w:tcBorders>
            <w:noWrap w:val="0"/>
            <w:vAlign w:val="center"/>
          </w:tcPr>
          <w:p w14:paraId="738E077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3" w:right="103"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无言中的有害生物危害；</w:t>
            </w: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枝叶受害率制在15%以下，树干受害率控制在10%以下；（3）无大型、恶性、缠绕杂草；无明显影响景观面貌的其他杂草。</w:t>
            </w:r>
          </w:p>
        </w:tc>
        <w:tc>
          <w:tcPr>
            <w:tcW w:w="2537" w:type="dxa"/>
            <w:tcBorders>
              <w:top w:val="single" w:color="000000" w:sz="2" w:space="0"/>
              <w:left w:val="single" w:color="000000" w:sz="2" w:space="0"/>
              <w:bottom w:val="single" w:color="000000" w:sz="2" w:space="0"/>
              <w:right w:val="single" w:color="000000" w:sz="2" w:space="0"/>
            </w:tcBorders>
            <w:noWrap w:val="0"/>
            <w:vAlign w:val="center"/>
          </w:tcPr>
          <w:p w14:paraId="1E97B79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29" w:firstLine="6"/>
              <w:jc w:val="both"/>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（1）无明显的有害生物危害状；</w:t>
            </w:r>
          </w:p>
          <w:p w14:paraId="53B3392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29"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（2）枝叶受害率应控制在10%以下，树干受害率控制在5%以下；（3）无大型、恶性、缠绕性杂草，基本无影响景观面貌的杂草。</w:t>
            </w:r>
          </w:p>
        </w:tc>
        <w:tc>
          <w:tcPr>
            <w:tcW w:w="2277" w:type="dxa"/>
            <w:tcBorders>
              <w:top w:val="single" w:color="000000" w:sz="2" w:space="0"/>
              <w:left w:val="single" w:color="000000" w:sz="2" w:space="0"/>
              <w:bottom w:val="single" w:color="000000" w:sz="2" w:space="0"/>
              <w:right w:val="single" w:color="000000" w:sz="2" w:space="0"/>
            </w:tcBorders>
            <w:noWrap w:val="0"/>
            <w:vAlign w:val="center"/>
          </w:tcPr>
          <w:p w14:paraId="52B0BC2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6" w:right="23" w:firstLine="6"/>
              <w:jc w:val="both"/>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（1）基本无有害生物危害状；</w:t>
            </w:r>
          </w:p>
          <w:p w14:paraId="2CF8F82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6" w:right="23" w:firstLine="6"/>
              <w:jc w:val="both"/>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（2）枝叶受害率控制在8%以下。树干受害率控制在3%以下；</w:t>
            </w:r>
          </w:p>
          <w:p w14:paraId="004C1B1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6" w:right="23" w:firstLine="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（3）无大型、恶性、缠绕性杂草，无影响景观面貌的杂草。</w:t>
            </w:r>
          </w:p>
        </w:tc>
      </w:tr>
      <w:tr w14:paraId="4E1BC8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3" w:hRule="atLeast"/>
          <w:jc w:val="center"/>
        </w:trPr>
        <w:tc>
          <w:tcPr>
            <w:tcW w:w="577" w:type="dxa"/>
            <w:tcBorders>
              <w:top w:val="single" w:color="000000" w:sz="2" w:space="0"/>
              <w:left w:val="single" w:color="000000" w:sz="2" w:space="0"/>
              <w:bottom w:val="single" w:color="000000" w:sz="2" w:space="0"/>
              <w:right w:val="single" w:color="000000" w:sz="2" w:space="0"/>
            </w:tcBorders>
            <w:noWrap w:val="0"/>
            <w:vAlign w:val="center"/>
          </w:tcPr>
          <w:p w14:paraId="32B35B4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w:t>
            </w:r>
          </w:p>
        </w:tc>
        <w:tc>
          <w:tcPr>
            <w:tcW w:w="1649" w:type="dxa"/>
            <w:tcBorders>
              <w:top w:val="single" w:color="000000" w:sz="2" w:space="0"/>
              <w:left w:val="single" w:color="000000" w:sz="2" w:space="0"/>
              <w:bottom w:val="single" w:color="000000" w:sz="2" w:space="0"/>
              <w:right w:val="single" w:color="000000" w:sz="2" w:space="0"/>
            </w:tcBorders>
            <w:noWrap w:val="0"/>
            <w:vAlign w:val="center"/>
          </w:tcPr>
          <w:p w14:paraId="3589931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清洁</w:t>
            </w:r>
          </w:p>
        </w:tc>
        <w:tc>
          <w:tcPr>
            <w:tcW w:w="2032" w:type="dxa"/>
            <w:tcBorders>
              <w:top w:val="single" w:color="000000" w:sz="2" w:space="0"/>
              <w:left w:val="single" w:color="000000" w:sz="2" w:space="0"/>
              <w:bottom w:val="single" w:color="000000" w:sz="2" w:space="0"/>
              <w:right w:val="single" w:color="000000" w:sz="2" w:space="0"/>
            </w:tcBorders>
            <w:noWrap w:val="0"/>
            <w:vAlign w:val="center"/>
          </w:tcPr>
          <w:p w14:paraId="7E64FE6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29" w:right="121" w:hanging="15"/>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无陈积垃圾，保留落叶层</w:t>
            </w:r>
          </w:p>
        </w:tc>
        <w:tc>
          <w:tcPr>
            <w:tcW w:w="2537" w:type="dxa"/>
            <w:tcBorders>
              <w:top w:val="single" w:color="000000" w:sz="2" w:space="0"/>
              <w:left w:val="single" w:color="000000" w:sz="2" w:space="0"/>
              <w:bottom w:val="single" w:color="000000" w:sz="2" w:space="0"/>
              <w:right w:val="single" w:color="000000" w:sz="2" w:space="0"/>
            </w:tcBorders>
            <w:noWrap w:val="0"/>
            <w:vAlign w:val="center"/>
          </w:tcPr>
          <w:p w14:paraId="1E641BA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29" w:right="114" w:hanging="15"/>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基本无垃圾，保留落叶层</w:t>
            </w:r>
          </w:p>
        </w:tc>
        <w:tc>
          <w:tcPr>
            <w:tcW w:w="2277" w:type="dxa"/>
            <w:tcBorders>
              <w:top w:val="single" w:color="000000" w:sz="2" w:space="0"/>
              <w:left w:val="single" w:color="000000" w:sz="2" w:space="0"/>
              <w:bottom w:val="single" w:color="000000" w:sz="2" w:space="0"/>
              <w:right w:val="single" w:color="000000" w:sz="2" w:space="0"/>
            </w:tcBorders>
            <w:noWrap w:val="0"/>
            <w:vAlign w:val="center"/>
          </w:tcPr>
          <w:p w14:paraId="673D66A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6" w:right="108" w:firstLine="1"/>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无垃圾，保留落叶层</w:t>
            </w:r>
          </w:p>
        </w:tc>
      </w:tr>
    </w:tbl>
    <w:p w14:paraId="50125097">
      <w:pPr>
        <w:pageBreakBefore w:val="0"/>
        <w:wordWrap/>
        <w:overflowPunct/>
        <w:topLinePunct w:val="0"/>
        <w:bidi w:val="0"/>
        <w:spacing w:before="47" w:line="460" w:lineRule="exact"/>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表3.0.3孤 植 树</w:t>
      </w:r>
    </w:p>
    <w:tbl>
      <w:tblPr>
        <w:tblStyle w:val="6"/>
        <w:tblW w:w="9060"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92"/>
        <w:gridCol w:w="2122"/>
        <w:gridCol w:w="6346"/>
      </w:tblGrid>
      <w:tr w14:paraId="13B358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jc w:val="center"/>
        </w:trPr>
        <w:tc>
          <w:tcPr>
            <w:tcW w:w="592" w:type="dxa"/>
            <w:tcBorders>
              <w:top w:val="single" w:color="000000" w:sz="2" w:space="0"/>
              <w:left w:val="single" w:color="000000" w:sz="2" w:space="0"/>
              <w:bottom w:val="single" w:color="000000" w:sz="2" w:space="0"/>
              <w:right w:val="single" w:color="000000" w:sz="2" w:space="0"/>
            </w:tcBorders>
            <w:noWrap w:val="0"/>
            <w:vAlign w:val="center"/>
          </w:tcPr>
          <w:p w14:paraId="64781CA3">
            <w:pPr>
              <w:keepNext w:val="0"/>
              <w:keepLines w:val="0"/>
              <w:pageBreakBefore w:val="0"/>
              <w:suppressLineNumbers w:val="0"/>
              <w:kinsoku w:val="0"/>
              <w:wordWrap/>
              <w:overflowPunct/>
              <w:topLinePunct w:val="0"/>
              <w:autoSpaceDE w:val="0"/>
              <w:autoSpaceDN w:val="0"/>
              <w:bidi w:val="0"/>
              <w:adjustRightInd w:val="0"/>
              <w:snapToGrid w:val="0"/>
              <w:spacing w:before="50" w:beforeAutospacing="0" w:after="0" w:afterAutospacing="0" w:line="460" w:lineRule="exact"/>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序号</w:t>
            </w:r>
          </w:p>
        </w:tc>
        <w:tc>
          <w:tcPr>
            <w:tcW w:w="2122" w:type="dxa"/>
            <w:tcBorders>
              <w:top w:val="single" w:color="000000" w:sz="2" w:space="0"/>
              <w:left w:val="single" w:color="000000" w:sz="2" w:space="0"/>
              <w:bottom w:val="single" w:color="000000" w:sz="2" w:space="0"/>
              <w:right w:val="single" w:color="000000" w:sz="2" w:space="0"/>
            </w:tcBorders>
            <w:noWrap w:val="0"/>
            <w:vAlign w:val="center"/>
          </w:tcPr>
          <w:p w14:paraId="22919E7C">
            <w:pPr>
              <w:keepNext w:val="0"/>
              <w:keepLines w:val="0"/>
              <w:pageBreakBefore w:val="0"/>
              <w:suppressLineNumbers w:val="0"/>
              <w:kinsoku w:val="0"/>
              <w:wordWrap/>
              <w:overflowPunct/>
              <w:topLinePunct w:val="0"/>
              <w:autoSpaceDE w:val="0"/>
              <w:autoSpaceDN w:val="0"/>
              <w:bidi w:val="0"/>
              <w:adjustRightInd w:val="0"/>
              <w:snapToGrid w:val="0"/>
              <w:spacing w:before="50" w:beforeAutospacing="0" w:after="0" w:afterAutospacing="0" w:line="460" w:lineRule="exact"/>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项目</w:t>
            </w:r>
          </w:p>
        </w:tc>
        <w:tc>
          <w:tcPr>
            <w:tcW w:w="6346" w:type="dxa"/>
            <w:tcBorders>
              <w:top w:val="single" w:color="000000" w:sz="2" w:space="0"/>
              <w:left w:val="single" w:color="000000" w:sz="2" w:space="0"/>
              <w:bottom w:val="single" w:color="000000" w:sz="2" w:space="0"/>
              <w:right w:val="single" w:color="000000" w:sz="2" w:space="0"/>
            </w:tcBorders>
            <w:noWrap w:val="0"/>
            <w:vAlign w:val="top"/>
          </w:tcPr>
          <w:p w14:paraId="5B1A63D6">
            <w:pPr>
              <w:keepNext w:val="0"/>
              <w:keepLines w:val="0"/>
              <w:pageBreakBefore w:val="0"/>
              <w:suppressLineNumbers w:val="0"/>
              <w:kinsoku w:val="0"/>
              <w:wordWrap/>
              <w:overflowPunct/>
              <w:topLinePunct w:val="0"/>
              <w:autoSpaceDE w:val="0"/>
              <w:autoSpaceDN w:val="0"/>
              <w:bidi w:val="0"/>
              <w:adjustRightInd w:val="0"/>
              <w:snapToGrid w:val="0"/>
              <w:spacing w:before="193" w:beforeAutospacing="0" w:after="0" w:afterAutospacing="0" w:line="460" w:lineRule="exact"/>
              <w:ind w:left="0" w:right="0" w:firstLine="244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基本标准</w:t>
            </w:r>
          </w:p>
        </w:tc>
      </w:tr>
      <w:tr w14:paraId="66FF22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9" w:hRule="atLeast"/>
          <w:jc w:val="center"/>
        </w:trPr>
        <w:tc>
          <w:tcPr>
            <w:tcW w:w="592" w:type="dxa"/>
            <w:tcBorders>
              <w:top w:val="single" w:color="000000" w:sz="2" w:space="0"/>
              <w:left w:val="single" w:color="000000" w:sz="2" w:space="0"/>
              <w:bottom w:val="single" w:color="000000" w:sz="2" w:space="0"/>
              <w:right w:val="single" w:color="000000" w:sz="2" w:space="0"/>
            </w:tcBorders>
            <w:noWrap w:val="0"/>
            <w:vAlign w:val="center"/>
          </w:tcPr>
          <w:p w14:paraId="77953071">
            <w:pPr>
              <w:keepNext w:val="0"/>
              <w:keepLines w:val="0"/>
              <w:pageBreakBefore w:val="0"/>
              <w:suppressLineNumbers w:val="0"/>
              <w:kinsoku w:val="0"/>
              <w:wordWrap/>
              <w:overflowPunct/>
              <w:topLinePunct w:val="0"/>
              <w:autoSpaceDE w:val="0"/>
              <w:autoSpaceDN w:val="0"/>
              <w:bidi w:val="0"/>
              <w:adjustRightInd w:val="0"/>
              <w:snapToGrid w:val="0"/>
              <w:spacing w:before="50" w:beforeAutospacing="0" w:after="0" w:afterAutospacing="0" w:line="460" w:lineRule="exact"/>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w:t>
            </w:r>
          </w:p>
        </w:tc>
        <w:tc>
          <w:tcPr>
            <w:tcW w:w="2122" w:type="dxa"/>
            <w:tcBorders>
              <w:top w:val="single" w:color="000000" w:sz="2" w:space="0"/>
              <w:left w:val="single" w:color="000000" w:sz="2" w:space="0"/>
              <w:bottom w:val="single" w:color="000000" w:sz="2" w:space="0"/>
              <w:right w:val="single" w:color="000000" w:sz="2" w:space="0"/>
            </w:tcBorders>
            <w:noWrap w:val="0"/>
            <w:vAlign w:val="center"/>
          </w:tcPr>
          <w:p w14:paraId="64CCF228">
            <w:pPr>
              <w:keepNext w:val="0"/>
              <w:keepLines w:val="0"/>
              <w:pageBreakBefore w:val="0"/>
              <w:suppressLineNumbers w:val="0"/>
              <w:kinsoku w:val="0"/>
              <w:wordWrap/>
              <w:overflowPunct/>
              <w:topLinePunct w:val="0"/>
              <w:autoSpaceDE w:val="0"/>
              <w:autoSpaceDN w:val="0"/>
              <w:bidi w:val="0"/>
              <w:adjustRightInd w:val="0"/>
              <w:snapToGrid w:val="0"/>
              <w:spacing w:before="50" w:beforeAutospacing="0" w:after="0" w:afterAutospacing="0" w:line="460" w:lineRule="exact"/>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景观</w:t>
            </w:r>
          </w:p>
        </w:tc>
        <w:tc>
          <w:tcPr>
            <w:tcW w:w="6346" w:type="dxa"/>
            <w:tcBorders>
              <w:top w:val="single" w:color="000000" w:sz="2" w:space="0"/>
              <w:left w:val="single" w:color="000000" w:sz="2" w:space="0"/>
              <w:bottom w:val="single" w:color="000000" w:sz="2" w:space="0"/>
              <w:right w:val="single" w:color="000000" w:sz="2" w:space="0"/>
            </w:tcBorders>
            <w:noWrap w:val="0"/>
            <w:vAlign w:val="top"/>
          </w:tcPr>
          <w:p w14:paraId="6D07CDA5">
            <w:pPr>
              <w:keepNext w:val="0"/>
              <w:keepLines w:val="0"/>
              <w:pageBreakBefore w:val="0"/>
              <w:numPr>
                <w:ilvl w:val="0"/>
                <w:numId w:val="1"/>
              </w:numPr>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873" w:rightChars="0"/>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树形完美，树冠饱满，符合观赏要求；</w:t>
            </w:r>
          </w:p>
          <w:p w14:paraId="1A0BFD13">
            <w:pPr>
              <w:keepNext w:val="0"/>
              <w:keepLines w:val="0"/>
              <w:pageBreakBefore w:val="0"/>
              <w:numPr>
                <w:ilvl w:val="0"/>
                <w:numId w:val="1"/>
              </w:numPr>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873" w:rightChars="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树穴覆盖完整。</w:t>
            </w:r>
          </w:p>
        </w:tc>
      </w:tr>
      <w:tr w14:paraId="5132A4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8" w:hRule="atLeast"/>
          <w:jc w:val="center"/>
        </w:trPr>
        <w:tc>
          <w:tcPr>
            <w:tcW w:w="592" w:type="dxa"/>
            <w:tcBorders>
              <w:top w:val="single" w:color="000000" w:sz="2" w:space="0"/>
              <w:left w:val="single" w:color="000000" w:sz="2" w:space="0"/>
              <w:bottom w:val="single" w:color="000000" w:sz="2" w:space="0"/>
              <w:right w:val="single" w:color="000000" w:sz="2" w:space="0"/>
            </w:tcBorders>
            <w:noWrap w:val="0"/>
            <w:vAlign w:val="center"/>
          </w:tcPr>
          <w:p w14:paraId="7122D541">
            <w:pPr>
              <w:keepNext w:val="0"/>
              <w:keepLines w:val="0"/>
              <w:pageBreakBefore w:val="0"/>
              <w:suppressLineNumbers w:val="0"/>
              <w:kinsoku w:val="0"/>
              <w:wordWrap/>
              <w:overflowPunct/>
              <w:topLinePunct w:val="0"/>
              <w:autoSpaceDE w:val="0"/>
              <w:autoSpaceDN w:val="0"/>
              <w:bidi w:val="0"/>
              <w:adjustRightInd w:val="0"/>
              <w:snapToGrid w:val="0"/>
              <w:spacing w:before="50" w:beforeAutospacing="0" w:after="0" w:afterAutospacing="0" w:line="460" w:lineRule="exact"/>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2</w:t>
            </w:r>
          </w:p>
        </w:tc>
        <w:tc>
          <w:tcPr>
            <w:tcW w:w="2122" w:type="dxa"/>
            <w:tcBorders>
              <w:top w:val="single" w:color="000000" w:sz="2" w:space="0"/>
              <w:left w:val="single" w:color="000000" w:sz="2" w:space="0"/>
              <w:bottom w:val="single" w:color="000000" w:sz="2" w:space="0"/>
              <w:right w:val="single" w:color="000000" w:sz="2" w:space="0"/>
            </w:tcBorders>
            <w:noWrap w:val="0"/>
            <w:vAlign w:val="center"/>
          </w:tcPr>
          <w:p w14:paraId="289A7B32">
            <w:pPr>
              <w:keepNext w:val="0"/>
              <w:keepLines w:val="0"/>
              <w:pageBreakBefore w:val="0"/>
              <w:suppressLineNumbers w:val="0"/>
              <w:kinsoku w:val="0"/>
              <w:wordWrap/>
              <w:overflowPunct/>
              <w:topLinePunct w:val="0"/>
              <w:autoSpaceDE w:val="0"/>
              <w:autoSpaceDN w:val="0"/>
              <w:bidi w:val="0"/>
              <w:adjustRightInd w:val="0"/>
              <w:snapToGrid w:val="0"/>
              <w:spacing w:before="50" w:beforeAutospacing="0" w:after="0" w:afterAutospacing="0" w:line="460" w:lineRule="exact"/>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生长</w:t>
            </w:r>
          </w:p>
        </w:tc>
        <w:tc>
          <w:tcPr>
            <w:tcW w:w="6346" w:type="dxa"/>
            <w:tcBorders>
              <w:top w:val="single" w:color="000000" w:sz="2" w:space="0"/>
              <w:left w:val="single" w:color="000000" w:sz="2" w:space="0"/>
              <w:bottom w:val="single" w:color="000000" w:sz="2" w:space="0"/>
              <w:right w:val="single" w:color="000000" w:sz="2" w:space="0"/>
            </w:tcBorders>
            <w:noWrap w:val="0"/>
            <w:vAlign w:val="top"/>
          </w:tcPr>
          <w:p w14:paraId="02DCCF9B">
            <w:pPr>
              <w:keepNext w:val="0"/>
              <w:keepLines w:val="0"/>
              <w:pageBreakBefore w:val="0"/>
              <w:suppressLineNumbers w:val="0"/>
              <w:wordWrap/>
              <w:overflowPunct/>
              <w:topLinePunct w:val="0"/>
              <w:bidi w:val="0"/>
              <w:spacing w:before="0" w:beforeAutospacing="0" w:after="0" w:afterAutospacing="0" w:line="460" w:lineRule="exact"/>
              <w:ind w:left="0" w:right="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枝叶生长正常；</w:t>
            </w:r>
          </w:p>
          <w:p w14:paraId="2955A05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(2)观花、观果树种正常开花结果。</w:t>
            </w:r>
          </w:p>
        </w:tc>
      </w:tr>
      <w:tr w14:paraId="615084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2" w:hRule="atLeast"/>
          <w:jc w:val="center"/>
        </w:trPr>
        <w:tc>
          <w:tcPr>
            <w:tcW w:w="592" w:type="dxa"/>
            <w:tcBorders>
              <w:top w:val="single" w:color="000000" w:sz="2" w:space="0"/>
              <w:left w:val="single" w:color="000000" w:sz="2" w:space="0"/>
              <w:bottom w:val="single" w:color="000000" w:sz="2" w:space="0"/>
              <w:right w:val="single" w:color="000000" w:sz="2" w:space="0"/>
            </w:tcBorders>
            <w:noWrap w:val="0"/>
            <w:vAlign w:val="center"/>
          </w:tcPr>
          <w:p w14:paraId="7A797335">
            <w:pPr>
              <w:keepNext w:val="0"/>
              <w:keepLines w:val="0"/>
              <w:pageBreakBefore w:val="0"/>
              <w:suppressLineNumbers w:val="0"/>
              <w:kinsoku w:val="0"/>
              <w:wordWrap/>
              <w:overflowPunct/>
              <w:topLinePunct w:val="0"/>
              <w:autoSpaceDE w:val="0"/>
              <w:autoSpaceDN w:val="0"/>
              <w:bidi w:val="0"/>
              <w:adjustRightInd w:val="0"/>
              <w:snapToGrid w:val="0"/>
              <w:spacing w:before="50" w:beforeAutospacing="0" w:after="0" w:afterAutospacing="0" w:line="460" w:lineRule="exact"/>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3</w:t>
            </w:r>
          </w:p>
        </w:tc>
        <w:tc>
          <w:tcPr>
            <w:tcW w:w="2122" w:type="dxa"/>
            <w:tcBorders>
              <w:top w:val="single" w:color="000000" w:sz="2" w:space="0"/>
              <w:left w:val="single" w:color="000000" w:sz="2" w:space="0"/>
              <w:bottom w:val="single" w:color="000000" w:sz="2" w:space="0"/>
              <w:right w:val="single" w:color="000000" w:sz="2" w:space="0"/>
            </w:tcBorders>
            <w:noWrap w:val="0"/>
            <w:vAlign w:val="center"/>
          </w:tcPr>
          <w:p w14:paraId="05404273">
            <w:pPr>
              <w:keepNext w:val="0"/>
              <w:keepLines w:val="0"/>
              <w:pageBreakBefore w:val="0"/>
              <w:suppressLineNumbers w:val="0"/>
              <w:kinsoku w:val="0"/>
              <w:wordWrap/>
              <w:overflowPunct/>
              <w:topLinePunct w:val="0"/>
              <w:autoSpaceDE w:val="0"/>
              <w:autoSpaceDN w:val="0"/>
              <w:bidi w:val="0"/>
              <w:adjustRightInd w:val="0"/>
              <w:snapToGrid w:val="0"/>
              <w:spacing w:before="50" w:beforeAutospacing="0" w:after="0" w:afterAutospacing="0" w:line="460" w:lineRule="exact"/>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排灌</w:t>
            </w:r>
          </w:p>
        </w:tc>
        <w:tc>
          <w:tcPr>
            <w:tcW w:w="6346" w:type="dxa"/>
            <w:tcBorders>
              <w:top w:val="single" w:color="000000" w:sz="2" w:space="0"/>
              <w:left w:val="single" w:color="000000" w:sz="2" w:space="0"/>
              <w:bottom w:val="single" w:color="000000" w:sz="2" w:space="0"/>
              <w:right w:val="single" w:color="000000" w:sz="2" w:space="0"/>
            </w:tcBorders>
            <w:noWrap w:val="0"/>
            <w:vAlign w:val="top"/>
          </w:tcPr>
          <w:p w14:paraId="0A841CEE">
            <w:pPr>
              <w:keepNext w:val="0"/>
              <w:keepLines w:val="0"/>
              <w:pageBreakBefore w:val="0"/>
              <w:suppressLineNumbers w:val="0"/>
              <w:wordWrap/>
              <w:overflowPunct/>
              <w:topLinePunct w:val="0"/>
              <w:bidi w:val="0"/>
              <w:spacing w:before="0" w:beforeAutospacing="0" w:after="0" w:afterAutospacing="0" w:line="460" w:lineRule="exact"/>
              <w:ind w:left="0" w:right="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排水通畅，无积水；</w:t>
            </w:r>
          </w:p>
          <w:p w14:paraId="2779A4A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(2)植株不得出现失水(萎蔫)现象。</w:t>
            </w:r>
          </w:p>
        </w:tc>
      </w:tr>
      <w:tr w14:paraId="01617B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7" w:hRule="atLeast"/>
          <w:jc w:val="center"/>
        </w:trPr>
        <w:tc>
          <w:tcPr>
            <w:tcW w:w="592" w:type="dxa"/>
            <w:tcBorders>
              <w:top w:val="single" w:color="000000" w:sz="2" w:space="0"/>
              <w:left w:val="single" w:color="000000" w:sz="2" w:space="0"/>
              <w:bottom w:val="single" w:color="000000" w:sz="2" w:space="0"/>
              <w:right w:val="single" w:color="000000" w:sz="2" w:space="0"/>
            </w:tcBorders>
            <w:noWrap w:val="0"/>
            <w:vAlign w:val="center"/>
          </w:tcPr>
          <w:p w14:paraId="497F537D">
            <w:pPr>
              <w:keepNext w:val="0"/>
              <w:keepLines w:val="0"/>
              <w:pageBreakBefore w:val="0"/>
              <w:suppressLineNumbers w:val="0"/>
              <w:kinsoku w:val="0"/>
              <w:wordWrap/>
              <w:overflowPunct/>
              <w:topLinePunct w:val="0"/>
              <w:autoSpaceDE w:val="0"/>
              <w:autoSpaceDN w:val="0"/>
              <w:bidi w:val="0"/>
              <w:adjustRightInd w:val="0"/>
              <w:snapToGrid w:val="0"/>
              <w:spacing w:before="50" w:beforeAutospacing="0" w:after="0" w:afterAutospacing="0" w:line="460" w:lineRule="exact"/>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4</w:t>
            </w:r>
          </w:p>
        </w:tc>
        <w:tc>
          <w:tcPr>
            <w:tcW w:w="2122" w:type="dxa"/>
            <w:tcBorders>
              <w:top w:val="single" w:color="000000" w:sz="2" w:space="0"/>
              <w:left w:val="single" w:color="000000" w:sz="2" w:space="0"/>
              <w:bottom w:val="single" w:color="000000" w:sz="2" w:space="0"/>
              <w:right w:val="single" w:color="000000" w:sz="2" w:space="0"/>
            </w:tcBorders>
            <w:noWrap w:val="0"/>
            <w:vAlign w:val="center"/>
          </w:tcPr>
          <w:p w14:paraId="14DB223A">
            <w:pPr>
              <w:keepNext w:val="0"/>
              <w:keepLines w:val="0"/>
              <w:pageBreakBefore w:val="0"/>
              <w:suppressLineNumbers w:val="0"/>
              <w:kinsoku w:val="0"/>
              <w:wordWrap/>
              <w:overflowPunct/>
              <w:topLinePunct w:val="0"/>
              <w:autoSpaceDE w:val="0"/>
              <w:autoSpaceDN w:val="0"/>
              <w:bidi w:val="0"/>
              <w:adjustRightInd w:val="0"/>
              <w:snapToGrid w:val="0"/>
              <w:spacing w:before="50" w:beforeAutospacing="0" w:after="0" w:afterAutospacing="0" w:line="460" w:lineRule="exact"/>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有害生物控制</w:t>
            </w:r>
          </w:p>
        </w:tc>
        <w:tc>
          <w:tcPr>
            <w:tcW w:w="6346" w:type="dxa"/>
            <w:tcBorders>
              <w:top w:val="single" w:color="000000" w:sz="2" w:space="0"/>
              <w:left w:val="single" w:color="000000" w:sz="2" w:space="0"/>
              <w:bottom w:val="single" w:color="000000" w:sz="2" w:space="0"/>
              <w:right w:val="single" w:color="000000" w:sz="2" w:space="0"/>
            </w:tcBorders>
            <w:noWrap w:val="0"/>
            <w:vAlign w:val="top"/>
          </w:tcPr>
          <w:p w14:paraId="09606A5C">
            <w:pPr>
              <w:keepNext w:val="0"/>
              <w:keepLines w:val="0"/>
              <w:pageBreakBefore w:val="0"/>
              <w:suppressLineNumbers w:val="0"/>
              <w:kinsoku w:val="0"/>
              <w:wordWrap/>
              <w:overflowPunct/>
              <w:topLinePunct w:val="0"/>
              <w:autoSpaceDE w:val="0"/>
              <w:autoSpaceDN w:val="0"/>
              <w:bidi w:val="0"/>
              <w:adjustRightInd w:val="0"/>
              <w:snapToGrid w:val="0"/>
              <w:spacing w:before="234" w:beforeAutospacing="0" w:after="0" w:afterAutospacing="0" w:line="460" w:lineRule="exact"/>
              <w:ind w:left="0" w:right="0" w:firstLine="115"/>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无明显有害生物危害状，无杂草。</w:t>
            </w:r>
          </w:p>
        </w:tc>
      </w:tr>
      <w:tr w14:paraId="5F8DA1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7" w:hRule="atLeast"/>
          <w:jc w:val="center"/>
        </w:trPr>
        <w:tc>
          <w:tcPr>
            <w:tcW w:w="592" w:type="dxa"/>
            <w:tcBorders>
              <w:top w:val="single" w:color="000000" w:sz="2" w:space="0"/>
              <w:left w:val="single" w:color="000000" w:sz="2" w:space="0"/>
              <w:bottom w:val="single" w:color="000000" w:sz="2" w:space="0"/>
              <w:right w:val="single" w:color="000000" w:sz="2" w:space="0"/>
            </w:tcBorders>
            <w:noWrap w:val="0"/>
            <w:vAlign w:val="center"/>
          </w:tcPr>
          <w:p w14:paraId="37F4DD1D">
            <w:pPr>
              <w:keepNext w:val="0"/>
              <w:keepLines w:val="0"/>
              <w:pageBreakBefore w:val="0"/>
              <w:suppressLineNumbers w:val="0"/>
              <w:kinsoku w:val="0"/>
              <w:wordWrap/>
              <w:overflowPunct/>
              <w:topLinePunct w:val="0"/>
              <w:autoSpaceDE w:val="0"/>
              <w:autoSpaceDN w:val="0"/>
              <w:bidi w:val="0"/>
              <w:adjustRightInd w:val="0"/>
              <w:snapToGrid w:val="0"/>
              <w:spacing w:before="50" w:beforeAutospacing="0" w:after="0" w:afterAutospacing="0" w:line="460" w:lineRule="exact"/>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w:t>
            </w:r>
          </w:p>
        </w:tc>
        <w:tc>
          <w:tcPr>
            <w:tcW w:w="2122" w:type="dxa"/>
            <w:tcBorders>
              <w:top w:val="single" w:color="000000" w:sz="2" w:space="0"/>
              <w:left w:val="single" w:color="000000" w:sz="2" w:space="0"/>
              <w:bottom w:val="single" w:color="000000" w:sz="2" w:space="0"/>
              <w:right w:val="single" w:color="000000" w:sz="2" w:space="0"/>
            </w:tcBorders>
            <w:noWrap w:val="0"/>
            <w:vAlign w:val="center"/>
          </w:tcPr>
          <w:p w14:paraId="346ACD68">
            <w:pPr>
              <w:keepNext w:val="0"/>
              <w:keepLines w:val="0"/>
              <w:pageBreakBefore w:val="0"/>
              <w:suppressLineNumbers w:val="0"/>
              <w:kinsoku w:val="0"/>
              <w:wordWrap/>
              <w:overflowPunct/>
              <w:topLinePunct w:val="0"/>
              <w:autoSpaceDE w:val="0"/>
              <w:autoSpaceDN w:val="0"/>
              <w:bidi w:val="0"/>
              <w:adjustRightInd w:val="0"/>
              <w:snapToGrid w:val="0"/>
              <w:spacing w:before="50" w:beforeAutospacing="0" w:after="0" w:afterAutospacing="0" w:line="460" w:lineRule="exact"/>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清洁</w:t>
            </w:r>
          </w:p>
        </w:tc>
        <w:tc>
          <w:tcPr>
            <w:tcW w:w="6346" w:type="dxa"/>
            <w:tcBorders>
              <w:top w:val="single" w:color="000000" w:sz="2" w:space="0"/>
              <w:left w:val="single" w:color="000000" w:sz="2" w:space="0"/>
              <w:bottom w:val="single" w:color="000000" w:sz="2" w:space="0"/>
              <w:right w:val="single" w:color="000000" w:sz="2" w:space="0"/>
            </w:tcBorders>
            <w:noWrap w:val="0"/>
            <w:vAlign w:val="top"/>
          </w:tcPr>
          <w:p w14:paraId="384CED50">
            <w:pPr>
              <w:keepNext w:val="0"/>
              <w:keepLines w:val="0"/>
              <w:pageBreakBefore w:val="0"/>
              <w:suppressLineNumbers w:val="0"/>
              <w:kinsoku w:val="0"/>
              <w:wordWrap/>
              <w:overflowPunct/>
              <w:topLinePunct w:val="0"/>
              <w:autoSpaceDE w:val="0"/>
              <w:autoSpaceDN w:val="0"/>
              <w:bidi w:val="0"/>
              <w:adjustRightInd w:val="0"/>
              <w:snapToGrid w:val="0"/>
              <w:spacing w:before="154" w:beforeAutospacing="0" w:after="0" w:afterAutospacing="0" w:line="460" w:lineRule="exact"/>
              <w:ind w:left="0" w:right="0" w:firstLine="115"/>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无垃圾</w:t>
            </w:r>
          </w:p>
        </w:tc>
      </w:tr>
    </w:tbl>
    <w:p w14:paraId="4FADE027">
      <w:pPr>
        <w:pageBreakBefore w:val="0"/>
        <w:widowControl/>
        <w:wordWrap/>
        <w:overflowPunct/>
        <w:topLinePunct w:val="0"/>
        <w:bidi w:val="0"/>
        <w:spacing w:line="460" w:lineRule="exact"/>
        <w:jc w:val="left"/>
        <w:rPr>
          <w:rFonts w:hint="eastAsia" w:ascii="仿宋" w:hAnsi="仿宋" w:eastAsia="仿宋" w:cs="仿宋"/>
          <w:b/>
          <w:color w:val="auto"/>
          <w:sz w:val="24"/>
          <w:szCs w:val="24"/>
          <w:highlight w:val="none"/>
        </w:rPr>
      </w:pPr>
    </w:p>
    <w:p w14:paraId="521C4CAC">
      <w:pPr>
        <w:pageBreakBefore w:val="0"/>
        <w:wordWrap/>
        <w:overflowPunct/>
        <w:topLinePunct w:val="0"/>
        <w:bidi w:val="0"/>
        <w:spacing w:line="460" w:lineRule="exact"/>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表3.0.4 花  坛</w:t>
      </w:r>
    </w:p>
    <w:tbl>
      <w:tblPr>
        <w:tblStyle w:val="6"/>
        <w:tblW w:w="90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87"/>
        <w:gridCol w:w="1768"/>
        <w:gridCol w:w="3063"/>
        <w:gridCol w:w="3657"/>
      </w:tblGrid>
      <w:tr w14:paraId="615E9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1" w:hRule="atLeast"/>
          <w:jc w:val="center"/>
        </w:trPr>
        <w:tc>
          <w:tcPr>
            <w:tcW w:w="587" w:type="dxa"/>
            <w:noWrap w:val="0"/>
            <w:vAlign w:val="center"/>
          </w:tcPr>
          <w:p w14:paraId="16F8FC5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序号</w:t>
            </w:r>
          </w:p>
        </w:tc>
        <w:tc>
          <w:tcPr>
            <w:tcW w:w="1768" w:type="dxa"/>
            <w:noWrap w:val="0"/>
            <w:vAlign w:val="center"/>
          </w:tcPr>
          <w:p w14:paraId="7B66E2DD">
            <w:pPr>
              <w:keepNext w:val="0"/>
              <w:keepLines w:val="0"/>
              <w:pageBreakBefore w:val="0"/>
              <w:widowControl/>
              <w:suppressLineNumbers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项目标准级别</w:t>
            </w:r>
          </w:p>
        </w:tc>
        <w:tc>
          <w:tcPr>
            <w:tcW w:w="3063" w:type="dxa"/>
            <w:noWrap w:val="0"/>
            <w:vAlign w:val="center"/>
          </w:tcPr>
          <w:p w14:paraId="033C2985">
            <w:pPr>
              <w:keepNext w:val="0"/>
              <w:keepLines w:val="0"/>
              <w:pageBreakBefore w:val="0"/>
              <w:widowControl/>
              <w:suppressLineNumbers w:val="0"/>
              <w:kinsoku/>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基本标准（二级）</w:t>
            </w:r>
          </w:p>
        </w:tc>
        <w:tc>
          <w:tcPr>
            <w:tcW w:w="3657" w:type="dxa"/>
            <w:noWrap w:val="0"/>
            <w:vAlign w:val="center"/>
          </w:tcPr>
          <w:p w14:paraId="30BF4916">
            <w:pPr>
              <w:keepNext w:val="0"/>
              <w:keepLines w:val="0"/>
              <w:pageBreakBefore w:val="0"/>
              <w:widowControl/>
              <w:suppressLineNumbers w:val="0"/>
              <w:kinsoku/>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二级</w:t>
            </w:r>
          </w:p>
        </w:tc>
      </w:tr>
      <w:tr w14:paraId="3904D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81" w:hRule="atLeast"/>
          <w:jc w:val="center"/>
        </w:trPr>
        <w:tc>
          <w:tcPr>
            <w:tcW w:w="587" w:type="dxa"/>
            <w:noWrap w:val="0"/>
            <w:vAlign w:val="center"/>
          </w:tcPr>
          <w:p w14:paraId="590DFD7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w:t>
            </w:r>
          </w:p>
        </w:tc>
        <w:tc>
          <w:tcPr>
            <w:tcW w:w="1768" w:type="dxa"/>
            <w:noWrap w:val="0"/>
            <w:vAlign w:val="center"/>
          </w:tcPr>
          <w:p w14:paraId="11ED9EA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景观</w:t>
            </w:r>
          </w:p>
        </w:tc>
        <w:tc>
          <w:tcPr>
            <w:tcW w:w="3063" w:type="dxa"/>
            <w:noWrap w:val="0"/>
            <w:vAlign w:val="center"/>
          </w:tcPr>
          <w:p w14:paraId="6B517737">
            <w:pPr>
              <w:keepNext w:val="0"/>
              <w:keepLines w:val="0"/>
              <w:pageBreakBefore w:val="0"/>
              <w:widowControl/>
              <w:suppressLineNumbers w:val="0"/>
              <w:kinsoku/>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株行距适宜；</w:t>
            </w:r>
          </w:p>
          <w:p w14:paraId="5108BF7E">
            <w:pPr>
              <w:keepNext w:val="0"/>
              <w:keepLines w:val="0"/>
              <w:pageBreakBefore w:val="0"/>
              <w:widowControl/>
              <w:suppressLineNumbers w:val="0"/>
              <w:kinsoku/>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不露土</w:t>
            </w:r>
          </w:p>
          <w:p w14:paraId="73BB9BE8">
            <w:pPr>
              <w:keepNext w:val="0"/>
              <w:keepLines w:val="0"/>
              <w:pageBreakBefore w:val="0"/>
              <w:widowControl/>
              <w:suppressLineNumbers w:val="0"/>
              <w:kinsoku/>
              <w:wordWrap/>
              <w:overflowPunct/>
              <w:topLinePunct w:val="0"/>
              <w:autoSpaceDE w:val="0"/>
              <w:autoSpaceDN w:val="0"/>
              <w:bidi w:val="0"/>
              <w:adjustRightInd w:val="0"/>
              <w:snapToGrid w:val="0"/>
              <w:spacing w:beforeAutospacing="0" w:after="0" w:afterAutospacing="0" w:line="240" w:lineRule="auto"/>
              <w:ind w:left="114" w:right="191"/>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r>
              <w:rPr>
                <w:rFonts w:hint="eastAsia" w:ascii="仿宋" w:hAnsi="仿宋" w:eastAsia="仿宋" w:cs="仿宋"/>
                <w:color w:val="auto"/>
                <w:sz w:val="24"/>
                <w:szCs w:val="24"/>
                <w:highlight w:val="none"/>
                <w:shd w:val="clear" w:color="auto" w:fill="FFFFFE"/>
              </w:rPr>
              <w:t>缺株倒状的花苗木超过5%</w:t>
            </w:r>
          </w:p>
          <w:p w14:paraId="67EF5D7C">
            <w:pPr>
              <w:keepNext w:val="0"/>
              <w:keepLines w:val="0"/>
              <w:pageBreakBefore w:val="0"/>
              <w:widowControl/>
              <w:suppressLineNumbers w:val="0"/>
              <w:kinsoku/>
              <w:wordWrap/>
              <w:overflowPunct/>
              <w:topLinePunct w:val="0"/>
              <w:autoSpaceDE w:val="0"/>
              <w:autoSpaceDN w:val="0"/>
              <w:bidi w:val="0"/>
              <w:adjustRightInd w:val="0"/>
              <w:snapToGrid w:val="0"/>
              <w:spacing w:beforeAutospacing="0" w:after="0" w:afterAutospacing="0" w:line="240" w:lineRule="auto"/>
              <w:ind w:left="119" w:right="191"/>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w:t>
            </w:r>
            <w:r>
              <w:rPr>
                <w:rFonts w:hint="eastAsia" w:ascii="仿宋" w:hAnsi="仿宋" w:eastAsia="仿宋" w:cs="仿宋"/>
                <w:color w:val="auto"/>
                <w:sz w:val="24"/>
                <w:szCs w:val="24"/>
                <w:highlight w:val="none"/>
                <w:shd w:val="clear" w:color="auto" w:fill="FFFFFE"/>
              </w:rPr>
              <w:t>枯枝残花量不得大于5%</w:t>
            </w:r>
          </w:p>
        </w:tc>
        <w:tc>
          <w:tcPr>
            <w:tcW w:w="3657" w:type="dxa"/>
            <w:noWrap w:val="0"/>
            <w:vAlign w:val="center"/>
          </w:tcPr>
          <w:p w14:paraId="31192715">
            <w:pPr>
              <w:keepNext w:val="0"/>
              <w:keepLines w:val="0"/>
              <w:pageBreakBefore w:val="0"/>
              <w:widowControl/>
              <w:suppressLineNumbers w:val="0"/>
              <w:kinsoku/>
              <w:wordWrap/>
              <w:overflowPunct/>
              <w:topLinePunct w:val="0"/>
              <w:autoSpaceDE w:val="0"/>
              <w:autoSpaceDN w:val="0"/>
              <w:bidi w:val="0"/>
              <w:adjustRightInd w:val="0"/>
              <w:snapToGrid w:val="0"/>
              <w:spacing w:beforeAutospacing="0" w:after="0" w:afterAutospacing="0" w:line="240" w:lineRule="auto"/>
              <w:ind w:left="0" w:right="0"/>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有精美的图案和色彩配置；</w:t>
            </w:r>
          </w:p>
          <w:p w14:paraId="76453301">
            <w:pPr>
              <w:keepNext w:val="0"/>
              <w:keepLines w:val="0"/>
              <w:pageBreakBefore w:val="0"/>
              <w:widowControl/>
              <w:suppressLineNumbers w:val="0"/>
              <w:kinsoku/>
              <w:wordWrap/>
              <w:overflowPunct/>
              <w:topLinePunct w:val="0"/>
              <w:autoSpaceDE w:val="0"/>
              <w:autoSpaceDN w:val="0"/>
              <w:bidi w:val="0"/>
              <w:adjustRightInd w:val="0"/>
              <w:snapToGrid w:val="0"/>
              <w:spacing w:beforeAutospacing="0" w:after="0" w:afterAutospacing="0" w:line="240" w:lineRule="auto"/>
              <w:ind w:left="0" w:right="191"/>
              <w:jc w:val="left"/>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（2）株行距适宜；</w:t>
            </w:r>
          </w:p>
          <w:p w14:paraId="2BF77BC1">
            <w:pPr>
              <w:keepNext w:val="0"/>
              <w:keepLines w:val="0"/>
              <w:pageBreakBefore w:val="0"/>
              <w:widowControl/>
              <w:suppressLineNumbers w:val="0"/>
              <w:kinsoku/>
              <w:wordWrap/>
              <w:overflowPunct/>
              <w:topLinePunct w:val="0"/>
              <w:autoSpaceDE w:val="0"/>
              <w:autoSpaceDN w:val="0"/>
              <w:bidi w:val="0"/>
              <w:adjustRightInd w:val="0"/>
              <w:snapToGrid w:val="0"/>
              <w:spacing w:beforeAutospacing="0" w:after="0" w:afterAutospacing="0" w:line="240" w:lineRule="auto"/>
              <w:ind w:left="0" w:right="191"/>
              <w:jc w:val="left"/>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rPr>
              <w:t>（3）</w:t>
            </w:r>
            <w:r>
              <w:rPr>
                <w:rFonts w:hint="eastAsia" w:ascii="仿宋" w:hAnsi="仿宋" w:eastAsia="仿宋" w:cs="仿宋"/>
                <w:color w:val="auto"/>
                <w:sz w:val="24"/>
                <w:szCs w:val="24"/>
                <w:highlight w:val="none"/>
                <w:shd w:val="clear" w:color="auto" w:fill="FFFFFE"/>
              </w:rPr>
              <w:t>不露土，植株无缺株倒状；</w:t>
            </w:r>
          </w:p>
          <w:p w14:paraId="706F86C3">
            <w:pPr>
              <w:keepNext w:val="0"/>
              <w:keepLines w:val="0"/>
              <w:pageBreakBefore w:val="0"/>
              <w:widowControl/>
              <w:suppressLineNumbers w:val="0"/>
              <w:kinsoku/>
              <w:wordWrap/>
              <w:overflowPunct/>
              <w:topLinePunct w:val="0"/>
              <w:autoSpaceDE w:val="0"/>
              <w:autoSpaceDN w:val="0"/>
              <w:bidi w:val="0"/>
              <w:adjustRightInd w:val="0"/>
              <w:snapToGrid w:val="0"/>
              <w:spacing w:beforeAutospacing="0" w:after="0" w:afterAutospacing="0" w:line="240" w:lineRule="auto"/>
              <w:ind w:left="0" w:right="0"/>
              <w:jc w:val="left"/>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（4）基本无枯枝残花</w:t>
            </w:r>
          </w:p>
        </w:tc>
      </w:tr>
      <w:tr w14:paraId="7792C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62" w:hRule="atLeast"/>
          <w:jc w:val="center"/>
        </w:trPr>
        <w:tc>
          <w:tcPr>
            <w:tcW w:w="587" w:type="dxa"/>
            <w:noWrap w:val="0"/>
            <w:vAlign w:val="center"/>
          </w:tcPr>
          <w:p w14:paraId="65B82A9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2</w:t>
            </w:r>
          </w:p>
        </w:tc>
        <w:tc>
          <w:tcPr>
            <w:tcW w:w="1768" w:type="dxa"/>
            <w:noWrap w:val="0"/>
            <w:vAlign w:val="center"/>
          </w:tcPr>
          <w:p w14:paraId="07540E7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花期</w:t>
            </w:r>
          </w:p>
        </w:tc>
        <w:tc>
          <w:tcPr>
            <w:tcW w:w="3063" w:type="dxa"/>
            <w:noWrap w:val="0"/>
            <w:vAlign w:val="center"/>
          </w:tcPr>
          <w:p w14:paraId="3250A223">
            <w:pPr>
              <w:keepNext w:val="0"/>
              <w:keepLines w:val="0"/>
              <w:pageBreakBefore w:val="0"/>
              <w:widowControl/>
              <w:suppressLineNumbers w:val="0"/>
              <w:kinsoku/>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(1)开花期一致；</w:t>
            </w:r>
          </w:p>
          <w:p w14:paraId="7C04C96F">
            <w:pPr>
              <w:keepNext w:val="0"/>
              <w:keepLines w:val="0"/>
              <w:pageBreakBefore w:val="0"/>
              <w:widowControl/>
              <w:suppressLineNumbers w:val="0"/>
              <w:kinsoku/>
              <w:wordWrap/>
              <w:overflowPunct/>
              <w:topLinePunct w:val="0"/>
              <w:autoSpaceDE w:val="0"/>
              <w:autoSpaceDN w:val="0"/>
              <w:bidi w:val="0"/>
              <w:adjustRightInd w:val="0"/>
              <w:snapToGrid w:val="0"/>
              <w:spacing w:beforeAutospacing="0" w:after="0" w:afterAutospacing="0" w:line="240" w:lineRule="auto"/>
              <w:ind w:left="120" w:right="105"/>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(2)全年赏花期达190天以上；</w:t>
            </w:r>
          </w:p>
          <w:p w14:paraId="61AFC429">
            <w:pPr>
              <w:keepNext w:val="0"/>
              <w:keepLines w:val="0"/>
              <w:pageBreakBefore w:val="0"/>
              <w:widowControl/>
              <w:suppressLineNumbers w:val="0"/>
              <w:kinsoku/>
              <w:wordWrap/>
              <w:overflowPunct/>
              <w:topLinePunct w:val="0"/>
              <w:autoSpaceDE w:val="0"/>
              <w:autoSpaceDN w:val="0"/>
              <w:bidi w:val="0"/>
              <w:adjustRightInd w:val="0"/>
              <w:snapToGrid w:val="0"/>
              <w:spacing w:beforeAutospacing="0" w:after="0" w:afterAutospacing="0" w:line="240" w:lineRule="auto"/>
              <w:ind w:left="116" w:right="1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(3)确保重大节日有花。</w:t>
            </w:r>
          </w:p>
        </w:tc>
        <w:tc>
          <w:tcPr>
            <w:tcW w:w="3657" w:type="dxa"/>
            <w:noWrap w:val="0"/>
            <w:vAlign w:val="center"/>
          </w:tcPr>
          <w:p w14:paraId="29F263CC">
            <w:pPr>
              <w:keepNext w:val="0"/>
              <w:keepLines w:val="0"/>
              <w:pageBreakBefore w:val="0"/>
              <w:widowControl/>
              <w:suppressLineNumbers w:val="0"/>
              <w:kinsoku/>
              <w:wordWrap/>
              <w:overflowPunct/>
              <w:topLinePunct w:val="0"/>
              <w:autoSpaceDE w:val="0"/>
              <w:autoSpaceDN w:val="0"/>
              <w:bidi w:val="0"/>
              <w:adjustRightInd w:val="0"/>
              <w:snapToGrid w:val="0"/>
              <w:spacing w:beforeAutospacing="0" w:after="0" w:afterAutospacing="0" w:line="240" w:lineRule="auto"/>
              <w:ind w:left="0" w:right="107"/>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开花期一致；</w:t>
            </w:r>
          </w:p>
          <w:p w14:paraId="2E91EA0B">
            <w:pPr>
              <w:keepNext w:val="0"/>
              <w:keepLines w:val="0"/>
              <w:pageBreakBefore w:val="0"/>
              <w:widowControl/>
              <w:suppressLineNumbers w:val="0"/>
              <w:kinsoku/>
              <w:wordWrap/>
              <w:overflowPunct/>
              <w:topLinePunct w:val="0"/>
              <w:autoSpaceDE w:val="0"/>
              <w:autoSpaceDN w:val="0"/>
              <w:bidi w:val="0"/>
              <w:adjustRightInd w:val="0"/>
              <w:snapToGrid w:val="0"/>
              <w:spacing w:beforeAutospacing="0" w:after="0" w:afterAutospacing="0" w:line="240" w:lineRule="auto"/>
              <w:ind w:left="0" w:right="107"/>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花坛全年赏花期达280以上；</w:t>
            </w:r>
          </w:p>
          <w:p w14:paraId="11408ADE">
            <w:pPr>
              <w:keepNext w:val="0"/>
              <w:keepLines w:val="0"/>
              <w:pageBreakBefore w:val="0"/>
              <w:widowControl/>
              <w:suppressLineNumbers w:val="0"/>
              <w:kinsoku/>
              <w:wordWrap/>
              <w:overflowPunct/>
              <w:topLinePunct w:val="0"/>
              <w:autoSpaceDE w:val="0"/>
              <w:autoSpaceDN w:val="0"/>
              <w:bidi w:val="0"/>
              <w:adjustRightInd w:val="0"/>
              <w:snapToGrid w:val="0"/>
              <w:spacing w:beforeAutospacing="0" w:after="0" w:afterAutospacing="0" w:line="240" w:lineRule="auto"/>
              <w:ind w:left="0" w:right="107"/>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r>
              <w:rPr>
                <w:rFonts w:hint="eastAsia" w:ascii="仿宋" w:hAnsi="仿宋" w:eastAsia="仿宋" w:cs="仿宋"/>
                <w:color w:val="auto"/>
                <w:sz w:val="24"/>
                <w:szCs w:val="24"/>
                <w:highlight w:val="none"/>
                <w:shd w:val="clear" w:color="auto" w:fill="FFFFFE"/>
              </w:rPr>
              <w:t>确保重大节日有花。</w:t>
            </w:r>
          </w:p>
        </w:tc>
      </w:tr>
      <w:tr w14:paraId="472D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61" w:hRule="atLeast"/>
          <w:jc w:val="center"/>
        </w:trPr>
        <w:tc>
          <w:tcPr>
            <w:tcW w:w="587" w:type="dxa"/>
            <w:noWrap w:val="0"/>
            <w:vAlign w:val="center"/>
          </w:tcPr>
          <w:p w14:paraId="72BF1CA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3</w:t>
            </w:r>
          </w:p>
        </w:tc>
        <w:tc>
          <w:tcPr>
            <w:tcW w:w="1768" w:type="dxa"/>
            <w:noWrap w:val="0"/>
            <w:vAlign w:val="center"/>
          </w:tcPr>
          <w:p w14:paraId="0C6AF28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生长</w:t>
            </w:r>
          </w:p>
        </w:tc>
        <w:tc>
          <w:tcPr>
            <w:tcW w:w="3063" w:type="dxa"/>
            <w:noWrap w:val="0"/>
            <w:vAlign w:val="center"/>
          </w:tcPr>
          <w:p w14:paraId="4F0ED8A3">
            <w:pPr>
              <w:keepNext w:val="0"/>
              <w:keepLines w:val="0"/>
              <w:pageBreakBefore w:val="0"/>
              <w:widowControl/>
              <w:suppressLineNumbers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（1）植株生长基本健壮；</w:t>
            </w:r>
          </w:p>
          <w:p w14:paraId="49A4172B">
            <w:pPr>
              <w:keepNext w:val="0"/>
              <w:keepLines w:val="0"/>
              <w:pageBreakBefore w:val="0"/>
              <w:widowControl/>
              <w:suppressLineNumbers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（2）茎干粗壮，基部分枝强健，蓬径基本饱满；</w:t>
            </w:r>
          </w:p>
          <w:p w14:paraId="7B37F02D">
            <w:pPr>
              <w:keepNext w:val="0"/>
              <w:keepLines w:val="0"/>
              <w:pageBreakBefore w:val="0"/>
              <w:widowControl/>
              <w:suppressLineNumbers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（3）株高基本相等</w:t>
            </w:r>
          </w:p>
        </w:tc>
        <w:tc>
          <w:tcPr>
            <w:tcW w:w="3657" w:type="dxa"/>
            <w:noWrap w:val="0"/>
            <w:vAlign w:val="center"/>
          </w:tcPr>
          <w:p w14:paraId="4C26B16E">
            <w:pPr>
              <w:keepNext w:val="0"/>
              <w:keepLines w:val="0"/>
              <w:pageBreakBefore w:val="0"/>
              <w:widowControl/>
              <w:suppressLineNumbers w:val="0"/>
              <w:wordWrap/>
              <w:overflowPunct/>
              <w:topLinePunct w:val="0"/>
              <w:autoSpaceDE w:val="0"/>
              <w:autoSpaceDN w:val="0"/>
              <w:bidi w:val="0"/>
              <w:adjustRightInd w:val="0"/>
              <w:snapToGrid w:val="0"/>
              <w:spacing w:beforeAutospacing="0" w:after="0" w:afterAutospacing="0" w:line="240" w:lineRule="auto"/>
              <w:ind w:left="0" w:right="191"/>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植株生长健壮；</w:t>
            </w:r>
          </w:p>
          <w:p w14:paraId="492EE439">
            <w:pPr>
              <w:keepNext w:val="0"/>
              <w:keepLines w:val="0"/>
              <w:pageBreakBefore w:val="0"/>
              <w:widowControl/>
              <w:suppressLineNumbers w:val="0"/>
              <w:wordWrap/>
              <w:overflowPunct/>
              <w:topLinePunct w:val="0"/>
              <w:autoSpaceDE w:val="0"/>
              <w:autoSpaceDN w:val="0"/>
              <w:bidi w:val="0"/>
              <w:adjustRightInd w:val="0"/>
              <w:snapToGrid w:val="0"/>
              <w:spacing w:beforeAutospacing="0" w:after="0" w:afterAutospacing="0" w:line="240" w:lineRule="auto"/>
              <w:ind w:left="0" w:right="191"/>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茎干粗壮，基部分枝强健，蓬径饱满；</w:t>
            </w:r>
          </w:p>
          <w:p w14:paraId="68BD5C50">
            <w:pPr>
              <w:keepNext w:val="0"/>
              <w:keepLines w:val="0"/>
              <w:pageBreakBefore w:val="0"/>
              <w:widowControl/>
              <w:suppressLineNumbers w:val="0"/>
              <w:wordWrap/>
              <w:overflowPunct/>
              <w:topLinePunct w:val="0"/>
              <w:autoSpaceDE w:val="0"/>
              <w:autoSpaceDN w:val="0"/>
              <w:bidi w:val="0"/>
              <w:adjustRightInd w:val="0"/>
              <w:snapToGrid w:val="0"/>
              <w:spacing w:beforeAutospacing="0" w:after="0" w:afterAutospacing="0" w:line="240" w:lineRule="auto"/>
              <w:ind w:left="0" w:right="191"/>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r>
              <w:rPr>
                <w:rFonts w:hint="eastAsia" w:ascii="仿宋" w:hAnsi="仿宋" w:eastAsia="仿宋" w:cs="仿宋"/>
                <w:color w:val="auto"/>
                <w:sz w:val="24"/>
                <w:szCs w:val="24"/>
                <w:highlight w:val="none"/>
                <w:shd w:val="clear" w:color="auto" w:fill="FFFFFE"/>
              </w:rPr>
              <w:t>花型正、花色纯、株高相等。</w:t>
            </w:r>
          </w:p>
        </w:tc>
      </w:tr>
      <w:tr w14:paraId="34837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6" w:hRule="atLeast"/>
          <w:jc w:val="center"/>
        </w:trPr>
        <w:tc>
          <w:tcPr>
            <w:tcW w:w="587" w:type="dxa"/>
            <w:noWrap w:val="0"/>
            <w:vAlign w:val="center"/>
          </w:tcPr>
          <w:p w14:paraId="3EB8801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4</w:t>
            </w:r>
          </w:p>
        </w:tc>
        <w:tc>
          <w:tcPr>
            <w:tcW w:w="1768" w:type="dxa"/>
            <w:noWrap w:val="0"/>
            <w:vAlign w:val="center"/>
          </w:tcPr>
          <w:p w14:paraId="660FD8C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5" w:right="107" w:firstLine="21"/>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设施</w:t>
            </w:r>
          </w:p>
        </w:tc>
        <w:tc>
          <w:tcPr>
            <w:tcW w:w="3063" w:type="dxa"/>
            <w:noWrap w:val="0"/>
            <w:vAlign w:val="center"/>
          </w:tcPr>
          <w:p w14:paraId="1C6F1DA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5" w:right="107" w:firstLine="21"/>
              <w:jc w:val="left"/>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围护设施完好。</w:t>
            </w:r>
          </w:p>
        </w:tc>
        <w:tc>
          <w:tcPr>
            <w:tcW w:w="3657" w:type="dxa"/>
            <w:noWrap w:val="0"/>
            <w:vAlign w:val="center"/>
          </w:tcPr>
          <w:p w14:paraId="5E2BCFD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5" w:right="107" w:firstLine="21"/>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围护设施完好无损，和谐美观</w:t>
            </w:r>
          </w:p>
        </w:tc>
      </w:tr>
      <w:tr w14:paraId="28905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50" w:hRule="atLeast"/>
          <w:jc w:val="center"/>
        </w:trPr>
        <w:tc>
          <w:tcPr>
            <w:tcW w:w="587" w:type="dxa"/>
            <w:noWrap w:val="0"/>
            <w:vAlign w:val="center"/>
          </w:tcPr>
          <w:p w14:paraId="3BBD8E8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w:t>
            </w:r>
          </w:p>
        </w:tc>
        <w:tc>
          <w:tcPr>
            <w:tcW w:w="1768" w:type="dxa"/>
            <w:noWrap w:val="0"/>
            <w:vAlign w:val="center"/>
          </w:tcPr>
          <w:p w14:paraId="4BC7444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切边</w:t>
            </w:r>
          </w:p>
        </w:tc>
        <w:tc>
          <w:tcPr>
            <w:tcW w:w="3063" w:type="dxa"/>
            <w:noWrap w:val="0"/>
            <w:vAlign w:val="center"/>
          </w:tcPr>
          <w:p w14:paraId="71DECB9C">
            <w:pPr>
              <w:keepNext w:val="0"/>
              <w:keepLines w:val="0"/>
              <w:pageBreakBefore w:val="0"/>
              <w:widowControl/>
              <w:suppressLineNumbers w:val="0"/>
              <w:wordWrap/>
              <w:overflowPunct/>
              <w:topLinePunct w:val="0"/>
              <w:autoSpaceDE w:val="0"/>
              <w:autoSpaceDN w:val="0"/>
              <w:bidi w:val="0"/>
              <w:adjustRightInd w:val="0"/>
              <w:snapToGrid w:val="0"/>
              <w:spacing w:beforeAutospacing="0" w:after="0" w:afterAutospacing="0" w:line="240" w:lineRule="auto"/>
              <w:ind w:left="0" w:right="0"/>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与草坪交界处应边缘清晰；若切边宽度不得大于15cm，深度为15cm。</w:t>
            </w:r>
          </w:p>
        </w:tc>
        <w:tc>
          <w:tcPr>
            <w:tcW w:w="3657" w:type="dxa"/>
            <w:noWrap w:val="0"/>
            <w:vAlign w:val="center"/>
          </w:tcPr>
          <w:p w14:paraId="557EEFF2">
            <w:pPr>
              <w:keepNext w:val="0"/>
              <w:keepLines w:val="0"/>
              <w:pageBreakBefore w:val="0"/>
              <w:widowControl/>
              <w:suppressLineNumbers w:val="0"/>
              <w:wordWrap/>
              <w:overflowPunct/>
              <w:topLinePunct w:val="0"/>
              <w:autoSpaceDE w:val="0"/>
              <w:autoSpaceDN w:val="0"/>
              <w:bidi w:val="0"/>
              <w:adjustRightInd w:val="0"/>
              <w:snapToGrid w:val="0"/>
              <w:spacing w:beforeAutospacing="0" w:after="0" w:afterAutospacing="0" w:line="240" w:lineRule="auto"/>
              <w:ind w:left="0" w:right="191"/>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（1)与草坪交界处应边缘清晰，线条流畅；</w:t>
            </w:r>
          </w:p>
          <w:p w14:paraId="6974823A">
            <w:pPr>
              <w:keepNext w:val="0"/>
              <w:keepLines w:val="0"/>
              <w:pageBreakBefore w:val="0"/>
              <w:widowControl/>
              <w:suppressLineNumbers w:val="0"/>
              <w:wordWrap/>
              <w:overflowPunct/>
              <w:topLinePunct w:val="0"/>
              <w:autoSpaceDE w:val="0"/>
              <w:autoSpaceDN w:val="0"/>
              <w:bidi w:val="0"/>
              <w:adjustRightInd w:val="0"/>
              <w:snapToGrid w:val="0"/>
              <w:spacing w:beforeAutospacing="0" w:after="0" w:afterAutospacing="0" w:line="240" w:lineRule="auto"/>
              <w:ind w:left="0" w:right="191"/>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(2)若切边宽度不得大于15cm，深度为15cm。</w:t>
            </w:r>
          </w:p>
        </w:tc>
      </w:tr>
      <w:tr w14:paraId="7B0A7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38" w:hRule="atLeast"/>
          <w:jc w:val="center"/>
        </w:trPr>
        <w:tc>
          <w:tcPr>
            <w:tcW w:w="587" w:type="dxa"/>
            <w:noWrap w:val="0"/>
            <w:vAlign w:val="center"/>
          </w:tcPr>
          <w:p w14:paraId="5F02CAF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6</w:t>
            </w:r>
          </w:p>
        </w:tc>
        <w:tc>
          <w:tcPr>
            <w:tcW w:w="1768" w:type="dxa"/>
            <w:noWrap w:val="0"/>
            <w:vAlign w:val="center"/>
          </w:tcPr>
          <w:p w14:paraId="5CFD0CE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排灌</w:t>
            </w:r>
          </w:p>
        </w:tc>
        <w:tc>
          <w:tcPr>
            <w:tcW w:w="3063" w:type="dxa"/>
            <w:noWrap w:val="0"/>
            <w:vAlign w:val="center"/>
          </w:tcPr>
          <w:p w14:paraId="7F7D667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24" w:right="112" w:firstLine="33"/>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排水良好，无积水；</w:t>
            </w:r>
          </w:p>
          <w:p w14:paraId="01671BC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24" w:right="112" w:firstLine="33"/>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植株基本无失水萎蔫现象。</w:t>
            </w:r>
          </w:p>
        </w:tc>
        <w:tc>
          <w:tcPr>
            <w:tcW w:w="3657" w:type="dxa"/>
            <w:noWrap w:val="0"/>
            <w:vAlign w:val="center"/>
          </w:tcPr>
          <w:p w14:paraId="6323AD23">
            <w:pPr>
              <w:keepNext w:val="0"/>
              <w:keepLines w:val="0"/>
              <w:pageBreakBefore w:val="0"/>
              <w:widowControl/>
              <w:suppressLineNumbers w:val="0"/>
              <w:wordWrap/>
              <w:overflowPunct/>
              <w:topLinePunct w:val="0"/>
              <w:autoSpaceDE w:val="0"/>
              <w:autoSpaceDN w:val="0"/>
              <w:bidi w:val="0"/>
              <w:adjustRightInd w:val="0"/>
              <w:snapToGrid w:val="0"/>
              <w:spacing w:beforeAutospacing="0" w:after="0" w:afterAutospacing="0" w:line="240" w:lineRule="auto"/>
              <w:ind w:left="0" w:right="191"/>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（1）排水畅通，严禁积水；</w:t>
            </w:r>
          </w:p>
          <w:p w14:paraId="27167004">
            <w:pPr>
              <w:keepNext w:val="0"/>
              <w:keepLines w:val="0"/>
              <w:pageBreakBefore w:val="0"/>
              <w:widowControl/>
              <w:suppressLineNumbers w:val="0"/>
              <w:wordWrap/>
              <w:overflowPunct/>
              <w:topLinePunct w:val="0"/>
              <w:autoSpaceDE w:val="0"/>
              <w:autoSpaceDN w:val="0"/>
              <w:bidi w:val="0"/>
              <w:adjustRightInd w:val="0"/>
              <w:snapToGrid w:val="0"/>
              <w:spacing w:beforeAutospacing="0" w:after="0" w:afterAutospacing="0" w:line="240" w:lineRule="auto"/>
              <w:ind w:left="0" w:right="191"/>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（2）植株不得出现失水萎蔫现象。</w:t>
            </w:r>
          </w:p>
        </w:tc>
      </w:tr>
      <w:tr w14:paraId="2C514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61" w:hRule="atLeast"/>
          <w:jc w:val="center"/>
        </w:trPr>
        <w:tc>
          <w:tcPr>
            <w:tcW w:w="587" w:type="dxa"/>
            <w:noWrap w:val="0"/>
            <w:vAlign w:val="center"/>
          </w:tcPr>
          <w:p w14:paraId="34D8DE3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7</w:t>
            </w:r>
          </w:p>
        </w:tc>
        <w:tc>
          <w:tcPr>
            <w:tcW w:w="1768" w:type="dxa"/>
            <w:noWrap w:val="0"/>
            <w:vAlign w:val="center"/>
          </w:tcPr>
          <w:p w14:paraId="41967B2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有害生物控制</w:t>
            </w:r>
          </w:p>
        </w:tc>
        <w:tc>
          <w:tcPr>
            <w:tcW w:w="3063" w:type="dxa"/>
            <w:noWrap w:val="0"/>
            <w:vAlign w:val="center"/>
          </w:tcPr>
          <w:p w14:paraId="475BF8A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11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无明显的有害生物危害状；</w:t>
            </w:r>
          </w:p>
          <w:p w14:paraId="2EAC4AF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11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植株受害率必须控制在5%以下；</w:t>
            </w:r>
          </w:p>
          <w:p w14:paraId="718A295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11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r>
              <w:rPr>
                <w:rFonts w:hint="eastAsia" w:ascii="仿宋" w:hAnsi="仿宋" w:eastAsia="仿宋" w:cs="仿宋"/>
                <w:color w:val="auto"/>
                <w:sz w:val="24"/>
                <w:szCs w:val="24"/>
                <w:highlight w:val="none"/>
                <w:shd w:val="clear" w:color="auto" w:fill="FFFFFE"/>
              </w:rPr>
              <w:t>基本无杂草</w:t>
            </w:r>
          </w:p>
        </w:tc>
        <w:tc>
          <w:tcPr>
            <w:tcW w:w="3657" w:type="dxa"/>
            <w:noWrap w:val="0"/>
            <w:vAlign w:val="center"/>
          </w:tcPr>
          <w:p w14:paraId="7B223C4C">
            <w:pPr>
              <w:keepNext w:val="0"/>
              <w:keepLines w:val="0"/>
              <w:pageBreakBefore w:val="0"/>
              <w:widowControl/>
              <w:suppressLineNumbers w:val="0"/>
              <w:wordWrap/>
              <w:overflowPunct/>
              <w:topLinePunct w:val="0"/>
              <w:autoSpaceDE w:val="0"/>
              <w:autoSpaceDN w:val="0"/>
              <w:bidi w:val="0"/>
              <w:adjustRightInd w:val="0"/>
              <w:snapToGrid w:val="0"/>
              <w:spacing w:beforeAutospacing="0" w:after="0" w:afterAutospacing="0" w:line="240" w:lineRule="auto"/>
              <w:ind w:left="115" w:right="431" w:firstLine="4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基本无有害生物危害状；</w:t>
            </w:r>
          </w:p>
          <w:p w14:paraId="31275AC6">
            <w:pPr>
              <w:keepNext w:val="0"/>
              <w:keepLines w:val="0"/>
              <w:pageBreakBefore w:val="0"/>
              <w:widowControl/>
              <w:suppressLineNumbers w:val="0"/>
              <w:wordWrap/>
              <w:overflowPunct/>
              <w:topLinePunct w:val="0"/>
              <w:autoSpaceDE w:val="0"/>
              <w:autoSpaceDN w:val="0"/>
              <w:bidi w:val="0"/>
              <w:adjustRightInd w:val="0"/>
              <w:snapToGrid w:val="0"/>
              <w:spacing w:beforeAutospacing="0" w:after="0" w:afterAutospacing="0" w:line="240" w:lineRule="auto"/>
              <w:ind w:left="120" w:right="191"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植株受害率必须控制在3%以下；</w:t>
            </w:r>
          </w:p>
          <w:p w14:paraId="6FBE76B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r>
              <w:rPr>
                <w:rFonts w:hint="eastAsia" w:ascii="仿宋" w:hAnsi="仿宋" w:eastAsia="仿宋" w:cs="仿宋"/>
                <w:color w:val="auto"/>
                <w:sz w:val="24"/>
                <w:szCs w:val="24"/>
                <w:highlight w:val="none"/>
                <w:shd w:val="clear" w:color="auto" w:fill="FFFFFE"/>
              </w:rPr>
              <w:t>无杂草。</w:t>
            </w:r>
          </w:p>
        </w:tc>
      </w:tr>
      <w:tr w14:paraId="3C022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20" w:hRule="atLeast"/>
          <w:jc w:val="center"/>
        </w:trPr>
        <w:tc>
          <w:tcPr>
            <w:tcW w:w="587" w:type="dxa"/>
            <w:noWrap w:val="0"/>
            <w:vAlign w:val="center"/>
          </w:tcPr>
          <w:p w14:paraId="0DC6827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8</w:t>
            </w:r>
          </w:p>
        </w:tc>
        <w:tc>
          <w:tcPr>
            <w:tcW w:w="1768" w:type="dxa"/>
            <w:noWrap w:val="0"/>
            <w:vAlign w:val="center"/>
          </w:tcPr>
          <w:p w14:paraId="0A8B168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112"/>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清洁</w:t>
            </w:r>
          </w:p>
        </w:tc>
        <w:tc>
          <w:tcPr>
            <w:tcW w:w="3063" w:type="dxa"/>
            <w:noWrap w:val="0"/>
            <w:vAlign w:val="center"/>
          </w:tcPr>
          <w:p w14:paraId="7C109D7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112"/>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无陈积垃圾。</w:t>
            </w:r>
          </w:p>
        </w:tc>
        <w:tc>
          <w:tcPr>
            <w:tcW w:w="3657" w:type="dxa"/>
            <w:noWrap w:val="0"/>
            <w:vAlign w:val="center"/>
          </w:tcPr>
          <w:p w14:paraId="686DDE1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112"/>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无垃圾</w:t>
            </w:r>
          </w:p>
        </w:tc>
      </w:tr>
    </w:tbl>
    <w:p w14:paraId="28DDE45E">
      <w:pPr>
        <w:pageBreakBefore w:val="0"/>
        <w:wordWrap/>
        <w:overflowPunct/>
        <w:topLinePunct w:val="0"/>
        <w:bidi w:val="0"/>
        <w:spacing w:before="70" w:line="460" w:lineRule="exact"/>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表3.0.5  花 境</w:t>
      </w:r>
    </w:p>
    <w:tbl>
      <w:tblPr>
        <w:tblStyle w:val="6"/>
        <w:tblW w:w="90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26"/>
        <w:gridCol w:w="1964"/>
        <w:gridCol w:w="6500"/>
      </w:tblGrid>
      <w:tr w14:paraId="57419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33" w:hRule="atLeast"/>
          <w:jc w:val="center"/>
        </w:trPr>
        <w:tc>
          <w:tcPr>
            <w:tcW w:w="626" w:type="dxa"/>
            <w:noWrap w:val="0"/>
            <w:vAlign w:val="top"/>
          </w:tcPr>
          <w:p w14:paraId="4D539A6A">
            <w:pPr>
              <w:keepNext w:val="0"/>
              <w:keepLines w:val="0"/>
              <w:pageBreakBefore w:val="0"/>
              <w:suppressLineNumbers w:val="0"/>
              <w:kinsoku w:val="0"/>
              <w:wordWrap/>
              <w:overflowPunct/>
              <w:topLinePunct w:val="0"/>
              <w:autoSpaceDE w:val="0"/>
              <w:autoSpaceDN w:val="0"/>
              <w:bidi w:val="0"/>
              <w:adjustRightInd w:val="0"/>
              <w:snapToGrid w:val="0"/>
              <w:spacing w:before="222" w:beforeAutospacing="0" w:after="0" w:afterAutospacing="0" w:line="460" w:lineRule="exact"/>
              <w:ind w:left="0" w:right="0" w:firstLine="41"/>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序号</w:t>
            </w:r>
          </w:p>
        </w:tc>
        <w:tc>
          <w:tcPr>
            <w:tcW w:w="1964" w:type="dxa"/>
            <w:noWrap w:val="0"/>
            <w:vAlign w:val="top"/>
          </w:tcPr>
          <w:p w14:paraId="1FC52BED">
            <w:pPr>
              <w:keepNext w:val="0"/>
              <w:keepLines w:val="0"/>
              <w:pageBreakBefore w:val="0"/>
              <w:suppressLineNumbers w:val="0"/>
              <w:kinsoku w:val="0"/>
              <w:wordWrap/>
              <w:overflowPunct/>
              <w:topLinePunct w:val="0"/>
              <w:autoSpaceDE w:val="0"/>
              <w:autoSpaceDN w:val="0"/>
              <w:bidi w:val="0"/>
              <w:adjustRightInd w:val="0"/>
              <w:snapToGrid w:val="0"/>
              <w:spacing w:before="194" w:beforeAutospacing="0" w:after="0" w:afterAutospacing="0" w:line="460" w:lineRule="exact"/>
              <w:ind w:left="0" w:right="0" w:firstLine="764"/>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项目</w:t>
            </w:r>
          </w:p>
        </w:tc>
        <w:tc>
          <w:tcPr>
            <w:tcW w:w="6500" w:type="dxa"/>
            <w:noWrap w:val="0"/>
            <w:vAlign w:val="top"/>
          </w:tcPr>
          <w:p w14:paraId="0A20105D">
            <w:pPr>
              <w:keepNext w:val="0"/>
              <w:keepLines w:val="0"/>
              <w:pageBreakBefore w:val="0"/>
              <w:suppressLineNumbers w:val="0"/>
              <w:kinsoku w:val="0"/>
              <w:wordWrap/>
              <w:overflowPunct/>
              <w:topLinePunct w:val="0"/>
              <w:autoSpaceDE w:val="0"/>
              <w:autoSpaceDN w:val="0"/>
              <w:bidi w:val="0"/>
              <w:adjustRightInd w:val="0"/>
              <w:snapToGrid w:val="0"/>
              <w:spacing w:before="194" w:beforeAutospacing="0" w:after="0" w:afterAutospacing="0" w:line="460" w:lineRule="exact"/>
              <w:ind w:left="0" w:right="0" w:firstLine="244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基本标准</w:t>
            </w:r>
          </w:p>
        </w:tc>
      </w:tr>
      <w:tr w14:paraId="26D8F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49" w:hRule="atLeast"/>
          <w:jc w:val="center"/>
        </w:trPr>
        <w:tc>
          <w:tcPr>
            <w:tcW w:w="626" w:type="dxa"/>
            <w:noWrap w:val="0"/>
            <w:vAlign w:val="top"/>
          </w:tcPr>
          <w:p w14:paraId="4625385B">
            <w:pPr>
              <w:keepNext w:val="0"/>
              <w:keepLines w:val="0"/>
              <w:pageBreakBefore w:val="0"/>
              <w:suppressLineNumbers w:val="0"/>
              <w:kinsoku w:val="0"/>
              <w:wordWrap/>
              <w:overflowPunct/>
              <w:topLinePunct w:val="0"/>
              <w:autoSpaceDE w:val="0"/>
              <w:autoSpaceDN w:val="0"/>
              <w:bidi w:val="0"/>
              <w:adjustRightInd w:val="0"/>
              <w:snapToGrid w:val="0"/>
              <w:spacing w:before="74" w:beforeAutospacing="0" w:after="0" w:afterAutospacing="0" w:line="460" w:lineRule="exact"/>
              <w:ind w:left="0" w:right="0" w:firstLine="30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1</w:t>
            </w:r>
          </w:p>
        </w:tc>
        <w:tc>
          <w:tcPr>
            <w:tcW w:w="1964" w:type="dxa"/>
            <w:noWrap w:val="0"/>
            <w:vAlign w:val="center"/>
          </w:tcPr>
          <w:p w14:paraId="0F651888">
            <w:pPr>
              <w:keepNext w:val="0"/>
              <w:keepLines w:val="0"/>
              <w:pageBreakBefore w:val="0"/>
              <w:suppressLineNumbers w:val="0"/>
              <w:kinsoku w:val="0"/>
              <w:wordWrap/>
              <w:overflowPunct/>
              <w:topLinePunct w:val="0"/>
              <w:autoSpaceDE w:val="0"/>
              <w:autoSpaceDN w:val="0"/>
              <w:bidi w:val="0"/>
              <w:adjustRightInd w:val="0"/>
              <w:snapToGrid w:val="0"/>
              <w:spacing w:before="78" w:beforeAutospacing="0" w:after="0" w:afterAutospacing="0" w:line="460" w:lineRule="exact"/>
              <w:ind w:left="0" w:right="0" w:firstLine="764"/>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景观</w:t>
            </w:r>
          </w:p>
        </w:tc>
        <w:tc>
          <w:tcPr>
            <w:tcW w:w="6500" w:type="dxa"/>
            <w:noWrap w:val="0"/>
            <w:vAlign w:val="top"/>
          </w:tcPr>
          <w:p w14:paraId="6AD22A43">
            <w:pPr>
              <w:keepNext w:val="0"/>
              <w:keepLines w:val="0"/>
              <w:pageBreakBefore w:val="0"/>
              <w:suppressLineNumbers w:val="0"/>
              <w:wordWrap/>
              <w:overflowPunct/>
              <w:topLinePunct w:val="0"/>
              <w:bidi w:val="0"/>
              <w:spacing w:before="35" w:beforeAutospacing="0" w:after="0" w:afterAutospacing="0" w:line="460" w:lineRule="exact"/>
              <w:ind w:left="115" w:right="108" w:firstLine="4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植株生长正常，株行距适宜，不露底土，高低错落有序，季相变化明显，枯枝残花量不得大于8%；</w:t>
            </w:r>
          </w:p>
          <w:p w14:paraId="3D04F222">
            <w:pPr>
              <w:keepNext w:val="0"/>
              <w:keepLines w:val="0"/>
              <w:pageBreakBefore w:val="0"/>
              <w:suppressLineNumbers w:val="0"/>
              <w:wordWrap/>
              <w:overflowPunct/>
              <w:topLinePunct w:val="0"/>
              <w:bidi w:val="0"/>
              <w:spacing w:before="71" w:beforeAutospacing="0" w:after="0" w:afterAutospacing="0" w:line="460" w:lineRule="exact"/>
              <w:ind w:left="0" w:right="0" w:firstLine="156"/>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花卉色彩鲜艳，观赏期长；</w:t>
            </w:r>
          </w:p>
          <w:p w14:paraId="4803524C">
            <w:pPr>
              <w:keepNext w:val="0"/>
              <w:keepLines w:val="0"/>
              <w:pageBreakBefore w:val="0"/>
              <w:suppressLineNumbers w:val="0"/>
              <w:kinsoku w:val="0"/>
              <w:wordWrap/>
              <w:overflowPunct/>
              <w:topLinePunct w:val="0"/>
              <w:autoSpaceDE w:val="0"/>
              <w:autoSpaceDN w:val="0"/>
              <w:bidi w:val="0"/>
              <w:adjustRightInd w:val="0"/>
              <w:snapToGrid w:val="0"/>
              <w:spacing w:before="69" w:beforeAutospacing="0" w:after="0" w:afterAutospacing="0" w:line="460" w:lineRule="exact"/>
              <w:ind w:left="0" w:right="0" w:firstLine="15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r>
              <w:rPr>
                <w:rFonts w:hint="eastAsia" w:ascii="仿宋" w:hAnsi="仿宋" w:eastAsia="仿宋" w:cs="仿宋"/>
                <w:color w:val="auto"/>
                <w:sz w:val="24"/>
                <w:szCs w:val="24"/>
                <w:highlight w:val="none"/>
                <w:shd w:val="clear" w:color="auto" w:fill="FFFFFE"/>
              </w:rPr>
              <w:t>观花花卉适时开花，观叶植物叶色正常。</w:t>
            </w:r>
          </w:p>
        </w:tc>
      </w:tr>
      <w:tr w14:paraId="36DCB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8" w:hRule="atLeast"/>
          <w:jc w:val="center"/>
        </w:trPr>
        <w:tc>
          <w:tcPr>
            <w:tcW w:w="626" w:type="dxa"/>
            <w:noWrap w:val="0"/>
            <w:vAlign w:val="top"/>
          </w:tcPr>
          <w:p w14:paraId="5BAB09A7">
            <w:pPr>
              <w:keepNext w:val="0"/>
              <w:keepLines w:val="0"/>
              <w:pageBreakBefore w:val="0"/>
              <w:suppressLineNumbers w:val="0"/>
              <w:kinsoku w:val="0"/>
              <w:wordWrap/>
              <w:overflowPunct/>
              <w:topLinePunct w:val="0"/>
              <w:autoSpaceDE w:val="0"/>
              <w:autoSpaceDN w:val="0"/>
              <w:bidi w:val="0"/>
              <w:adjustRightInd w:val="0"/>
              <w:snapToGrid w:val="0"/>
              <w:spacing w:before="75" w:beforeAutospacing="0" w:after="0" w:afterAutospacing="0" w:line="460" w:lineRule="exact"/>
              <w:ind w:left="0" w:right="0" w:firstLine="29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2</w:t>
            </w:r>
          </w:p>
        </w:tc>
        <w:tc>
          <w:tcPr>
            <w:tcW w:w="1964" w:type="dxa"/>
            <w:noWrap w:val="0"/>
            <w:vAlign w:val="center"/>
          </w:tcPr>
          <w:p w14:paraId="7BA2F65A">
            <w:pPr>
              <w:keepNext w:val="0"/>
              <w:keepLines w:val="0"/>
              <w:pageBreakBefore w:val="0"/>
              <w:suppressLineNumbers w:val="0"/>
              <w:kinsoku w:val="0"/>
              <w:wordWrap/>
              <w:overflowPunct/>
              <w:topLinePunct w:val="0"/>
              <w:autoSpaceDE w:val="0"/>
              <w:autoSpaceDN w:val="0"/>
              <w:bidi w:val="0"/>
              <w:adjustRightInd w:val="0"/>
              <w:snapToGrid w:val="0"/>
              <w:spacing w:before="75" w:beforeAutospacing="0" w:after="0" w:afterAutospacing="0" w:line="460" w:lineRule="exact"/>
              <w:ind w:left="0" w:right="0" w:firstLine="763"/>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生长</w:t>
            </w:r>
          </w:p>
        </w:tc>
        <w:tc>
          <w:tcPr>
            <w:tcW w:w="6500" w:type="dxa"/>
            <w:noWrap w:val="0"/>
            <w:vAlign w:val="top"/>
          </w:tcPr>
          <w:p w14:paraId="446CFDDC">
            <w:pPr>
              <w:keepNext w:val="0"/>
              <w:keepLines w:val="0"/>
              <w:pageBreakBefore w:val="0"/>
              <w:suppressLineNumbers w:val="0"/>
              <w:kinsoku w:val="0"/>
              <w:wordWrap/>
              <w:overflowPunct/>
              <w:topLinePunct w:val="0"/>
              <w:autoSpaceDE w:val="0"/>
              <w:autoSpaceDN w:val="0"/>
              <w:bidi w:val="0"/>
              <w:adjustRightInd w:val="0"/>
              <w:snapToGrid w:val="0"/>
              <w:spacing w:before="75" w:beforeAutospacing="0" w:after="0" w:afterAutospacing="0" w:line="460" w:lineRule="exact"/>
              <w:ind w:left="0" w:right="0" w:firstLine="115"/>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植株生长健壮，枝叶茂盛。</w:t>
            </w:r>
          </w:p>
        </w:tc>
      </w:tr>
      <w:tr w14:paraId="50E4E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5" w:hRule="atLeast"/>
          <w:jc w:val="center"/>
        </w:trPr>
        <w:tc>
          <w:tcPr>
            <w:tcW w:w="626" w:type="dxa"/>
            <w:noWrap w:val="0"/>
            <w:vAlign w:val="top"/>
          </w:tcPr>
          <w:p w14:paraId="5942832B">
            <w:pPr>
              <w:keepNext w:val="0"/>
              <w:keepLines w:val="0"/>
              <w:pageBreakBefore w:val="0"/>
              <w:suppressLineNumbers w:val="0"/>
              <w:kinsoku w:val="0"/>
              <w:wordWrap/>
              <w:overflowPunct/>
              <w:topLinePunct w:val="0"/>
              <w:autoSpaceDE w:val="0"/>
              <w:autoSpaceDN w:val="0"/>
              <w:bidi w:val="0"/>
              <w:adjustRightInd w:val="0"/>
              <w:snapToGrid w:val="0"/>
              <w:spacing w:before="121" w:beforeAutospacing="0" w:after="0" w:afterAutospacing="0" w:line="460" w:lineRule="exact"/>
              <w:ind w:left="0" w:right="0" w:firstLine="294"/>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p>
        </w:tc>
        <w:tc>
          <w:tcPr>
            <w:tcW w:w="1964" w:type="dxa"/>
            <w:noWrap w:val="0"/>
            <w:vAlign w:val="center"/>
          </w:tcPr>
          <w:p w14:paraId="7B2AA08E">
            <w:pPr>
              <w:keepNext w:val="0"/>
              <w:keepLines w:val="0"/>
              <w:pageBreakBefore w:val="0"/>
              <w:suppressLineNumbers w:val="0"/>
              <w:kinsoku w:val="0"/>
              <w:wordWrap/>
              <w:overflowPunct/>
              <w:topLinePunct w:val="0"/>
              <w:autoSpaceDE w:val="0"/>
              <w:autoSpaceDN w:val="0"/>
              <w:bidi w:val="0"/>
              <w:adjustRightInd w:val="0"/>
              <w:snapToGrid w:val="0"/>
              <w:spacing w:before="80" w:beforeAutospacing="0" w:after="0" w:afterAutospacing="0" w:line="460" w:lineRule="exact"/>
              <w:ind w:left="0" w:right="0" w:firstLine="764"/>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设施</w:t>
            </w:r>
          </w:p>
        </w:tc>
        <w:tc>
          <w:tcPr>
            <w:tcW w:w="6500" w:type="dxa"/>
            <w:noWrap w:val="0"/>
            <w:vAlign w:val="top"/>
          </w:tcPr>
          <w:p w14:paraId="016E4092">
            <w:pPr>
              <w:keepNext w:val="0"/>
              <w:keepLines w:val="0"/>
              <w:pageBreakBefore w:val="0"/>
              <w:suppressLineNumbers w:val="0"/>
              <w:kinsoku w:val="0"/>
              <w:wordWrap/>
              <w:overflowPunct/>
              <w:topLinePunct w:val="0"/>
              <w:autoSpaceDE w:val="0"/>
              <w:autoSpaceDN w:val="0"/>
              <w:bidi w:val="0"/>
              <w:adjustRightInd w:val="0"/>
              <w:snapToGrid w:val="0"/>
              <w:spacing w:before="80" w:beforeAutospacing="0" w:after="0" w:afterAutospacing="0" w:line="460" w:lineRule="exact"/>
              <w:ind w:left="0" w:right="0" w:firstLine="135"/>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围护设施完好</w:t>
            </w:r>
          </w:p>
        </w:tc>
      </w:tr>
      <w:tr w14:paraId="16F83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8" w:hRule="atLeast"/>
          <w:jc w:val="center"/>
        </w:trPr>
        <w:tc>
          <w:tcPr>
            <w:tcW w:w="626" w:type="dxa"/>
            <w:noWrap w:val="0"/>
            <w:vAlign w:val="top"/>
          </w:tcPr>
          <w:p w14:paraId="3968B828">
            <w:pPr>
              <w:keepNext w:val="0"/>
              <w:keepLines w:val="0"/>
              <w:pageBreakBefore w:val="0"/>
              <w:suppressLineNumbers w:val="0"/>
              <w:kinsoku w:val="0"/>
              <w:wordWrap/>
              <w:overflowPunct/>
              <w:topLinePunct w:val="0"/>
              <w:autoSpaceDE w:val="0"/>
              <w:autoSpaceDN w:val="0"/>
              <w:bidi w:val="0"/>
              <w:adjustRightInd w:val="0"/>
              <w:snapToGrid w:val="0"/>
              <w:spacing w:before="75" w:beforeAutospacing="0" w:after="0" w:afterAutospacing="0" w:line="460" w:lineRule="exact"/>
              <w:ind w:left="0" w:right="0" w:firstLine="288"/>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4</w:t>
            </w:r>
          </w:p>
        </w:tc>
        <w:tc>
          <w:tcPr>
            <w:tcW w:w="1964" w:type="dxa"/>
            <w:noWrap w:val="0"/>
            <w:vAlign w:val="center"/>
          </w:tcPr>
          <w:p w14:paraId="2A2326B6">
            <w:pPr>
              <w:keepNext w:val="0"/>
              <w:keepLines w:val="0"/>
              <w:pageBreakBefore w:val="0"/>
              <w:suppressLineNumbers w:val="0"/>
              <w:kinsoku w:val="0"/>
              <w:wordWrap/>
              <w:overflowPunct/>
              <w:topLinePunct w:val="0"/>
              <w:autoSpaceDE w:val="0"/>
              <w:autoSpaceDN w:val="0"/>
              <w:bidi w:val="0"/>
              <w:adjustRightInd w:val="0"/>
              <w:snapToGrid w:val="0"/>
              <w:spacing w:before="100" w:beforeAutospacing="0" w:after="0" w:afterAutospacing="0" w:line="460" w:lineRule="exact"/>
              <w:ind w:left="0" w:right="0" w:firstLine="760"/>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切边</w:t>
            </w:r>
          </w:p>
        </w:tc>
        <w:tc>
          <w:tcPr>
            <w:tcW w:w="6500" w:type="dxa"/>
            <w:noWrap w:val="0"/>
            <w:vAlign w:val="top"/>
          </w:tcPr>
          <w:p w14:paraId="143DF5FC">
            <w:pPr>
              <w:keepNext w:val="0"/>
              <w:keepLines w:val="0"/>
              <w:pageBreakBefore w:val="0"/>
              <w:suppressLineNumbers w:val="0"/>
              <w:kinsoku w:val="0"/>
              <w:wordWrap/>
              <w:overflowPunct/>
              <w:topLinePunct w:val="0"/>
              <w:autoSpaceDE w:val="0"/>
              <w:autoSpaceDN w:val="0"/>
              <w:bidi w:val="0"/>
              <w:adjustRightInd w:val="0"/>
              <w:snapToGrid w:val="0"/>
              <w:spacing w:before="100" w:beforeAutospacing="0" w:after="0" w:afterAutospacing="0" w:line="460" w:lineRule="exact"/>
              <w:ind w:left="0" w:right="0" w:firstLine="115"/>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草坪交界处如有切边，宽度不得大于15cm，深度为15cm</w:t>
            </w:r>
          </w:p>
        </w:tc>
      </w:tr>
      <w:tr w14:paraId="6633D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6" w:hRule="atLeast"/>
          <w:jc w:val="center"/>
        </w:trPr>
        <w:tc>
          <w:tcPr>
            <w:tcW w:w="626" w:type="dxa"/>
            <w:noWrap w:val="0"/>
            <w:vAlign w:val="top"/>
          </w:tcPr>
          <w:p w14:paraId="6B1E5E9C">
            <w:pPr>
              <w:keepNext w:val="0"/>
              <w:keepLines w:val="0"/>
              <w:pageBreakBefore w:val="0"/>
              <w:suppressLineNumbers w:val="0"/>
              <w:kinsoku w:val="0"/>
              <w:wordWrap/>
              <w:overflowPunct/>
              <w:topLinePunct w:val="0"/>
              <w:autoSpaceDE w:val="0"/>
              <w:autoSpaceDN w:val="0"/>
              <w:bidi w:val="0"/>
              <w:adjustRightInd w:val="0"/>
              <w:snapToGrid w:val="0"/>
              <w:spacing w:before="79" w:beforeAutospacing="0" w:after="0" w:afterAutospacing="0" w:line="460" w:lineRule="exact"/>
              <w:ind w:left="0" w:right="0" w:firstLine="294"/>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5</w:t>
            </w:r>
          </w:p>
        </w:tc>
        <w:tc>
          <w:tcPr>
            <w:tcW w:w="1964" w:type="dxa"/>
            <w:noWrap w:val="0"/>
            <w:vAlign w:val="center"/>
          </w:tcPr>
          <w:p w14:paraId="603B0B5E">
            <w:pPr>
              <w:keepNext w:val="0"/>
              <w:keepLines w:val="0"/>
              <w:pageBreakBefore w:val="0"/>
              <w:suppressLineNumbers w:val="0"/>
              <w:kinsoku w:val="0"/>
              <w:wordWrap/>
              <w:overflowPunct/>
              <w:topLinePunct w:val="0"/>
              <w:autoSpaceDE w:val="0"/>
              <w:autoSpaceDN w:val="0"/>
              <w:bidi w:val="0"/>
              <w:adjustRightInd w:val="0"/>
              <w:snapToGrid w:val="0"/>
              <w:spacing w:before="192" w:beforeAutospacing="0" w:after="0" w:afterAutospacing="0" w:line="460" w:lineRule="exact"/>
              <w:ind w:left="0" w:right="0" w:firstLine="761"/>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排灌</w:t>
            </w:r>
          </w:p>
        </w:tc>
        <w:tc>
          <w:tcPr>
            <w:tcW w:w="6500" w:type="dxa"/>
            <w:noWrap w:val="0"/>
            <w:vAlign w:val="top"/>
          </w:tcPr>
          <w:p w14:paraId="14B418B8">
            <w:pPr>
              <w:keepNext w:val="0"/>
              <w:keepLines w:val="0"/>
              <w:pageBreakBefore w:val="0"/>
              <w:suppressLineNumbers w:val="0"/>
              <w:wordWrap/>
              <w:overflowPunct/>
              <w:topLinePunct w:val="0"/>
              <w:bidi w:val="0"/>
              <w:spacing w:before="0" w:beforeAutospacing="0" w:after="0" w:afterAutospacing="0" w:line="460" w:lineRule="exact"/>
              <w:ind w:right="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排水良好，无积水；</w:t>
            </w:r>
          </w:p>
          <w:p w14:paraId="544CA33D">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（2）植株不得出现失水萎蔫现象。</w:t>
            </w:r>
          </w:p>
        </w:tc>
      </w:tr>
      <w:tr w14:paraId="55066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50" w:hRule="atLeast"/>
          <w:jc w:val="center"/>
        </w:trPr>
        <w:tc>
          <w:tcPr>
            <w:tcW w:w="626" w:type="dxa"/>
            <w:noWrap w:val="0"/>
            <w:vAlign w:val="top"/>
          </w:tcPr>
          <w:p w14:paraId="5DB1933F">
            <w:pPr>
              <w:keepNext w:val="0"/>
              <w:keepLines w:val="0"/>
              <w:pageBreakBefore w:val="0"/>
              <w:suppressLineNumbers w:val="0"/>
              <w:kinsoku w:val="0"/>
              <w:wordWrap/>
              <w:overflowPunct/>
              <w:topLinePunct w:val="0"/>
              <w:autoSpaceDE w:val="0"/>
              <w:autoSpaceDN w:val="0"/>
              <w:bidi w:val="0"/>
              <w:adjustRightInd w:val="0"/>
              <w:snapToGrid w:val="0"/>
              <w:spacing w:before="78" w:beforeAutospacing="0" w:after="0" w:afterAutospacing="0" w:line="460" w:lineRule="exact"/>
              <w:ind w:left="0" w:right="0" w:firstLine="291"/>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6</w:t>
            </w:r>
          </w:p>
        </w:tc>
        <w:tc>
          <w:tcPr>
            <w:tcW w:w="1964" w:type="dxa"/>
            <w:noWrap w:val="0"/>
            <w:vAlign w:val="center"/>
          </w:tcPr>
          <w:p w14:paraId="13E9A340">
            <w:pPr>
              <w:keepNext w:val="0"/>
              <w:keepLines w:val="0"/>
              <w:pageBreakBefore w:val="0"/>
              <w:suppressLineNumbers w:val="0"/>
              <w:kinsoku w:val="0"/>
              <w:wordWrap/>
              <w:overflowPunct/>
              <w:topLinePunct w:val="0"/>
              <w:autoSpaceDE w:val="0"/>
              <w:autoSpaceDN w:val="0"/>
              <w:bidi w:val="0"/>
              <w:adjustRightInd w:val="0"/>
              <w:snapToGrid w:val="0"/>
              <w:spacing w:before="78" w:beforeAutospacing="0" w:after="0" w:afterAutospacing="0" w:line="460" w:lineRule="exact"/>
              <w:ind w:left="0" w:right="0" w:firstLine="28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有害生物控制</w:t>
            </w:r>
          </w:p>
        </w:tc>
        <w:tc>
          <w:tcPr>
            <w:tcW w:w="6500" w:type="dxa"/>
            <w:noWrap w:val="0"/>
            <w:vAlign w:val="top"/>
          </w:tcPr>
          <w:p w14:paraId="0F43C8DD">
            <w:pPr>
              <w:keepNext w:val="0"/>
              <w:keepLines w:val="0"/>
              <w:pageBreakBefore w:val="0"/>
              <w:suppressLineNumbers w:val="0"/>
              <w:wordWrap/>
              <w:overflowPunct/>
              <w:topLinePunct w:val="0"/>
              <w:bidi w:val="0"/>
              <w:spacing w:before="0" w:beforeAutospacing="0" w:after="0" w:afterAutospacing="0" w:line="460" w:lineRule="exact"/>
              <w:ind w:left="0" w:right="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无明显有害生物危害状；</w:t>
            </w:r>
          </w:p>
          <w:p w14:paraId="6546E60D">
            <w:pPr>
              <w:keepNext w:val="0"/>
              <w:keepLines w:val="0"/>
              <w:pageBreakBefore w:val="0"/>
              <w:suppressLineNumbers w:val="0"/>
              <w:wordWrap/>
              <w:overflowPunct/>
              <w:topLinePunct w:val="0"/>
              <w:bidi w:val="0"/>
              <w:spacing w:before="0" w:beforeAutospacing="0" w:after="0" w:afterAutospacing="0" w:line="460" w:lineRule="exact"/>
              <w:ind w:left="0" w:right="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（2）植物受害率控制在10%以下；</w:t>
            </w:r>
          </w:p>
          <w:p w14:paraId="48B7E6F2">
            <w:pPr>
              <w:keepNext w:val="0"/>
              <w:keepLines w:val="0"/>
              <w:pageBreakBefore w:val="0"/>
              <w:suppressLineNumbers w:val="0"/>
              <w:kinsoku w:val="0"/>
              <w:wordWrap/>
              <w:overflowPunct/>
              <w:topLinePunct w:val="0"/>
              <w:autoSpaceDE w:val="0"/>
              <w:autoSpaceDN w:val="0"/>
              <w:bidi w:val="0"/>
              <w:adjustRightInd w:val="0"/>
              <w:snapToGrid w:val="0"/>
              <w:spacing w:before="46" w:beforeAutospacing="0" w:after="0" w:afterAutospacing="0" w:line="460" w:lineRule="exact"/>
              <w:ind w:left="0" w:right="108"/>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（3）无大型、恶性、缠绕性杂草；无影响景观面貌的杂草。</w:t>
            </w:r>
          </w:p>
        </w:tc>
      </w:tr>
      <w:tr w14:paraId="61C49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7" w:hRule="atLeast"/>
          <w:jc w:val="center"/>
        </w:trPr>
        <w:tc>
          <w:tcPr>
            <w:tcW w:w="626" w:type="dxa"/>
            <w:noWrap w:val="0"/>
            <w:vAlign w:val="top"/>
          </w:tcPr>
          <w:p w14:paraId="620FBE73">
            <w:pPr>
              <w:keepNext w:val="0"/>
              <w:keepLines w:val="0"/>
              <w:pageBreakBefore w:val="0"/>
              <w:suppressLineNumbers w:val="0"/>
              <w:kinsoku w:val="0"/>
              <w:wordWrap/>
              <w:overflowPunct/>
              <w:topLinePunct w:val="0"/>
              <w:autoSpaceDE w:val="0"/>
              <w:autoSpaceDN w:val="0"/>
              <w:bidi w:val="0"/>
              <w:adjustRightInd w:val="0"/>
              <w:snapToGrid w:val="0"/>
              <w:spacing w:before="192" w:beforeAutospacing="0" w:after="0" w:afterAutospacing="0" w:line="460" w:lineRule="exact"/>
              <w:ind w:left="0" w:right="0" w:firstLine="295"/>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7</w:t>
            </w:r>
          </w:p>
        </w:tc>
        <w:tc>
          <w:tcPr>
            <w:tcW w:w="1964" w:type="dxa"/>
            <w:noWrap w:val="0"/>
            <w:vAlign w:val="center"/>
          </w:tcPr>
          <w:p w14:paraId="3FB10064">
            <w:pPr>
              <w:keepNext w:val="0"/>
              <w:keepLines w:val="0"/>
              <w:pageBreakBefore w:val="0"/>
              <w:suppressLineNumbers w:val="0"/>
              <w:kinsoku w:val="0"/>
              <w:wordWrap/>
              <w:overflowPunct/>
              <w:topLinePunct w:val="0"/>
              <w:autoSpaceDE w:val="0"/>
              <w:autoSpaceDN w:val="0"/>
              <w:bidi w:val="0"/>
              <w:adjustRightInd w:val="0"/>
              <w:snapToGrid w:val="0"/>
              <w:spacing w:before="150" w:beforeAutospacing="0" w:after="0" w:afterAutospacing="0" w:line="460" w:lineRule="exact"/>
              <w:ind w:left="0" w:right="0" w:firstLine="761"/>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清洁</w:t>
            </w:r>
          </w:p>
        </w:tc>
        <w:tc>
          <w:tcPr>
            <w:tcW w:w="6500" w:type="dxa"/>
            <w:noWrap w:val="0"/>
            <w:vAlign w:val="top"/>
          </w:tcPr>
          <w:p w14:paraId="511CC30E">
            <w:pPr>
              <w:keepNext w:val="0"/>
              <w:keepLines w:val="0"/>
              <w:pageBreakBefore w:val="0"/>
              <w:suppressLineNumbers w:val="0"/>
              <w:kinsoku w:val="0"/>
              <w:wordWrap/>
              <w:overflowPunct/>
              <w:topLinePunct w:val="0"/>
              <w:autoSpaceDE w:val="0"/>
              <w:autoSpaceDN w:val="0"/>
              <w:bidi w:val="0"/>
              <w:adjustRightInd w:val="0"/>
              <w:snapToGrid w:val="0"/>
              <w:spacing w:before="150" w:beforeAutospacing="0" w:after="0" w:afterAutospacing="0" w:line="460" w:lineRule="exact"/>
              <w:ind w:left="0" w:right="0" w:firstLine="115"/>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无垃圾。</w:t>
            </w:r>
          </w:p>
        </w:tc>
      </w:tr>
    </w:tbl>
    <w:p w14:paraId="2A187C65">
      <w:pPr>
        <w:pageBreakBefore w:val="0"/>
        <w:wordWrap/>
        <w:overflowPunct/>
        <w:topLinePunct w:val="0"/>
        <w:bidi w:val="0"/>
        <w:spacing w:before="78" w:line="460" w:lineRule="exact"/>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表3.0.6绿  篱</w:t>
      </w:r>
    </w:p>
    <w:tbl>
      <w:tblPr>
        <w:tblStyle w:val="6"/>
        <w:tblW w:w="92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82"/>
        <w:gridCol w:w="1800"/>
        <w:gridCol w:w="3193"/>
        <w:gridCol w:w="3533"/>
      </w:tblGrid>
      <w:tr w14:paraId="2081A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59" w:hRule="atLeast"/>
          <w:jc w:val="center"/>
        </w:trPr>
        <w:tc>
          <w:tcPr>
            <w:tcW w:w="682" w:type="dxa"/>
            <w:vMerge w:val="restart"/>
            <w:noWrap w:val="0"/>
            <w:vAlign w:val="center"/>
          </w:tcPr>
          <w:p w14:paraId="44EAFBA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序号</w:t>
            </w:r>
          </w:p>
        </w:tc>
        <w:tc>
          <w:tcPr>
            <w:tcW w:w="1800" w:type="dxa"/>
            <w:vMerge w:val="restart"/>
            <w:noWrap w:val="0"/>
            <w:vAlign w:val="center"/>
          </w:tcPr>
          <w:p w14:paraId="46CA669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项目标准级别</w:t>
            </w:r>
          </w:p>
        </w:tc>
        <w:tc>
          <w:tcPr>
            <w:tcW w:w="6726" w:type="dxa"/>
            <w:gridSpan w:val="2"/>
            <w:noWrap w:val="0"/>
            <w:vAlign w:val="center"/>
          </w:tcPr>
          <w:p w14:paraId="2CA9B76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2549"/>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基本标准</w:t>
            </w:r>
          </w:p>
        </w:tc>
      </w:tr>
      <w:tr w14:paraId="3D6F1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2" w:hRule="atLeast"/>
          <w:jc w:val="center"/>
        </w:trPr>
        <w:tc>
          <w:tcPr>
            <w:tcW w:w="682" w:type="dxa"/>
            <w:vMerge w:val="continue"/>
            <w:noWrap w:val="0"/>
            <w:vAlign w:val="center"/>
          </w:tcPr>
          <w:p w14:paraId="3E3315D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p>
        </w:tc>
        <w:tc>
          <w:tcPr>
            <w:tcW w:w="1800" w:type="dxa"/>
            <w:vMerge w:val="continue"/>
            <w:noWrap w:val="0"/>
            <w:vAlign w:val="center"/>
          </w:tcPr>
          <w:p w14:paraId="0D5F928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p>
        </w:tc>
        <w:tc>
          <w:tcPr>
            <w:tcW w:w="3193" w:type="dxa"/>
            <w:noWrap w:val="0"/>
            <w:vAlign w:val="center"/>
          </w:tcPr>
          <w:p w14:paraId="216C88C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158"/>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整形式</w:t>
            </w:r>
          </w:p>
        </w:tc>
        <w:tc>
          <w:tcPr>
            <w:tcW w:w="3533" w:type="dxa"/>
            <w:noWrap w:val="0"/>
            <w:vAlign w:val="center"/>
          </w:tcPr>
          <w:p w14:paraId="0D9AAFB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201"/>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自然式</w:t>
            </w:r>
          </w:p>
        </w:tc>
      </w:tr>
      <w:tr w14:paraId="0F5AD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45" w:hRule="atLeast"/>
          <w:jc w:val="center"/>
        </w:trPr>
        <w:tc>
          <w:tcPr>
            <w:tcW w:w="682" w:type="dxa"/>
            <w:noWrap w:val="0"/>
            <w:vAlign w:val="center"/>
          </w:tcPr>
          <w:p w14:paraId="4E298C4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1</w:t>
            </w:r>
          </w:p>
        </w:tc>
        <w:tc>
          <w:tcPr>
            <w:tcW w:w="1800" w:type="dxa"/>
            <w:noWrap w:val="0"/>
            <w:vAlign w:val="center"/>
          </w:tcPr>
          <w:p w14:paraId="456044A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景观</w:t>
            </w:r>
          </w:p>
        </w:tc>
        <w:tc>
          <w:tcPr>
            <w:tcW w:w="3193" w:type="dxa"/>
            <w:noWrap w:val="0"/>
            <w:vAlign w:val="top"/>
          </w:tcPr>
          <w:p w14:paraId="5B4523B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2" w:firstLine="43"/>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无缺株，无枯枝； (2)修剪必须保持3面以上平整饱满，直线处正直，曲线处弧度圆润</w:t>
            </w:r>
          </w:p>
        </w:tc>
        <w:tc>
          <w:tcPr>
            <w:tcW w:w="3533" w:type="dxa"/>
            <w:noWrap w:val="0"/>
            <w:vAlign w:val="top"/>
          </w:tcPr>
          <w:p w14:paraId="6D10101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10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(1)无缺株，无枯枝残花；</w:t>
            </w:r>
          </w:p>
          <w:p w14:paraId="004AA92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10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(2)开花植物花期一致；</w:t>
            </w:r>
          </w:p>
          <w:p w14:paraId="1B04353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10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(3)修剪保持自然丰满。</w:t>
            </w:r>
          </w:p>
        </w:tc>
      </w:tr>
      <w:tr w14:paraId="2CE60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33" w:hRule="atLeast"/>
          <w:jc w:val="center"/>
        </w:trPr>
        <w:tc>
          <w:tcPr>
            <w:tcW w:w="682" w:type="dxa"/>
            <w:noWrap w:val="0"/>
            <w:vAlign w:val="center"/>
          </w:tcPr>
          <w:p w14:paraId="15A9A7F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2</w:t>
            </w:r>
          </w:p>
        </w:tc>
        <w:tc>
          <w:tcPr>
            <w:tcW w:w="1800" w:type="dxa"/>
            <w:noWrap w:val="0"/>
            <w:vAlign w:val="center"/>
          </w:tcPr>
          <w:p w14:paraId="5B3A63E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生长</w:t>
            </w:r>
          </w:p>
        </w:tc>
        <w:tc>
          <w:tcPr>
            <w:tcW w:w="3193" w:type="dxa"/>
            <w:noWrap w:val="0"/>
            <w:vAlign w:val="top"/>
          </w:tcPr>
          <w:p w14:paraId="27BDDBE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6" w:right="10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植株生长健壮，规格大小基本一致。</w:t>
            </w:r>
          </w:p>
        </w:tc>
        <w:tc>
          <w:tcPr>
            <w:tcW w:w="3533" w:type="dxa"/>
            <w:noWrap w:val="0"/>
            <w:vAlign w:val="top"/>
          </w:tcPr>
          <w:p w14:paraId="02B8998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4" w:right="102" w:firstLine="43"/>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植株生长健壮，规格大小基本一致。</w:t>
            </w:r>
          </w:p>
        </w:tc>
      </w:tr>
      <w:tr w14:paraId="14E4B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73" w:hRule="atLeast"/>
          <w:jc w:val="center"/>
        </w:trPr>
        <w:tc>
          <w:tcPr>
            <w:tcW w:w="682" w:type="dxa"/>
            <w:noWrap w:val="0"/>
            <w:vAlign w:val="center"/>
          </w:tcPr>
          <w:p w14:paraId="13E1EF5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p>
        </w:tc>
        <w:tc>
          <w:tcPr>
            <w:tcW w:w="1800" w:type="dxa"/>
            <w:noWrap w:val="0"/>
            <w:vAlign w:val="center"/>
          </w:tcPr>
          <w:p w14:paraId="35E7685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有害生物控制</w:t>
            </w:r>
          </w:p>
        </w:tc>
        <w:tc>
          <w:tcPr>
            <w:tcW w:w="3193" w:type="dxa"/>
            <w:noWrap w:val="0"/>
            <w:vAlign w:val="top"/>
          </w:tcPr>
          <w:p w14:paraId="6FB3178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5" w:right="105" w:firstLine="4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无明显的有害生物危害状；</w:t>
            </w:r>
          </w:p>
          <w:p w14:paraId="17B8F28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33" w:right="102" w:firstLine="24"/>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植物受害率应控制在10%以下；</w:t>
            </w:r>
          </w:p>
          <w:p w14:paraId="0798A99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8"/>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r>
              <w:rPr>
                <w:rFonts w:hint="eastAsia" w:ascii="仿宋" w:hAnsi="仿宋" w:eastAsia="仿宋" w:cs="仿宋"/>
                <w:color w:val="auto"/>
                <w:sz w:val="24"/>
                <w:szCs w:val="24"/>
                <w:highlight w:val="none"/>
                <w:shd w:val="clear" w:color="auto" w:fill="FFFFFE"/>
              </w:rPr>
              <w:t>无杂草。</w:t>
            </w:r>
          </w:p>
        </w:tc>
        <w:tc>
          <w:tcPr>
            <w:tcW w:w="3533" w:type="dxa"/>
            <w:noWrap w:val="0"/>
            <w:vAlign w:val="top"/>
          </w:tcPr>
          <w:p w14:paraId="36CE875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5" w:right="107" w:firstLine="4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无明显的有害生物危害状；(2)植物受害率应控制在10%以下；</w:t>
            </w:r>
          </w:p>
          <w:p w14:paraId="5CA67C0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(3)无杂草。</w:t>
            </w:r>
          </w:p>
        </w:tc>
      </w:tr>
      <w:tr w14:paraId="27C1A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4" w:hRule="atLeast"/>
          <w:jc w:val="center"/>
        </w:trPr>
        <w:tc>
          <w:tcPr>
            <w:tcW w:w="682" w:type="dxa"/>
            <w:noWrap w:val="0"/>
            <w:vAlign w:val="center"/>
          </w:tcPr>
          <w:p w14:paraId="0DAAB62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w:t>
            </w:r>
          </w:p>
        </w:tc>
        <w:tc>
          <w:tcPr>
            <w:tcW w:w="1800" w:type="dxa"/>
            <w:noWrap w:val="0"/>
            <w:vAlign w:val="center"/>
          </w:tcPr>
          <w:p w14:paraId="3653777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清洁</w:t>
            </w:r>
          </w:p>
        </w:tc>
        <w:tc>
          <w:tcPr>
            <w:tcW w:w="3193" w:type="dxa"/>
            <w:noWrap w:val="0"/>
            <w:vAlign w:val="top"/>
          </w:tcPr>
          <w:p w14:paraId="3BFEC01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1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无垃圾。</w:t>
            </w:r>
          </w:p>
        </w:tc>
        <w:tc>
          <w:tcPr>
            <w:tcW w:w="3533" w:type="dxa"/>
            <w:noWrap w:val="0"/>
            <w:vAlign w:val="top"/>
          </w:tcPr>
          <w:p w14:paraId="053F436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1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无垃圾。</w:t>
            </w:r>
          </w:p>
        </w:tc>
      </w:tr>
    </w:tbl>
    <w:p w14:paraId="746E836B">
      <w:pPr>
        <w:pageBreakBefore w:val="0"/>
        <w:widowControl/>
        <w:wordWrap/>
        <w:overflowPunct/>
        <w:topLinePunct w:val="0"/>
        <w:bidi w:val="0"/>
        <w:spacing w:line="460" w:lineRule="exact"/>
        <w:jc w:val="left"/>
        <w:rPr>
          <w:rFonts w:hint="eastAsia" w:ascii="仿宋" w:hAnsi="仿宋" w:eastAsia="仿宋" w:cs="仿宋"/>
          <w:b/>
          <w:color w:val="auto"/>
          <w:sz w:val="24"/>
          <w:szCs w:val="24"/>
          <w:highlight w:val="none"/>
        </w:rPr>
      </w:pPr>
    </w:p>
    <w:p w14:paraId="4656DDA0">
      <w:pPr>
        <w:pageBreakBefore w:val="0"/>
        <w:wordWrap/>
        <w:overflowPunct/>
        <w:topLinePunct w:val="0"/>
        <w:bidi w:val="0"/>
        <w:spacing w:line="460" w:lineRule="exact"/>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表3.0.7  垂直绿化</w:t>
      </w:r>
    </w:p>
    <w:tbl>
      <w:tblPr>
        <w:tblStyle w:val="6"/>
        <w:tblW w:w="90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88"/>
        <w:gridCol w:w="1994"/>
        <w:gridCol w:w="6370"/>
      </w:tblGrid>
      <w:tr w14:paraId="74766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31" w:hRule="atLeast"/>
          <w:jc w:val="center"/>
        </w:trPr>
        <w:tc>
          <w:tcPr>
            <w:tcW w:w="688" w:type="dxa"/>
            <w:noWrap w:val="0"/>
            <w:vAlign w:val="center"/>
          </w:tcPr>
          <w:p w14:paraId="3B72D152">
            <w:pPr>
              <w:keepNext w:val="0"/>
              <w:keepLines w:val="0"/>
              <w:pageBreakBefore w:val="0"/>
              <w:suppressLineNumbers w:val="0"/>
              <w:kinsoku w:val="0"/>
              <w:wordWrap/>
              <w:overflowPunct/>
              <w:topLinePunct w:val="0"/>
              <w:autoSpaceDE w:val="0"/>
              <w:autoSpaceDN w:val="0"/>
              <w:bidi w:val="0"/>
              <w:adjustRightInd w:val="0"/>
              <w:snapToGrid w:val="0"/>
              <w:spacing w:before="222" w:beforeAutospacing="0" w:after="0" w:afterAutospacing="0" w:line="460" w:lineRule="exact"/>
              <w:ind w:left="0" w:right="0" w:firstLine="38"/>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序号</w:t>
            </w:r>
          </w:p>
        </w:tc>
        <w:tc>
          <w:tcPr>
            <w:tcW w:w="1994" w:type="dxa"/>
            <w:noWrap w:val="0"/>
            <w:vAlign w:val="center"/>
          </w:tcPr>
          <w:p w14:paraId="114DF7AD">
            <w:pPr>
              <w:keepNext w:val="0"/>
              <w:keepLines w:val="0"/>
              <w:pageBreakBefore w:val="0"/>
              <w:suppressLineNumbers w:val="0"/>
              <w:kinsoku w:val="0"/>
              <w:wordWrap/>
              <w:overflowPunct/>
              <w:topLinePunct w:val="0"/>
              <w:autoSpaceDE w:val="0"/>
              <w:autoSpaceDN w:val="0"/>
              <w:bidi w:val="0"/>
              <w:adjustRightInd w:val="0"/>
              <w:snapToGrid w:val="0"/>
              <w:spacing w:before="193" w:beforeAutospacing="0" w:after="0" w:afterAutospacing="0" w:line="460" w:lineRule="exact"/>
              <w:ind w:left="0" w:right="0" w:firstLine="764"/>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项目</w:t>
            </w:r>
          </w:p>
        </w:tc>
        <w:tc>
          <w:tcPr>
            <w:tcW w:w="6370" w:type="dxa"/>
            <w:noWrap w:val="0"/>
            <w:vAlign w:val="center"/>
          </w:tcPr>
          <w:p w14:paraId="13F0CC11">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firstLine="244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基本标准</w:t>
            </w:r>
          </w:p>
        </w:tc>
      </w:tr>
      <w:tr w14:paraId="1A4D0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89" w:hRule="atLeast"/>
          <w:jc w:val="center"/>
        </w:trPr>
        <w:tc>
          <w:tcPr>
            <w:tcW w:w="688" w:type="dxa"/>
            <w:noWrap w:val="0"/>
            <w:vAlign w:val="center"/>
          </w:tcPr>
          <w:p w14:paraId="36B4D74F">
            <w:pPr>
              <w:keepNext w:val="0"/>
              <w:keepLines w:val="0"/>
              <w:pageBreakBefore w:val="0"/>
              <w:suppressLineNumbers w:val="0"/>
              <w:kinsoku w:val="0"/>
              <w:wordWrap/>
              <w:overflowPunct/>
              <w:topLinePunct w:val="0"/>
              <w:autoSpaceDE w:val="0"/>
              <w:autoSpaceDN w:val="0"/>
              <w:bidi w:val="0"/>
              <w:adjustRightInd w:val="0"/>
              <w:snapToGrid w:val="0"/>
              <w:spacing w:before="78" w:beforeAutospacing="0" w:after="0" w:afterAutospacing="0" w:line="460" w:lineRule="exact"/>
              <w:ind w:left="0" w:right="0" w:firstLine="30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p>
        </w:tc>
        <w:tc>
          <w:tcPr>
            <w:tcW w:w="1994" w:type="dxa"/>
            <w:noWrap w:val="0"/>
            <w:vAlign w:val="center"/>
          </w:tcPr>
          <w:p w14:paraId="47CC4CFC">
            <w:pPr>
              <w:keepNext w:val="0"/>
              <w:keepLines w:val="0"/>
              <w:pageBreakBefore w:val="0"/>
              <w:suppressLineNumbers w:val="0"/>
              <w:kinsoku w:val="0"/>
              <w:wordWrap/>
              <w:overflowPunct/>
              <w:topLinePunct w:val="0"/>
              <w:autoSpaceDE w:val="0"/>
              <w:autoSpaceDN w:val="0"/>
              <w:bidi w:val="0"/>
              <w:adjustRightInd w:val="0"/>
              <w:snapToGrid w:val="0"/>
              <w:spacing w:before="321" w:beforeAutospacing="0" w:after="0" w:afterAutospacing="0" w:line="460" w:lineRule="exact"/>
              <w:ind w:left="0" w:right="0" w:firstLine="764"/>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景观</w:t>
            </w:r>
          </w:p>
        </w:tc>
        <w:tc>
          <w:tcPr>
            <w:tcW w:w="6370" w:type="dxa"/>
            <w:noWrap w:val="0"/>
            <w:vAlign w:val="center"/>
          </w:tcPr>
          <w:p w14:paraId="52572FFA">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441"/>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植物枝叶分布均匀，疏密合理，无枯枝残花；</w:t>
            </w:r>
          </w:p>
          <w:p w14:paraId="583A32B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573"/>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符合设计要求。</w:t>
            </w:r>
          </w:p>
        </w:tc>
      </w:tr>
      <w:tr w14:paraId="7A46E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03" w:hRule="atLeast"/>
          <w:jc w:val="center"/>
        </w:trPr>
        <w:tc>
          <w:tcPr>
            <w:tcW w:w="688" w:type="dxa"/>
            <w:noWrap w:val="0"/>
            <w:vAlign w:val="center"/>
          </w:tcPr>
          <w:p w14:paraId="269EFC96">
            <w:pPr>
              <w:keepNext w:val="0"/>
              <w:keepLines w:val="0"/>
              <w:pageBreakBefore w:val="0"/>
              <w:suppressLineNumbers w:val="0"/>
              <w:kinsoku w:val="0"/>
              <w:wordWrap/>
              <w:overflowPunct/>
              <w:topLinePunct w:val="0"/>
              <w:autoSpaceDE w:val="0"/>
              <w:autoSpaceDN w:val="0"/>
              <w:bidi w:val="0"/>
              <w:adjustRightInd w:val="0"/>
              <w:snapToGrid w:val="0"/>
              <w:spacing w:before="319" w:beforeAutospacing="0" w:after="0" w:afterAutospacing="0" w:line="460" w:lineRule="exact"/>
              <w:ind w:left="0" w:right="0" w:firstLine="29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2</w:t>
            </w:r>
          </w:p>
        </w:tc>
        <w:tc>
          <w:tcPr>
            <w:tcW w:w="1994" w:type="dxa"/>
            <w:noWrap w:val="0"/>
            <w:vAlign w:val="center"/>
          </w:tcPr>
          <w:p w14:paraId="1EA78AAE">
            <w:pPr>
              <w:keepNext w:val="0"/>
              <w:keepLines w:val="0"/>
              <w:pageBreakBefore w:val="0"/>
              <w:suppressLineNumbers w:val="0"/>
              <w:kinsoku w:val="0"/>
              <w:wordWrap/>
              <w:overflowPunct/>
              <w:topLinePunct w:val="0"/>
              <w:autoSpaceDE w:val="0"/>
              <w:autoSpaceDN w:val="0"/>
              <w:bidi w:val="0"/>
              <w:adjustRightInd w:val="0"/>
              <w:snapToGrid w:val="0"/>
              <w:spacing w:before="279" w:beforeAutospacing="0" w:after="0" w:afterAutospacing="0" w:line="460" w:lineRule="exact"/>
              <w:ind w:left="0" w:right="0" w:firstLine="763"/>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生长</w:t>
            </w:r>
          </w:p>
        </w:tc>
        <w:tc>
          <w:tcPr>
            <w:tcW w:w="6370" w:type="dxa"/>
            <w:noWrap w:val="0"/>
            <w:vAlign w:val="center"/>
          </w:tcPr>
          <w:p w14:paraId="2CAFDE12">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firstLine="115"/>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藤蔓枝叶茂盛，植株生长健壮。</w:t>
            </w:r>
          </w:p>
        </w:tc>
      </w:tr>
      <w:tr w14:paraId="786B8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24" w:hRule="atLeast"/>
          <w:jc w:val="center"/>
        </w:trPr>
        <w:tc>
          <w:tcPr>
            <w:tcW w:w="688" w:type="dxa"/>
            <w:noWrap w:val="0"/>
            <w:vAlign w:val="center"/>
          </w:tcPr>
          <w:p w14:paraId="3D5212B0">
            <w:pPr>
              <w:keepNext w:val="0"/>
              <w:keepLines w:val="0"/>
              <w:pageBreakBefore w:val="0"/>
              <w:suppressLineNumbers w:val="0"/>
              <w:kinsoku w:val="0"/>
              <w:wordWrap/>
              <w:overflowPunct/>
              <w:topLinePunct w:val="0"/>
              <w:autoSpaceDE w:val="0"/>
              <w:autoSpaceDN w:val="0"/>
              <w:bidi w:val="0"/>
              <w:adjustRightInd w:val="0"/>
              <w:snapToGrid w:val="0"/>
              <w:spacing w:before="279" w:beforeAutospacing="0" w:after="0" w:afterAutospacing="0" w:line="460" w:lineRule="exact"/>
              <w:ind w:left="0" w:right="0" w:firstLine="294"/>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3</w:t>
            </w:r>
          </w:p>
        </w:tc>
        <w:tc>
          <w:tcPr>
            <w:tcW w:w="1994" w:type="dxa"/>
            <w:noWrap w:val="0"/>
            <w:vAlign w:val="center"/>
          </w:tcPr>
          <w:p w14:paraId="29707147">
            <w:pPr>
              <w:keepNext w:val="0"/>
              <w:keepLines w:val="0"/>
              <w:pageBreakBefore w:val="0"/>
              <w:suppressLineNumbers w:val="0"/>
              <w:kinsoku w:val="0"/>
              <w:wordWrap/>
              <w:overflowPunct/>
              <w:topLinePunct w:val="0"/>
              <w:autoSpaceDE w:val="0"/>
              <w:autoSpaceDN w:val="0"/>
              <w:bidi w:val="0"/>
              <w:adjustRightInd w:val="0"/>
              <w:snapToGrid w:val="0"/>
              <w:spacing w:before="239" w:beforeAutospacing="0" w:after="0" w:afterAutospacing="0" w:line="460" w:lineRule="exact"/>
              <w:ind w:left="0" w:right="0" w:firstLine="764"/>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设施</w:t>
            </w:r>
          </w:p>
        </w:tc>
        <w:tc>
          <w:tcPr>
            <w:tcW w:w="6370" w:type="dxa"/>
            <w:noWrap w:val="0"/>
            <w:vAlign w:val="center"/>
          </w:tcPr>
          <w:p w14:paraId="4E50F382">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firstLine="115"/>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围护设施完好。</w:t>
            </w:r>
          </w:p>
        </w:tc>
      </w:tr>
      <w:tr w14:paraId="18766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58" w:hRule="atLeast"/>
          <w:jc w:val="center"/>
        </w:trPr>
        <w:tc>
          <w:tcPr>
            <w:tcW w:w="688" w:type="dxa"/>
            <w:noWrap w:val="0"/>
            <w:vAlign w:val="center"/>
          </w:tcPr>
          <w:p w14:paraId="4BB385CF">
            <w:pPr>
              <w:keepNext w:val="0"/>
              <w:keepLines w:val="0"/>
              <w:pageBreakBefore w:val="0"/>
              <w:suppressLineNumbers w:val="0"/>
              <w:kinsoku w:val="0"/>
              <w:wordWrap/>
              <w:overflowPunct/>
              <w:topLinePunct w:val="0"/>
              <w:autoSpaceDE w:val="0"/>
              <w:autoSpaceDN w:val="0"/>
              <w:bidi w:val="0"/>
              <w:adjustRightInd w:val="0"/>
              <w:snapToGrid w:val="0"/>
              <w:spacing w:before="79" w:beforeAutospacing="0" w:after="0" w:afterAutospacing="0" w:line="460" w:lineRule="exact"/>
              <w:ind w:left="0" w:right="0" w:firstLine="288"/>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4</w:t>
            </w:r>
          </w:p>
        </w:tc>
        <w:tc>
          <w:tcPr>
            <w:tcW w:w="1994" w:type="dxa"/>
            <w:noWrap w:val="0"/>
            <w:vAlign w:val="center"/>
          </w:tcPr>
          <w:p w14:paraId="1670E2DD">
            <w:pPr>
              <w:keepNext w:val="0"/>
              <w:keepLines w:val="0"/>
              <w:pageBreakBefore w:val="0"/>
              <w:suppressLineNumbers w:val="0"/>
              <w:kinsoku w:val="0"/>
              <w:wordWrap/>
              <w:overflowPunct/>
              <w:topLinePunct w:val="0"/>
              <w:autoSpaceDE w:val="0"/>
              <w:autoSpaceDN w:val="0"/>
              <w:bidi w:val="0"/>
              <w:adjustRightInd w:val="0"/>
              <w:snapToGrid w:val="0"/>
              <w:spacing w:before="78" w:beforeAutospacing="0" w:after="0" w:afterAutospacing="0" w:line="460" w:lineRule="exact"/>
              <w:ind w:left="0" w:right="0" w:firstLine="28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有害生物控制</w:t>
            </w:r>
          </w:p>
        </w:tc>
        <w:tc>
          <w:tcPr>
            <w:tcW w:w="6370" w:type="dxa"/>
            <w:noWrap w:val="0"/>
            <w:vAlign w:val="center"/>
          </w:tcPr>
          <w:p w14:paraId="707575A9">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firstLine="115"/>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基本无明显有害生物危害状；</w:t>
            </w:r>
          </w:p>
          <w:p w14:paraId="188BEE4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firstLine="115"/>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(2)植物受害率应控制在10%以下；</w:t>
            </w:r>
          </w:p>
          <w:p w14:paraId="1A7F73CC">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firstLine="115"/>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(3)无大型、恶性、缠绕性杂草危害。</w:t>
            </w:r>
            <w:r>
              <w:rPr>
                <w:rFonts w:hint="eastAsia" w:ascii="仿宋" w:hAnsi="仿宋" w:eastAsia="仿宋" w:cs="仿宋"/>
                <w:color w:val="auto"/>
                <w:sz w:val="24"/>
                <w:szCs w:val="24"/>
                <w:highlight w:val="none"/>
                <w:shd w:val="clear" w:color="auto" w:fill="FFFFFE"/>
              </w:rPr>
              <w:cr/>
            </w:r>
          </w:p>
        </w:tc>
      </w:tr>
      <w:tr w14:paraId="2767B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3" w:hRule="atLeast"/>
          <w:jc w:val="center"/>
        </w:trPr>
        <w:tc>
          <w:tcPr>
            <w:tcW w:w="688" w:type="dxa"/>
            <w:noWrap w:val="0"/>
            <w:vAlign w:val="center"/>
          </w:tcPr>
          <w:p w14:paraId="513DE04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460" w:lineRule="exact"/>
              <w:ind w:left="0" w:right="0" w:firstLine="294"/>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5</w:t>
            </w:r>
          </w:p>
        </w:tc>
        <w:tc>
          <w:tcPr>
            <w:tcW w:w="1994" w:type="dxa"/>
            <w:noWrap w:val="0"/>
            <w:vAlign w:val="center"/>
          </w:tcPr>
          <w:p w14:paraId="6D4DB4B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460" w:lineRule="exact"/>
              <w:ind w:left="0" w:right="0" w:firstLine="761"/>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清洁</w:t>
            </w:r>
          </w:p>
        </w:tc>
        <w:tc>
          <w:tcPr>
            <w:tcW w:w="6370" w:type="dxa"/>
            <w:noWrap w:val="0"/>
            <w:vAlign w:val="center"/>
          </w:tcPr>
          <w:p w14:paraId="53FE0B96">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firstLine="115"/>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无垃圾。</w:t>
            </w:r>
          </w:p>
        </w:tc>
      </w:tr>
    </w:tbl>
    <w:p w14:paraId="5091E898">
      <w:pPr>
        <w:pageBreakBefore w:val="0"/>
        <w:wordWrap/>
        <w:overflowPunct/>
        <w:topLinePunct w:val="0"/>
        <w:bidi w:val="0"/>
        <w:spacing w:before="78" w:line="460" w:lineRule="exact"/>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表3.0.8 盆栽植物</w:t>
      </w:r>
    </w:p>
    <w:tbl>
      <w:tblPr>
        <w:tblStyle w:val="6"/>
        <w:tblW w:w="90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32"/>
        <w:gridCol w:w="2122"/>
        <w:gridCol w:w="6218"/>
      </w:tblGrid>
      <w:tr w14:paraId="46AD0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33" w:hRule="atLeast"/>
          <w:jc w:val="center"/>
        </w:trPr>
        <w:tc>
          <w:tcPr>
            <w:tcW w:w="688" w:type="dxa"/>
            <w:noWrap w:val="0"/>
            <w:vAlign w:val="center"/>
          </w:tcPr>
          <w:p w14:paraId="499A0A54">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firstLine="38"/>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序号</w:t>
            </w:r>
          </w:p>
        </w:tc>
        <w:tc>
          <w:tcPr>
            <w:tcW w:w="1994" w:type="dxa"/>
            <w:noWrap w:val="0"/>
            <w:vAlign w:val="center"/>
          </w:tcPr>
          <w:p w14:paraId="7EF82167">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firstLine="764"/>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项目</w:t>
            </w:r>
          </w:p>
        </w:tc>
        <w:tc>
          <w:tcPr>
            <w:tcW w:w="5844" w:type="dxa"/>
            <w:noWrap w:val="0"/>
            <w:vAlign w:val="center"/>
          </w:tcPr>
          <w:p w14:paraId="2C9B1F4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firstLine="244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基本标准</w:t>
            </w:r>
          </w:p>
        </w:tc>
      </w:tr>
      <w:tr w14:paraId="5CE37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87" w:hRule="atLeast"/>
          <w:jc w:val="center"/>
        </w:trPr>
        <w:tc>
          <w:tcPr>
            <w:tcW w:w="688" w:type="dxa"/>
            <w:noWrap w:val="0"/>
            <w:vAlign w:val="center"/>
          </w:tcPr>
          <w:p w14:paraId="0E99760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firstLine="30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p>
        </w:tc>
        <w:tc>
          <w:tcPr>
            <w:tcW w:w="1994" w:type="dxa"/>
            <w:noWrap w:val="0"/>
            <w:vAlign w:val="center"/>
          </w:tcPr>
          <w:p w14:paraId="7AA104F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firstLine="764"/>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景观</w:t>
            </w:r>
          </w:p>
        </w:tc>
        <w:tc>
          <w:tcPr>
            <w:tcW w:w="5844" w:type="dxa"/>
            <w:noWrap w:val="0"/>
            <w:vAlign w:val="center"/>
          </w:tcPr>
          <w:p w14:paraId="6DAD4C1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41"/>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容器完整清洁，容器外形、规格、色彩与植株协调；</w:t>
            </w:r>
          </w:p>
          <w:p w14:paraId="7D5BFC2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41"/>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枝叶生长正常，叶片清洁。</w:t>
            </w:r>
          </w:p>
        </w:tc>
      </w:tr>
      <w:tr w14:paraId="08B5D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03" w:hRule="atLeast"/>
          <w:jc w:val="center"/>
        </w:trPr>
        <w:tc>
          <w:tcPr>
            <w:tcW w:w="688" w:type="dxa"/>
            <w:noWrap w:val="0"/>
            <w:vAlign w:val="center"/>
          </w:tcPr>
          <w:p w14:paraId="4EDAFE7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firstLine="29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2</w:t>
            </w:r>
          </w:p>
        </w:tc>
        <w:tc>
          <w:tcPr>
            <w:tcW w:w="1994" w:type="dxa"/>
            <w:noWrap w:val="0"/>
            <w:vAlign w:val="center"/>
          </w:tcPr>
          <w:p w14:paraId="0F2FBD78">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firstLine="763"/>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生长</w:t>
            </w:r>
          </w:p>
        </w:tc>
        <w:tc>
          <w:tcPr>
            <w:tcW w:w="5844" w:type="dxa"/>
            <w:noWrap w:val="0"/>
            <w:vAlign w:val="center"/>
          </w:tcPr>
          <w:p w14:paraId="3E88C6FB">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113" w:right="108" w:firstLine="1"/>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植株生长正常、健壮、枝叶繁茂、适时开花，无枯枝黄页残花。</w:t>
            </w:r>
          </w:p>
        </w:tc>
      </w:tr>
      <w:tr w14:paraId="0E4AC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24" w:hRule="atLeast"/>
          <w:jc w:val="center"/>
        </w:trPr>
        <w:tc>
          <w:tcPr>
            <w:tcW w:w="688" w:type="dxa"/>
            <w:noWrap w:val="0"/>
            <w:vAlign w:val="center"/>
          </w:tcPr>
          <w:p w14:paraId="33184D4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firstLine="294"/>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3</w:t>
            </w:r>
          </w:p>
        </w:tc>
        <w:tc>
          <w:tcPr>
            <w:tcW w:w="1994" w:type="dxa"/>
            <w:noWrap w:val="0"/>
            <w:vAlign w:val="center"/>
          </w:tcPr>
          <w:p w14:paraId="0DACBE4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firstLine="761"/>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排灌</w:t>
            </w:r>
          </w:p>
        </w:tc>
        <w:tc>
          <w:tcPr>
            <w:tcW w:w="5844" w:type="dxa"/>
            <w:noWrap w:val="0"/>
            <w:vAlign w:val="center"/>
          </w:tcPr>
          <w:p w14:paraId="3469AAB6">
            <w:pPr>
              <w:keepNext w:val="0"/>
              <w:keepLines w:val="0"/>
              <w:pageBreakBefore w:val="0"/>
              <w:suppressLineNumbers w:val="0"/>
              <w:wordWrap/>
              <w:overflowPunct/>
              <w:topLinePunct w:val="0"/>
              <w:bidi w:val="0"/>
              <w:spacing w:before="0" w:beforeAutospacing="0" w:after="0" w:afterAutospacing="0" w:line="460" w:lineRule="exact"/>
              <w:ind w:left="0" w:right="0" w:firstLine="156"/>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(1)排水畅通；</w:t>
            </w:r>
          </w:p>
          <w:p w14:paraId="76D105BE">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firstLine="15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(2)植株不得出现失水萎蔫现象。</w:t>
            </w:r>
          </w:p>
        </w:tc>
      </w:tr>
      <w:tr w14:paraId="14B69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60" w:hRule="atLeast"/>
          <w:jc w:val="center"/>
        </w:trPr>
        <w:tc>
          <w:tcPr>
            <w:tcW w:w="688" w:type="dxa"/>
            <w:noWrap w:val="0"/>
            <w:vAlign w:val="center"/>
          </w:tcPr>
          <w:p w14:paraId="04C0A00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firstLine="288"/>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4</w:t>
            </w:r>
          </w:p>
        </w:tc>
        <w:tc>
          <w:tcPr>
            <w:tcW w:w="1994" w:type="dxa"/>
            <w:noWrap w:val="0"/>
            <w:vAlign w:val="center"/>
          </w:tcPr>
          <w:p w14:paraId="7B7A9CF3">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firstLine="28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有害生物控制</w:t>
            </w:r>
          </w:p>
        </w:tc>
        <w:tc>
          <w:tcPr>
            <w:tcW w:w="5844" w:type="dxa"/>
            <w:noWrap w:val="0"/>
            <w:vAlign w:val="center"/>
          </w:tcPr>
          <w:p w14:paraId="3C41C1FB">
            <w:pPr>
              <w:keepNext w:val="0"/>
              <w:keepLines w:val="0"/>
              <w:pageBreakBefore w:val="0"/>
              <w:suppressLineNumbers w:val="0"/>
              <w:wordWrap/>
              <w:overflowPunct/>
              <w:topLinePunct w:val="0"/>
              <w:bidi w:val="0"/>
              <w:spacing w:before="0" w:beforeAutospacing="0" w:after="0" w:afterAutospacing="0" w:line="460" w:lineRule="exact"/>
              <w:ind w:left="0" w:right="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基本无有害生物危害状；</w:t>
            </w:r>
          </w:p>
          <w:p w14:paraId="317BC10E">
            <w:pPr>
              <w:keepNext w:val="0"/>
              <w:keepLines w:val="0"/>
              <w:pageBreakBefore w:val="0"/>
              <w:suppressLineNumbers w:val="0"/>
              <w:wordWrap/>
              <w:overflowPunct/>
              <w:topLinePunct w:val="0"/>
              <w:bidi w:val="0"/>
              <w:spacing w:before="0" w:beforeAutospacing="0" w:after="0" w:afterAutospacing="0" w:line="460" w:lineRule="exact"/>
              <w:ind w:left="0" w:right="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（2）枝叶受害率控制在3%以下；</w:t>
            </w:r>
          </w:p>
          <w:p w14:paraId="13F22156">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（3）无杂草。</w:t>
            </w:r>
          </w:p>
        </w:tc>
      </w:tr>
      <w:tr w14:paraId="0A784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688" w:type="dxa"/>
            <w:noWrap w:val="0"/>
            <w:vAlign w:val="center"/>
          </w:tcPr>
          <w:p w14:paraId="3E08354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firstLine="294"/>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5</w:t>
            </w:r>
          </w:p>
        </w:tc>
        <w:tc>
          <w:tcPr>
            <w:tcW w:w="1994" w:type="dxa"/>
            <w:noWrap w:val="0"/>
            <w:vAlign w:val="center"/>
          </w:tcPr>
          <w:p w14:paraId="2CD2A225">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firstLine="761"/>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清洁</w:t>
            </w:r>
          </w:p>
        </w:tc>
        <w:tc>
          <w:tcPr>
            <w:tcW w:w="5844" w:type="dxa"/>
            <w:noWrap w:val="0"/>
            <w:vAlign w:val="center"/>
          </w:tcPr>
          <w:p w14:paraId="2D00E040">
            <w:pPr>
              <w:keepNext w:val="0"/>
              <w:keepLines w:val="0"/>
              <w:pageBreakBefore w:val="0"/>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right="0" w:firstLine="115"/>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无垃圾。</w:t>
            </w:r>
          </w:p>
        </w:tc>
      </w:tr>
    </w:tbl>
    <w:p w14:paraId="4C1993F4">
      <w:pPr>
        <w:pageBreakBefore w:val="0"/>
        <w:widowControl/>
        <w:wordWrap/>
        <w:overflowPunct/>
        <w:topLinePunct w:val="0"/>
        <w:bidi w:val="0"/>
        <w:spacing w:line="460" w:lineRule="exact"/>
        <w:jc w:val="left"/>
        <w:rPr>
          <w:rFonts w:hint="eastAsia" w:ascii="仿宋" w:hAnsi="仿宋" w:eastAsia="仿宋" w:cs="仿宋"/>
          <w:b/>
          <w:color w:val="auto"/>
          <w:sz w:val="24"/>
          <w:szCs w:val="24"/>
          <w:highlight w:val="none"/>
        </w:rPr>
      </w:pPr>
    </w:p>
    <w:p w14:paraId="67C31A04">
      <w:pPr>
        <w:pageBreakBefore w:val="0"/>
        <w:wordWrap/>
        <w:overflowPunct/>
        <w:topLinePunct w:val="0"/>
        <w:bidi w:val="0"/>
        <w:spacing w:before="47" w:line="460" w:lineRule="exact"/>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表 3.0.9  草坪、草地</w:t>
      </w:r>
    </w:p>
    <w:tbl>
      <w:tblPr>
        <w:tblStyle w:val="6"/>
        <w:tblW w:w="9072"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34"/>
        <w:gridCol w:w="874"/>
        <w:gridCol w:w="2797"/>
        <w:gridCol w:w="2384"/>
        <w:gridCol w:w="2283"/>
      </w:tblGrid>
      <w:tr w14:paraId="158302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9" w:hRule="atLeast"/>
          <w:jc w:val="center"/>
        </w:trPr>
        <w:tc>
          <w:tcPr>
            <w:tcW w:w="734" w:type="dxa"/>
            <w:vMerge w:val="restart"/>
            <w:tcBorders>
              <w:top w:val="single" w:color="auto" w:sz="4" w:space="0"/>
              <w:left w:val="single" w:color="auto" w:sz="4" w:space="0"/>
              <w:bottom w:val="single" w:color="auto" w:sz="4" w:space="0"/>
              <w:right w:val="single" w:color="000000" w:sz="2" w:space="0"/>
            </w:tcBorders>
            <w:noWrap w:val="0"/>
            <w:vAlign w:val="center"/>
          </w:tcPr>
          <w:p w14:paraId="75C4210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序号</w:t>
            </w:r>
          </w:p>
        </w:tc>
        <w:tc>
          <w:tcPr>
            <w:tcW w:w="874" w:type="dxa"/>
            <w:vMerge w:val="restart"/>
            <w:tcBorders>
              <w:top w:val="single" w:color="auto" w:sz="4" w:space="0"/>
              <w:left w:val="single" w:color="000000" w:sz="2" w:space="0"/>
              <w:bottom w:val="single" w:color="auto" w:sz="4" w:space="0"/>
              <w:right w:val="single" w:color="auto" w:sz="4" w:space="0"/>
            </w:tcBorders>
            <w:noWrap w:val="0"/>
            <w:vAlign w:val="center"/>
          </w:tcPr>
          <w:p w14:paraId="5EF6F17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项目</w:t>
            </w:r>
          </w:p>
          <w:p w14:paraId="65F6246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标准</w:t>
            </w:r>
          </w:p>
          <w:p w14:paraId="2CB4632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级别</w:t>
            </w:r>
          </w:p>
        </w:tc>
        <w:tc>
          <w:tcPr>
            <w:tcW w:w="5181" w:type="dxa"/>
            <w:gridSpan w:val="2"/>
            <w:tcBorders>
              <w:top w:val="single" w:color="000000" w:sz="2" w:space="0"/>
              <w:left w:val="single" w:color="auto" w:sz="4" w:space="0"/>
              <w:bottom w:val="single" w:color="000000" w:sz="2" w:space="0"/>
              <w:right w:val="single" w:color="000000" w:sz="2" w:space="0"/>
            </w:tcBorders>
            <w:noWrap w:val="0"/>
            <w:vAlign w:val="center"/>
          </w:tcPr>
          <w:p w14:paraId="13AA022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草坪</w:t>
            </w:r>
          </w:p>
        </w:tc>
        <w:tc>
          <w:tcPr>
            <w:tcW w:w="2283" w:type="dxa"/>
            <w:tcBorders>
              <w:top w:val="single" w:color="000000" w:sz="2" w:space="0"/>
              <w:left w:val="single" w:color="000000" w:sz="2" w:space="0"/>
              <w:bottom w:val="single" w:color="000000" w:sz="2" w:space="0"/>
              <w:right w:val="single" w:color="000000" w:sz="2" w:space="0"/>
            </w:tcBorders>
            <w:noWrap w:val="0"/>
            <w:vAlign w:val="center"/>
          </w:tcPr>
          <w:p w14:paraId="114A727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草地</w:t>
            </w:r>
          </w:p>
        </w:tc>
      </w:tr>
      <w:tr w14:paraId="1EB135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jc w:val="center"/>
        </w:trPr>
        <w:tc>
          <w:tcPr>
            <w:tcW w:w="734" w:type="dxa"/>
            <w:vMerge w:val="continue"/>
            <w:tcBorders>
              <w:top w:val="single" w:color="auto" w:sz="4" w:space="0"/>
              <w:left w:val="single" w:color="auto" w:sz="4" w:space="0"/>
              <w:bottom w:val="single" w:color="auto" w:sz="4" w:space="0"/>
              <w:right w:val="single" w:color="000000" w:sz="2" w:space="0"/>
            </w:tcBorders>
            <w:noWrap w:val="0"/>
            <w:vAlign w:val="center"/>
          </w:tcPr>
          <w:p w14:paraId="18D6EF0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p>
        </w:tc>
        <w:tc>
          <w:tcPr>
            <w:tcW w:w="874" w:type="dxa"/>
            <w:vMerge w:val="continue"/>
            <w:tcBorders>
              <w:top w:val="single" w:color="auto" w:sz="4" w:space="0"/>
              <w:left w:val="single" w:color="000000" w:sz="2" w:space="0"/>
              <w:bottom w:val="single" w:color="auto" w:sz="4" w:space="0"/>
              <w:right w:val="single" w:color="auto" w:sz="4" w:space="0"/>
            </w:tcBorders>
            <w:noWrap w:val="0"/>
            <w:vAlign w:val="center"/>
          </w:tcPr>
          <w:p w14:paraId="17C8240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p>
        </w:tc>
        <w:tc>
          <w:tcPr>
            <w:tcW w:w="2797" w:type="dxa"/>
            <w:tcBorders>
              <w:top w:val="single" w:color="000000" w:sz="2" w:space="0"/>
              <w:left w:val="single" w:color="auto" w:sz="4" w:space="0"/>
              <w:bottom w:val="single" w:color="000000" w:sz="2" w:space="0"/>
              <w:right w:val="single" w:color="000000" w:sz="2" w:space="0"/>
            </w:tcBorders>
            <w:noWrap w:val="0"/>
            <w:vAlign w:val="center"/>
          </w:tcPr>
          <w:p w14:paraId="0BBC068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基本标准</w:t>
            </w:r>
          </w:p>
        </w:tc>
        <w:tc>
          <w:tcPr>
            <w:tcW w:w="2384" w:type="dxa"/>
            <w:tcBorders>
              <w:top w:val="single" w:color="000000" w:sz="2" w:space="0"/>
              <w:left w:val="single" w:color="000000" w:sz="2" w:space="0"/>
              <w:bottom w:val="single" w:color="000000" w:sz="2" w:space="0"/>
              <w:right w:val="single" w:color="000000" w:sz="2" w:space="0"/>
            </w:tcBorders>
            <w:noWrap w:val="0"/>
            <w:vAlign w:val="center"/>
          </w:tcPr>
          <w:p w14:paraId="41DBCCC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一级</w:t>
            </w:r>
          </w:p>
        </w:tc>
        <w:tc>
          <w:tcPr>
            <w:tcW w:w="2283" w:type="dxa"/>
            <w:tcBorders>
              <w:top w:val="single" w:color="000000" w:sz="2" w:space="0"/>
              <w:left w:val="single" w:color="000000" w:sz="2" w:space="0"/>
              <w:bottom w:val="single" w:color="000000" w:sz="2" w:space="0"/>
              <w:right w:val="single" w:color="000000" w:sz="2" w:space="0"/>
            </w:tcBorders>
            <w:noWrap w:val="0"/>
            <w:vAlign w:val="center"/>
          </w:tcPr>
          <w:p w14:paraId="2740E1E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基本标准</w:t>
            </w:r>
          </w:p>
        </w:tc>
      </w:tr>
      <w:tr w14:paraId="733C59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61" w:hRule="atLeast"/>
          <w:jc w:val="center"/>
        </w:trPr>
        <w:tc>
          <w:tcPr>
            <w:tcW w:w="734" w:type="dxa"/>
            <w:tcBorders>
              <w:top w:val="single" w:color="auto" w:sz="4" w:space="0"/>
              <w:left w:val="single" w:color="000000" w:sz="2" w:space="0"/>
              <w:bottom w:val="single" w:color="000000" w:sz="2" w:space="0"/>
              <w:right w:val="single" w:color="000000" w:sz="2" w:space="0"/>
            </w:tcBorders>
            <w:noWrap w:val="0"/>
            <w:vAlign w:val="center"/>
          </w:tcPr>
          <w:p w14:paraId="212972C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p>
        </w:tc>
        <w:tc>
          <w:tcPr>
            <w:tcW w:w="874" w:type="dxa"/>
            <w:tcBorders>
              <w:top w:val="single" w:color="auto" w:sz="4" w:space="0"/>
              <w:left w:val="single" w:color="000000" w:sz="2" w:space="0"/>
              <w:bottom w:val="single" w:color="000000" w:sz="2" w:space="0"/>
              <w:right w:val="single" w:color="000000" w:sz="2" w:space="0"/>
            </w:tcBorders>
            <w:noWrap w:val="0"/>
            <w:vAlign w:val="center"/>
          </w:tcPr>
          <w:p w14:paraId="2FB613F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景观</w:t>
            </w:r>
          </w:p>
        </w:tc>
        <w:tc>
          <w:tcPr>
            <w:tcW w:w="2797" w:type="dxa"/>
            <w:tcBorders>
              <w:top w:val="single" w:color="000000" w:sz="2" w:space="0"/>
              <w:left w:val="single" w:color="000000" w:sz="2" w:space="0"/>
              <w:bottom w:val="single" w:color="000000" w:sz="2" w:space="0"/>
              <w:right w:val="single" w:color="000000" w:sz="2" w:space="0"/>
            </w:tcBorders>
            <w:noWrap w:val="0"/>
            <w:vAlign w:val="center"/>
          </w:tcPr>
          <w:p w14:paraId="512FD86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(1)草坪基本纯；(2)成坪高度冷季型为7-8cm，暖季型5-6cm，草坪面貌大道基本平整；(3)修剪后无残留草屑堆，剪口无明显撕裂现象。</w:t>
            </w:r>
          </w:p>
        </w:tc>
        <w:tc>
          <w:tcPr>
            <w:tcW w:w="2384" w:type="dxa"/>
            <w:tcBorders>
              <w:top w:val="single" w:color="000000" w:sz="2" w:space="0"/>
              <w:left w:val="single" w:color="000000" w:sz="2" w:space="0"/>
              <w:bottom w:val="single" w:color="000000" w:sz="2" w:space="0"/>
              <w:right w:val="single" w:color="000000" w:sz="2" w:space="0"/>
            </w:tcBorders>
            <w:noWrap w:val="0"/>
            <w:vAlign w:val="center"/>
          </w:tcPr>
          <w:p w14:paraId="7909083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(1)草种纯，色泽均匀；(2)成坪高度冷季型为6-7cm，暖季型为4-5cm，草坪面貌大道平坦整洁；(3)修剪后无残留草屑，剪口无撕裂现象。</w:t>
            </w:r>
          </w:p>
        </w:tc>
        <w:tc>
          <w:tcPr>
            <w:tcW w:w="2283" w:type="dxa"/>
            <w:tcBorders>
              <w:top w:val="single" w:color="000000" w:sz="2" w:space="0"/>
              <w:left w:val="single" w:color="000000" w:sz="2" w:space="0"/>
              <w:bottom w:val="single" w:color="000000" w:sz="2" w:space="0"/>
              <w:right w:val="single" w:color="000000" w:sz="2" w:space="0"/>
            </w:tcBorders>
            <w:noWrap w:val="0"/>
            <w:vAlign w:val="center"/>
          </w:tcPr>
          <w:p w14:paraId="7DF91B0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成坪高度均为</w:t>
            </w:r>
          </w:p>
          <w:p w14:paraId="4E1E3CC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10-15cm或自然</w:t>
            </w:r>
          </w:p>
          <w:p w14:paraId="4194883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高度。</w:t>
            </w:r>
          </w:p>
        </w:tc>
      </w:tr>
      <w:tr w14:paraId="4AB9ED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734" w:type="dxa"/>
            <w:tcBorders>
              <w:top w:val="single" w:color="000000" w:sz="2" w:space="0"/>
              <w:left w:val="single" w:color="000000" w:sz="2" w:space="0"/>
              <w:bottom w:val="single" w:color="000000" w:sz="2" w:space="0"/>
              <w:right w:val="single" w:color="000000" w:sz="2" w:space="0"/>
            </w:tcBorders>
            <w:noWrap w:val="0"/>
            <w:vAlign w:val="center"/>
          </w:tcPr>
          <w:p w14:paraId="10A0E98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p>
        </w:tc>
        <w:tc>
          <w:tcPr>
            <w:tcW w:w="874" w:type="dxa"/>
            <w:tcBorders>
              <w:top w:val="single" w:color="000000" w:sz="2" w:space="0"/>
              <w:left w:val="single" w:color="000000" w:sz="2" w:space="0"/>
              <w:bottom w:val="single" w:color="000000" w:sz="2" w:space="0"/>
              <w:right w:val="single" w:color="000000" w:sz="2" w:space="0"/>
            </w:tcBorders>
            <w:noWrap w:val="0"/>
            <w:vAlign w:val="center"/>
          </w:tcPr>
          <w:p w14:paraId="53CF937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生长</w:t>
            </w:r>
          </w:p>
        </w:tc>
        <w:tc>
          <w:tcPr>
            <w:tcW w:w="2797" w:type="dxa"/>
            <w:tcBorders>
              <w:top w:val="single" w:color="000000" w:sz="2" w:space="0"/>
              <w:left w:val="single" w:color="000000" w:sz="2" w:space="0"/>
              <w:bottom w:val="single" w:color="000000" w:sz="2" w:space="0"/>
              <w:right w:val="single" w:color="000000" w:sz="2" w:space="0"/>
            </w:tcBorders>
            <w:noWrap w:val="0"/>
            <w:vAlign w:val="center"/>
          </w:tcPr>
          <w:p w14:paraId="0312DDD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(1)生长良好；</w:t>
            </w:r>
          </w:p>
          <w:p w14:paraId="30FEAEB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(2)覆盖率不小于90%；</w:t>
            </w:r>
          </w:p>
          <w:p w14:paraId="626D53B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(3)无大于0.5㎡集中空秃。</w:t>
            </w:r>
          </w:p>
        </w:tc>
        <w:tc>
          <w:tcPr>
            <w:tcW w:w="2384" w:type="dxa"/>
            <w:tcBorders>
              <w:top w:val="single" w:color="000000" w:sz="2" w:space="0"/>
              <w:left w:val="single" w:color="000000" w:sz="2" w:space="0"/>
              <w:bottom w:val="single" w:color="000000" w:sz="2" w:space="0"/>
              <w:right w:val="single" w:color="000000" w:sz="2" w:space="0"/>
            </w:tcBorders>
            <w:noWrap w:val="0"/>
            <w:vAlign w:val="center"/>
          </w:tcPr>
          <w:p w14:paraId="517871C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(1)生长茂盛；</w:t>
            </w:r>
          </w:p>
          <w:p w14:paraId="2CFDFED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(2)覆盖率不小于95%;</w:t>
            </w:r>
          </w:p>
          <w:p w14:paraId="7FC5BDD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(3)无空秃</w:t>
            </w:r>
          </w:p>
        </w:tc>
        <w:tc>
          <w:tcPr>
            <w:tcW w:w="2283" w:type="dxa"/>
            <w:tcBorders>
              <w:top w:val="single" w:color="000000" w:sz="2" w:space="0"/>
              <w:left w:val="single" w:color="000000" w:sz="2" w:space="0"/>
              <w:bottom w:val="single" w:color="000000" w:sz="2" w:space="0"/>
              <w:right w:val="single" w:color="000000" w:sz="2" w:space="0"/>
            </w:tcBorders>
            <w:noWrap w:val="0"/>
            <w:vAlign w:val="center"/>
          </w:tcPr>
          <w:p w14:paraId="585575D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(1)生长良好；</w:t>
            </w:r>
          </w:p>
          <w:p w14:paraId="23DEEA1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(2)覆盖率不小于80%;</w:t>
            </w:r>
          </w:p>
          <w:p w14:paraId="3D8432F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(3)无大于0.5㎡以上的集中空秃。</w:t>
            </w:r>
          </w:p>
        </w:tc>
      </w:tr>
      <w:tr w14:paraId="06676F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7" w:hRule="atLeast"/>
          <w:jc w:val="center"/>
        </w:trPr>
        <w:tc>
          <w:tcPr>
            <w:tcW w:w="734" w:type="dxa"/>
            <w:tcBorders>
              <w:top w:val="single" w:color="000000" w:sz="2" w:space="0"/>
              <w:left w:val="single" w:color="000000" w:sz="2" w:space="0"/>
              <w:bottom w:val="single" w:color="000000" w:sz="2" w:space="0"/>
              <w:right w:val="single" w:color="000000" w:sz="2" w:space="0"/>
            </w:tcBorders>
            <w:noWrap w:val="0"/>
            <w:vAlign w:val="center"/>
          </w:tcPr>
          <w:p w14:paraId="1EEA458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5"/>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p>
        </w:tc>
        <w:tc>
          <w:tcPr>
            <w:tcW w:w="874" w:type="dxa"/>
            <w:tcBorders>
              <w:top w:val="single" w:color="000000" w:sz="2" w:space="0"/>
              <w:left w:val="single" w:color="000000" w:sz="2" w:space="0"/>
              <w:bottom w:val="single" w:color="000000" w:sz="2" w:space="0"/>
              <w:right w:val="single" w:color="000000" w:sz="2" w:space="0"/>
            </w:tcBorders>
            <w:noWrap w:val="0"/>
            <w:vAlign w:val="center"/>
          </w:tcPr>
          <w:p w14:paraId="0ACD6FA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切边</w:t>
            </w:r>
          </w:p>
        </w:tc>
        <w:tc>
          <w:tcPr>
            <w:tcW w:w="2797" w:type="dxa"/>
            <w:tcBorders>
              <w:top w:val="single" w:color="000000" w:sz="2" w:space="0"/>
              <w:left w:val="single" w:color="000000" w:sz="2" w:space="0"/>
              <w:bottom w:val="single" w:color="000000" w:sz="2" w:space="0"/>
              <w:right w:val="single" w:color="000000" w:sz="2" w:space="0"/>
            </w:tcBorders>
            <w:noWrap w:val="0"/>
            <w:vAlign w:val="center"/>
          </w:tcPr>
          <w:p w14:paraId="4DE2FC7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切边边缘线明显。</w:t>
            </w:r>
          </w:p>
        </w:tc>
        <w:tc>
          <w:tcPr>
            <w:tcW w:w="2384" w:type="dxa"/>
            <w:tcBorders>
              <w:top w:val="single" w:color="000000" w:sz="2" w:space="0"/>
              <w:left w:val="single" w:color="000000" w:sz="2" w:space="0"/>
              <w:bottom w:val="single" w:color="000000" w:sz="2" w:space="0"/>
              <w:right w:val="single" w:color="000000" w:sz="2" w:space="0"/>
            </w:tcBorders>
            <w:noWrap w:val="0"/>
            <w:vAlign w:val="center"/>
          </w:tcPr>
          <w:p w14:paraId="1CC2B6A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切边边缘线清洗，切边宽边不大于15cm。</w:t>
            </w:r>
          </w:p>
        </w:tc>
        <w:tc>
          <w:tcPr>
            <w:tcW w:w="2283" w:type="dxa"/>
            <w:tcBorders>
              <w:top w:val="single" w:color="000000" w:sz="2" w:space="0"/>
              <w:left w:val="single" w:color="000000" w:sz="2" w:space="0"/>
              <w:bottom w:val="single" w:color="000000" w:sz="2" w:space="0"/>
              <w:right w:val="single" w:color="000000" w:sz="2" w:space="0"/>
            </w:tcBorders>
            <w:noWrap w:val="0"/>
            <w:vAlign w:val="center"/>
          </w:tcPr>
          <w:p w14:paraId="5007F93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p>
        </w:tc>
      </w:tr>
      <w:tr w14:paraId="459828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9" w:hRule="atLeast"/>
          <w:jc w:val="center"/>
        </w:trPr>
        <w:tc>
          <w:tcPr>
            <w:tcW w:w="734" w:type="dxa"/>
            <w:tcBorders>
              <w:top w:val="single" w:color="000000" w:sz="2" w:space="0"/>
              <w:left w:val="single" w:color="000000" w:sz="2" w:space="0"/>
              <w:bottom w:val="single" w:color="000000" w:sz="2" w:space="0"/>
              <w:right w:val="single" w:color="000000" w:sz="2" w:space="0"/>
            </w:tcBorders>
            <w:noWrap w:val="0"/>
            <w:vAlign w:val="center"/>
          </w:tcPr>
          <w:p w14:paraId="46D0526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w:t>
            </w:r>
          </w:p>
        </w:tc>
        <w:tc>
          <w:tcPr>
            <w:tcW w:w="874" w:type="dxa"/>
            <w:tcBorders>
              <w:top w:val="single" w:color="000000" w:sz="2" w:space="0"/>
              <w:left w:val="single" w:color="000000" w:sz="2" w:space="0"/>
              <w:bottom w:val="single" w:color="000000" w:sz="2" w:space="0"/>
              <w:right w:val="single" w:color="000000" w:sz="2" w:space="0"/>
            </w:tcBorders>
            <w:noWrap w:val="0"/>
            <w:vAlign w:val="center"/>
          </w:tcPr>
          <w:p w14:paraId="451FA0F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设施</w:t>
            </w:r>
          </w:p>
        </w:tc>
        <w:tc>
          <w:tcPr>
            <w:tcW w:w="2797" w:type="dxa"/>
            <w:tcBorders>
              <w:top w:val="single" w:color="000000" w:sz="2" w:space="0"/>
              <w:left w:val="single" w:color="000000" w:sz="2" w:space="0"/>
              <w:bottom w:val="single" w:color="000000" w:sz="2" w:space="0"/>
              <w:right w:val="single" w:color="000000" w:sz="2" w:space="0"/>
            </w:tcBorders>
            <w:noWrap w:val="0"/>
            <w:vAlign w:val="center"/>
          </w:tcPr>
          <w:p w14:paraId="2BC9359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护栏完好无损。</w:t>
            </w:r>
          </w:p>
        </w:tc>
        <w:tc>
          <w:tcPr>
            <w:tcW w:w="2384" w:type="dxa"/>
            <w:tcBorders>
              <w:top w:val="single" w:color="000000" w:sz="2" w:space="0"/>
              <w:left w:val="single" w:color="000000" w:sz="2" w:space="0"/>
              <w:bottom w:val="single" w:color="000000" w:sz="2" w:space="0"/>
              <w:right w:val="single" w:color="000000" w:sz="2" w:space="0"/>
            </w:tcBorders>
            <w:noWrap w:val="0"/>
            <w:vAlign w:val="center"/>
          </w:tcPr>
          <w:p w14:paraId="104CE81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护栏完好无损。</w:t>
            </w:r>
          </w:p>
        </w:tc>
        <w:tc>
          <w:tcPr>
            <w:tcW w:w="2283" w:type="dxa"/>
            <w:tcBorders>
              <w:top w:val="single" w:color="000000" w:sz="2" w:space="0"/>
              <w:left w:val="single" w:color="000000" w:sz="2" w:space="0"/>
              <w:bottom w:val="single" w:color="000000" w:sz="2" w:space="0"/>
              <w:right w:val="single" w:color="000000" w:sz="2" w:space="0"/>
            </w:tcBorders>
            <w:noWrap w:val="0"/>
            <w:vAlign w:val="center"/>
          </w:tcPr>
          <w:p w14:paraId="58E1755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护栏完好无损。</w:t>
            </w:r>
          </w:p>
        </w:tc>
      </w:tr>
      <w:tr w14:paraId="2C9EE9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45" w:hRule="atLeast"/>
          <w:jc w:val="center"/>
        </w:trPr>
        <w:tc>
          <w:tcPr>
            <w:tcW w:w="734" w:type="dxa"/>
            <w:tcBorders>
              <w:top w:val="single" w:color="000000" w:sz="2" w:space="0"/>
              <w:left w:val="single" w:color="000000" w:sz="2" w:space="0"/>
              <w:bottom w:val="single" w:color="000000" w:sz="2" w:space="0"/>
              <w:right w:val="single" w:color="000000" w:sz="2" w:space="0"/>
            </w:tcBorders>
            <w:noWrap w:val="0"/>
            <w:vAlign w:val="center"/>
          </w:tcPr>
          <w:p w14:paraId="58889D0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5</w:t>
            </w:r>
          </w:p>
        </w:tc>
        <w:tc>
          <w:tcPr>
            <w:tcW w:w="874" w:type="dxa"/>
            <w:tcBorders>
              <w:top w:val="single" w:color="000000" w:sz="2" w:space="0"/>
              <w:left w:val="single" w:color="000000" w:sz="2" w:space="0"/>
              <w:bottom w:val="single" w:color="000000" w:sz="2" w:space="0"/>
              <w:right w:val="single" w:color="000000" w:sz="2" w:space="0"/>
            </w:tcBorders>
            <w:noWrap w:val="0"/>
            <w:vAlign w:val="center"/>
          </w:tcPr>
          <w:p w14:paraId="7C9E652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排灌</w:t>
            </w:r>
          </w:p>
        </w:tc>
        <w:tc>
          <w:tcPr>
            <w:tcW w:w="2797" w:type="dxa"/>
            <w:tcBorders>
              <w:top w:val="single" w:color="000000" w:sz="2" w:space="0"/>
              <w:left w:val="single" w:color="000000" w:sz="2" w:space="0"/>
              <w:bottom w:val="single" w:color="000000" w:sz="2" w:space="0"/>
              <w:right w:val="single" w:color="000000" w:sz="2" w:space="0"/>
            </w:tcBorders>
            <w:noWrap w:val="0"/>
            <w:vAlign w:val="center"/>
          </w:tcPr>
          <w:p w14:paraId="4D82AAC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(1)有良好的排灌设施，自然排水通畅，雨后4h内积水必须排完。无积水坑；</w:t>
            </w:r>
          </w:p>
          <w:p w14:paraId="2B40DD9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(2)植株不得处现失水萎蔫现象。</w:t>
            </w:r>
          </w:p>
        </w:tc>
        <w:tc>
          <w:tcPr>
            <w:tcW w:w="2384" w:type="dxa"/>
            <w:tcBorders>
              <w:top w:val="single" w:color="000000" w:sz="2" w:space="0"/>
              <w:left w:val="single" w:color="000000" w:sz="2" w:space="0"/>
              <w:bottom w:val="single" w:color="000000" w:sz="2" w:space="0"/>
              <w:right w:val="single" w:color="000000" w:sz="2" w:space="0"/>
            </w:tcBorders>
            <w:noWrap w:val="0"/>
            <w:vAlign w:val="center"/>
          </w:tcPr>
          <w:p w14:paraId="7E51B6E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(1)排灌系统完好无损，自然排水通畅，雨后1h内积水必须排完；</w:t>
            </w:r>
          </w:p>
          <w:p w14:paraId="0463448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(2)植株不得出现失水萎蔫现象。</w:t>
            </w:r>
          </w:p>
        </w:tc>
        <w:tc>
          <w:tcPr>
            <w:tcW w:w="2283" w:type="dxa"/>
            <w:tcBorders>
              <w:top w:val="single" w:color="000000" w:sz="2" w:space="0"/>
              <w:left w:val="single" w:color="000000" w:sz="2" w:space="0"/>
              <w:bottom w:val="single" w:color="000000" w:sz="2" w:space="0"/>
              <w:right w:val="single" w:color="000000" w:sz="2" w:space="0"/>
            </w:tcBorders>
            <w:noWrap w:val="0"/>
            <w:vAlign w:val="center"/>
          </w:tcPr>
          <w:p w14:paraId="6DCFB37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(1)排灌系统基本通畅；雨后8h内积水必须排完，无明显积水坑；</w:t>
            </w:r>
          </w:p>
          <w:p w14:paraId="64116A5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(2)植株不得出现失水萎蔫现象。</w:t>
            </w:r>
          </w:p>
        </w:tc>
      </w:tr>
      <w:tr w14:paraId="0D95D7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95" w:hRule="atLeast"/>
          <w:jc w:val="center"/>
        </w:trPr>
        <w:tc>
          <w:tcPr>
            <w:tcW w:w="734" w:type="dxa"/>
            <w:tcBorders>
              <w:top w:val="single" w:color="000000" w:sz="2" w:space="0"/>
              <w:left w:val="single" w:color="000000" w:sz="2" w:space="0"/>
              <w:bottom w:val="single" w:color="000000" w:sz="2" w:space="0"/>
              <w:right w:val="single" w:color="000000" w:sz="2" w:space="0"/>
            </w:tcBorders>
            <w:noWrap w:val="0"/>
            <w:vAlign w:val="center"/>
          </w:tcPr>
          <w:p w14:paraId="7C7D042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6</w:t>
            </w:r>
          </w:p>
        </w:tc>
        <w:tc>
          <w:tcPr>
            <w:tcW w:w="874" w:type="dxa"/>
            <w:tcBorders>
              <w:top w:val="single" w:color="000000" w:sz="2" w:space="0"/>
              <w:left w:val="single" w:color="000000" w:sz="2" w:space="0"/>
              <w:bottom w:val="single" w:color="000000" w:sz="2" w:space="0"/>
              <w:right w:val="single" w:color="000000" w:sz="2" w:space="0"/>
            </w:tcBorders>
            <w:noWrap w:val="0"/>
            <w:vAlign w:val="center"/>
          </w:tcPr>
          <w:p w14:paraId="449EE01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有害生物控制</w:t>
            </w:r>
          </w:p>
        </w:tc>
        <w:tc>
          <w:tcPr>
            <w:tcW w:w="2797" w:type="dxa"/>
            <w:tcBorders>
              <w:top w:val="single" w:color="000000" w:sz="2" w:space="0"/>
              <w:left w:val="single" w:color="000000" w:sz="2" w:space="0"/>
              <w:bottom w:val="single" w:color="000000" w:sz="2" w:space="0"/>
              <w:right w:val="single" w:color="000000" w:sz="2" w:space="0"/>
            </w:tcBorders>
            <w:noWrap w:val="0"/>
            <w:vAlign w:val="center"/>
          </w:tcPr>
          <w:p w14:paraId="27AD2D8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(1)无明显有害生物危害状；</w:t>
            </w:r>
          </w:p>
          <w:p w14:paraId="5A88C54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(2)草坪草受害率控制在10%以下，杂草不得超过10%;</w:t>
            </w:r>
          </w:p>
          <w:p w14:paraId="142C085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(3)无大型、恶性缠绕性杂草，无明显影响景观面貌的杂草。</w:t>
            </w:r>
          </w:p>
        </w:tc>
        <w:tc>
          <w:tcPr>
            <w:tcW w:w="2384" w:type="dxa"/>
            <w:tcBorders>
              <w:top w:val="single" w:color="000000" w:sz="2" w:space="0"/>
              <w:left w:val="single" w:color="000000" w:sz="2" w:space="0"/>
              <w:bottom w:val="single" w:color="000000" w:sz="2" w:space="0"/>
              <w:right w:val="single" w:color="000000" w:sz="2" w:space="0"/>
            </w:tcBorders>
            <w:noWrap w:val="0"/>
            <w:vAlign w:val="center"/>
          </w:tcPr>
          <w:p w14:paraId="5CBD446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(1)基本无有害生物危害状；</w:t>
            </w:r>
          </w:p>
          <w:p w14:paraId="2E003AF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(2)草坪草受害率控制在5%以下；</w:t>
            </w:r>
          </w:p>
          <w:p w14:paraId="14F558B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(3)基本无杂草</w:t>
            </w:r>
          </w:p>
        </w:tc>
        <w:tc>
          <w:tcPr>
            <w:tcW w:w="2283" w:type="dxa"/>
            <w:tcBorders>
              <w:top w:val="single" w:color="000000" w:sz="2" w:space="0"/>
              <w:left w:val="single" w:color="000000" w:sz="2" w:space="0"/>
              <w:bottom w:val="single" w:color="000000" w:sz="2" w:space="0"/>
              <w:right w:val="single" w:color="000000" w:sz="2" w:space="0"/>
            </w:tcBorders>
            <w:noWrap w:val="0"/>
            <w:vAlign w:val="center"/>
          </w:tcPr>
          <w:p w14:paraId="3AF066F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(1)无严重有害生物危害状；(2)植株受害率控制在20%以下；(3)无大型、恶性、缠绕性杂草；无明显影响景观面貌的杂草。</w:t>
            </w:r>
          </w:p>
        </w:tc>
      </w:tr>
      <w:tr w14:paraId="788738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4" w:hRule="atLeast"/>
          <w:jc w:val="center"/>
        </w:trPr>
        <w:tc>
          <w:tcPr>
            <w:tcW w:w="734" w:type="dxa"/>
            <w:tcBorders>
              <w:top w:val="single" w:color="000000" w:sz="2" w:space="0"/>
              <w:left w:val="single" w:color="000000" w:sz="2" w:space="0"/>
              <w:bottom w:val="single" w:color="000000" w:sz="2" w:space="0"/>
              <w:right w:val="single" w:color="000000" w:sz="2" w:space="0"/>
            </w:tcBorders>
            <w:noWrap w:val="0"/>
            <w:vAlign w:val="center"/>
          </w:tcPr>
          <w:p w14:paraId="0E759EC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7</w:t>
            </w:r>
          </w:p>
        </w:tc>
        <w:tc>
          <w:tcPr>
            <w:tcW w:w="874" w:type="dxa"/>
            <w:tcBorders>
              <w:top w:val="single" w:color="000000" w:sz="2" w:space="0"/>
              <w:left w:val="single" w:color="000000" w:sz="2" w:space="0"/>
              <w:bottom w:val="single" w:color="000000" w:sz="2" w:space="0"/>
              <w:right w:val="single" w:color="000000" w:sz="2" w:space="0"/>
            </w:tcBorders>
            <w:noWrap w:val="0"/>
            <w:vAlign w:val="center"/>
          </w:tcPr>
          <w:p w14:paraId="6253DCC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清洁</w:t>
            </w:r>
          </w:p>
        </w:tc>
        <w:tc>
          <w:tcPr>
            <w:tcW w:w="2797" w:type="dxa"/>
            <w:tcBorders>
              <w:top w:val="single" w:color="000000" w:sz="2" w:space="0"/>
              <w:left w:val="single" w:color="000000" w:sz="2" w:space="0"/>
              <w:bottom w:val="single" w:color="000000" w:sz="2" w:space="0"/>
              <w:right w:val="single" w:color="000000" w:sz="2" w:space="0"/>
            </w:tcBorders>
            <w:noWrap w:val="0"/>
            <w:vAlign w:val="center"/>
          </w:tcPr>
          <w:p w14:paraId="5F7753A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无垃圾</w:t>
            </w:r>
          </w:p>
        </w:tc>
        <w:tc>
          <w:tcPr>
            <w:tcW w:w="2384" w:type="dxa"/>
            <w:tcBorders>
              <w:top w:val="single" w:color="000000" w:sz="2" w:space="0"/>
              <w:left w:val="single" w:color="000000" w:sz="2" w:space="0"/>
              <w:bottom w:val="single" w:color="000000" w:sz="2" w:space="0"/>
              <w:right w:val="single" w:color="000000" w:sz="2" w:space="0"/>
            </w:tcBorders>
            <w:noWrap w:val="0"/>
            <w:vAlign w:val="center"/>
          </w:tcPr>
          <w:p w14:paraId="64B8ECD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无垃圾</w:t>
            </w:r>
          </w:p>
        </w:tc>
        <w:tc>
          <w:tcPr>
            <w:tcW w:w="2283" w:type="dxa"/>
            <w:tcBorders>
              <w:top w:val="single" w:color="000000" w:sz="2" w:space="0"/>
              <w:left w:val="single" w:color="000000" w:sz="2" w:space="0"/>
              <w:bottom w:val="single" w:color="000000" w:sz="2" w:space="0"/>
              <w:right w:val="single" w:color="000000" w:sz="2" w:space="0"/>
            </w:tcBorders>
            <w:noWrap w:val="0"/>
            <w:vAlign w:val="center"/>
          </w:tcPr>
          <w:p w14:paraId="3FACC56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无垃圾</w:t>
            </w:r>
          </w:p>
        </w:tc>
      </w:tr>
    </w:tbl>
    <w:p w14:paraId="4D88413A">
      <w:pPr>
        <w:pageBreakBefore w:val="0"/>
        <w:widowControl/>
        <w:wordWrap/>
        <w:overflowPunct/>
        <w:topLinePunct w:val="0"/>
        <w:bidi w:val="0"/>
        <w:spacing w:line="460" w:lineRule="exact"/>
        <w:jc w:val="left"/>
        <w:rPr>
          <w:rFonts w:hint="eastAsia" w:ascii="仿宋" w:hAnsi="仿宋" w:eastAsia="仿宋" w:cs="仿宋"/>
          <w:b/>
          <w:color w:val="auto"/>
          <w:sz w:val="24"/>
          <w:szCs w:val="24"/>
          <w:highlight w:val="none"/>
        </w:rPr>
      </w:pPr>
    </w:p>
    <w:p w14:paraId="0070D65F">
      <w:pPr>
        <w:pageBreakBefore w:val="0"/>
        <w:kinsoku w:val="0"/>
        <w:wordWrap/>
        <w:overflowPunct/>
        <w:topLinePunct w:val="0"/>
        <w:autoSpaceDE w:val="0"/>
        <w:autoSpaceDN w:val="0"/>
        <w:bidi w:val="0"/>
        <w:adjustRightInd w:val="0"/>
        <w:snapToGrid w:val="0"/>
        <w:spacing w:line="460" w:lineRule="exact"/>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表 3.0.10  地被植物</w:t>
      </w:r>
    </w:p>
    <w:tbl>
      <w:tblPr>
        <w:tblStyle w:val="6"/>
        <w:tblW w:w="90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738"/>
        <w:gridCol w:w="805"/>
        <w:gridCol w:w="2653"/>
        <w:gridCol w:w="1668"/>
        <w:gridCol w:w="1534"/>
        <w:gridCol w:w="1615"/>
      </w:tblGrid>
      <w:tr w14:paraId="3115C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8" w:hRule="atLeast"/>
          <w:jc w:val="center"/>
        </w:trPr>
        <w:tc>
          <w:tcPr>
            <w:tcW w:w="738" w:type="dxa"/>
            <w:vMerge w:val="restart"/>
            <w:noWrap w:val="0"/>
            <w:vAlign w:val="center"/>
          </w:tcPr>
          <w:p w14:paraId="53110550">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序号</w:t>
            </w:r>
          </w:p>
        </w:tc>
        <w:tc>
          <w:tcPr>
            <w:tcW w:w="805" w:type="dxa"/>
            <w:vMerge w:val="restart"/>
            <w:noWrap w:val="0"/>
            <w:vAlign w:val="center"/>
          </w:tcPr>
          <w:p w14:paraId="0ADA9863">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项目标准级别</w:t>
            </w:r>
          </w:p>
        </w:tc>
        <w:tc>
          <w:tcPr>
            <w:tcW w:w="4321" w:type="dxa"/>
            <w:gridSpan w:val="2"/>
            <w:noWrap w:val="0"/>
            <w:vAlign w:val="center"/>
          </w:tcPr>
          <w:p w14:paraId="74F70E20">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单植地被</w:t>
            </w:r>
          </w:p>
        </w:tc>
        <w:tc>
          <w:tcPr>
            <w:tcW w:w="3149" w:type="dxa"/>
            <w:gridSpan w:val="2"/>
            <w:noWrap w:val="0"/>
            <w:vAlign w:val="center"/>
          </w:tcPr>
          <w:p w14:paraId="13A984BB">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混植地被</w:t>
            </w:r>
          </w:p>
        </w:tc>
      </w:tr>
      <w:tr w14:paraId="12A75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84" w:hRule="atLeast"/>
          <w:jc w:val="center"/>
        </w:trPr>
        <w:tc>
          <w:tcPr>
            <w:tcW w:w="738" w:type="dxa"/>
            <w:vMerge w:val="continue"/>
            <w:noWrap w:val="0"/>
            <w:vAlign w:val="center"/>
          </w:tcPr>
          <w:p w14:paraId="45BC8D4D">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p>
        </w:tc>
        <w:tc>
          <w:tcPr>
            <w:tcW w:w="805" w:type="dxa"/>
            <w:vMerge w:val="continue"/>
            <w:noWrap w:val="0"/>
            <w:vAlign w:val="center"/>
          </w:tcPr>
          <w:p w14:paraId="0A103E28">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p>
        </w:tc>
        <w:tc>
          <w:tcPr>
            <w:tcW w:w="2653" w:type="dxa"/>
            <w:noWrap w:val="0"/>
            <w:vAlign w:val="center"/>
          </w:tcPr>
          <w:p w14:paraId="45CD962E">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基本标准</w:t>
            </w:r>
          </w:p>
        </w:tc>
        <w:tc>
          <w:tcPr>
            <w:tcW w:w="1668" w:type="dxa"/>
            <w:noWrap w:val="0"/>
            <w:vAlign w:val="center"/>
          </w:tcPr>
          <w:p w14:paraId="56CAECB6">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一级</w:t>
            </w:r>
          </w:p>
        </w:tc>
        <w:tc>
          <w:tcPr>
            <w:tcW w:w="1534" w:type="dxa"/>
            <w:noWrap w:val="0"/>
            <w:vAlign w:val="center"/>
          </w:tcPr>
          <w:p w14:paraId="56DF449B">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基本标准</w:t>
            </w:r>
          </w:p>
        </w:tc>
        <w:tc>
          <w:tcPr>
            <w:tcW w:w="1615" w:type="dxa"/>
            <w:noWrap w:val="0"/>
            <w:vAlign w:val="center"/>
          </w:tcPr>
          <w:p w14:paraId="4692EB6A">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一级</w:t>
            </w:r>
          </w:p>
        </w:tc>
      </w:tr>
      <w:tr w14:paraId="64930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3" w:hRule="atLeast"/>
          <w:jc w:val="center"/>
        </w:trPr>
        <w:tc>
          <w:tcPr>
            <w:tcW w:w="738" w:type="dxa"/>
            <w:noWrap w:val="0"/>
            <w:vAlign w:val="center"/>
          </w:tcPr>
          <w:p w14:paraId="5CE177FD">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p>
        </w:tc>
        <w:tc>
          <w:tcPr>
            <w:tcW w:w="805" w:type="dxa"/>
            <w:noWrap w:val="0"/>
            <w:vAlign w:val="center"/>
          </w:tcPr>
          <w:p w14:paraId="1CC49A07">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景观</w:t>
            </w:r>
          </w:p>
        </w:tc>
        <w:tc>
          <w:tcPr>
            <w:tcW w:w="2653" w:type="dxa"/>
            <w:noWrap w:val="0"/>
            <w:vAlign w:val="center"/>
          </w:tcPr>
          <w:p w14:paraId="72F9F631">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(1)种植密度基本合理；</w:t>
            </w:r>
          </w:p>
          <w:p w14:paraId="5E170C19">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(2)植株现格基本整齐；</w:t>
            </w:r>
          </w:p>
          <w:p w14:paraId="59E7D0EA">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(3)基本无死株，群体景观效果好。</w:t>
            </w:r>
          </w:p>
        </w:tc>
        <w:tc>
          <w:tcPr>
            <w:tcW w:w="1668" w:type="dxa"/>
            <w:noWrap w:val="0"/>
            <w:vAlign w:val="center"/>
          </w:tcPr>
          <w:p w14:paraId="4D5E57A0">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(1)种植密度合理；</w:t>
            </w:r>
          </w:p>
          <w:p w14:paraId="529BB6FE">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(2)植株现格整齐；</w:t>
            </w:r>
          </w:p>
          <w:p w14:paraId="500FEABA">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(3)无死株，群体景观效果较好，季相变化明显。</w:t>
            </w:r>
          </w:p>
        </w:tc>
        <w:tc>
          <w:tcPr>
            <w:tcW w:w="1534" w:type="dxa"/>
            <w:noWrap w:val="0"/>
            <w:vAlign w:val="center"/>
          </w:tcPr>
          <w:p w14:paraId="7EC54E82">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(1)混植种类种间协调；</w:t>
            </w:r>
          </w:p>
          <w:p w14:paraId="38966C88">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(2)无死株和残存枯花</w:t>
            </w:r>
          </w:p>
        </w:tc>
        <w:tc>
          <w:tcPr>
            <w:tcW w:w="1615" w:type="dxa"/>
            <w:noWrap w:val="0"/>
            <w:vAlign w:val="center"/>
          </w:tcPr>
          <w:p w14:paraId="27482A8D">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(1)混植种类配置合理；</w:t>
            </w:r>
          </w:p>
          <w:p w14:paraId="65ABB9AD">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(2)叶色、叶型协调；</w:t>
            </w:r>
          </w:p>
          <w:p w14:paraId="26DB007A">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(3)无死株和残存枯花。</w:t>
            </w:r>
          </w:p>
        </w:tc>
      </w:tr>
      <w:tr w14:paraId="5C080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8" w:hRule="atLeast"/>
          <w:jc w:val="center"/>
        </w:trPr>
        <w:tc>
          <w:tcPr>
            <w:tcW w:w="738" w:type="dxa"/>
            <w:noWrap w:val="0"/>
            <w:vAlign w:val="center"/>
          </w:tcPr>
          <w:p w14:paraId="22FA2DC3">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p>
        </w:tc>
        <w:tc>
          <w:tcPr>
            <w:tcW w:w="805" w:type="dxa"/>
            <w:noWrap w:val="0"/>
            <w:vAlign w:val="center"/>
          </w:tcPr>
          <w:p w14:paraId="1506C6A0">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生长</w:t>
            </w:r>
          </w:p>
        </w:tc>
        <w:tc>
          <w:tcPr>
            <w:tcW w:w="2653" w:type="dxa"/>
            <w:noWrap w:val="0"/>
            <w:vAlign w:val="center"/>
          </w:tcPr>
          <w:p w14:paraId="5971761B">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(1)生长良好；</w:t>
            </w:r>
          </w:p>
          <w:p w14:paraId="16021563">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(2)覆盖率不小于90%，无大于0.5㎡集中空秃。</w:t>
            </w:r>
          </w:p>
        </w:tc>
        <w:tc>
          <w:tcPr>
            <w:tcW w:w="1668" w:type="dxa"/>
            <w:noWrap w:val="0"/>
            <w:vAlign w:val="center"/>
          </w:tcPr>
          <w:p w14:paraId="2C4C55E2">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(1)生长茂盛；</w:t>
            </w:r>
          </w:p>
          <w:p w14:paraId="6544452F">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(2)覆盖率不小于95%,无空秃。</w:t>
            </w:r>
          </w:p>
        </w:tc>
        <w:tc>
          <w:tcPr>
            <w:tcW w:w="1534" w:type="dxa"/>
            <w:noWrap w:val="0"/>
            <w:vAlign w:val="center"/>
          </w:tcPr>
          <w:p w14:paraId="24050C0F">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(1)生长良好，基本符合生态要求；</w:t>
            </w:r>
          </w:p>
          <w:p w14:paraId="2B5123D1">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(2)覆盖率不小于90%，无大于0.5㎡的集中空秃。</w:t>
            </w:r>
          </w:p>
        </w:tc>
        <w:tc>
          <w:tcPr>
            <w:tcW w:w="1615" w:type="dxa"/>
            <w:noWrap w:val="0"/>
            <w:vAlign w:val="center"/>
          </w:tcPr>
          <w:p w14:paraId="40F7FB96">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(1)生长茂盛，符合生态要求；</w:t>
            </w:r>
          </w:p>
          <w:p w14:paraId="7D2D176E">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(2)覆盖率不小于95%,无空秃。</w:t>
            </w:r>
          </w:p>
        </w:tc>
      </w:tr>
      <w:tr w14:paraId="23586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71" w:hRule="atLeast"/>
          <w:jc w:val="center"/>
        </w:trPr>
        <w:tc>
          <w:tcPr>
            <w:tcW w:w="738" w:type="dxa"/>
            <w:noWrap w:val="0"/>
            <w:vAlign w:val="center"/>
          </w:tcPr>
          <w:p w14:paraId="081856A1">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p>
        </w:tc>
        <w:tc>
          <w:tcPr>
            <w:tcW w:w="805" w:type="dxa"/>
            <w:noWrap w:val="0"/>
            <w:vAlign w:val="center"/>
          </w:tcPr>
          <w:p w14:paraId="46EBD07F">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排灌</w:t>
            </w:r>
          </w:p>
        </w:tc>
        <w:tc>
          <w:tcPr>
            <w:tcW w:w="2653" w:type="dxa"/>
            <w:noWrap w:val="0"/>
            <w:vAlign w:val="center"/>
          </w:tcPr>
          <w:p w14:paraId="30087093">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(1)排水通畅，雨后基本无积水；</w:t>
            </w:r>
          </w:p>
          <w:p w14:paraId="59BEDE87">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(2)植株基本不出现失水萎蔫现象。</w:t>
            </w:r>
          </w:p>
        </w:tc>
        <w:tc>
          <w:tcPr>
            <w:tcW w:w="1668" w:type="dxa"/>
            <w:noWrap w:val="0"/>
            <w:vAlign w:val="center"/>
          </w:tcPr>
          <w:p w14:paraId="36E7AAC4">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(1)排水通畅，雨后无积水；(2)植株不得出现失水萎蔫现象。</w:t>
            </w:r>
          </w:p>
        </w:tc>
        <w:tc>
          <w:tcPr>
            <w:tcW w:w="1534" w:type="dxa"/>
            <w:noWrap w:val="0"/>
            <w:vAlign w:val="center"/>
          </w:tcPr>
          <w:p w14:paraId="31191CD9">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(1)排水通畅，雨后基本无积水；</w:t>
            </w:r>
          </w:p>
          <w:p w14:paraId="31CA3F6F">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(2)植株基本不出现失水萎蔫现象。</w:t>
            </w:r>
          </w:p>
        </w:tc>
        <w:tc>
          <w:tcPr>
            <w:tcW w:w="1615" w:type="dxa"/>
            <w:noWrap w:val="0"/>
            <w:vAlign w:val="center"/>
          </w:tcPr>
          <w:p w14:paraId="6A5A7515">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(1)排水通畅，雨后基本无积水；</w:t>
            </w:r>
          </w:p>
          <w:p w14:paraId="2D33DD72">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(2)植株基本不出现失水萎蔫现象。</w:t>
            </w:r>
          </w:p>
        </w:tc>
      </w:tr>
      <w:tr w14:paraId="1981C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5" w:hRule="atLeast"/>
          <w:jc w:val="center"/>
        </w:trPr>
        <w:tc>
          <w:tcPr>
            <w:tcW w:w="738" w:type="dxa"/>
            <w:noWrap w:val="0"/>
            <w:vAlign w:val="center"/>
          </w:tcPr>
          <w:p w14:paraId="22B2AB21">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w:t>
            </w:r>
          </w:p>
        </w:tc>
        <w:tc>
          <w:tcPr>
            <w:tcW w:w="805" w:type="dxa"/>
            <w:noWrap w:val="0"/>
            <w:vAlign w:val="center"/>
          </w:tcPr>
          <w:p w14:paraId="7C5291CA">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有害生物控制</w:t>
            </w:r>
          </w:p>
        </w:tc>
        <w:tc>
          <w:tcPr>
            <w:tcW w:w="2653" w:type="dxa"/>
            <w:noWrap w:val="0"/>
            <w:vAlign w:val="center"/>
          </w:tcPr>
          <w:p w14:paraId="3A442DD2">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(1)无明显有害生物危害状；(2)受害率控制在20%以下；(3)无明显大型、恶性、缠绕性杂草；无明显影响面貌的杂草。</w:t>
            </w:r>
          </w:p>
        </w:tc>
        <w:tc>
          <w:tcPr>
            <w:tcW w:w="1668" w:type="dxa"/>
            <w:noWrap w:val="0"/>
            <w:vAlign w:val="center"/>
          </w:tcPr>
          <w:p w14:paraId="05ECCD15">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1)基本有害生</w:t>
            </w:r>
          </w:p>
          <w:p w14:paraId="0F38A212">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物危害状；</w:t>
            </w:r>
          </w:p>
          <w:p w14:paraId="34F707B0">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(2)受害率控制</w:t>
            </w:r>
          </w:p>
          <w:p w14:paraId="468361E9">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在10%以下；</w:t>
            </w:r>
          </w:p>
          <w:p w14:paraId="35EF4DFB">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(3)无明显大</w:t>
            </w:r>
          </w:p>
          <w:p w14:paraId="0D947801">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型、恶性、缠绕性杂草；无明显</w:t>
            </w:r>
          </w:p>
          <w:p w14:paraId="2C9F9C7B">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影响面貌的杂</w:t>
            </w:r>
          </w:p>
          <w:p w14:paraId="41E1002D">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草。</w:t>
            </w:r>
          </w:p>
        </w:tc>
        <w:tc>
          <w:tcPr>
            <w:tcW w:w="1534" w:type="dxa"/>
            <w:noWrap w:val="0"/>
            <w:vAlign w:val="center"/>
          </w:tcPr>
          <w:p w14:paraId="67BB30D3">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1)无严重有害</w:t>
            </w:r>
          </w:p>
          <w:p w14:paraId="4E421A1F">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生物危害状；</w:t>
            </w:r>
          </w:p>
          <w:p w14:paraId="76DFA000">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(2)受害率控制在25%以下；</w:t>
            </w:r>
          </w:p>
          <w:p w14:paraId="029B90D7">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(3)无明显大</w:t>
            </w:r>
          </w:p>
          <w:p w14:paraId="39C92F35">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型、恶性、缠绕性杂草；无明显影响面貌的杂草。</w:t>
            </w:r>
          </w:p>
        </w:tc>
        <w:tc>
          <w:tcPr>
            <w:tcW w:w="1615" w:type="dxa"/>
            <w:noWrap w:val="0"/>
            <w:vAlign w:val="center"/>
          </w:tcPr>
          <w:p w14:paraId="21314585">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1)无明显有害</w:t>
            </w:r>
          </w:p>
          <w:p w14:paraId="01C6E724">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生物危害状；</w:t>
            </w:r>
          </w:p>
          <w:p w14:paraId="7B56D94B">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(3)受害率控制</w:t>
            </w:r>
          </w:p>
          <w:p w14:paraId="68782A38">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在20%以下；</w:t>
            </w:r>
          </w:p>
          <w:p w14:paraId="40B947BE">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(3)无明显大</w:t>
            </w:r>
          </w:p>
          <w:p w14:paraId="19D3CF49">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型、恶性、缠绕性杂草；无明显影响面貌的杂草。</w:t>
            </w:r>
            <w:r>
              <w:rPr>
                <w:rFonts w:hint="eastAsia" w:ascii="仿宋" w:hAnsi="仿宋" w:eastAsia="仿宋" w:cs="仿宋"/>
                <w:color w:val="auto"/>
                <w:sz w:val="24"/>
                <w:szCs w:val="24"/>
                <w:highlight w:val="none"/>
              </w:rPr>
              <w:cr/>
            </w:r>
          </w:p>
        </w:tc>
      </w:tr>
      <w:tr w14:paraId="15BBD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3" w:hRule="atLeast"/>
          <w:jc w:val="center"/>
        </w:trPr>
        <w:tc>
          <w:tcPr>
            <w:tcW w:w="738" w:type="dxa"/>
            <w:noWrap w:val="0"/>
            <w:vAlign w:val="center"/>
          </w:tcPr>
          <w:p w14:paraId="0B62ECB7">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5</w:t>
            </w:r>
          </w:p>
        </w:tc>
        <w:tc>
          <w:tcPr>
            <w:tcW w:w="805" w:type="dxa"/>
            <w:noWrap w:val="0"/>
            <w:vAlign w:val="center"/>
          </w:tcPr>
          <w:p w14:paraId="5B2D1560">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清洁</w:t>
            </w:r>
          </w:p>
        </w:tc>
        <w:tc>
          <w:tcPr>
            <w:tcW w:w="2653" w:type="dxa"/>
            <w:noWrap w:val="0"/>
            <w:vAlign w:val="center"/>
          </w:tcPr>
          <w:p w14:paraId="270EFC25">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无陈积垃圾</w:t>
            </w:r>
          </w:p>
        </w:tc>
        <w:tc>
          <w:tcPr>
            <w:tcW w:w="1668" w:type="dxa"/>
            <w:noWrap w:val="0"/>
            <w:vAlign w:val="center"/>
          </w:tcPr>
          <w:p w14:paraId="242E63A7">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无垃圾</w:t>
            </w:r>
          </w:p>
        </w:tc>
        <w:tc>
          <w:tcPr>
            <w:tcW w:w="1534" w:type="dxa"/>
            <w:noWrap w:val="0"/>
            <w:vAlign w:val="center"/>
          </w:tcPr>
          <w:p w14:paraId="66CB7B18">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无陈积垃圾</w:t>
            </w:r>
          </w:p>
        </w:tc>
        <w:tc>
          <w:tcPr>
            <w:tcW w:w="1615" w:type="dxa"/>
            <w:noWrap w:val="0"/>
            <w:vAlign w:val="center"/>
          </w:tcPr>
          <w:p w14:paraId="0BD1213E">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4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无垃圾</w:t>
            </w:r>
          </w:p>
        </w:tc>
      </w:tr>
    </w:tbl>
    <w:p w14:paraId="6C9BAD5E">
      <w:pPr>
        <w:pageBreakBefore w:val="0"/>
        <w:kinsoku w:val="0"/>
        <w:wordWrap/>
        <w:overflowPunct/>
        <w:topLinePunct w:val="0"/>
        <w:autoSpaceDE w:val="0"/>
        <w:autoSpaceDN w:val="0"/>
        <w:bidi w:val="0"/>
        <w:adjustRightInd w:val="0"/>
        <w:snapToGrid w:val="0"/>
        <w:spacing w:line="460" w:lineRule="exact"/>
        <w:ind w:left="117" w:right="100" w:firstLine="42"/>
        <w:jc w:val="center"/>
        <w:textAlignment w:val="baseline"/>
        <w:rPr>
          <w:rFonts w:hint="eastAsia" w:ascii="仿宋" w:hAnsi="仿宋" w:eastAsia="仿宋" w:cs="仿宋"/>
          <w:color w:val="auto"/>
          <w:sz w:val="24"/>
          <w:szCs w:val="24"/>
          <w:highlight w:val="none"/>
        </w:rPr>
      </w:pPr>
    </w:p>
    <w:p w14:paraId="665ACE78">
      <w:pPr>
        <w:rPr>
          <w:rFonts w:hint="eastAsia" w:ascii="仿宋" w:hAnsi="仿宋" w:eastAsia="仿宋" w:cs="仿宋"/>
          <w:color w:val="auto"/>
          <w:sz w:val="24"/>
          <w:szCs w:val="24"/>
          <w:highlight w:val="none"/>
        </w:rPr>
      </w:pPr>
    </w:p>
    <w:p w14:paraId="1612D17B">
      <w:pPr>
        <w:pageBreakBefore w:val="0"/>
        <w:kinsoku w:val="0"/>
        <w:wordWrap/>
        <w:overflowPunct/>
        <w:topLinePunct w:val="0"/>
        <w:autoSpaceDE w:val="0"/>
        <w:autoSpaceDN w:val="0"/>
        <w:bidi w:val="0"/>
        <w:adjustRightInd w:val="0"/>
        <w:snapToGrid w:val="0"/>
        <w:spacing w:line="460" w:lineRule="exact"/>
        <w:ind w:left="117" w:right="10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表3.0.11  行道树</w:t>
      </w:r>
    </w:p>
    <w:tbl>
      <w:tblPr>
        <w:tblStyle w:val="6"/>
        <w:tblW w:w="91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06"/>
        <w:gridCol w:w="862"/>
        <w:gridCol w:w="2627"/>
        <w:gridCol w:w="2475"/>
        <w:gridCol w:w="2730"/>
      </w:tblGrid>
      <w:tr w14:paraId="2DAE4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55" w:hRule="atLeast"/>
          <w:jc w:val="center"/>
        </w:trPr>
        <w:tc>
          <w:tcPr>
            <w:tcW w:w="406" w:type="dxa"/>
            <w:noWrap w:val="0"/>
            <w:vAlign w:val="center"/>
          </w:tcPr>
          <w:p w14:paraId="140B1AB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序号</w:t>
            </w:r>
          </w:p>
        </w:tc>
        <w:tc>
          <w:tcPr>
            <w:tcW w:w="862" w:type="dxa"/>
            <w:noWrap w:val="0"/>
            <w:vAlign w:val="center"/>
          </w:tcPr>
          <w:p w14:paraId="4740A77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项目</w:t>
            </w:r>
          </w:p>
          <w:p w14:paraId="4CF7369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标准</w:t>
            </w:r>
          </w:p>
          <w:p w14:paraId="75D51D5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级别</w:t>
            </w:r>
          </w:p>
        </w:tc>
        <w:tc>
          <w:tcPr>
            <w:tcW w:w="2627" w:type="dxa"/>
            <w:noWrap w:val="0"/>
            <w:vAlign w:val="center"/>
          </w:tcPr>
          <w:p w14:paraId="29BE9E5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基本标准</w:t>
            </w:r>
          </w:p>
        </w:tc>
        <w:tc>
          <w:tcPr>
            <w:tcW w:w="2475" w:type="dxa"/>
            <w:noWrap w:val="0"/>
            <w:vAlign w:val="center"/>
          </w:tcPr>
          <w:p w14:paraId="63C7357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二级</w:t>
            </w:r>
          </w:p>
        </w:tc>
        <w:tc>
          <w:tcPr>
            <w:tcW w:w="2730" w:type="dxa"/>
            <w:noWrap w:val="0"/>
            <w:vAlign w:val="center"/>
          </w:tcPr>
          <w:p w14:paraId="5EB4B3E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一级</w:t>
            </w:r>
          </w:p>
        </w:tc>
      </w:tr>
      <w:tr w14:paraId="7CB52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71" w:hRule="atLeast"/>
          <w:jc w:val="center"/>
        </w:trPr>
        <w:tc>
          <w:tcPr>
            <w:tcW w:w="406" w:type="dxa"/>
            <w:noWrap w:val="0"/>
            <w:vAlign w:val="center"/>
          </w:tcPr>
          <w:p w14:paraId="41F9710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p>
        </w:tc>
        <w:tc>
          <w:tcPr>
            <w:tcW w:w="862" w:type="dxa"/>
            <w:noWrap w:val="0"/>
            <w:vAlign w:val="center"/>
          </w:tcPr>
          <w:p w14:paraId="4F03439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景观</w:t>
            </w:r>
          </w:p>
        </w:tc>
        <w:tc>
          <w:tcPr>
            <w:tcW w:w="2627" w:type="dxa"/>
            <w:noWrap w:val="0"/>
            <w:vAlign w:val="center"/>
          </w:tcPr>
          <w:p w14:paraId="571763B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(1)群体植株较统一；</w:t>
            </w:r>
          </w:p>
          <w:p w14:paraId="64CC6C7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(2)无死树，缺株不得超过3%。</w:t>
            </w:r>
          </w:p>
        </w:tc>
        <w:tc>
          <w:tcPr>
            <w:tcW w:w="2475" w:type="dxa"/>
            <w:noWrap w:val="0"/>
            <w:vAlign w:val="center"/>
          </w:tcPr>
          <w:p w14:paraId="593060C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(1)群体植株面貌基本统一，规格基本整齐，生长良好，有较好的遮阴效果；</w:t>
            </w:r>
          </w:p>
          <w:p w14:paraId="1365464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(2)主干上无明显萌生枝条；</w:t>
            </w:r>
          </w:p>
          <w:p w14:paraId="00373E8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(3)无死树，缺株不得超过1%。</w:t>
            </w:r>
          </w:p>
        </w:tc>
        <w:tc>
          <w:tcPr>
            <w:tcW w:w="2730" w:type="dxa"/>
            <w:noWrap w:val="0"/>
            <w:vAlign w:val="center"/>
          </w:tcPr>
          <w:p w14:paraId="23B5BAF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(1)群体植株树冠完整，生长茂盛，规格整齐，遮阴效果好；</w:t>
            </w:r>
          </w:p>
          <w:p w14:paraId="2FC28EE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(2)主干上无明显萌生的芽条；</w:t>
            </w:r>
          </w:p>
          <w:p w14:paraId="5D0D289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(3)无缺株，死树。</w:t>
            </w:r>
          </w:p>
        </w:tc>
      </w:tr>
      <w:tr w14:paraId="4ED6E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34" w:hRule="atLeast"/>
          <w:jc w:val="center"/>
        </w:trPr>
        <w:tc>
          <w:tcPr>
            <w:tcW w:w="406" w:type="dxa"/>
            <w:noWrap w:val="0"/>
            <w:vAlign w:val="center"/>
          </w:tcPr>
          <w:p w14:paraId="2968D0A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p>
        </w:tc>
        <w:tc>
          <w:tcPr>
            <w:tcW w:w="862" w:type="dxa"/>
            <w:noWrap w:val="0"/>
            <w:vAlign w:val="center"/>
          </w:tcPr>
          <w:p w14:paraId="64868A7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生长</w:t>
            </w:r>
          </w:p>
        </w:tc>
        <w:tc>
          <w:tcPr>
            <w:tcW w:w="2627" w:type="dxa"/>
            <w:noWrap w:val="0"/>
            <w:vAlign w:val="center"/>
          </w:tcPr>
          <w:p w14:paraId="024FBC3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植株全年生长基本正常</w:t>
            </w:r>
          </w:p>
        </w:tc>
        <w:tc>
          <w:tcPr>
            <w:tcW w:w="2475" w:type="dxa"/>
            <w:noWrap w:val="0"/>
            <w:vAlign w:val="center"/>
          </w:tcPr>
          <w:p w14:paraId="16FAA26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植株全年生长正常，无明显的枯枝，生长不良枝和树叶黄花现象。</w:t>
            </w:r>
          </w:p>
        </w:tc>
        <w:tc>
          <w:tcPr>
            <w:tcW w:w="2730" w:type="dxa"/>
            <w:noWrap w:val="0"/>
            <w:vAlign w:val="center"/>
          </w:tcPr>
          <w:p w14:paraId="433972A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植株全年生长正年，无枯枝，断枝和生长不良枝。</w:t>
            </w:r>
          </w:p>
        </w:tc>
      </w:tr>
      <w:tr w14:paraId="5BE55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11" w:hRule="atLeast"/>
          <w:jc w:val="center"/>
        </w:trPr>
        <w:tc>
          <w:tcPr>
            <w:tcW w:w="406" w:type="dxa"/>
            <w:noWrap w:val="0"/>
            <w:vAlign w:val="center"/>
          </w:tcPr>
          <w:p w14:paraId="1810306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p>
        </w:tc>
        <w:tc>
          <w:tcPr>
            <w:tcW w:w="862" w:type="dxa"/>
            <w:noWrap w:val="0"/>
            <w:vAlign w:val="center"/>
          </w:tcPr>
          <w:p w14:paraId="7FE3789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树冠</w:t>
            </w:r>
          </w:p>
        </w:tc>
        <w:tc>
          <w:tcPr>
            <w:tcW w:w="2627" w:type="dxa"/>
            <w:noWrap w:val="0"/>
            <w:vAlign w:val="center"/>
          </w:tcPr>
          <w:p w14:paraId="244EED0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(1)行道树树冠基统一；</w:t>
            </w:r>
          </w:p>
          <w:p w14:paraId="795A8E0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(2)无严重影响交通、架空线的树枝。</w:t>
            </w:r>
          </w:p>
        </w:tc>
        <w:tc>
          <w:tcPr>
            <w:tcW w:w="2475" w:type="dxa"/>
            <w:noWrap w:val="0"/>
            <w:vAlign w:val="center"/>
          </w:tcPr>
          <w:p w14:paraId="1A6F25A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(1)行道树树冠基本统一；(2)基本遵照有关规定，与各项公用设施保持距离。</w:t>
            </w:r>
          </w:p>
        </w:tc>
        <w:tc>
          <w:tcPr>
            <w:tcW w:w="2730" w:type="dxa"/>
            <w:noWrap w:val="0"/>
            <w:vAlign w:val="center"/>
          </w:tcPr>
          <w:p w14:paraId="777937B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(1)行道树树冠完整统一，规模必须一致；(2)严格遵照有关规定，各项公用设施保持距离。</w:t>
            </w:r>
          </w:p>
        </w:tc>
      </w:tr>
      <w:tr w14:paraId="4CE2D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50" w:hRule="atLeast"/>
          <w:jc w:val="center"/>
        </w:trPr>
        <w:tc>
          <w:tcPr>
            <w:tcW w:w="406" w:type="dxa"/>
            <w:noWrap w:val="0"/>
            <w:vAlign w:val="center"/>
          </w:tcPr>
          <w:p w14:paraId="335638A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w:t>
            </w:r>
          </w:p>
        </w:tc>
        <w:tc>
          <w:tcPr>
            <w:tcW w:w="862" w:type="dxa"/>
            <w:noWrap w:val="0"/>
            <w:vAlign w:val="center"/>
          </w:tcPr>
          <w:p w14:paraId="07894FF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主干</w:t>
            </w:r>
          </w:p>
        </w:tc>
        <w:tc>
          <w:tcPr>
            <w:tcW w:w="2627" w:type="dxa"/>
            <w:noWrap w:val="0"/>
            <w:vAlign w:val="center"/>
          </w:tcPr>
          <w:p w14:paraId="148DA09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树干基本挺直，分叉高</w:t>
            </w:r>
          </w:p>
          <w:p w14:paraId="3F4255D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度不影响车辆通行；倾</w:t>
            </w:r>
          </w:p>
          <w:p w14:paraId="43F44FC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斜度小于15°的树木</w:t>
            </w:r>
          </w:p>
          <w:p w14:paraId="1796251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不超过10%</w:t>
            </w:r>
          </w:p>
        </w:tc>
        <w:tc>
          <w:tcPr>
            <w:tcW w:w="2475" w:type="dxa"/>
            <w:noWrap w:val="0"/>
            <w:vAlign w:val="center"/>
          </w:tcPr>
          <w:p w14:paraId="7B239DC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树干基本挺直，分叉点高度基本一致，倾斜度小于10°的书不超过5%</w:t>
            </w:r>
          </w:p>
        </w:tc>
        <w:tc>
          <w:tcPr>
            <w:tcW w:w="2730" w:type="dxa"/>
            <w:noWrap w:val="0"/>
            <w:vAlign w:val="center"/>
          </w:tcPr>
          <w:p w14:paraId="325750F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树干基本挺直，分叉高度一致，不影响车辆通行（胸径45cm）以上特大树除外。</w:t>
            </w:r>
          </w:p>
        </w:tc>
      </w:tr>
      <w:tr w14:paraId="31DF7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50" w:hRule="atLeast"/>
          <w:jc w:val="center"/>
        </w:trPr>
        <w:tc>
          <w:tcPr>
            <w:tcW w:w="406" w:type="dxa"/>
            <w:noWrap w:val="0"/>
            <w:vAlign w:val="center"/>
          </w:tcPr>
          <w:p w14:paraId="4D30176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5</w:t>
            </w:r>
          </w:p>
        </w:tc>
        <w:tc>
          <w:tcPr>
            <w:tcW w:w="862" w:type="dxa"/>
            <w:noWrap w:val="0"/>
            <w:vAlign w:val="center"/>
          </w:tcPr>
          <w:p w14:paraId="0180811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树桩</w:t>
            </w:r>
          </w:p>
        </w:tc>
        <w:tc>
          <w:tcPr>
            <w:tcW w:w="2627" w:type="dxa"/>
            <w:noWrap w:val="0"/>
            <w:vAlign w:val="center"/>
          </w:tcPr>
          <w:p w14:paraId="43F27A3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路口及风口处的植株必须有桩，扎缚有效。</w:t>
            </w:r>
          </w:p>
        </w:tc>
        <w:tc>
          <w:tcPr>
            <w:tcW w:w="2475" w:type="dxa"/>
            <w:noWrap w:val="0"/>
            <w:vAlign w:val="center"/>
          </w:tcPr>
          <w:p w14:paraId="057B292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新种植或胸径15cm以下的植株必须有桩，树桩基本无损坏残缺，扎缚定好有效。</w:t>
            </w:r>
          </w:p>
        </w:tc>
        <w:tc>
          <w:tcPr>
            <w:tcW w:w="2730" w:type="dxa"/>
            <w:noWrap w:val="0"/>
            <w:vAlign w:val="center"/>
          </w:tcPr>
          <w:p w14:paraId="237585C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新种植或胸径15cm以下的植株必须有桩，树桩基本无损坏残缺，扎缚规范，有效。</w:t>
            </w:r>
          </w:p>
        </w:tc>
      </w:tr>
      <w:tr w14:paraId="264DB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6" w:hRule="atLeast"/>
          <w:jc w:val="center"/>
        </w:trPr>
        <w:tc>
          <w:tcPr>
            <w:tcW w:w="406" w:type="dxa"/>
            <w:noWrap w:val="0"/>
            <w:vAlign w:val="center"/>
          </w:tcPr>
          <w:p w14:paraId="09AA9FC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6</w:t>
            </w:r>
          </w:p>
        </w:tc>
        <w:tc>
          <w:tcPr>
            <w:tcW w:w="862" w:type="dxa"/>
            <w:noWrap w:val="0"/>
            <w:vAlign w:val="center"/>
          </w:tcPr>
          <w:p w14:paraId="2C913F4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树洞</w:t>
            </w:r>
          </w:p>
        </w:tc>
        <w:tc>
          <w:tcPr>
            <w:tcW w:w="2627" w:type="dxa"/>
            <w:noWrap w:val="0"/>
            <w:vAlign w:val="center"/>
          </w:tcPr>
          <w:p w14:paraId="2F0F3FA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无10cm以上未补的树洞。</w:t>
            </w:r>
          </w:p>
        </w:tc>
        <w:tc>
          <w:tcPr>
            <w:tcW w:w="2475" w:type="dxa"/>
            <w:noWrap w:val="0"/>
            <w:vAlign w:val="center"/>
          </w:tcPr>
          <w:p w14:paraId="30FA805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无5cm以上未补的树洞。</w:t>
            </w:r>
          </w:p>
        </w:tc>
        <w:tc>
          <w:tcPr>
            <w:tcW w:w="2730" w:type="dxa"/>
            <w:noWrap w:val="0"/>
            <w:vAlign w:val="center"/>
          </w:tcPr>
          <w:p w14:paraId="21DDAAB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无未补树洞。</w:t>
            </w:r>
          </w:p>
        </w:tc>
      </w:tr>
      <w:tr w14:paraId="2EC2F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61" w:hRule="atLeast"/>
          <w:jc w:val="center"/>
        </w:trPr>
        <w:tc>
          <w:tcPr>
            <w:tcW w:w="406" w:type="dxa"/>
            <w:noWrap w:val="0"/>
            <w:vAlign w:val="center"/>
          </w:tcPr>
          <w:p w14:paraId="1783F88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7</w:t>
            </w:r>
          </w:p>
        </w:tc>
        <w:tc>
          <w:tcPr>
            <w:tcW w:w="862" w:type="dxa"/>
            <w:noWrap w:val="0"/>
            <w:vAlign w:val="center"/>
          </w:tcPr>
          <w:p w14:paraId="2C03AC7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2"/>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树穴</w:t>
            </w:r>
          </w:p>
        </w:tc>
        <w:tc>
          <w:tcPr>
            <w:tcW w:w="2627" w:type="dxa"/>
            <w:noWrap w:val="0"/>
            <w:vAlign w:val="center"/>
          </w:tcPr>
          <w:p w14:paraId="4EBE10A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(1)树穴形式基本统一；</w:t>
            </w:r>
          </w:p>
          <w:p w14:paraId="4A4A775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(2)树穴内不缺土，根系无裸露；</w:t>
            </w:r>
          </w:p>
          <w:p w14:paraId="47A37B4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(3)树穴内有覆盖。</w:t>
            </w:r>
          </w:p>
        </w:tc>
        <w:tc>
          <w:tcPr>
            <w:tcW w:w="2475" w:type="dxa"/>
            <w:noWrap w:val="0"/>
            <w:vAlign w:val="center"/>
          </w:tcPr>
          <w:p w14:paraId="3EE74A6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(1)树穴形式基本统一；(2)盖板或覆盖物完整；(3)种植地被的树穴，地被生长基本良好。</w:t>
            </w:r>
          </w:p>
        </w:tc>
        <w:tc>
          <w:tcPr>
            <w:tcW w:w="2730" w:type="dxa"/>
            <w:noWrap w:val="0"/>
            <w:vAlign w:val="center"/>
          </w:tcPr>
          <w:p w14:paraId="7958469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(1)树穴形式统一；</w:t>
            </w:r>
          </w:p>
          <w:p w14:paraId="4114E86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(2)盖板或覆盖物完整，无空缺；</w:t>
            </w:r>
          </w:p>
          <w:p w14:paraId="22026D0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(3)种植地被的树穴，地被生长良好。</w:t>
            </w:r>
          </w:p>
        </w:tc>
      </w:tr>
      <w:tr w14:paraId="0A903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83" w:hRule="atLeast"/>
          <w:jc w:val="center"/>
        </w:trPr>
        <w:tc>
          <w:tcPr>
            <w:tcW w:w="406" w:type="dxa"/>
            <w:noWrap w:val="0"/>
            <w:vAlign w:val="center"/>
          </w:tcPr>
          <w:p w14:paraId="774F04A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1"/>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8</w:t>
            </w:r>
          </w:p>
        </w:tc>
        <w:tc>
          <w:tcPr>
            <w:tcW w:w="862" w:type="dxa"/>
            <w:noWrap w:val="0"/>
            <w:vAlign w:val="center"/>
          </w:tcPr>
          <w:p w14:paraId="2549E6C8">
            <w:pPr>
              <w:keepNext w:val="0"/>
              <w:keepLines w:val="0"/>
              <w:pageBreakBefore w:val="0"/>
              <w:widowControl/>
              <w:suppressLineNumbers w:val="0"/>
              <w:shd w:val="clear" w:color="auto" w:fill="FFFFFF"/>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有害生物控制</w:t>
            </w:r>
          </w:p>
        </w:tc>
        <w:tc>
          <w:tcPr>
            <w:tcW w:w="2627" w:type="dxa"/>
            <w:noWrap w:val="0"/>
            <w:vAlign w:val="center"/>
          </w:tcPr>
          <w:p w14:paraId="005A56B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(1)无严重有害生物危害状；</w:t>
            </w:r>
          </w:p>
          <w:p w14:paraId="5D6A315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(2)枝叶受害率控制在15%以下；</w:t>
            </w:r>
          </w:p>
          <w:p w14:paraId="431B434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(3)树干受害率控制在10%以下；</w:t>
            </w:r>
          </w:p>
          <w:p w14:paraId="72551F9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(4)无明显杂草。</w:t>
            </w:r>
          </w:p>
        </w:tc>
        <w:tc>
          <w:tcPr>
            <w:tcW w:w="2475" w:type="dxa"/>
            <w:noWrap w:val="0"/>
            <w:vAlign w:val="center"/>
          </w:tcPr>
          <w:p w14:paraId="0102811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(1)无明显有害生物危害状；</w:t>
            </w:r>
          </w:p>
          <w:p w14:paraId="681EDA6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(2)枝叶受害率控制在10%以下；</w:t>
            </w:r>
          </w:p>
          <w:p w14:paraId="667E170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(3)树干受害率控制在5%以下；</w:t>
            </w:r>
          </w:p>
          <w:p w14:paraId="1309EB7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(4)基本无杂草。</w:t>
            </w:r>
          </w:p>
        </w:tc>
        <w:tc>
          <w:tcPr>
            <w:tcW w:w="2730" w:type="dxa"/>
            <w:noWrap w:val="0"/>
            <w:vAlign w:val="center"/>
          </w:tcPr>
          <w:p w14:paraId="375FFE7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(1)基本无有害生物危害状；</w:t>
            </w:r>
          </w:p>
          <w:p w14:paraId="467C5F3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(2)枝叶受害率控制在8%以下；</w:t>
            </w:r>
          </w:p>
          <w:p w14:paraId="3DDC81A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(3)树干受害率控制在3%以下；</w:t>
            </w:r>
          </w:p>
          <w:p w14:paraId="4C81291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(4)无杂草。</w:t>
            </w:r>
          </w:p>
        </w:tc>
      </w:tr>
      <w:tr w14:paraId="4799E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33" w:hRule="atLeast"/>
          <w:jc w:val="center"/>
        </w:trPr>
        <w:tc>
          <w:tcPr>
            <w:tcW w:w="406" w:type="dxa"/>
            <w:noWrap w:val="0"/>
            <w:vAlign w:val="center"/>
          </w:tcPr>
          <w:p w14:paraId="4C8386C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1"/>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9</w:t>
            </w:r>
          </w:p>
        </w:tc>
        <w:tc>
          <w:tcPr>
            <w:tcW w:w="862" w:type="dxa"/>
            <w:noWrap w:val="0"/>
            <w:vAlign w:val="center"/>
          </w:tcPr>
          <w:p w14:paraId="4E779BA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285"/>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清洁</w:t>
            </w:r>
          </w:p>
        </w:tc>
        <w:tc>
          <w:tcPr>
            <w:tcW w:w="2627" w:type="dxa"/>
            <w:noWrap w:val="0"/>
            <w:vAlign w:val="center"/>
          </w:tcPr>
          <w:p w14:paraId="33DE4F3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(1)树穴无垃圾；(2)树干上无悬挂物。</w:t>
            </w:r>
          </w:p>
        </w:tc>
        <w:tc>
          <w:tcPr>
            <w:tcW w:w="2475" w:type="dxa"/>
            <w:noWrap w:val="0"/>
            <w:vAlign w:val="center"/>
          </w:tcPr>
          <w:p w14:paraId="57EB883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（1）树穴无垃圾，基本有覆盖；</w:t>
            </w:r>
          </w:p>
          <w:p w14:paraId="1386EC3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（2）树干上无悬挂物。</w:t>
            </w:r>
          </w:p>
        </w:tc>
        <w:tc>
          <w:tcPr>
            <w:tcW w:w="2730" w:type="dxa"/>
            <w:noWrap w:val="0"/>
            <w:vAlign w:val="center"/>
          </w:tcPr>
          <w:p w14:paraId="47BFF5F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(1)树穴无垃圾，有覆盖；</w:t>
            </w:r>
          </w:p>
          <w:p w14:paraId="06D9FAE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(2)树干无悬挂物。</w:t>
            </w:r>
          </w:p>
        </w:tc>
      </w:tr>
    </w:tbl>
    <w:p w14:paraId="1103ACC6">
      <w:pPr>
        <w:pageBreakBefore w:val="0"/>
        <w:widowControl/>
        <w:wordWrap/>
        <w:overflowPunct/>
        <w:topLinePunct w:val="0"/>
        <w:bidi w:val="0"/>
        <w:spacing w:line="460" w:lineRule="exact"/>
        <w:jc w:val="left"/>
        <w:rPr>
          <w:rFonts w:hint="eastAsia" w:ascii="仿宋" w:hAnsi="仿宋" w:eastAsia="仿宋" w:cs="仿宋"/>
          <w:b/>
          <w:color w:val="auto"/>
          <w:sz w:val="24"/>
          <w:szCs w:val="24"/>
          <w:highlight w:val="none"/>
        </w:rPr>
      </w:pPr>
    </w:p>
    <w:p w14:paraId="356C4931">
      <w:pPr>
        <w:pageBreakBefore w:val="0"/>
        <w:wordWrap/>
        <w:overflowPunct/>
        <w:topLinePunct w:val="0"/>
        <w:bidi w:val="0"/>
        <w:spacing w:line="460" w:lineRule="exact"/>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表3.0.12 竹类养护技术标准</w:t>
      </w:r>
    </w:p>
    <w:tbl>
      <w:tblPr>
        <w:tblStyle w:val="6"/>
        <w:tblW w:w="91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32"/>
        <w:gridCol w:w="2122"/>
        <w:gridCol w:w="6246"/>
      </w:tblGrid>
      <w:tr w14:paraId="00398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31" w:hRule="atLeast"/>
          <w:jc w:val="center"/>
        </w:trPr>
        <w:tc>
          <w:tcPr>
            <w:tcW w:w="732" w:type="dxa"/>
            <w:noWrap w:val="0"/>
            <w:vAlign w:val="top"/>
          </w:tcPr>
          <w:p w14:paraId="47BDB76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序号</w:t>
            </w:r>
          </w:p>
        </w:tc>
        <w:tc>
          <w:tcPr>
            <w:tcW w:w="2122" w:type="dxa"/>
            <w:noWrap w:val="0"/>
            <w:vAlign w:val="top"/>
          </w:tcPr>
          <w:p w14:paraId="6F1AB4C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764"/>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项目</w:t>
            </w:r>
          </w:p>
        </w:tc>
        <w:tc>
          <w:tcPr>
            <w:tcW w:w="6246" w:type="dxa"/>
            <w:noWrap w:val="0"/>
            <w:vAlign w:val="top"/>
          </w:tcPr>
          <w:p w14:paraId="233F433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244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基本标准</w:t>
            </w:r>
          </w:p>
        </w:tc>
      </w:tr>
      <w:tr w14:paraId="67004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39" w:hRule="atLeast"/>
          <w:jc w:val="center"/>
        </w:trPr>
        <w:tc>
          <w:tcPr>
            <w:tcW w:w="732" w:type="dxa"/>
            <w:noWrap w:val="0"/>
            <w:vAlign w:val="center"/>
          </w:tcPr>
          <w:p w14:paraId="07C0BD8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0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p>
        </w:tc>
        <w:tc>
          <w:tcPr>
            <w:tcW w:w="2122" w:type="dxa"/>
            <w:noWrap w:val="0"/>
            <w:vAlign w:val="center"/>
          </w:tcPr>
          <w:p w14:paraId="56C1461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764"/>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景观</w:t>
            </w:r>
          </w:p>
        </w:tc>
        <w:tc>
          <w:tcPr>
            <w:tcW w:w="6246" w:type="dxa"/>
            <w:noWrap w:val="0"/>
            <w:vAlign w:val="top"/>
          </w:tcPr>
          <w:p w14:paraId="45557DC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竹杆挺直，枝叶青翠；</w:t>
            </w:r>
          </w:p>
          <w:p w14:paraId="3AF0828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无死竹及枯竹；</w:t>
            </w:r>
          </w:p>
          <w:p w14:paraId="04DC25A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r>
              <w:rPr>
                <w:rFonts w:hint="eastAsia" w:ascii="仿宋" w:hAnsi="仿宋" w:eastAsia="仿宋" w:cs="仿宋"/>
                <w:color w:val="auto"/>
                <w:sz w:val="24"/>
                <w:szCs w:val="24"/>
                <w:highlight w:val="none"/>
                <w:shd w:val="clear" w:color="auto" w:fill="FFFFFE"/>
              </w:rPr>
              <w:t>有完整的林相。</w:t>
            </w:r>
          </w:p>
        </w:tc>
      </w:tr>
      <w:tr w14:paraId="3BF72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37" w:hRule="atLeast"/>
          <w:jc w:val="center"/>
        </w:trPr>
        <w:tc>
          <w:tcPr>
            <w:tcW w:w="732" w:type="dxa"/>
            <w:noWrap w:val="0"/>
            <w:vAlign w:val="center"/>
          </w:tcPr>
          <w:p w14:paraId="5EE5F1A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29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2</w:t>
            </w:r>
          </w:p>
        </w:tc>
        <w:tc>
          <w:tcPr>
            <w:tcW w:w="2122" w:type="dxa"/>
            <w:noWrap w:val="0"/>
            <w:vAlign w:val="center"/>
          </w:tcPr>
          <w:p w14:paraId="0153E35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763"/>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生长</w:t>
            </w:r>
          </w:p>
        </w:tc>
        <w:tc>
          <w:tcPr>
            <w:tcW w:w="6246" w:type="dxa"/>
            <w:noWrap w:val="0"/>
            <w:vAlign w:val="top"/>
          </w:tcPr>
          <w:p w14:paraId="49F663E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竹丛应通风透光，植株生长健壮；</w:t>
            </w:r>
          </w:p>
          <w:p w14:paraId="20F3B9D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新、老竹生长比例恰当；</w:t>
            </w:r>
          </w:p>
          <w:p w14:paraId="373080D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r>
              <w:rPr>
                <w:rFonts w:hint="eastAsia" w:ascii="仿宋" w:hAnsi="仿宋" w:eastAsia="仿宋" w:cs="仿宋"/>
                <w:color w:val="auto"/>
                <w:sz w:val="24"/>
                <w:szCs w:val="24"/>
                <w:highlight w:val="none"/>
                <w:shd w:val="clear" w:color="auto" w:fill="FFFFFE"/>
              </w:rPr>
              <w:t>竹鞭无裸露。</w:t>
            </w:r>
          </w:p>
        </w:tc>
      </w:tr>
      <w:tr w14:paraId="51170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24" w:hRule="atLeast"/>
          <w:jc w:val="center"/>
        </w:trPr>
        <w:tc>
          <w:tcPr>
            <w:tcW w:w="732" w:type="dxa"/>
            <w:noWrap w:val="0"/>
            <w:vAlign w:val="center"/>
          </w:tcPr>
          <w:p w14:paraId="04864E7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294"/>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3</w:t>
            </w:r>
          </w:p>
        </w:tc>
        <w:tc>
          <w:tcPr>
            <w:tcW w:w="2122" w:type="dxa"/>
            <w:noWrap w:val="0"/>
            <w:vAlign w:val="center"/>
          </w:tcPr>
          <w:p w14:paraId="5AD1A70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761"/>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排灌</w:t>
            </w:r>
          </w:p>
        </w:tc>
        <w:tc>
          <w:tcPr>
            <w:tcW w:w="6246" w:type="dxa"/>
            <w:noWrap w:val="0"/>
            <w:vAlign w:val="top"/>
          </w:tcPr>
          <w:p w14:paraId="12D14EA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排水良好，无积水。</w:t>
            </w:r>
          </w:p>
          <w:p w14:paraId="5DA2B5B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各种竹类生长期内无失水萎蔫现象。</w:t>
            </w:r>
          </w:p>
        </w:tc>
      </w:tr>
      <w:tr w14:paraId="0CAF4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74" w:hRule="atLeast"/>
          <w:jc w:val="center"/>
        </w:trPr>
        <w:tc>
          <w:tcPr>
            <w:tcW w:w="732" w:type="dxa"/>
            <w:noWrap w:val="0"/>
            <w:vAlign w:val="center"/>
          </w:tcPr>
          <w:p w14:paraId="79A78C3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288"/>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4</w:t>
            </w:r>
          </w:p>
        </w:tc>
        <w:tc>
          <w:tcPr>
            <w:tcW w:w="2122" w:type="dxa"/>
            <w:noWrap w:val="0"/>
            <w:vAlign w:val="center"/>
          </w:tcPr>
          <w:p w14:paraId="74DFF39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28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有害生物控制</w:t>
            </w:r>
          </w:p>
        </w:tc>
        <w:tc>
          <w:tcPr>
            <w:tcW w:w="6246" w:type="dxa"/>
            <w:noWrap w:val="0"/>
            <w:vAlign w:val="top"/>
          </w:tcPr>
          <w:p w14:paraId="46B8349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无严重有害生物危害状；</w:t>
            </w:r>
          </w:p>
          <w:p w14:paraId="1BAADCA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竹叶受害率控制在15%以下；</w:t>
            </w:r>
          </w:p>
          <w:p w14:paraId="69EDBC7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r>
              <w:rPr>
                <w:rFonts w:hint="eastAsia" w:ascii="仿宋" w:hAnsi="仿宋" w:eastAsia="仿宋" w:cs="仿宋"/>
                <w:color w:val="auto"/>
                <w:sz w:val="24"/>
                <w:szCs w:val="24"/>
                <w:highlight w:val="none"/>
                <w:shd w:val="clear" w:color="auto" w:fill="FFFFFE"/>
              </w:rPr>
              <w:t>竹梢、竹竿受害率控制在10%以下。</w:t>
            </w:r>
          </w:p>
        </w:tc>
      </w:tr>
      <w:tr w14:paraId="4E898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01" w:hRule="atLeast"/>
          <w:jc w:val="center"/>
        </w:trPr>
        <w:tc>
          <w:tcPr>
            <w:tcW w:w="732" w:type="dxa"/>
            <w:noWrap w:val="0"/>
            <w:vAlign w:val="center"/>
          </w:tcPr>
          <w:p w14:paraId="387607C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294"/>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5</w:t>
            </w:r>
          </w:p>
        </w:tc>
        <w:tc>
          <w:tcPr>
            <w:tcW w:w="2122" w:type="dxa"/>
            <w:noWrap w:val="0"/>
            <w:vAlign w:val="center"/>
          </w:tcPr>
          <w:p w14:paraId="334F238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761"/>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清洁</w:t>
            </w:r>
          </w:p>
        </w:tc>
        <w:tc>
          <w:tcPr>
            <w:tcW w:w="6246" w:type="dxa"/>
            <w:noWrap w:val="0"/>
            <w:vAlign w:val="top"/>
          </w:tcPr>
          <w:p w14:paraId="732E022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15"/>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无陈积垃圾，保留竹叶。</w:t>
            </w:r>
          </w:p>
        </w:tc>
      </w:tr>
    </w:tbl>
    <w:p w14:paraId="2044D730">
      <w:pPr>
        <w:pageBreakBefore w:val="0"/>
        <w:widowControl/>
        <w:wordWrap/>
        <w:overflowPunct/>
        <w:topLinePunct w:val="0"/>
        <w:bidi w:val="0"/>
        <w:spacing w:line="460" w:lineRule="exact"/>
        <w:jc w:val="left"/>
        <w:rPr>
          <w:rFonts w:hint="eastAsia" w:ascii="仿宋" w:hAnsi="仿宋" w:eastAsia="仿宋" w:cs="仿宋"/>
          <w:b/>
          <w:color w:val="auto"/>
          <w:sz w:val="24"/>
          <w:szCs w:val="24"/>
          <w:highlight w:val="none"/>
        </w:rPr>
      </w:pPr>
    </w:p>
    <w:p w14:paraId="04139ACA">
      <w:pPr>
        <w:pageBreakBefore w:val="0"/>
        <w:wordWrap/>
        <w:overflowPunct/>
        <w:topLinePunct w:val="0"/>
        <w:bidi w:val="0"/>
        <w:spacing w:before="78" w:line="460" w:lineRule="exact"/>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表3.0.13  水生植物</w:t>
      </w:r>
    </w:p>
    <w:tbl>
      <w:tblPr>
        <w:tblStyle w:val="6"/>
        <w:tblW w:w="91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32"/>
        <w:gridCol w:w="2122"/>
        <w:gridCol w:w="6261"/>
      </w:tblGrid>
      <w:tr w14:paraId="3CF8C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31" w:hRule="atLeast"/>
          <w:jc w:val="center"/>
        </w:trPr>
        <w:tc>
          <w:tcPr>
            <w:tcW w:w="732" w:type="dxa"/>
            <w:noWrap w:val="0"/>
            <w:vAlign w:val="center"/>
          </w:tcPr>
          <w:p w14:paraId="1CE4A88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序号</w:t>
            </w:r>
          </w:p>
        </w:tc>
        <w:tc>
          <w:tcPr>
            <w:tcW w:w="2122" w:type="dxa"/>
            <w:noWrap w:val="0"/>
            <w:vAlign w:val="center"/>
          </w:tcPr>
          <w:p w14:paraId="6812825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项目</w:t>
            </w:r>
          </w:p>
        </w:tc>
        <w:tc>
          <w:tcPr>
            <w:tcW w:w="6261" w:type="dxa"/>
            <w:noWrap w:val="0"/>
            <w:vAlign w:val="center"/>
          </w:tcPr>
          <w:p w14:paraId="3D226E1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基本标准</w:t>
            </w:r>
          </w:p>
        </w:tc>
      </w:tr>
      <w:tr w14:paraId="3159E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89" w:hRule="atLeast"/>
          <w:jc w:val="center"/>
        </w:trPr>
        <w:tc>
          <w:tcPr>
            <w:tcW w:w="732" w:type="dxa"/>
            <w:noWrap w:val="0"/>
            <w:vAlign w:val="center"/>
          </w:tcPr>
          <w:p w14:paraId="02521FD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w:t>
            </w:r>
          </w:p>
        </w:tc>
        <w:tc>
          <w:tcPr>
            <w:tcW w:w="2122" w:type="dxa"/>
            <w:noWrap w:val="0"/>
            <w:vAlign w:val="center"/>
          </w:tcPr>
          <w:p w14:paraId="04A0506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景观</w:t>
            </w:r>
          </w:p>
        </w:tc>
        <w:tc>
          <w:tcPr>
            <w:tcW w:w="6261" w:type="dxa"/>
            <w:noWrap w:val="0"/>
            <w:vAlign w:val="top"/>
          </w:tcPr>
          <w:p w14:paraId="11B967B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(1)配置合理，景观优美；</w:t>
            </w:r>
          </w:p>
          <w:p w14:paraId="29443C6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(2)花、叶色纯，观花、观叶期长。</w:t>
            </w:r>
          </w:p>
        </w:tc>
      </w:tr>
      <w:tr w14:paraId="310CC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37" w:hRule="atLeast"/>
          <w:jc w:val="center"/>
        </w:trPr>
        <w:tc>
          <w:tcPr>
            <w:tcW w:w="732" w:type="dxa"/>
            <w:noWrap w:val="0"/>
            <w:vAlign w:val="center"/>
          </w:tcPr>
          <w:p w14:paraId="45A8931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2</w:t>
            </w:r>
          </w:p>
        </w:tc>
        <w:tc>
          <w:tcPr>
            <w:tcW w:w="2122" w:type="dxa"/>
            <w:noWrap w:val="0"/>
            <w:vAlign w:val="center"/>
          </w:tcPr>
          <w:p w14:paraId="787B279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生长</w:t>
            </w:r>
          </w:p>
        </w:tc>
        <w:tc>
          <w:tcPr>
            <w:tcW w:w="6261" w:type="dxa"/>
            <w:noWrap w:val="0"/>
            <w:vAlign w:val="top"/>
          </w:tcPr>
          <w:p w14:paraId="4CF29E7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植株生长健壮，保持形态特征；</w:t>
            </w:r>
          </w:p>
          <w:p w14:paraId="75E9AEE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观花观果植株正常开花结果；</w:t>
            </w:r>
          </w:p>
          <w:p w14:paraId="2FA3B02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r>
              <w:rPr>
                <w:rFonts w:hint="eastAsia" w:ascii="仿宋" w:hAnsi="仿宋" w:eastAsia="仿宋" w:cs="仿宋"/>
                <w:color w:val="auto"/>
                <w:sz w:val="24"/>
                <w:szCs w:val="24"/>
                <w:highlight w:val="none"/>
                <w:shd w:val="clear" w:color="auto" w:fill="FFFFFE"/>
              </w:rPr>
              <w:t>枯死植株小于5%。</w:t>
            </w:r>
          </w:p>
        </w:tc>
      </w:tr>
      <w:tr w14:paraId="210D4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494" w:hRule="atLeast"/>
          <w:jc w:val="center"/>
        </w:trPr>
        <w:tc>
          <w:tcPr>
            <w:tcW w:w="732" w:type="dxa"/>
            <w:noWrap w:val="0"/>
            <w:vAlign w:val="center"/>
          </w:tcPr>
          <w:p w14:paraId="54A91F1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3</w:t>
            </w:r>
          </w:p>
        </w:tc>
        <w:tc>
          <w:tcPr>
            <w:tcW w:w="2122" w:type="dxa"/>
            <w:noWrap w:val="0"/>
            <w:vAlign w:val="center"/>
          </w:tcPr>
          <w:p w14:paraId="79E72F4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水质</w:t>
            </w:r>
          </w:p>
        </w:tc>
        <w:tc>
          <w:tcPr>
            <w:tcW w:w="6261" w:type="dxa"/>
            <w:noWrap w:val="0"/>
            <w:vAlign w:val="top"/>
          </w:tcPr>
          <w:p w14:paraId="6658117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色度不超过15度；</w:t>
            </w:r>
          </w:p>
          <w:p w14:paraId="4BB8003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深浊度不超过5度；</w:t>
            </w:r>
          </w:p>
          <w:p w14:paraId="403C578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r>
              <w:rPr>
                <w:rFonts w:hint="eastAsia" w:ascii="仿宋" w:hAnsi="仿宋" w:eastAsia="仿宋" w:cs="仿宋"/>
                <w:color w:val="auto"/>
                <w:sz w:val="24"/>
                <w:szCs w:val="24"/>
                <w:highlight w:val="none"/>
                <w:shd w:val="clear" w:color="auto" w:fill="FFFFFE"/>
              </w:rPr>
              <w:t>不得有异臭；</w:t>
            </w:r>
          </w:p>
          <w:p w14:paraId="4B2E1AE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w:t>
            </w:r>
            <w:r>
              <w:rPr>
                <w:rFonts w:hint="eastAsia" w:ascii="仿宋" w:hAnsi="仿宋" w:eastAsia="仿宋" w:cs="仿宋"/>
                <w:color w:val="auto"/>
                <w:sz w:val="24"/>
                <w:szCs w:val="24"/>
                <w:highlight w:val="none"/>
                <w:shd w:val="clear" w:color="auto" w:fill="FFFFFE"/>
              </w:rPr>
              <w:t>透明度m≥0.5；</w:t>
            </w:r>
          </w:p>
          <w:p w14:paraId="0EF4FDA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（5）</w:t>
            </w:r>
            <w:r>
              <w:rPr>
                <w:rFonts w:hint="eastAsia" w:ascii="仿宋" w:hAnsi="仿宋" w:eastAsia="仿宋" w:cs="仿宋"/>
                <w:color w:val="auto"/>
                <w:sz w:val="24"/>
                <w:szCs w:val="24"/>
                <w:highlight w:val="none"/>
                <w:shd w:val="clear" w:color="auto" w:fill="FFFFFE"/>
              </w:rPr>
              <w:t>PH值6.5-8.5；</w:t>
            </w:r>
          </w:p>
          <w:p w14:paraId="1D78156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（6）</w:t>
            </w:r>
            <w:r>
              <w:rPr>
                <w:rFonts w:hint="eastAsia" w:ascii="仿宋" w:hAnsi="仿宋" w:eastAsia="仿宋" w:cs="仿宋"/>
                <w:color w:val="auto"/>
                <w:sz w:val="24"/>
                <w:szCs w:val="24"/>
                <w:highlight w:val="none"/>
                <w:shd w:val="clear" w:color="auto" w:fill="FFFFFE"/>
              </w:rPr>
              <w:t>溶解氧（DO）≥3mg/l；</w:t>
            </w:r>
          </w:p>
          <w:p w14:paraId="2CB59D2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（7）</w:t>
            </w:r>
            <w:r>
              <w:rPr>
                <w:rFonts w:hint="eastAsia" w:ascii="仿宋" w:hAnsi="仿宋" w:eastAsia="仿宋" w:cs="仿宋"/>
                <w:color w:val="auto"/>
                <w:sz w:val="24"/>
                <w:szCs w:val="24"/>
                <w:highlight w:val="none"/>
                <w:shd w:val="clear" w:color="auto" w:fill="FFFFFE"/>
              </w:rPr>
              <w:t>氨氮≤0.5mg/l；</w:t>
            </w:r>
          </w:p>
          <w:p w14:paraId="7BC2673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（8）</w:t>
            </w:r>
            <w:r>
              <w:rPr>
                <w:rFonts w:hint="eastAsia" w:ascii="仿宋" w:hAnsi="仿宋" w:eastAsia="仿宋" w:cs="仿宋"/>
                <w:color w:val="auto"/>
                <w:sz w:val="24"/>
                <w:szCs w:val="24"/>
                <w:highlight w:val="none"/>
                <w:shd w:val="clear" w:color="auto" w:fill="FFFFFE"/>
              </w:rPr>
              <w:t>总磷(P)≤0.05mg/。</w:t>
            </w:r>
          </w:p>
        </w:tc>
      </w:tr>
      <w:tr w14:paraId="45FF8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5" w:hRule="atLeast"/>
          <w:jc w:val="center"/>
        </w:trPr>
        <w:tc>
          <w:tcPr>
            <w:tcW w:w="732" w:type="dxa"/>
            <w:noWrap w:val="0"/>
            <w:vAlign w:val="center"/>
          </w:tcPr>
          <w:p w14:paraId="61CD841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4</w:t>
            </w:r>
          </w:p>
        </w:tc>
        <w:tc>
          <w:tcPr>
            <w:tcW w:w="2122" w:type="dxa"/>
            <w:noWrap w:val="0"/>
            <w:vAlign w:val="center"/>
          </w:tcPr>
          <w:p w14:paraId="0B023FD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有害生物控制</w:t>
            </w:r>
          </w:p>
        </w:tc>
        <w:tc>
          <w:tcPr>
            <w:tcW w:w="6261" w:type="dxa"/>
            <w:noWrap w:val="0"/>
            <w:vAlign w:val="center"/>
          </w:tcPr>
          <w:p w14:paraId="0A24235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15"/>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无严重的有害生物危害状，无杂草。</w:t>
            </w:r>
          </w:p>
        </w:tc>
      </w:tr>
      <w:tr w14:paraId="5D152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01" w:hRule="atLeast"/>
          <w:jc w:val="center"/>
        </w:trPr>
        <w:tc>
          <w:tcPr>
            <w:tcW w:w="732" w:type="dxa"/>
            <w:noWrap w:val="0"/>
            <w:vAlign w:val="center"/>
          </w:tcPr>
          <w:p w14:paraId="78BA26E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w:t>
            </w:r>
          </w:p>
        </w:tc>
        <w:tc>
          <w:tcPr>
            <w:tcW w:w="2122" w:type="dxa"/>
            <w:noWrap w:val="0"/>
            <w:vAlign w:val="center"/>
          </w:tcPr>
          <w:p w14:paraId="04E3B10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清洁</w:t>
            </w:r>
          </w:p>
        </w:tc>
        <w:tc>
          <w:tcPr>
            <w:tcW w:w="6261" w:type="dxa"/>
            <w:noWrap w:val="0"/>
            <w:vAlign w:val="center"/>
          </w:tcPr>
          <w:p w14:paraId="3041A17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16"/>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水面种植范围内无漂浮物。</w:t>
            </w:r>
          </w:p>
        </w:tc>
      </w:tr>
    </w:tbl>
    <w:p w14:paraId="41388BD9">
      <w:pPr>
        <w:pageBreakBefore w:val="0"/>
        <w:wordWrap/>
        <w:overflowPunct/>
        <w:topLinePunct w:val="0"/>
        <w:bidi w:val="0"/>
        <w:spacing w:before="33" w:line="460" w:lineRule="exact"/>
        <w:jc w:val="center"/>
        <w:rPr>
          <w:rFonts w:hint="eastAsia" w:ascii="仿宋" w:hAnsi="仿宋" w:eastAsia="仿宋" w:cs="仿宋"/>
          <w:color w:val="auto"/>
          <w:sz w:val="24"/>
          <w:szCs w:val="24"/>
          <w:highlight w:val="none"/>
          <w:shd w:val="clear" w:color="auto" w:fill="FFFFFE"/>
        </w:rPr>
      </w:pPr>
    </w:p>
    <w:p w14:paraId="1B129D6D">
      <w:pPr>
        <w:pageBreakBefore w:val="0"/>
        <w:wordWrap/>
        <w:overflowPunct/>
        <w:topLinePunct w:val="0"/>
        <w:bidi w:val="0"/>
        <w:spacing w:before="33" w:line="460" w:lineRule="exact"/>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表3.0.14  古树名木及古树后续资源</w:t>
      </w:r>
    </w:p>
    <w:tbl>
      <w:tblPr>
        <w:tblStyle w:val="6"/>
        <w:tblW w:w="912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88"/>
        <w:gridCol w:w="2161"/>
        <w:gridCol w:w="6279"/>
      </w:tblGrid>
      <w:tr w14:paraId="34E446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jc w:val="center"/>
        </w:trPr>
        <w:tc>
          <w:tcPr>
            <w:tcW w:w="688" w:type="dxa"/>
            <w:tcBorders>
              <w:top w:val="single" w:color="000000" w:sz="2" w:space="0"/>
              <w:left w:val="single" w:color="000000" w:sz="2" w:space="0"/>
              <w:bottom w:val="single" w:color="000000" w:sz="2" w:space="0"/>
              <w:right w:val="single" w:color="000000" w:sz="2" w:space="0"/>
            </w:tcBorders>
            <w:noWrap w:val="0"/>
            <w:vAlign w:val="center"/>
          </w:tcPr>
          <w:p w14:paraId="3CAFD03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序号</w:t>
            </w:r>
          </w:p>
        </w:tc>
        <w:tc>
          <w:tcPr>
            <w:tcW w:w="2161" w:type="dxa"/>
            <w:tcBorders>
              <w:top w:val="single" w:color="000000" w:sz="2" w:space="0"/>
              <w:left w:val="single" w:color="000000" w:sz="2" w:space="0"/>
              <w:bottom w:val="single" w:color="000000" w:sz="2" w:space="0"/>
              <w:right w:val="single" w:color="000000" w:sz="2" w:space="0"/>
            </w:tcBorders>
            <w:noWrap w:val="0"/>
            <w:vAlign w:val="center"/>
          </w:tcPr>
          <w:p w14:paraId="791863D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项目</w:t>
            </w:r>
          </w:p>
        </w:tc>
        <w:tc>
          <w:tcPr>
            <w:tcW w:w="6279" w:type="dxa"/>
            <w:tcBorders>
              <w:top w:val="single" w:color="000000" w:sz="2" w:space="0"/>
              <w:left w:val="single" w:color="000000" w:sz="2" w:space="0"/>
              <w:bottom w:val="single" w:color="000000" w:sz="2" w:space="0"/>
              <w:right w:val="single" w:color="000000" w:sz="2" w:space="0"/>
            </w:tcBorders>
            <w:noWrap w:val="0"/>
            <w:vAlign w:val="center"/>
          </w:tcPr>
          <w:p w14:paraId="7883FA2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基本标准</w:t>
            </w:r>
          </w:p>
        </w:tc>
      </w:tr>
      <w:tr w14:paraId="1F1A4C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2" w:hRule="atLeast"/>
          <w:jc w:val="center"/>
        </w:trPr>
        <w:tc>
          <w:tcPr>
            <w:tcW w:w="688" w:type="dxa"/>
            <w:tcBorders>
              <w:top w:val="single" w:color="000000" w:sz="2" w:space="0"/>
              <w:left w:val="single" w:color="000000" w:sz="2" w:space="0"/>
              <w:bottom w:val="single" w:color="000000" w:sz="2" w:space="0"/>
              <w:right w:val="single" w:color="000000" w:sz="2" w:space="0"/>
            </w:tcBorders>
            <w:noWrap w:val="0"/>
            <w:vAlign w:val="center"/>
          </w:tcPr>
          <w:p w14:paraId="28870BB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w:t>
            </w:r>
          </w:p>
        </w:tc>
        <w:tc>
          <w:tcPr>
            <w:tcW w:w="2161" w:type="dxa"/>
            <w:tcBorders>
              <w:top w:val="single" w:color="000000" w:sz="2" w:space="0"/>
              <w:left w:val="single" w:color="000000" w:sz="2" w:space="0"/>
              <w:bottom w:val="single" w:color="000000" w:sz="2" w:space="0"/>
              <w:right w:val="single" w:color="000000" w:sz="2" w:space="0"/>
            </w:tcBorders>
            <w:noWrap w:val="0"/>
            <w:vAlign w:val="center"/>
          </w:tcPr>
          <w:p w14:paraId="519CF31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景观</w:t>
            </w:r>
          </w:p>
        </w:tc>
        <w:tc>
          <w:tcPr>
            <w:tcW w:w="6279" w:type="dxa"/>
            <w:tcBorders>
              <w:top w:val="single" w:color="000000" w:sz="2" w:space="0"/>
              <w:left w:val="single" w:color="000000" w:sz="2" w:space="0"/>
              <w:bottom w:val="single" w:color="000000" w:sz="2" w:space="0"/>
              <w:right w:val="single" w:color="000000" w:sz="2" w:space="0"/>
            </w:tcBorders>
            <w:noWrap w:val="0"/>
            <w:vAlign w:val="top"/>
          </w:tcPr>
          <w:p w14:paraId="387F9CB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(1)保持古树的自然面貌，具有明显的观赏价值；</w:t>
            </w:r>
          </w:p>
          <w:p w14:paraId="370C9B8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(2)植株(含攀援性古藤)的棚架支撑和倾斜质感的支撑物必须与古树协调。</w:t>
            </w:r>
          </w:p>
        </w:tc>
      </w:tr>
      <w:tr w14:paraId="000740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2" w:hRule="atLeast"/>
          <w:jc w:val="center"/>
        </w:trPr>
        <w:tc>
          <w:tcPr>
            <w:tcW w:w="688" w:type="dxa"/>
            <w:tcBorders>
              <w:top w:val="single" w:color="000000" w:sz="2" w:space="0"/>
              <w:left w:val="single" w:color="000000" w:sz="2" w:space="0"/>
              <w:bottom w:val="single" w:color="000000" w:sz="2" w:space="0"/>
              <w:right w:val="single" w:color="000000" w:sz="2" w:space="0"/>
            </w:tcBorders>
            <w:noWrap w:val="0"/>
            <w:vAlign w:val="center"/>
          </w:tcPr>
          <w:p w14:paraId="11BD0EA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2</w:t>
            </w:r>
          </w:p>
        </w:tc>
        <w:tc>
          <w:tcPr>
            <w:tcW w:w="2161" w:type="dxa"/>
            <w:tcBorders>
              <w:top w:val="single" w:color="000000" w:sz="2" w:space="0"/>
              <w:left w:val="single" w:color="000000" w:sz="2" w:space="0"/>
              <w:bottom w:val="single" w:color="000000" w:sz="2" w:space="0"/>
              <w:right w:val="single" w:color="000000" w:sz="2" w:space="0"/>
            </w:tcBorders>
            <w:noWrap w:val="0"/>
            <w:vAlign w:val="center"/>
          </w:tcPr>
          <w:p w14:paraId="102A3C0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生长</w:t>
            </w:r>
          </w:p>
        </w:tc>
        <w:tc>
          <w:tcPr>
            <w:tcW w:w="6279" w:type="dxa"/>
            <w:tcBorders>
              <w:top w:val="single" w:color="000000" w:sz="2" w:space="0"/>
              <w:left w:val="single" w:color="000000" w:sz="2" w:space="0"/>
              <w:bottom w:val="single" w:color="000000" w:sz="2" w:space="0"/>
              <w:right w:val="single" w:color="000000" w:sz="2" w:space="0"/>
            </w:tcBorders>
            <w:noWrap w:val="0"/>
            <w:vAlign w:val="top"/>
          </w:tcPr>
          <w:p w14:paraId="26E0BA7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(1)植株主干，主枝保持形态特征，无病情，腐烂的枝条和多余的萌孽枝叶；</w:t>
            </w:r>
          </w:p>
          <w:p w14:paraId="3392424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(2)无影响植株生长的树洞和创伤或树洞及时进行填补复原；</w:t>
            </w:r>
          </w:p>
          <w:p w14:paraId="49F8AC4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(3)保护区内及古树植株不应有影响生长的建筑物、构筑物等；植株上不应有影响生长的寄生植物；</w:t>
            </w:r>
          </w:p>
          <w:p w14:paraId="5E80040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(4)地面覆盖物必须有利植株的生长。</w:t>
            </w:r>
          </w:p>
        </w:tc>
      </w:tr>
      <w:tr w14:paraId="6FA78C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2" w:hRule="atLeast"/>
          <w:jc w:val="center"/>
        </w:trPr>
        <w:tc>
          <w:tcPr>
            <w:tcW w:w="688" w:type="dxa"/>
            <w:tcBorders>
              <w:top w:val="single" w:color="000000" w:sz="2" w:space="0"/>
              <w:left w:val="single" w:color="000000" w:sz="2" w:space="0"/>
              <w:bottom w:val="single" w:color="000000" w:sz="2" w:space="0"/>
              <w:right w:val="single" w:color="000000" w:sz="2" w:space="0"/>
            </w:tcBorders>
            <w:noWrap w:val="0"/>
            <w:vAlign w:val="center"/>
          </w:tcPr>
          <w:p w14:paraId="34CA15C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3</w:t>
            </w:r>
          </w:p>
        </w:tc>
        <w:tc>
          <w:tcPr>
            <w:tcW w:w="2161" w:type="dxa"/>
            <w:tcBorders>
              <w:top w:val="single" w:color="000000" w:sz="2" w:space="0"/>
              <w:left w:val="single" w:color="000000" w:sz="2" w:space="0"/>
              <w:bottom w:val="single" w:color="000000" w:sz="2" w:space="0"/>
              <w:right w:val="single" w:color="000000" w:sz="2" w:space="0"/>
            </w:tcBorders>
            <w:noWrap w:val="0"/>
            <w:vAlign w:val="center"/>
          </w:tcPr>
          <w:p w14:paraId="4658896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设施</w:t>
            </w:r>
          </w:p>
        </w:tc>
        <w:tc>
          <w:tcPr>
            <w:tcW w:w="6279" w:type="dxa"/>
            <w:tcBorders>
              <w:top w:val="single" w:color="000000" w:sz="2" w:space="0"/>
              <w:left w:val="single" w:color="000000" w:sz="2" w:space="0"/>
              <w:bottom w:val="single" w:color="000000" w:sz="2" w:space="0"/>
              <w:right w:val="single" w:color="000000" w:sz="2" w:space="0"/>
            </w:tcBorders>
            <w:noWrap w:val="0"/>
            <w:vAlign w:val="top"/>
          </w:tcPr>
          <w:p w14:paraId="5740180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(1)植株必须有保护标牌，位置明显，字迹清晰；</w:t>
            </w:r>
          </w:p>
          <w:p w14:paraId="50227E1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(2)保护区的设施(驳岸、围栏、避雷塔等)必须和谐美观、无破损、安全有效。</w:t>
            </w:r>
          </w:p>
        </w:tc>
      </w:tr>
      <w:tr w14:paraId="3CBAB1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7" w:hRule="atLeast"/>
          <w:jc w:val="center"/>
        </w:trPr>
        <w:tc>
          <w:tcPr>
            <w:tcW w:w="688" w:type="dxa"/>
            <w:tcBorders>
              <w:top w:val="single" w:color="000000" w:sz="2" w:space="0"/>
              <w:left w:val="single" w:color="000000" w:sz="2" w:space="0"/>
              <w:bottom w:val="single" w:color="000000" w:sz="2" w:space="0"/>
              <w:right w:val="single" w:color="000000" w:sz="2" w:space="0"/>
            </w:tcBorders>
            <w:noWrap w:val="0"/>
            <w:vAlign w:val="center"/>
          </w:tcPr>
          <w:p w14:paraId="553DF5B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4</w:t>
            </w:r>
          </w:p>
        </w:tc>
        <w:tc>
          <w:tcPr>
            <w:tcW w:w="2161" w:type="dxa"/>
            <w:tcBorders>
              <w:top w:val="single" w:color="000000" w:sz="2" w:space="0"/>
              <w:left w:val="single" w:color="000000" w:sz="2" w:space="0"/>
              <w:bottom w:val="single" w:color="000000" w:sz="2" w:space="0"/>
              <w:right w:val="single" w:color="000000" w:sz="2" w:space="0"/>
            </w:tcBorders>
            <w:noWrap w:val="0"/>
            <w:vAlign w:val="center"/>
          </w:tcPr>
          <w:p w14:paraId="514CC2D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排水</w:t>
            </w:r>
          </w:p>
        </w:tc>
        <w:tc>
          <w:tcPr>
            <w:tcW w:w="6279" w:type="dxa"/>
            <w:tcBorders>
              <w:top w:val="single" w:color="000000" w:sz="2" w:space="0"/>
              <w:left w:val="single" w:color="000000" w:sz="2" w:space="0"/>
              <w:bottom w:val="single" w:color="000000" w:sz="2" w:space="0"/>
              <w:right w:val="single" w:color="000000" w:sz="2" w:space="0"/>
            </w:tcBorders>
            <w:noWrap w:val="0"/>
            <w:vAlign w:val="top"/>
          </w:tcPr>
          <w:p w14:paraId="0E0CF13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保护区内必须排水通畅、无积水。</w:t>
            </w:r>
          </w:p>
        </w:tc>
      </w:tr>
      <w:tr w14:paraId="47B031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2" w:hRule="atLeast"/>
          <w:jc w:val="center"/>
        </w:trPr>
        <w:tc>
          <w:tcPr>
            <w:tcW w:w="688" w:type="dxa"/>
            <w:tcBorders>
              <w:top w:val="single" w:color="000000" w:sz="2" w:space="0"/>
              <w:left w:val="single" w:color="000000" w:sz="2" w:space="0"/>
              <w:bottom w:val="single" w:color="000000" w:sz="2" w:space="0"/>
              <w:right w:val="single" w:color="000000" w:sz="2" w:space="0"/>
            </w:tcBorders>
            <w:noWrap w:val="0"/>
            <w:vAlign w:val="center"/>
          </w:tcPr>
          <w:p w14:paraId="2BD7097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w:t>
            </w:r>
          </w:p>
        </w:tc>
        <w:tc>
          <w:tcPr>
            <w:tcW w:w="2161" w:type="dxa"/>
            <w:tcBorders>
              <w:top w:val="single" w:color="000000" w:sz="2" w:space="0"/>
              <w:left w:val="single" w:color="000000" w:sz="2" w:space="0"/>
              <w:bottom w:val="single" w:color="000000" w:sz="2" w:space="0"/>
              <w:right w:val="single" w:color="000000" w:sz="2" w:space="0"/>
            </w:tcBorders>
            <w:noWrap w:val="0"/>
            <w:vAlign w:val="center"/>
          </w:tcPr>
          <w:p w14:paraId="07A32E5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有害生物控制</w:t>
            </w:r>
          </w:p>
        </w:tc>
        <w:tc>
          <w:tcPr>
            <w:tcW w:w="6279" w:type="dxa"/>
            <w:tcBorders>
              <w:top w:val="single" w:color="000000" w:sz="2" w:space="0"/>
              <w:left w:val="single" w:color="000000" w:sz="2" w:space="0"/>
              <w:bottom w:val="single" w:color="000000" w:sz="2" w:space="0"/>
              <w:right w:val="single" w:color="000000" w:sz="2" w:space="0"/>
            </w:tcBorders>
            <w:noWrap w:val="0"/>
            <w:vAlign w:val="top"/>
          </w:tcPr>
          <w:p w14:paraId="6B018F8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(1)基本无有害生物危害状；</w:t>
            </w:r>
          </w:p>
          <w:p w14:paraId="7D944F6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(2)无大型、恶性、缠绕性杂草，保护区内无影响植株生长的杂草。</w:t>
            </w:r>
          </w:p>
        </w:tc>
      </w:tr>
      <w:tr w14:paraId="3775CA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2" w:hRule="atLeast"/>
          <w:jc w:val="center"/>
        </w:trPr>
        <w:tc>
          <w:tcPr>
            <w:tcW w:w="688" w:type="dxa"/>
            <w:tcBorders>
              <w:top w:val="single" w:color="000000" w:sz="2" w:space="0"/>
              <w:left w:val="single" w:color="000000" w:sz="2" w:space="0"/>
              <w:bottom w:val="single" w:color="000000" w:sz="2" w:space="0"/>
              <w:right w:val="single" w:color="000000" w:sz="2" w:space="0"/>
            </w:tcBorders>
            <w:noWrap w:val="0"/>
            <w:vAlign w:val="center"/>
          </w:tcPr>
          <w:p w14:paraId="0E0ACB9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6</w:t>
            </w:r>
          </w:p>
        </w:tc>
        <w:tc>
          <w:tcPr>
            <w:tcW w:w="2161" w:type="dxa"/>
            <w:tcBorders>
              <w:top w:val="single" w:color="000000" w:sz="2" w:space="0"/>
              <w:left w:val="single" w:color="000000" w:sz="2" w:space="0"/>
              <w:bottom w:val="single" w:color="000000" w:sz="2" w:space="0"/>
              <w:right w:val="single" w:color="000000" w:sz="2" w:space="0"/>
            </w:tcBorders>
            <w:noWrap w:val="0"/>
            <w:vAlign w:val="center"/>
          </w:tcPr>
          <w:p w14:paraId="78C7A25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清洁</w:t>
            </w:r>
          </w:p>
        </w:tc>
        <w:tc>
          <w:tcPr>
            <w:tcW w:w="6279" w:type="dxa"/>
            <w:tcBorders>
              <w:top w:val="single" w:color="000000" w:sz="2" w:space="0"/>
              <w:left w:val="single" w:color="000000" w:sz="2" w:space="0"/>
              <w:bottom w:val="single" w:color="000000" w:sz="2" w:space="0"/>
              <w:right w:val="single" w:color="000000" w:sz="2" w:space="0"/>
            </w:tcBorders>
            <w:noWrap w:val="0"/>
            <w:vAlign w:val="top"/>
          </w:tcPr>
          <w:p w14:paraId="13362A4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保护区无垃圾。</w:t>
            </w:r>
          </w:p>
        </w:tc>
      </w:tr>
      <w:tr w14:paraId="619CF5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7" w:hRule="atLeast"/>
          <w:jc w:val="center"/>
        </w:trPr>
        <w:tc>
          <w:tcPr>
            <w:tcW w:w="688" w:type="dxa"/>
            <w:tcBorders>
              <w:top w:val="single" w:color="000000" w:sz="2" w:space="0"/>
              <w:left w:val="single" w:color="000000" w:sz="2" w:space="0"/>
              <w:bottom w:val="single" w:color="000000" w:sz="2" w:space="0"/>
              <w:right w:val="single" w:color="000000" w:sz="2" w:space="0"/>
            </w:tcBorders>
            <w:noWrap w:val="0"/>
            <w:vAlign w:val="center"/>
          </w:tcPr>
          <w:p w14:paraId="114BC13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7</w:t>
            </w:r>
          </w:p>
        </w:tc>
        <w:tc>
          <w:tcPr>
            <w:tcW w:w="2161" w:type="dxa"/>
            <w:tcBorders>
              <w:top w:val="single" w:color="000000" w:sz="2" w:space="0"/>
              <w:left w:val="single" w:color="000000" w:sz="2" w:space="0"/>
              <w:bottom w:val="single" w:color="000000" w:sz="2" w:space="0"/>
              <w:right w:val="single" w:color="000000" w:sz="2" w:space="0"/>
            </w:tcBorders>
            <w:noWrap w:val="0"/>
            <w:vAlign w:val="center"/>
          </w:tcPr>
          <w:p w14:paraId="3887CC0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8"/>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档案资料</w:t>
            </w:r>
          </w:p>
        </w:tc>
        <w:tc>
          <w:tcPr>
            <w:tcW w:w="6279" w:type="dxa"/>
            <w:tcBorders>
              <w:top w:val="single" w:color="000000" w:sz="2" w:space="0"/>
              <w:left w:val="single" w:color="000000" w:sz="2" w:space="0"/>
              <w:bottom w:val="single" w:color="000000" w:sz="2" w:space="0"/>
              <w:right w:val="single" w:color="000000" w:sz="2" w:space="0"/>
            </w:tcBorders>
            <w:noWrap w:val="0"/>
            <w:vAlign w:val="top"/>
          </w:tcPr>
          <w:p w14:paraId="0FB73E8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建立一树一档，历史资料齐全，有动态养护记录。</w:t>
            </w:r>
          </w:p>
        </w:tc>
      </w:tr>
    </w:tbl>
    <w:p w14:paraId="14FD1EE1">
      <w:pPr>
        <w:pageBreakBefore w:val="0"/>
        <w:wordWrap/>
        <w:overflowPunct/>
        <w:topLinePunct w:val="0"/>
        <w:bidi w:val="0"/>
        <w:spacing w:line="460" w:lineRule="exact"/>
        <w:jc w:val="center"/>
        <w:rPr>
          <w:rFonts w:hint="eastAsia" w:ascii="仿宋" w:hAnsi="仿宋" w:eastAsia="仿宋" w:cs="仿宋"/>
          <w:color w:val="auto"/>
          <w:sz w:val="24"/>
          <w:szCs w:val="24"/>
          <w:highlight w:val="none"/>
          <w:shd w:val="clear" w:color="auto" w:fill="FFFFFE"/>
        </w:rPr>
      </w:pPr>
    </w:p>
    <w:p w14:paraId="4567E97C">
      <w:pPr>
        <w:pageBreakBefore w:val="0"/>
        <w:wordWrap/>
        <w:overflowPunct/>
        <w:topLinePunct w:val="0"/>
        <w:bidi w:val="0"/>
        <w:spacing w:line="460" w:lineRule="exact"/>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表 3.0.15  土壤埋化性质要求</w:t>
      </w:r>
    </w:p>
    <w:tbl>
      <w:tblPr>
        <w:tblStyle w:val="6"/>
        <w:tblW w:w="90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923"/>
        <w:gridCol w:w="939"/>
        <w:gridCol w:w="1167"/>
        <w:gridCol w:w="860"/>
        <w:gridCol w:w="973"/>
        <w:gridCol w:w="991"/>
        <w:gridCol w:w="829"/>
        <w:gridCol w:w="878"/>
        <w:gridCol w:w="772"/>
        <w:gridCol w:w="740"/>
      </w:tblGrid>
      <w:tr w14:paraId="03C6F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03" w:hRule="atLeast"/>
          <w:jc w:val="center"/>
        </w:trPr>
        <w:tc>
          <w:tcPr>
            <w:tcW w:w="868" w:type="dxa"/>
            <w:vMerge w:val="restart"/>
            <w:noWrap w:val="0"/>
            <w:vAlign w:val="center"/>
          </w:tcPr>
          <w:p w14:paraId="6D93103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204"/>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项目</w:t>
            </w:r>
          </w:p>
          <w:p w14:paraId="75D141E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204"/>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指标</w:t>
            </w:r>
          </w:p>
          <w:p w14:paraId="10F4A47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204"/>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内容</w:t>
            </w:r>
          </w:p>
        </w:tc>
        <w:tc>
          <w:tcPr>
            <w:tcW w:w="883" w:type="dxa"/>
            <w:vMerge w:val="restart"/>
            <w:noWrap w:val="0"/>
            <w:vAlign w:val="center"/>
          </w:tcPr>
          <w:p w14:paraId="65E7752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PH</w:t>
            </w:r>
          </w:p>
        </w:tc>
        <w:tc>
          <w:tcPr>
            <w:tcW w:w="1097" w:type="dxa"/>
            <w:vMerge w:val="restart"/>
            <w:noWrap w:val="0"/>
            <w:vAlign w:val="center"/>
          </w:tcPr>
          <w:p w14:paraId="238905D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EC</w:t>
            </w:r>
            <w:r>
              <w:rPr>
                <w:rFonts w:hint="eastAsia" w:ascii="仿宋" w:hAnsi="仿宋" w:eastAsia="仿宋" w:cs="仿宋"/>
                <w:color w:val="auto"/>
                <w:sz w:val="24"/>
                <w:szCs w:val="24"/>
                <w:highlight w:val="none"/>
              </w:rPr>
              <w:t xml:space="preserve">  </w:t>
            </w:r>
            <w:r>
              <w:rPr>
                <w:rFonts w:hint="eastAsia" w:ascii="仿宋" w:hAnsi="仿宋" w:eastAsia="仿宋" w:cs="仿宋"/>
                <w:color w:val="auto"/>
                <w:sz w:val="24"/>
                <w:szCs w:val="24"/>
                <w:highlight w:val="none"/>
                <w:shd w:val="clear" w:color="auto" w:fill="FFFFFE"/>
              </w:rPr>
              <w:t>(mS/cm)</w:t>
            </w:r>
          </w:p>
        </w:tc>
        <w:tc>
          <w:tcPr>
            <w:tcW w:w="808" w:type="dxa"/>
            <w:vMerge w:val="restart"/>
            <w:noWrap w:val="0"/>
            <w:vAlign w:val="center"/>
          </w:tcPr>
          <w:p w14:paraId="4FE0875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有机质(g/kg)</w:t>
            </w:r>
          </w:p>
        </w:tc>
        <w:tc>
          <w:tcPr>
            <w:tcW w:w="914" w:type="dxa"/>
            <w:vMerge w:val="restart"/>
            <w:noWrap w:val="0"/>
            <w:vAlign w:val="center"/>
          </w:tcPr>
          <w:p w14:paraId="641B450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容重(Mg/m³)</w:t>
            </w:r>
          </w:p>
        </w:tc>
        <w:tc>
          <w:tcPr>
            <w:tcW w:w="931" w:type="dxa"/>
            <w:vMerge w:val="restart"/>
            <w:noWrap w:val="0"/>
            <w:vAlign w:val="center"/>
          </w:tcPr>
          <w:p w14:paraId="61FF8F3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非毛管孔隙(%)</w:t>
            </w:r>
          </w:p>
        </w:tc>
        <w:tc>
          <w:tcPr>
            <w:tcW w:w="779" w:type="dxa"/>
            <w:vMerge w:val="restart"/>
            <w:noWrap w:val="0"/>
            <w:vAlign w:val="center"/>
          </w:tcPr>
          <w:p w14:paraId="6E06A78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有效</w:t>
            </w:r>
            <w:r>
              <w:rPr>
                <w:rFonts w:hint="eastAsia" w:ascii="仿宋" w:hAnsi="仿宋" w:eastAsia="仿宋" w:cs="仿宋"/>
                <w:color w:val="auto"/>
                <w:sz w:val="24"/>
                <w:szCs w:val="24"/>
                <w:highlight w:val="none"/>
              </w:rPr>
              <w:t xml:space="preserve"> </w:t>
            </w:r>
            <w:r>
              <w:rPr>
                <w:rFonts w:hint="eastAsia" w:ascii="仿宋" w:hAnsi="仿宋" w:eastAsia="仿宋" w:cs="仿宋"/>
                <w:color w:val="auto"/>
                <w:sz w:val="24"/>
                <w:szCs w:val="24"/>
                <w:highlight w:val="none"/>
                <w:shd w:val="clear" w:color="auto" w:fill="FFFFFE"/>
              </w:rPr>
              <w:t>土层</w:t>
            </w:r>
            <w:r>
              <w:rPr>
                <w:rFonts w:hint="eastAsia" w:ascii="仿宋" w:hAnsi="仿宋" w:eastAsia="仿宋" w:cs="仿宋"/>
                <w:color w:val="auto"/>
                <w:sz w:val="24"/>
                <w:szCs w:val="24"/>
                <w:highlight w:val="none"/>
              </w:rPr>
              <w:t xml:space="preserve"> </w:t>
            </w:r>
            <w:r>
              <w:rPr>
                <w:rFonts w:hint="eastAsia" w:ascii="仿宋" w:hAnsi="仿宋" w:eastAsia="仿宋" w:cs="仿宋"/>
                <w:color w:val="auto"/>
                <w:sz w:val="24"/>
                <w:szCs w:val="24"/>
                <w:highlight w:val="none"/>
                <w:shd w:val="clear" w:color="auto" w:fill="FFFFFE"/>
              </w:rPr>
              <w:t>(cm)</w:t>
            </w:r>
          </w:p>
        </w:tc>
        <w:tc>
          <w:tcPr>
            <w:tcW w:w="825" w:type="dxa"/>
            <w:vMerge w:val="restart"/>
            <w:noWrap w:val="0"/>
            <w:vAlign w:val="center"/>
          </w:tcPr>
          <w:p w14:paraId="5542B67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石灰</w:t>
            </w:r>
          </w:p>
          <w:p w14:paraId="39919A9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反应</w:t>
            </w:r>
          </w:p>
          <w:p w14:paraId="08C72E1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(g/kg)</w:t>
            </w:r>
          </w:p>
        </w:tc>
        <w:tc>
          <w:tcPr>
            <w:tcW w:w="1421" w:type="dxa"/>
            <w:gridSpan w:val="2"/>
            <w:noWrap w:val="0"/>
            <w:vAlign w:val="center"/>
          </w:tcPr>
          <w:p w14:paraId="462EA51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石砾</w:t>
            </w:r>
          </w:p>
        </w:tc>
      </w:tr>
      <w:tr w14:paraId="1BC04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74" w:hRule="atLeast"/>
          <w:jc w:val="center"/>
        </w:trPr>
        <w:tc>
          <w:tcPr>
            <w:tcW w:w="868" w:type="dxa"/>
            <w:vMerge w:val="continue"/>
            <w:noWrap w:val="0"/>
            <w:vAlign w:val="center"/>
          </w:tcPr>
          <w:p w14:paraId="7645DB9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p>
        </w:tc>
        <w:tc>
          <w:tcPr>
            <w:tcW w:w="883" w:type="dxa"/>
            <w:vMerge w:val="continue"/>
            <w:noWrap w:val="0"/>
            <w:vAlign w:val="center"/>
          </w:tcPr>
          <w:p w14:paraId="289CD44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p>
        </w:tc>
        <w:tc>
          <w:tcPr>
            <w:tcW w:w="1097" w:type="dxa"/>
            <w:vMerge w:val="continue"/>
            <w:noWrap w:val="0"/>
            <w:vAlign w:val="center"/>
          </w:tcPr>
          <w:p w14:paraId="643F9C8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p>
        </w:tc>
        <w:tc>
          <w:tcPr>
            <w:tcW w:w="808" w:type="dxa"/>
            <w:vMerge w:val="continue"/>
            <w:noWrap w:val="0"/>
            <w:vAlign w:val="center"/>
          </w:tcPr>
          <w:p w14:paraId="50B954D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p>
        </w:tc>
        <w:tc>
          <w:tcPr>
            <w:tcW w:w="914" w:type="dxa"/>
            <w:vMerge w:val="continue"/>
            <w:noWrap w:val="0"/>
            <w:vAlign w:val="center"/>
          </w:tcPr>
          <w:p w14:paraId="5CD20F3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p>
        </w:tc>
        <w:tc>
          <w:tcPr>
            <w:tcW w:w="931" w:type="dxa"/>
            <w:vMerge w:val="continue"/>
            <w:noWrap w:val="0"/>
            <w:vAlign w:val="center"/>
          </w:tcPr>
          <w:p w14:paraId="07A8D8E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p>
        </w:tc>
        <w:tc>
          <w:tcPr>
            <w:tcW w:w="779" w:type="dxa"/>
            <w:vMerge w:val="continue"/>
            <w:noWrap w:val="0"/>
            <w:vAlign w:val="center"/>
          </w:tcPr>
          <w:p w14:paraId="52E5895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p>
        </w:tc>
        <w:tc>
          <w:tcPr>
            <w:tcW w:w="825" w:type="dxa"/>
            <w:vMerge w:val="continue"/>
            <w:noWrap w:val="0"/>
            <w:vAlign w:val="center"/>
          </w:tcPr>
          <w:p w14:paraId="1CC3102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p>
        </w:tc>
        <w:tc>
          <w:tcPr>
            <w:tcW w:w="726" w:type="dxa"/>
            <w:noWrap w:val="0"/>
            <w:vAlign w:val="center"/>
          </w:tcPr>
          <w:p w14:paraId="4C5064D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粒种</w:t>
            </w:r>
            <w:r>
              <w:rPr>
                <w:rFonts w:hint="eastAsia" w:ascii="仿宋" w:hAnsi="仿宋" w:eastAsia="仿宋" w:cs="仿宋"/>
                <w:color w:val="auto"/>
                <w:sz w:val="24"/>
                <w:szCs w:val="24"/>
                <w:highlight w:val="none"/>
              </w:rPr>
              <w:t xml:space="preserve">  </w:t>
            </w:r>
            <w:r>
              <w:rPr>
                <w:rFonts w:hint="eastAsia" w:ascii="仿宋" w:hAnsi="仿宋" w:eastAsia="仿宋" w:cs="仿宋"/>
                <w:color w:val="auto"/>
                <w:sz w:val="24"/>
                <w:szCs w:val="24"/>
                <w:highlight w:val="none"/>
                <w:shd w:val="clear" w:color="auto" w:fill="FFFFFE"/>
              </w:rPr>
              <w:t>(cm)</w:t>
            </w:r>
          </w:p>
        </w:tc>
        <w:tc>
          <w:tcPr>
            <w:tcW w:w="695" w:type="dxa"/>
            <w:noWrap w:val="0"/>
            <w:vAlign w:val="center"/>
          </w:tcPr>
          <w:p w14:paraId="389F87A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含</w:t>
            </w:r>
          </w:p>
          <w:p w14:paraId="57C2D51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量</w:t>
            </w:r>
          </w:p>
          <w:p w14:paraId="68A7ACB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w:t>
            </w:r>
          </w:p>
        </w:tc>
      </w:tr>
      <w:tr w14:paraId="0801E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5" w:hRule="atLeast"/>
          <w:jc w:val="center"/>
        </w:trPr>
        <w:tc>
          <w:tcPr>
            <w:tcW w:w="868" w:type="dxa"/>
            <w:noWrap w:val="0"/>
            <w:vAlign w:val="center"/>
          </w:tcPr>
          <w:p w14:paraId="60CE7ED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乔木</w:t>
            </w:r>
          </w:p>
        </w:tc>
        <w:tc>
          <w:tcPr>
            <w:tcW w:w="883" w:type="dxa"/>
            <w:noWrap w:val="0"/>
            <w:vAlign w:val="center"/>
          </w:tcPr>
          <w:p w14:paraId="4AD7D74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6.5-7.8</w:t>
            </w:r>
          </w:p>
        </w:tc>
        <w:tc>
          <w:tcPr>
            <w:tcW w:w="1097" w:type="dxa"/>
            <w:noWrap w:val="0"/>
            <w:vAlign w:val="center"/>
          </w:tcPr>
          <w:p w14:paraId="140E6B1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0.35-1.20</w:t>
            </w:r>
          </w:p>
        </w:tc>
        <w:tc>
          <w:tcPr>
            <w:tcW w:w="808" w:type="dxa"/>
            <w:noWrap w:val="0"/>
            <w:vAlign w:val="center"/>
          </w:tcPr>
          <w:p w14:paraId="4D92745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≥20</w:t>
            </w:r>
          </w:p>
        </w:tc>
        <w:tc>
          <w:tcPr>
            <w:tcW w:w="914" w:type="dxa"/>
            <w:noWrap w:val="0"/>
            <w:vAlign w:val="center"/>
          </w:tcPr>
          <w:p w14:paraId="7B49A66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≤1.30</w:t>
            </w:r>
          </w:p>
        </w:tc>
        <w:tc>
          <w:tcPr>
            <w:tcW w:w="931" w:type="dxa"/>
            <w:noWrap w:val="0"/>
            <w:vAlign w:val="center"/>
          </w:tcPr>
          <w:p w14:paraId="5E010FD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≥8</w:t>
            </w:r>
          </w:p>
        </w:tc>
        <w:tc>
          <w:tcPr>
            <w:tcW w:w="779" w:type="dxa"/>
            <w:noWrap w:val="0"/>
            <w:vAlign w:val="center"/>
          </w:tcPr>
          <w:p w14:paraId="6A91F7A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≥150</w:t>
            </w:r>
          </w:p>
        </w:tc>
        <w:tc>
          <w:tcPr>
            <w:tcW w:w="825" w:type="dxa"/>
            <w:noWrap w:val="0"/>
            <w:vAlign w:val="center"/>
          </w:tcPr>
          <w:p w14:paraId="2326889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&lt;50</w:t>
            </w:r>
          </w:p>
        </w:tc>
        <w:tc>
          <w:tcPr>
            <w:tcW w:w="726" w:type="dxa"/>
            <w:noWrap w:val="0"/>
            <w:vAlign w:val="center"/>
          </w:tcPr>
          <w:p w14:paraId="2B24985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w:t>
            </w:r>
          </w:p>
        </w:tc>
        <w:tc>
          <w:tcPr>
            <w:tcW w:w="695" w:type="dxa"/>
            <w:noWrap w:val="0"/>
            <w:vAlign w:val="center"/>
          </w:tcPr>
          <w:p w14:paraId="0DEC646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≤10</w:t>
            </w:r>
          </w:p>
        </w:tc>
      </w:tr>
      <w:tr w14:paraId="5AE7C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8" w:hRule="atLeast"/>
          <w:jc w:val="center"/>
        </w:trPr>
        <w:tc>
          <w:tcPr>
            <w:tcW w:w="868" w:type="dxa"/>
            <w:noWrap w:val="0"/>
            <w:vAlign w:val="center"/>
          </w:tcPr>
          <w:p w14:paraId="404D07D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灌木</w:t>
            </w:r>
          </w:p>
        </w:tc>
        <w:tc>
          <w:tcPr>
            <w:tcW w:w="883" w:type="dxa"/>
            <w:noWrap w:val="0"/>
            <w:vAlign w:val="center"/>
          </w:tcPr>
          <w:p w14:paraId="34A0324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6.0-7.5</w:t>
            </w:r>
          </w:p>
        </w:tc>
        <w:tc>
          <w:tcPr>
            <w:tcW w:w="1097" w:type="dxa"/>
            <w:noWrap w:val="0"/>
            <w:vAlign w:val="center"/>
          </w:tcPr>
          <w:p w14:paraId="1B7AF06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0.50-1.50</w:t>
            </w:r>
          </w:p>
        </w:tc>
        <w:tc>
          <w:tcPr>
            <w:tcW w:w="808" w:type="dxa"/>
            <w:noWrap w:val="0"/>
            <w:vAlign w:val="center"/>
          </w:tcPr>
          <w:p w14:paraId="728C38A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≥30</w:t>
            </w:r>
          </w:p>
        </w:tc>
        <w:tc>
          <w:tcPr>
            <w:tcW w:w="914" w:type="dxa"/>
            <w:noWrap w:val="0"/>
            <w:vAlign w:val="center"/>
          </w:tcPr>
          <w:p w14:paraId="74B5877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≤1.30</w:t>
            </w:r>
          </w:p>
        </w:tc>
        <w:tc>
          <w:tcPr>
            <w:tcW w:w="931" w:type="dxa"/>
            <w:noWrap w:val="0"/>
            <w:vAlign w:val="center"/>
          </w:tcPr>
          <w:p w14:paraId="644E23D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≥10</w:t>
            </w:r>
          </w:p>
        </w:tc>
        <w:tc>
          <w:tcPr>
            <w:tcW w:w="779" w:type="dxa"/>
            <w:noWrap w:val="0"/>
            <w:vAlign w:val="center"/>
          </w:tcPr>
          <w:p w14:paraId="3FDF15F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≥80</w:t>
            </w:r>
          </w:p>
        </w:tc>
        <w:tc>
          <w:tcPr>
            <w:tcW w:w="825" w:type="dxa"/>
            <w:noWrap w:val="0"/>
            <w:vAlign w:val="center"/>
          </w:tcPr>
          <w:p w14:paraId="0EF1C7A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&lt;10</w:t>
            </w:r>
          </w:p>
        </w:tc>
        <w:tc>
          <w:tcPr>
            <w:tcW w:w="726" w:type="dxa"/>
            <w:noWrap w:val="0"/>
            <w:vAlign w:val="center"/>
          </w:tcPr>
          <w:p w14:paraId="2EE0EBB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w:t>
            </w:r>
          </w:p>
        </w:tc>
        <w:tc>
          <w:tcPr>
            <w:tcW w:w="695" w:type="dxa"/>
            <w:noWrap w:val="0"/>
            <w:vAlign w:val="center"/>
          </w:tcPr>
          <w:p w14:paraId="6F71581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≤10</w:t>
            </w:r>
          </w:p>
        </w:tc>
      </w:tr>
      <w:tr w14:paraId="02B486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6" w:hRule="atLeast"/>
          <w:jc w:val="center"/>
        </w:trPr>
        <w:tc>
          <w:tcPr>
            <w:tcW w:w="868" w:type="dxa"/>
            <w:noWrap w:val="0"/>
            <w:vAlign w:val="center"/>
          </w:tcPr>
          <w:p w14:paraId="075493A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花坛</w:t>
            </w:r>
          </w:p>
          <w:p w14:paraId="1358374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花镜</w:t>
            </w:r>
          </w:p>
        </w:tc>
        <w:tc>
          <w:tcPr>
            <w:tcW w:w="883" w:type="dxa"/>
            <w:noWrap w:val="0"/>
            <w:vAlign w:val="center"/>
          </w:tcPr>
          <w:p w14:paraId="207F3DE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6.0-7.5</w:t>
            </w:r>
          </w:p>
        </w:tc>
        <w:tc>
          <w:tcPr>
            <w:tcW w:w="1097" w:type="dxa"/>
            <w:noWrap w:val="0"/>
            <w:vAlign w:val="center"/>
          </w:tcPr>
          <w:p w14:paraId="7A71387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0.50-1.50</w:t>
            </w:r>
          </w:p>
        </w:tc>
        <w:tc>
          <w:tcPr>
            <w:tcW w:w="808" w:type="dxa"/>
            <w:noWrap w:val="0"/>
            <w:vAlign w:val="center"/>
          </w:tcPr>
          <w:p w14:paraId="1C559D4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≥30</w:t>
            </w:r>
          </w:p>
        </w:tc>
        <w:tc>
          <w:tcPr>
            <w:tcW w:w="914" w:type="dxa"/>
            <w:noWrap w:val="0"/>
            <w:vAlign w:val="center"/>
          </w:tcPr>
          <w:p w14:paraId="121312B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≤1.20</w:t>
            </w:r>
          </w:p>
        </w:tc>
        <w:tc>
          <w:tcPr>
            <w:tcW w:w="931" w:type="dxa"/>
            <w:noWrap w:val="0"/>
            <w:vAlign w:val="center"/>
          </w:tcPr>
          <w:p w14:paraId="179A8BC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≥10</w:t>
            </w:r>
          </w:p>
        </w:tc>
        <w:tc>
          <w:tcPr>
            <w:tcW w:w="779" w:type="dxa"/>
            <w:noWrap w:val="0"/>
            <w:vAlign w:val="center"/>
          </w:tcPr>
          <w:p w14:paraId="55E5979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≥40</w:t>
            </w:r>
          </w:p>
        </w:tc>
        <w:tc>
          <w:tcPr>
            <w:tcW w:w="825" w:type="dxa"/>
            <w:noWrap w:val="0"/>
            <w:vAlign w:val="center"/>
          </w:tcPr>
          <w:p w14:paraId="177F774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&lt;10</w:t>
            </w:r>
          </w:p>
        </w:tc>
        <w:tc>
          <w:tcPr>
            <w:tcW w:w="726" w:type="dxa"/>
            <w:noWrap w:val="0"/>
            <w:vAlign w:val="center"/>
          </w:tcPr>
          <w:p w14:paraId="554FE97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w:t>
            </w:r>
          </w:p>
        </w:tc>
        <w:tc>
          <w:tcPr>
            <w:tcW w:w="695" w:type="dxa"/>
            <w:noWrap w:val="0"/>
            <w:vAlign w:val="center"/>
          </w:tcPr>
          <w:p w14:paraId="76A7E16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w:t>
            </w:r>
          </w:p>
        </w:tc>
      </w:tr>
      <w:tr w14:paraId="1BD04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8" w:hRule="atLeast"/>
          <w:jc w:val="center"/>
        </w:trPr>
        <w:tc>
          <w:tcPr>
            <w:tcW w:w="868" w:type="dxa"/>
            <w:noWrap w:val="0"/>
            <w:vAlign w:val="center"/>
          </w:tcPr>
          <w:p w14:paraId="79278E4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地被</w:t>
            </w:r>
          </w:p>
          <w:p w14:paraId="1735A99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草坪</w:t>
            </w:r>
          </w:p>
        </w:tc>
        <w:tc>
          <w:tcPr>
            <w:tcW w:w="883" w:type="dxa"/>
            <w:noWrap w:val="0"/>
            <w:vAlign w:val="center"/>
          </w:tcPr>
          <w:p w14:paraId="1F505CA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6.0-7.5</w:t>
            </w:r>
          </w:p>
        </w:tc>
        <w:tc>
          <w:tcPr>
            <w:tcW w:w="1097" w:type="dxa"/>
            <w:noWrap w:val="0"/>
            <w:vAlign w:val="center"/>
          </w:tcPr>
          <w:p w14:paraId="5D69921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0.50-1.50</w:t>
            </w:r>
          </w:p>
        </w:tc>
        <w:tc>
          <w:tcPr>
            <w:tcW w:w="808" w:type="dxa"/>
            <w:noWrap w:val="0"/>
            <w:vAlign w:val="center"/>
          </w:tcPr>
          <w:p w14:paraId="6FCCC0F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≥20</w:t>
            </w:r>
          </w:p>
        </w:tc>
        <w:tc>
          <w:tcPr>
            <w:tcW w:w="914" w:type="dxa"/>
            <w:noWrap w:val="0"/>
            <w:vAlign w:val="center"/>
          </w:tcPr>
          <w:p w14:paraId="5125D89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≤1.25</w:t>
            </w:r>
          </w:p>
        </w:tc>
        <w:tc>
          <w:tcPr>
            <w:tcW w:w="931" w:type="dxa"/>
            <w:noWrap w:val="0"/>
            <w:vAlign w:val="center"/>
          </w:tcPr>
          <w:p w14:paraId="006AF52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≥10</w:t>
            </w:r>
          </w:p>
        </w:tc>
        <w:tc>
          <w:tcPr>
            <w:tcW w:w="779" w:type="dxa"/>
            <w:noWrap w:val="0"/>
            <w:vAlign w:val="center"/>
          </w:tcPr>
          <w:p w14:paraId="68C0A09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≥30</w:t>
            </w:r>
          </w:p>
        </w:tc>
        <w:tc>
          <w:tcPr>
            <w:tcW w:w="825" w:type="dxa"/>
            <w:noWrap w:val="0"/>
            <w:vAlign w:val="center"/>
          </w:tcPr>
          <w:p w14:paraId="55CE4D8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&lt;50</w:t>
            </w:r>
          </w:p>
        </w:tc>
        <w:tc>
          <w:tcPr>
            <w:tcW w:w="1421" w:type="dxa"/>
            <w:gridSpan w:val="2"/>
            <w:noWrap w:val="0"/>
            <w:vAlign w:val="center"/>
          </w:tcPr>
          <w:p w14:paraId="703B485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0</w:t>
            </w:r>
          </w:p>
        </w:tc>
      </w:tr>
      <w:tr w14:paraId="1EB93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6" w:hRule="atLeast"/>
          <w:jc w:val="center"/>
        </w:trPr>
        <w:tc>
          <w:tcPr>
            <w:tcW w:w="868" w:type="dxa"/>
            <w:noWrap w:val="0"/>
            <w:vAlign w:val="center"/>
          </w:tcPr>
          <w:p w14:paraId="7AA79DF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盆栽</w:t>
            </w:r>
          </w:p>
        </w:tc>
        <w:tc>
          <w:tcPr>
            <w:tcW w:w="883" w:type="dxa"/>
            <w:noWrap w:val="0"/>
            <w:vAlign w:val="center"/>
          </w:tcPr>
          <w:p w14:paraId="4E7B620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6.3-7.5</w:t>
            </w:r>
          </w:p>
        </w:tc>
        <w:tc>
          <w:tcPr>
            <w:tcW w:w="1097" w:type="dxa"/>
            <w:noWrap w:val="0"/>
            <w:vAlign w:val="center"/>
          </w:tcPr>
          <w:p w14:paraId="2F7A942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0.20-2.00</w:t>
            </w:r>
          </w:p>
        </w:tc>
        <w:tc>
          <w:tcPr>
            <w:tcW w:w="808" w:type="dxa"/>
            <w:noWrap w:val="0"/>
            <w:vAlign w:val="center"/>
          </w:tcPr>
          <w:p w14:paraId="1B7E40A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≥50</w:t>
            </w:r>
          </w:p>
        </w:tc>
        <w:tc>
          <w:tcPr>
            <w:tcW w:w="914" w:type="dxa"/>
            <w:noWrap w:val="0"/>
            <w:vAlign w:val="center"/>
          </w:tcPr>
          <w:p w14:paraId="13220DC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≤1.00</w:t>
            </w:r>
          </w:p>
        </w:tc>
        <w:tc>
          <w:tcPr>
            <w:tcW w:w="931" w:type="dxa"/>
            <w:noWrap w:val="0"/>
            <w:vAlign w:val="center"/>
          </w:tcPr>
          <w:p w14:paraId="64A7C1F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≥15</w:t>
            </w:r>
          </w:p>
        </w:tc>
        <w:tc>
          <w:tcPr>
            <w:tcW w:w="779" w:type="dxa"/>
            <w:noWrap w:val="0"/>
            <w:vAlign w:val="center"/>
          </w:tcPr>
          <w:p w14:paraId="0463EEA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w:t>
            </w:r>
          </w:p>
        </w:tc>
        <w:tc>
          <w:tcPr>
            <w:tcW w:w="825" w:type="dxa"/>
            <w:noWrap w:val="0"/>
            <w:vAlign w:val="center"/>
          </w:tcPr>
          <w:p w14:paraId="1CD34B3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&lt;10</w:t>
            </w:r>
          </w:p>
        </w:tc>
        <w:tc>
          <w:tcPr>
            <w:tcW w:w="1421" w:type="dxa"/>
            <w:gridSpan w:val="2"/>
            <w:noWrap w:val="0"/>
            <w:vAlign w:val="center"/>
          </w:tcPr>
          <w:p w14:paraId="505EC7D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2</w:t>
            </w:r>
          </w:p>
        </w:tc>
      </w:tr>
      <w:tr w14:paraId="69380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8" w:hRule="atLeast"/>
          <w:jc w:val="center"/>
        </w:trPr>
        <w:tc>
          <w:tcPr>
            <w:tcW w:w="868" w:type="dxa"/>
            <w:noWrap w:val="0"/>
            <w:vAlign w:val="center"/>
          </w:tcPr>
          <w:p w14:paraId="1322D24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行道</w:t>
            </w:r>
          </w:p>
          <w:p w14:paraId="449FDA5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树</w:t>
            </w:r>
          </w:p>
        </w:tc>
        <w:tc>
          <w:tcPr>
            <w:tcW w:w="883" w:type="dxa"/>
            <w:noWrap w:val="0"/>
            <w:vAlign w:val="center"/>
          </w:tcPr>
          <w:p w14:paraId="29A7C33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6.0-7.5</w:t>
            </w:r>
          </w:p>
        </w:tc>
        <w:tc>
          <w:tcPr>
            <w:tcW w:w="1097" w:type="dxa"/>
            <w:noWrap w:val="0"/>
            <w:vAlign w:val="center"/>
          </w:tcPr>
          <w:p w14:paraId="32CAB94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0.35-1.20</w:t>
            </w:r>
          </w:p>
        </w:tc>
        <w:tc>
          <w:tcPr>
            <w:tcW w:w="808" w:type="dxa"/>
            <w:noWrap w:val="0"/>
            <w:vAlign w:val="center"/>
          </w:tcPr>
          <w:p w14:paraId="05F5811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≥25</w:t>
            </w:r>
          </w:p>
        </w:tc>
        <w:tc>
          <w:tcPr>
            <w:tcW w:w="914" w:type="dxa"/>
            <w:noWrap w:val="0"/>
            <w:vAlign w:val="center"/>
          </w:tcPr>
          <w:p w14:paraId="263C9FE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≤1.30</w:t>
            </w:r>
          </w:p>
        </w:tc>
        <w:tc>
          <w:tcPr>
            <w:tcW w:w="931" w:type="dxa"/>
            <w:noWrap w:val="0"/>
            <w:vAlign w:val="center"/>
          </w:tcPr>
          <w:p w14:paraId="7B73648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≥8</w:t>
            </w:r>
          </w:p>
        </w:tc>
        <w:tc>
          <w:tcPr>
            <w:tcW w:w="779" w:type="dxa"/>
            <w:noWrap w:val="0"/>
            <w:vAlign w:val="center"/>
          </w:tcPr>
          <w:p w14:paraId="63C8973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≥150</w:t>
            </w:r>
          </w:p>
        </w:tc>
        <w:tc>
          <w:tcPr>
            <w:tcW w:w="825" w:type="dxa"/>
            <w:noWrap w:val="0"/>
            <w:vAlign w:val="center"/>
          </w:tcPr>
          <w:p w14:paraId="21F7F9F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&lt;50</w:t>
            </w:r>
          </w:p>
        </w:tc>
        <w:tc>
          <w:tcPr>
            <w:tcW w:w="726" w:type="dxa"/>
            <w:noWrap w:val="0"/>
            <w:vAlign w:val="center"/>
          </w:tcPr>
          <w:p w14:paraId="41FBF6B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w:t>
            </w:r>
          </w:p>
        </w:tc>
        <w:tc>
          <w:tcPr>
            <w:tcW w:w="695" w:type="dxa"/>
            <w:noWrap w:val="0"/>
            <w:vAlign w:val="center"/>
          </w:tcPr>
          <w:p w14:paraId="51D2162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≤10</w:t>
            </w:r>
          </w:p>
        </w:tc>
      </w:tr>
      <w:tr w14:paraId="59785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33" w:hRule="atLeast"/>
          <w:jc w:val="center"/>
        </w:trPr>
        <w:tc>
          <w:tcPr>
            <w:tcW w:w="868" w:type="dxa"/>
            <w:noWrap w:val="0"/>
            <w:vAlign w:val="center"/>
          </w:tcPr>
          <w:p w14:paraId="375906B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竹类</w:t>
            </w:r>
          </w:p>
        </w:tc>
        <w:tc>
          <w:tcPr>
            <w:tcW w:w="883" w:type="dxa"/>
            <w:noWrap w:val="0"/>
            <w:vAlign w:val="center"/>
          </w:tcPr>
          <w:p w14:paraId="68FCDF3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5.0-6.5</w:t>
            </w:r>
          </w:p>
        </w:tc>
        <w:tc>
          <w:tcPr>
            <w:tcW w:w="1097" w:type="dxa"/>
            <w:noWrap w:val="0"/>
            <w:vAlign w:val="center"/>
          </w:tcPr>
          <w:p w14:paraId="3EC2F12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0.25-1.20</w:t>
            </w:r>
          </w:p>
        </w:tc>
        <w:tc>
          <w:tcPr>
            <w:tcW w:w="808" w:type="dxa"/>
            <w:noWrap w:val="0"/>
            <w:vAlign w:val="center"/>
          </w:tcPr>
          <w:p w14:paraId="5B94E11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≥30</w:t>
            </w:r>
          </w:p>
        </w:tc>
        <w:tc>
          <w:tcPr>
            <w:tcW w:w="914" w:type="dxa"/>
            <w:noWrap w:val="0"/>
            <w:vAlign w:val="center"/>
          </w:tcPr>
          <w:p w14:paraId="17A5313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≤1.20</w:t>
            </w:r>
          </w:p>
        </w:tc>
        <w:tc>
          <w:tcPr>
            <w:tcW w:w="931" w:type="dxa"/>
            <w:noWrap w:val="0"/>
            <w:vAlign w:val="center"/>
          </w:tcPr>
          <w:p w14:paraId="65EFE40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≥10</w:t>
            </w:r>
          </w:p>
        </w:tc>
        <w:tc>
          <w:tcPr>
            <w:tcW w:w="779" w:type="dxa"/>
            <w:noWrap w:val="0"/>
            <w:vAlign w:val="center"/>
          </w:tcPr>
          <w:p w14:paraId="533E118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≥60</w:t>
            </w:r>
          </w:p>
        </w:tc>
        <w:tc>
          <w:tcPr>
            <w:tcW w:w="825" w:type="dxa"/>
            <w:noWrap w:val="0"/>
            <w:vAlign w:val="center"/>
          </w:tcPr>
          <w:p w14:paraId="243ED1A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&lt;10</w:t>
            </w:r>
          </w:p>
        </w:tc>
        <w:tc>
          <w:tcPr>
            <w:tcW w:w="726" w:type="dxa"/>
            <w:noWrap w:val="0"/>
            <w:vAlign w:val="center"/>
          </w:tcPr>
          <w:p w14:paraId="4A7BE33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w:t>
            </w:r>
          </w:p>
        </w:tc>
        <w:tc>
          <w:tcPr>
            <w:tcW w:w="695" w:type="dxa"/>
            <w:noWrap w:val="0"/>
            <w:vAlign w:val="center"/>
          </w:tcPr>
          <w:p w14:paraId="758C734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≤10</w:t>
            </w:r>
          </w:p>
        </w:tc>
      </w:tr>
    </w:tbl>
    <w:p w14:paraId="422802B2">
      <w:pPr>
        <w:pageBreakBefore w:val="0"/>
        <w:widowControl/>
        <w:wordWrap/>
        <w:overflowPunct/>
        <w:topLinePunct w:val="0"/>
        <w:bidi w:val="0"/>
        <w:spacing w:line="460" w:lineRule="exact"/>
        <w:jc w:val="left"/>
        <w:outlineLvl w:val="3"/>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 xml:space="preserve">3.0.15 土壤养护技术要求应符合下列规定：  </w:t>
      </w:r>
    </w:p>
    <w:p w14:paraId="18E87E17">
      <w:pPr>
        <w:pageBreakBefore w:val="0"/>
        <w:widowControl/>
        <w:wordWrap/>
        <w:overflowPunct/>
        <w:topLinePunct w:val="0"/>
        <w:bidi w:val="0"/>
        <w:spacing w:line="460" w:lineRule="exact"/>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 xml:space="preserve">1、各类绿地养护期间，土壤中严禁建筑垃圾和有害物质混入；  </w:t>
      </w:r>
    </w:p>
    <w:p w14:paraId="7C57AB75">
      <w:pPr>
        <w:pageBreakBefore w:val="0"/>
        <w:widowControl/>
        <w:wordWrap/>
        <w:overflowPunct/>
        <w:topLinePunct w:val="0"/>
        <w:bidi w:val="0"/>
        <w:spacing w:line="460" w:lineRule="exact"/>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 xml:space="preserve">2、盐碱土含盐量应小于 1g/kg；  </w:t>
      </w:r>
    </w:p>
    <w:p w14:paraId="556AB4E0">
      <w:pPr>
        <w:pageBreakBefore w:val="0"/>
        <w:widowControl/>
        <w:wordWrap/>
        <w:overflowPunct/>
        <w:topLinePunct w:val="0"/>
        <w:bidi w:val="0"/>
        <w:spacing w:line="460" w:lineRule="exact"/>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3、对喜酸性植物，土壤 pH 值必须控制在 5.0-6.5，无石灰反应；</w:t>
      </w:r>
    </w:p>
    <w:p w14:paraId="4E239E0B">
      <w:pPr>
        <w:pageBreakBefore w:val="0"/>
        <w:widowControl/>
        <w:wordWrap/>
        <w:overflowPunct/>
        <w:topLinePunct w:val="0"/>
        <w:bidi w:val="0"/>
        <w:spacing w:line="460" w:lineRule="exact"/>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4、地下车库顶或屋顶绿化容重应不大于0.80mg/m3；</w:t>
      </w:r>
    </w:p>
    <w:p w14:paraId="47291172">
      <w:pPr>
        <w:pageBreakBefore w:val="0"/>
        <w:widowControl/>
        <w:wordWrap/>
        <w:overflowPunct/>
        <w:topLinePunct w:val="0"/>
        <w:bidi w:val="0"/>
        <w:spacing w:line="460" w:lineRule="exact"/>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5、土壤的埋化性质要求应符合表3.0.15的规定。</w:t>
      </w:r>
    </w:p>
    <w:p w14:paraId="70CD8437">
      <w:pPr>
        <w:pageBreakBefore w:val="0"/>
        <w:wordWrap/>
        <w:overflowPunct/>
        <w:topLinePunct w:val="0"/>
        <w:bidi w:val="0"/>
        <w:spacing w:before="78" w:line="460" w:lineRule="exact"/>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br w:type="page"/>
      </w:r>
      <w:r>
        <w:rPr>
          <w:rFonts w:hint="eastAsia" w:ascii="仿宋" w:hAnsi="仿宋" w:eastAsia="仿宋" w:cs="仿宋"/>
          <w:color w:val="auto"/>
          <w:sz w:val="24"/>
          <w:szCs w:val="24"/>
          <w:highlight w:val="none"/>
          <w:shd w:val="clear" w:color="auto" w:fill="FFFFFE"/>
        </w:rPr>
        <w:t>表3.0.16  水   体</w:t>
      </w:r>
    </w:p>
    <w:tbl>
      <w:tblPr>
        <w:tblStyle w:val="6"/>
        <w:tblW w:w="90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59"/>
        <w:gridCol w:w="750"/>
        <w:gridCol w:w="2655"/>
        <w:gridCol w:w="2370"/>
        <w:gridCol w:w="2743"/>
      </w:tblGrid>
      <w:tr w14:paraId="2F1EF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9" w:hRule="atLeast"/>
          <w:jc w:val="center"/>
        </w:trPr>
        <w:tc>
          <w:tcPr>
            <w:tcW w:w="559" w:type="dxa"/>
            <w:noWrap w:val="0"/>
            <w:vAlign w:val="center"/>
          </w:tcPr>
          <w:p w14:paraId="5139730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序号</w:t>
            </w:r>
          </w:p>
        </w:tc>
        <w:tc>
          <w:tcPr>
            <w:tcW w:w="750" w:type="dxa"/>
            <w:noWrap w:val="0"/>
            <w:vAlign w:val="center"/>
          </w:tcPr>
          <w:p w14:paraId="345B104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38"/>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项目</w:t>
            </w:r>
          </w:p>
        </w:tc>
        <w:tc>
          <w:tcPr>
            <w:tcW w:w="2655" w:type="dxa"/>
            <w:noWrap w:val="0"/>
            <w:vAlign w:val="center"/>
          </w:tcPr>
          <w:p w14:paraId="2B6DFC7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基本标准</w:t>
            </w:r>
          </w:p>
        </w:tc>
        <w:tc>
          <w:tcPr>
            <w:tcW w:w="2370" w:type="dxa"/>
            <w:noWrap w:val="0"/>
            <w:vAlign w:val="center"/>
          </w:tcPr>
          <w:p w14:paraId="24CEB9F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二级</w:t>
            </w:r>
          </w:p>
        </w:tc>
        <w:tc>
          <w:tcPr>
            <w:tcW w:w="2743" w:type="dxa"/>
            <w:noWrap w:val="0"/>
            <w:vAlign w:val="center"/>
          </w:tcPr>
          <w:p w14:paraId="11395AE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一级</w:t>
            </w:r>
          </w:p>
        </w:tc>
      </w:tr>
      <w:tr w14:paraId="5D306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71" w:hRule="atLeast"/>
          <w:jc w:val="center"/>
        </w:trPr>
        <w:tc>
          <w:tcPr>
            <w:tcW w:w="559" w:type="dxa"/>
            <w:noWrap w:val="0"/>
            <w:vAlign w:val="center"/>
          </w:tcPr>
          <w:p w14:paraId="3085773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31"/>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p>
        </w:tc>
        <w:tc>
          <w:tcPr>
            <w:tcW w:w="750" w:type="dxa"/>
            <w:noWrap w:val="0"/>
            <w:vAlign w:val="center"/>
          </w:tcPr>
          <w:p w14:paraId="2CFEDB5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38"/>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景观</w:t>
            </w:r>
          </w:p>
        </w:tc>
        <w:tc>
          <w:tcPr>
            <w:tcW w:w="7768" w:type="dxa"/>
            <w:gridSpan w:val="3"/>
            <w:noWrap w:val="0"/>
            <w:vAlign w:val="top"/>
          </w:tcPr>
          <w:p w14:paraId="7E300F7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858"/>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景色优美，达到保持设计要求。</w:t>
            </w:r>
          </w:p>
        </w:tc>
      </w:tr>
      <w:tr w14:paraId="6DF28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92" w:hRule="atLeast"/>
          <w:jc w:val="center"/>
        </w:trPr>
        <w:tc>
          <w:tcPr>
            <w:tcW w:w="559" w:type="dxa"/>
            <w:noWrap w:val="0"/>
            <w:vAlign w:val="center"/>
          </w:tcPr>
          <w:p w14:paraId="09FC7DA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16"/>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2</w:t>
            </w:r>
          </w:p>
        </w:tc>
        <w:tc>
          <w:tcPr>
            <w:tcW w:w="750" w:type="dxa"/>
            <w:noWrap w:val="0"/>
            <w:vAlign w:val="center"/>
          </w:tcPr>
          <w:p w14:paraId="7B06A0C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37"/>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水质</w:t>
            </w:r>
          </w:p>
        </w:tc>
        <w:tc>
          <w:tcPr>
            <w:tcW w:w="2655" w:type="dxa"/>
            <w:noWrap w:val="0"/>
            <w:vAlign w:val="center"/>
          </w:tcPr>
          <w:p w14:paraId="5CEF8063">
            <w:pPr>
              <w:keepNext w:val="0"/>
              <w:keepLines w:val="0"/>
              <w:pageBreakBefore w:val="0"/>
              <w:widowControl/>
              <w:suppressLineNumbers w:val="0"/>
              <w:kinsoku/>
              <w:wordWrap/>
              <w:overflowPunct w:val="0"/>
              <w:topLinePunct w:val="0"/>
              <w:autoSpaceDE w:val="0"/>
              <w:autoSpaceDN w:val="0"/>
              <w:bidi w:val="0"/>
              <w:adjustRightInd w:val="0"/>
              <w:snapToGrid w:val="0"/>
              <w:spacing w:beforeAutospacing="0" w:after="0" w:afterAutospacing="0" w:line="240" w:lineRule="auto"/>
              <w:ind w:left="0" w:right="0" w:firstLine="0"/>
              <w:jc w:val="both"/>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（1）色度不超过15度；</w:t>
            </w:r>
          </w:p>
          <w:p w14:paraId="2365C17D">
            <w:pPr>
              <w:keepNext w:val="0"/>
              <w:keepLines w:val="0"/>
              <w:pageBreakBefore w:val="0"/>
              <w:widowControl/>
              <w:suppressLineNumbers w:val="0"/>
              <w:kinsoku/>
              <w:wordWrap/>
              <w:overflowPunct w:val="0"/>
              <w:topLinePunct w:val="0"/>
              <w:autoSpaceDE w:val="0"/>
              <w:autoSpaceDN w:val="0"/>
              <w:bidi w:val="0"/>
              <w:adjustRightInd w:val="0"/>
              <w:snapToGrid w:val="0"/>
              <w:spacing w:beforeAutospacing="0" w:after="0" w:afterAutospacing="0" w:line="240" w:lineRule="auto"/>
              <w:ind w:left="0" w:right="0" w:firstLine="0"/>
              <w:jc w:val="both"/>
              <w:textAlignment w:val="baseline"/>
              <w:rPr>
                <w:rFonts w:hint="eastAsia" w:ascii="仿宋" w:hAnsi="仿宋" w:eastAsia="仿宋" w:cs="仿宋"/>
                <w:color w:val="auto"/>
                <w:sz w:val="24"/>
                <w:szCs w:val="24"/>
                <w:highlight w:val="none"/>
                <w:shd w:val="clear" w:color="auto" w:fill="FFFFFE"/>
                <w:lang w:eastAsia="zh-CN"/>
              </w:rPr>
            </w:pPr>
            <w:r>
              <w:rPr>
                <w:rFonts w:hint="eastAsia" w:ascii="仿宋" w:hAnsi="仿宋" w:eastAsia="仿宋" w:cs="仿宋"/>
                <w:color w:val="auto"/>
                <w:sz w:val="24"/>
                <w:szCs w:val="24"/>
                <w:highlight w:val="none"/>
                <w:shd w:val="clear" w:color="auto" w:fill="FFFFFE"/>
              </w:rPr>
              <w:t>（2）深浊度不超过6度</w:t>
            </w:r>
            <w:r>
              <w:rPr>
                <w:rFonts w:hint="eastAsia" w:ascii="仿宋" w:hAnsi="仿宋" w:eastAsia="仿宋" w:cs="仿宋"/>
                <w:color w:val="auto"/>
                <w:sz w:val="24"/>
                <w:szCs w:val="24"/>
                <w:highlight w:val="none"/>
                <w:shd w:val="clear" w:color="auto" w:fill="FFFFFE"/>
                <w:lang w:eastAsia="zh-CN"/>
              </w:rPr>
              <w:t>；</w:t>
            </w:r>
          </w:p>
          <w:p w14:paraId="43E582DC">
            <w:pPr>
              <w:keepNext w:val="0"/>
              <w:keepLines w:val="0"/>
              <w:pageBreakBefore w:val="0"/>
              <w:widowControl/>
              <w:suppressLineNumbers w:val="0"/>
              <w:kinsoku/>
              <w:wordWrap/>
              <w:overflowPunct w:val="0"/>
              <w:topLinePunct w:val="0"/>
              <w:autoSpaceDE w:val="0"/>
              <w:autoSpaceDN w:val="0"/>
              <w:bidi w:val="0"/>
              <w:adjustRightInd w:val="0"/>
              <w:snapToGrid w:val="0"/>
              <w:spacing w:beforeAutospacing="0" w:after="0" w:afterAutospacing="0" w:line="240" w:lineRule="auto"/>
              <w:ind w:left="0" w:right="0" w:firstLine="0"/>
              <w:jc w:val="both"/>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（3）不得有异臭；</w:t>
            </w:r>
            <w:r>
              <w:rPr>
                <w:rFonts w:hint="eastAsia" w:ascii="仿宋" w:hAnsi="仿宋" w:eastAsia="仿宋" w:cs="仿宋"/>
                <w:color w:val="auto"/>
                <w:sz w:val="24"/>
                <w:szCs w:val="24"/>
                <w:highlight w:val="none"/>
                <w:shd w:val="clear" w:color="auto" w:fill="FFFFFE"/>
              </w:rPr>
              <w:tab/>
            </w:r>
          </w:p>
          <w:p w14:paraId="75E136FE">
            <w:pPr>
              <w:keepNext w:val="0"/>
              <w:keepLines w:val="0"/>
              <w:pageBreakBefore w:val="0"/>
              <w:widowControl/>
              <w:suppressLineNumbers w:val="0"/>
              <w:kinsoku/>
              <w:wordWrap/>
              <w:overflowPunct w:val="0"/>
              <w:topLinePunct w:val="0"/>
              <w:autoSpaceDE w:val="0"/>
              <w:autoSpaceDN w:val="0"/>
              <w:bidi w:val="0"/>
              <w:adjustRightInd w:val="0"/>
              <w:snapToGrid w:val="0"/>
              <w:spacing w:beforeAutospacing="0" w:after="0" w:afterAutospacing="0" w:line="240" w:lineRule="auto"/>
              <w:ind w:left="0" w:right="0" w:firstLine="0"/>
              <w:jc w:val="both"/>
              <w:textAlignment w:val="baseline"/>
              <w:rPr>
                <w:rFonts w:hint="eastAsia" w:ascii="仿宋" w:hAnsi="仿宋" w:eastAsia="仿宋" w:cs="仿宋"/>
                <w:color w:val="auto"/>
                <w:sz w:val="24"/>
                <w:szCs w:val="24"/>
                <w:highlight w:val="none"/>
                <w:shd w:val="clear" w:color="auto" w:fill="FFFFFE"/>
                <w:lang w:eastAsia="zh-CN"/>
              </w:rPr>
            </w:pPr>
            <w:r>
              <w:rPr>
                <w:rFonts w:hint="eastAsia" w:ascii="仿宋" w:hAnsi="仿宋" w:eastAsia="仿宋" w:cs="仿宋"/>
                <w:color w:val="auto"/>
                <w:sz w:val="24"/>
                <w:szCs w:val="24"/>
                <w:highlight w:val="none"/>
                <w:shd w:val="clear" w:color="auto" w:fill="FFFFFE"/>
              </w:rPr>
              <w:t>（4）pH值6.5-8.5</w:t>
            </w:r>
            <w:r>
              <w:rPr>
                <w:rFonts w:hint="eastAsia" w:ascii="仿宋" w:hAnsi="仿宋" w:eastAsia="仿宋" w:cs="仿宋"/>
                <w:color w:val="auto"/>
                <w:sz w:val="24"/>
                <w:szCs w:val="24"/>
                <w:highlight w:val="none"/>
                <w:shd w:val="clear" w:color="auto" w:fill="FFFFFE"/>
                <w:lang w:eastAsia="zh-CN"/>
              </w:rPr>
              <w:t>；</w:t>
            </w:r>
          </w:p>
          <w:p w14:paraId="22781EA6">
            <w:pPr>
              <w:keepNext w:val="0"/>
              <w:keepLines w:val="0"/>
              <w:pageBreakBefore w:val="0"/>
              <w:widowControl/>
              <w:suppressLineNumbers w:val="0"/>
              <w:kinsoku/>
              <w:wordWrap/>
              <w:overflowPunct w:val="0"/>
              <w:topLinePunct w:val="0"/>
              <w:autoSpaceDE w:val="0"/>
              <w:autoSpaceDN w:val="0"/>
              <w:bidi w:val="0"/>
              <w:adjustRightInd w:val="0"/>
              <w:snapToGrid w:val="0"/>
              <w:spacing w:beforeAutospacing="0" w:after="0" w:afterAutospacing="0" w:line="240" w:lineRule="auto"/>
              <w:ind w:left="0" w:right="0" w:firstLine="0"/>
              <w:jc w:val="both"/>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（5）溶解氧（DO）≥3mg/l；</w:t>
            </w:r>
            <w:r>
              <w:rPr>
                <w:rFonts w:hint="eastAsia" w:ascii="仿宋" w:hAnsi="仿宋" w:eastAsia="仿宋" w:cs="仿宋"/>
                <w:color w:val="auto"/>
                <w:sz w:val="24"/>
                <w:szCs w:val="24"/>
                <w:highlight w:val="none"/>
                <w:shd w:val="clear" w:color="auto" w:fill="FFFFFE"/>
              </w:rPr>
              <w:tab/>
            </w:r>
          </w:p>
          <w:p w14:paraId="51C7FFB4">
            <w:pPr>
              <w:keepNext w:val="0"/>
              <w:keepLines w:val="0"/>
              <w:pageBreakBefore w:val="0"/>
              <w:widowControl/>
              <w:suppressLineNumbers w:val="0"/>
              <w:kinsoku/>
              <w:wordWrap/>
              <w:overflowPunct w:val="0"/>
              <w:topLinePunct w:val="0"/>
              <w:autoSpaceDE w:val="0"/>
              <w:autoSpaceDN w:val="0"/>
              <w:bidi w:val="0"/>
              <w:adjustRightInd w:val="0"/>
              <w:snapToGrid w:val="0"/>
              <w:spacing w:beforeAutospacing="0" w:after="0" w:afterAutospacing="0" w:line="240" w:lineRule="auto"/>
              <w:ind w:left="0" w:right="0" w:firstLine="0"/>
              <w:jc w:val="both"/>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（6）氨氮≤0.5mg/l；</w:t>
            </w:r>
            <w:r>
              <w:rPr>
                <w:rFonts w:hint="eastAsia" w:ascii="仿宋" w:hAnsi="仿宋" w:eastAsia="仿宋" w:cs="仿宋"/>
                <w:color w:val="auto"/>
                <w:sz w:val="24"/>
                <w:szCs w:val="24"/>
                <w:highlight w:val="none"/>
                <w:shd w:val="clear" w:color="auto" w:fill="FFFFFE"/>
              </w:rPr>
              <w:tab/>
            </w:r>
          </w:p>
          <w:p w14:paraId="4F616F8F">
            <w:pPr>
              <w:keepNext w:val="0"/>
              <w:keepLines w:val="0"/>
              <w:pageBreakBefore w:val="0"/>
              <w:widowControl/>
              <w:suppressLineNumbers w:val="0"/>
              <w:kinsoku/>
              <w:wordWrap/>
              <w:overflowPunct w:val="0"/>
              <w:topLinePunct w:val="0"/>
              <w:autoSpaceDE w:val="0"/>
              <w:autoSpaceDN w:val="0"/>
              <w:bidi w:val="0"/>
              <w:adjustRightInd w:val="0"/>
              <w:snapToGrid w:val="0"/>
              <w:spacing w:beforeAutospacing="0" w:after="0" w:afterAutospacing="0" w:line="240" w:lineRule="auto"/>
              <w:ind w:left="0" w:right="0" w:firstLine="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（7）总磷（P）≤0.05mg/l</w:t>
            </w:r>
          </w:p>
        </w:tc>
        <w:tc>
          <w:tcPr>
            <w:tcW w:w="2370" w:type="dxa"/>
            <w:noWrap w:val="0"/>
            <w:vAlign w:val="center"/>
          </w:tcPr>
          <w:p w14:paraId="2B33FAA0">
            <w:pPr>
              <w:keepNext w:val="0"/>
              <w:keepLines w:val="0"/>
              <w:pageBreakBefore w:val="0"/>
              <w:widowControl/>
              <w:suppressLineNumbers w:val="0"/>
              <w:kinsoku/>
              <w:wordWrap/>
              <w:overflowPunct w:val="0"/>
              <w:topLinePunct w:val="0"/>
              <w:autoSpaceDE w:val="0"/>
              <w:autoSpaceDN w:val="0"/>
              <w:bidi w:val="0"/>
              <w:adjustRightInd w:val="0"/>
              <w:snapToGrid w:val="0"/>
              <w:spacing w:beforeAutospacing="0" w:after="0" w:afterAutospacing="0" w:line="240" w:lineRule="auto"/>
              <w:ind w:left="0" w:right="0" w:firstLine="0"/>
              <w:jc w:val="both"/>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（1）色度不超过13度；</w:t>
            </w:r>
          </w:p>
          <w:p w14:paraId="72D4A477">
            <w:pPr>
              <w:keepNext w:val="0"/>
              <w:keepLines w:val="0"/>
              <w:pageBreakBefore w:val="0"/>
              <w:widowControl/>
              <w:suppressLineNumbers w:val="0"/>
              <w:kinsoku/>
              <w:wordWrap/>
              <w:overflowPunct w:val="0"/>
              <w:topLinePunct w:val="0"/>
              <w:autoSpaceDE w:val="0"/>
              <w:autoSpaceDN w:val="0"/>
              <w:bidi w:val="0"/>
              <w:adjustRightInd w:val="0"/>
              <w:snapToGrid w:val="0"/>
              <w:spacing w:beforeAutospacing="0" w:after="0" w:afterAutospacing="0" w:line="240" w:lineRule="auto"/>
              <w:ind w:left="0" w:right="0" w:firstLine="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（2）深浊度不超过5度；</w:t>
            </w:r>
          </w:p>
          <w:p w14:paraId="1DB345B7">
            <w:pPr>
              <w:keepNext w:val="0"/>
              <w:keepLines w:val="0"/>
              <w:pageBreakBefore w:val="0"/>
              <w:widowControl/>
              <w:suppressLineNumbers w:val="0"/>
              <w:kinsoku/>
              <w:wordWrap/>
              <w:overflowPunct w:val="0"/>
              <w:topLinePunct w:val="0"/>
              <w:autoSpaceDE w:val="0"/>
              <w:autoSpaceDN w:val="0"/>
              <w:bidi w:val="0"/>
              <w:adjustRightInd w:val="0"/>
              <w:snapToGrid w:val="0"/>
              <w:spacing w:beforeAutospacing="0" w:after="0" w:afterAutospacing="0" w:line="240" w:lineRule="auto"/>
              <w:ind w:left="0" w:right="0" w:firstLine="0"/>
              <w:jc w:val="both"/>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（3）不得有异臭；</w:t>
            </w:r>
          </w:p>
          <w:p w14:paraId="47C08AC4">
            <w:pPr>
              <w:keepNext w:val="0"/>
              <w:keepLines w:val="0"/>
              <w:pageBreakBefore w:val="0"/>
              <w:widowControl/>
              <w:suppressLineNumbers w:val="0"/>
              <w:kinsoku/>
              <w:wordWrap/>
              <w:overflowPunct w:val="0"/>
              <w:topLinePunct w:val="0"/>
              <w:autoSpaceDE w:val="0"/>
              <w:autoSpaceDN w:val="0"/>
              <w:bidi w:val="0"/>
              <w:adjustRightInd w:val="0"/>
              <w:snapToGrid w:val="0"/>
              <w:spacing w:beforeAutospacing="0" w:after="0" w:afterAutospacing="0" w:line="240" w:lineRule="auto"/>
              <w:ind w:left="0" w:right="0" w:firstLine="0"/>
              <w:jc w:val="both"/>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（4）pH值6.5-8.5；</w:t>
            </w:r>
          </w:p>
          <w:p w14:paraId="44E62A1D">
            <w:pPr>
              <w:keepNext w:val="0"/>
              <w:keepLines w:val="0"/>
              <w:pageBreakBefore w:val="0"/>
              <w:widowControl/>
              <w:suppressLineNumbers w:val="0"/>
              <w:kinsoku/>
              <w:wordWrap/>
              <w:overflowPunct w:val="0"/>
              <w:topLinePunct w:val="0"/>
              <w:autoSpaceDE w:val="0"/>
              <w:autoSpaceDN w:val="0"/>
              <w:bidi w:val="0"/>
              <w:adjustRightInd w:val="0"/>
              <w:snapToGrid w:val="0"/>
              <w:spacing w:beforeAutospacing="0" w:after="0" w:afterAutospacing="0" w:line="240" w:lineRule="auto"/>
              <w:ind w:left="0" w:right="0" w:firstLine="0"/>
              <w:jc w:val="both"/>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（5）溶解氧（DO）≥4mg/l；</w:t>
            </w:r>
            <w:r>
              <w:rPr>
                <w:rFonts w:hint="eastAsia" w:ascii="仿宋" w:hAnsi="仿宋" w:eastAsia="仿宋" w:cs="仿宋"/>
                <w:color w:val="auto"/>
                <w:sz w:val="24"/>
                <w:szCs w:val="24"/>
                <w:highlight w:val="none"/>
                <w:shd w:val="clear" w:color="auto" w:fill="FFFFFE"/>
              </w:rPr>
              <w:tab/>
            </w:r>
          </w:p>
          <w:p w14:paraId="75F6F88A">
            <w:pPr>
              <w:keepNext w:val="0"/>
              <w:keepLines w:val="0"/>
              <w:pageBreakBefore w:val="0"/>
              <w:widowControl/>
              <w:suppressLineNumbers w:val="0"/>
              <w:kinsoku/>
              <w:wordWrap/>
              <w:overflowPunct w:val="0"/>
              <w:topLinePunct w:val="0"/>
              <w:autoSpaceDE w:val="0"/>
              <w:autoSpaceDN w:val="0"/>
              <w:bidi w:val="0"/>
              <w:adjustRightInd w:val="0"/>
              <w:snapToGrid w:val="0"/>
              <w:spacing w:beforeAutospacing="0" w:after="0" w:afterAutospacing="0" w:line="240" w:lineRule="auto"/>
              <w:ind w:left="0" w:right="0" w:firstLine="0"/>
              <w:jc w:val="both"/>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（6）氨氮≤0.5mg/l；</w:t>
            </w:r>
          </w:p>
          <w:p w14:paraId="65BC0ACA">
            <w:pPr>
              <w:keepNext w:val="0"/>
              <w:keepLines w:val="0"/>
              <w:pageBreakBefore w:val="0"/>
              <w:widowControl/>
              <w:suppressLineNumbers w:val="0"/>
              <w:kinsoku/>
              <w:wordWrap/>
              <w:overflowPunct w:val="0"/>
              <w:topLinePunct w:val="0"/>
              <w:autoSpaceDE w:val="0"/>
              <w:autoSpaceDN w:val="0"/>
              <w:bidi w:val="0"/>
              <w:adjustRightInd w:val="0"/>
              <w:snapToGrid w:val="0"/>
              <w:spacing w:beforeAutospacing="0" w:after="0" w:afterAutospacing="0" w:line="240" w:lineRule="auto"/>
              <w:ind w:left="0" w:right="0" w:firstLine="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（7）总磷（P）≤0.02mg/。</w:t>
            </w:r>
          </w:p>
        </w:tc>
        <w:tc>
          <w:tcPr>
            <w:tcW w:w="2743" w:type="dxa"/>
            <w:noWrap w:val="0"/>
            <w:vAlign w:val="center"/>
          </w:tcPr>
          <w:p w14:paraId="09B25657">
            <w:pPr>
              <w:keepNext w:val="0"/>
              <w:keepLines w:val="0"/>
              <w:pageBreakBefore w:val="0"/>
              <w:widowControl/>
              <w:suppressLineNumbers w:val="0"/>
              <w:kinsoku/>
              <w:wordWrap/>
              <w:overflowPunct w:val="0"/>
              <w:topLinePunct w:val="0"/>
              <w:autoSpaceDE w:val="0"/>
              <w:autoSpaceDN w:val="0"/>
              <w:bidi w:val="0"/>
              <w:adjustRightInd w:val="0"/>
              <w:snapToGrid w:val="0"/>
              <w:spacing w:beforeAutospacing="0" w:after="0" w:afterAutospacing="0" w:line="240" w:lineRule="auto"/>
              <w:ind w:left="0" w:right="0" w:firstLine="0"/>
              <w:jc w:val="both"/>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（1）色度不超过13度；</w:t>
            </w:r>
          </w:p>
          <w:p w14:paraId="770D3B71">
            <w:pPr>
              <w:keepNext w:val="0"/>
              <w:keepLines w:val="0"/>
              <w:pageBreakBefore w:val="0"/>
              <w:widowControl/>
              <w:suppressLineNumbers w:val="0"/>
              <w:kinsoku/>
              <w:wordWrap/>
              <w:overflowPunct w:val="0"/>
              <w:topLinePunct w:val="0"/>
              <w:autoSpaceDE w:val="0"/>
              <w:autoSpaceDN w:val="0"/>
              <w:bidi w:val="0"/>
              <w:adjustRightInd w:val="0"/>
              <w:snapToGrid w:val="0"/>
              <w:spacing w:beforeAutospacing="0" w:after="0" w:afterAutospacing="0" w:line="240" w:lineRule="auto"/>
              <w:ind w:left="0" w:right="0" w:firstLine="0"/>
              <w:jc w:val="both"/>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（2）深浊度不超过5度；</w:t>
            </w:r>
          </w:p>
          <w:p w14:paraId="1F67A900">
            <w:pPr>
              <w:keepNext w:val="0"/>
              <w:keepLines w:val="0"/>
              <w:pageBreakBefore w:val="0"/>
              <w:widowControl/>
              <w:suppressLineNumbers w:val="0"/>
              <w:kinsoku/>
              <w:wordWrap/>
              <w:overflowPunct w:val="0"/>
              <w:topLinePunct w:val="0"/>
              <w:autoSpaceDE w:val="0"/>
              <w:autoSpaceDN w:val="0"/>
              <w:bidi w:val="0"/>
              <w:adjustRightInd w:val="0"/>
              <w:snapToGrid w:val="0"/>
              <w:spacing w:beforeAutospacing="0" w:after="0" w:afterAutospacing="0" w:line="240" w:lineRule="auto"/>
              <w:ind w:left="0" w:right="0" w:firstLine="0"/>
              <w:jc w:val="both"/>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（3）不得有异臭；</w:t>
            </w:r>
            <w:r>
              <w:rPr>
                <w:rFonts w:hint="eastAsia" w:ascii="仿宋" w:hAnsi="仿宋" w:eastAsia="仿宋" w:cs="仿宋"/>
                <w:color w:val="auto"/>
                <w:sz w:val="24"/>
                <w:szCs w:val="24"/>
                <w:highlight w:val="none"/>
                <w:shd w:val="clear" w:color="auto" w:fill="FFFFFE"/>
              </w:rPr>
              <w:tab/>
            </w:r>
          </w:p>
          <w:p w14:paraId="3EF99B29">
            <w:pPr>
              <w:keepNext w:val="0"/>
              <w:keepLines w:val="0"/>
              <w:pageBreakBefore w:val="0"/>
              <w:widowControl/>
              <w:suppressLineNumbers w:val="0"/>
              <w:kinsoku/>
              <w:wordWrap/>
              <w:overflowPunct w:val="0"/>
              <w:topLinePunct w:val="0"/>
              <w:autoSpaceDE w:val="0"/>
              <w:autoSpaceDN w:val="0"/>
              <w:bidi w:val="0"/>
              <w:adjustRightInd w:val="0"/>
              <w:snapToGrid w:val="0"/>
              <w:spacing w:beforeAutospacing="0" w:after="0" w:afterAutospacing="0" w:line="240" w:lineRule="auto"/>
              <w:ind w:left="0" w:right="0" w:firstLine="0"/>
              <w:jc w:val="both"/>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（4）pH值6.5-8.5；</w:t>
            </w:r>
            <w:r>
              <w:rPr>
                <w:rFonts w:hint="eastAsia" w:ascii="仿宋" w:hAnsi="仿宋" w:eastAsia="仿宋" w:cs="仿宋"/>
                <w:color w:val="auto"/>
                <w:sz w:val="24"/>
                <w:szCs w:val="24"/>
                <w:highlight w:val="none"/>
                <w:shd w:val="clear" w:color="auto" w:fill="FFFFFE"/>
              </w:rPr>
              <w:tab/>
            </w:r>
          </w:p>
          <w:p w14:paraId="6E9D263F">
            <w:pPr>
              <w:keepNext w:val="0"/>
              <w:keepLines w:val="0"/>
              <w:pageBreakBefore w:val="0"/>
              <w:widowControl/>
              <w:suppressLineNumbers w:val="0"/>
              <w:kinsoku/>
              <w:wordWrap/>
              <w:overflowPunct w:val="0"/>
              <w:topLinePunct w:val="0"/>
              <w:autoSpaceDE w:val="0"/>
              <w:autoSpaceDN w:val="0"/>
              <w:bidi w:val="0"/>
              <w:adjustRightInd w:val="0"/>
              <w:snapToGrid w:val="0"/>
              <w:spacing w:beforeAutospacing="0" w:after="0" w:afterAutospacing="0" w:line="240" w:lineRule="auto"/>
              <w:ind w:left="0" w:right="0" w:firstLine="0"/>
              <w:jc w:val="both"/>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（5）溶解氧（DO）≥5mg/l；</w:t>
            </w:r>
          </w:p>
          <w:p w14:paraId="2EC48867">
            <w:pPr>
              <w:keepNext w:val="0"/>
              <w:keepLines w:val="0"/>
              <w:pageBreakBefore w:val="0"/>
              <w:widowControl/>
              <w:suppressLineNumbers w:val="0"/>
              <w:kinsoku/>
              <w:wordWrap/>
              <w:overflowPunct w:val="0"/>
              <w:topLinePunct w:val="0"/>
              <w:autoSpaceDE w:val="0"/>
              <w:autoSpaceDN w:val="0"/>
              <w:bidi w:val="0"/>
              <w:adjustRightInd w:val="0"/>
              <w:snapToGrid w:val="0"/>
              <w:spacing w:beforeAutospacing="0" w:after="0" w:afterAutospacing="0" w:line="240" w:lineRule="auto"/>
              <w:ind w:left="0" w:right="0" w:firstLine="0"/>
              <w:jc w:val="both"/>
              <w:textAlignment w:val="baseline"/>
              <w:rPr>
                <w:rFonts w:hint="eastAsia" w:ascii="仿宋" w:hAnsi="仿宋" w:eastAsia="仿宋" w:cs="仿宋"/>
                <w:color w:val="auto"/>
                <w:sz w:val="24"/>
                <w:szCs w:val="24"/>
                <w:highlight w:val="none"/>
                <w:shd w:val="clear" w:color="auto" w:fill="FFFFFE"/>
              </w:rPr>
            </w:pPr>
            <w:r>
              <w:rPr>
                <w:rFonts w:hint="eastAsia" w:ascii="仿宋" w:hAnsi="仿宋" w:eastAsia="仿宋" w:cs="仿宋"/>
                <w:color w:val="auto"/>
                <w:sz w:val="24"/>
                <w:szCs w:val="24"/>
                <w:highlight w:val="none"/>
                <w:shd w:val="clear" w:color="auto" w:fill="FFFFFE"/>
              </w:rPr>
              <w:t>（6）氨氮≤0.5mg/l；</w:t>
            </w:r>
            <w:r>
              <w:rPr>
                <w:rFonts w:hint="eastAsia" w:ascii="仿宋" w:hAnsi="仿宋" w:eastAsia="仿宋" w:cs="仿宋"/>
                <w:color w:val="auto"/>
                <w:sz w:val="24"/>
                <w:szCs w:val="24"/>
                <w:highlight w:val="none"/>
                <w:shd w:val="clear" w:color="auto" w:fill="FFFFFE"/>
              </w:rPr>
              <w:tab/>
            </w:r>
          </w:p>
          <w:p w14:paraId="15245E3E">
            <w:pPr>
              <w:keepNext w:val="0"/>
              <w:keepLines w:val="0"/>
              <w:pageBreakBefore w:val="0"/>
              <w:widowControl/>
              <w:suppressLineNumbers w:val="0"/>
              <w:kinsoku/>
              <w:wordWrap/>
              <w:overflowPunct w:val="0"/>
              <w:topLinePunct w:val="0"/>
              <w:autoSpaceDE w:val="0"/>
              <w:autoSpaceDN w:val="0"/>
              <w:bidi w:val="0"/>
              <w:adjustRightInd w:val="0"/>
              <w:snapToGrid w:val="0"/>
              <w:spacing w:beforeAutospacing="0" w:after="0" w:afterAutospacing="0" w:line="240" w:lineRule="auto"/>
              <w:ind w:left="0" w:right="0" w:firstLine="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（7）总磷（P）≤0.02mg/。</w:t>
            </w:r>
          </w:p>
        </w:tc>
      </w:tr>
      <w:tr w14:paraId="10BE1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6" w:hRule="atLeast"/>
          <w:jc w:val="center"/>
        </w:trPr>
        <w:tc>
          <w:tcPr>
            <w:tcW w:w="559" w:type="dxa"/>
            <w:noWrap w:val="0"/>
            <w:vAlign w:val="top"/>
          </w:tcPr>
          <w:p w14:paraId="368E14D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18"/>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p>
        </w:tc>
        <w:tc>
          <w:tcPr>
            <w:tcW w:w="750" w:type="dxa"/>
            <w:noWrap w:val="0"/>
            <w:vAlign w:val="top"/>
          </w:tcPr>
          <w:p w14:paraId="3C9A67C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35"/>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驳岸</w:t>
            </w:r>
          </w:p>
        </w:tc>
        <w:tc>
          <w:tcPr>
            <w:tcW w:w="7768" w:type="dxa"/>
            <w:gridSpan w:val="3"/>
            <w:noWrap w:val="0"/>
            <w:vAlign w:val="center"/>
          </w:tcPr>
          <w:p w14:paraId="12618BD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18"/>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安全稳固，无缺损</w:t>
            </w:r>
          </w:p>
        </w:tc>
      </w:tr>
      <w:tr w14:paraId="7B46DF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9" w:hRule="atLeast"/>
          <w:jc w:val="center"/>
        </w:trPr>
        <w:tc>
          <w:tcPr>
            <w:tcW w:w="559" w:type="dxa"/>
            <w:noWrap w:val="0"/>
            <w:vAlign w:val="top"/>
          </w:tcPr>
          <w:p w14:paraId="68C22C9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1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w:t>
            </w:r>
          </w:p>
        </w:tc>
        <w:tc>
          <w:tcPr>
            <w:tcW w:w="750" w:type="dxa"/>
            <w:noWrap w:val="0"/>
            <w:vAlign w:val="top"/>
          </w:tcPr>
          <w:p w14:paraId="763FED2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38"/>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设施</w:t>
            </w:r>
          </w:p>
        </w:tc>
        <w:tc>
          <w:tcPr>
            <w:tcW w:w="7768" w:type="dxa"/>
            <w:gridSpan w:val="3"/>
            <w:noWrap w:val="0"/>
            <w:vAlign w:val="center"/>
          </w:tcPr>
          <w:p w14:paraId="14A3391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18"/>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安全警示，循环，动力及排灌设施完好无损，正常运行。</w:t>
            </w:r>
          </w:p>
        </w:tc>
      </w:tr>
      <w:tr w14:paraId="24E6B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0" w:hRule="atLeast"/>
          <w:jc w:val="center"/>
        </w:trPr>
        <w:tc>
          <w:tcPr>
            <w:tcW w:w="559" w:type="dxa"/>
            <w:noWrap w:val="0"/>
            <w:vAlign w:val="top"/>
          </w:tcPr>
          <w:p w14:paraId="38C7B30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318"/>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5</w:t>
            </w:r>
          </w:p>
        </w:tc>
        <w:tc>
          <w:tcPr>
            <w:tcW w:w="750" w:type="dxa"/>
            <w:noWrap w:val="0"/>
            <w:vAlign w:val="top"/>
          </w:tcPr>
          <w:p w14:paraId="7195414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34"/>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清洁</w:t>
            </w:r>
          </w:p>
        </w:tc>
        <w:tc>
          <w:tcPr>
            <w:tcW w:w="7768" w:type="dxa"/>
            <w:gridSpan w:val="3"/>
            <w:noWrap w:val="0"/>
            <w:vAlign w:val="center"/>
          </w:tcPr>
          <w:p w14:paraId="71931C6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15"/>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无漂浮杂物。</w:t>
            </w:r>
          </w:p>
        </w:tc>
      </w:tr>
    </w:tbl>
    <w:p w14:paraId="66D29C9B">
      <w:pPr>
        <w:pageBreakBefore w:val="0"/>
        <w:wordWrap/>
        <w:overflowPunct/>
        <w:topLinePunct w:val="0"/>
        <w:bidi w:val="0"/>
        <w:spacing w:line="460" w:lineRule="exact"/>
        <w:jc w:val="center"/>
        <w:rPr>
          <w:rFonts w:hint="eastAsia" w:ascii="仿宋" w:hAnsi="仿宋" w:eastAsia="仿宋" w:cs="仿宋"/>
          <w:color w:val="auto"/>
          <w:sz w:val="24"/>
          <w:szCs w:val="24"/>
          <w:highlight w:val="none"/>
          <w:shd w:val="clear" w:color="auto" w:fill="FFFFFE"/>
        </w:rPr>
      </w:pPr>
    </w:p>
    <w:p w14:paraId="35686880">
      <w:pPr>
        <w:pageBreakBefore w:val="0"/>
        <w:wordWrap/>
        <w:overflowPunct/>
        <w:topLinePunct w:val="0"/>
        <w:bidi w:val="0"/>
        <w:spacing w:line="460" w:lineRule="exact"/>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表3.0.17园林设施</w:t>
      </w:r>
    </w:p>
    <w:tbl>
      <w:tblPr>
        <w:tblStyle w:val="6"/>
        <w:tblW w:w="9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973"/>
        <w:gridCol w:w="1972"/>
        <w:gridCol w:w="6116"/>
      </w:tblGrid>
      <w:tr w14:paraId="293D9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2" w:hRule="atLeast"/>
          <w:jc w:val="center"/>
        </w:trPr>
        <w:tc>
          <w:tcPr>
            <w:tcW w:w="973" w:type="dxa"/>
            <w:noWrap w:val="0"/>
            <w:vAlign w:val="center"/>
          </w:tcPr>
          <w:p w14:paraId="09B04D9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255"/>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序号</w:t>
            </w:r>
          </w:p>
        </w:tc>
        <w:tc>
          <w:tcPr>
            <w:tcW w:w="1972" w:type="dxa"/>
            <w:noWrap w:val="0"/>
            <w:vAlign w:val="center"/>
          </w:tcPr>
          <w:p w14:paraId="12B8F10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755"/>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项目</w:t>
            </w:r>
          </w:p>
        </w:tc>
        <w:tc>
          <w:tcPr>
            <w:tcW w:w="6116" w:type="dxa"/>
            <w:noWrap w:val="0"/>
            <w:vAlign w:val="center"/>
          </w:tcPr>
          <w:p w14:paraId="7F79E73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2505"/>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基本标准</w:t>
            </w:r>
          </w:p>
        </w:tc>
      </w:tr>
      <w:tr w14:paraId="69A8E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6" w:hRule="atLeast"/>
          <w:jc w:val="center"/>
        </w:trPr>
        <w:tc>
          <w:tcPr>
            <w:tcW w:w="973" w:type="dxa"/>
            <w:noWrap w:val="0"/>
            <w:vAlign w:val="center"/>
          </w:tcPr>
          <w:p w14:paraId="29C1639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54"/>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p>
        </w:tc>
        <w:tc>
          <w:tcPr>
            <w:tcW w:w="1972" w:type="dxa"/>
            <w:noWrap w:val="0"/>
            <w:vAlign w:val="center"/>
          </w:tcPr>
          <w:p w14:paraId="70E8744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531"/>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园林建筑</w:t>
            </w:r>
          </w:p>
          <w:p w14:paraId="3ABECE0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511"/>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及构筑物</w:t>
            </w:r>
          </w:p>
        </w:tc>
        <w:tc>
          <w:tcPr>
            <w:tcW w:w="6116" w:type="dxa"/>
            <w:noWrap w:val="0"/>
            <w:vAlign w:val="top"/>
          </w:tcPr>
          <w:p w14:paraId="245E0EE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92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保持外貌整洁，构建和各项设施完整无损；</w:t>
            </w:r>
          </w:p>
          <w:p w14:paraId="1213367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92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市内陈设清洁、完好；</w:t>
            </w:r>
          </w:p>
          <w:p w14:paraId="43872DF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92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r>
              <w:rPr>
                <w:rFonts w:hint="eastAsia" w:ascii="仿宋" w:hAnsi="仿宋" w:eastAsia="仿宋" w:cs="仿宋"/>
                <w:color w:val="auto"/>
                <w:sz w:val="24"/>
                <w:szCs w:val="24"/>
                <w:highlight w:val="none"/>
                <w:shd w:val="clear" w:color="auto" w:fill="FFFFFE"/>
              </w:rPr>
              <w:t>杜绝结构、装修和设施隐患。</w:t>
            </w:r>
          </w:p>
        </w:tc>
      </w:tr>
      <w:tr w14:paraId="5E375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3" w:hRule="atLeast"/>
          <w:jc w:val="center"/>
        </w:trPr>
        <w:tc>
          <w:tcPr>
            <w:tcW w:w="973" w:type="dxa"/>
            <w:noWrap w:val="0"/>
            <w:vAlign w:val="center"/>
          </w:tcPr>
          <w:p w14:paraId="020E8CE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39"/>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p>
        </w:tc>
        <w:tc>
          <w:tcPr>
            <w:tcW w:w="1972" w:type="dxa"/>
            <w:noWrap w:val="0"/>
            <w:vAlign w:val="center"/>
          </w:tcPr>
          <w:p w14:paraId="2A6ACCC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511"/>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道路地坪</w:t>
            </w:r>
          </w:p>
        </w:tc>
        <w:tc>
          <w:tcPr>
            <w:tcW w:w="6116" w:type="dxa"/>
            <w:noWrap w:val="0"/>
            <w:vAlign w:val="top"/>
          </w:tcPr>
          <w:p w14:paraId="70E0DF4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3" w:firstLine="4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各种铺装面、侧石、台阶、斜坡等保持平衡，无损坏，无积水；</w:t>
            </w:r>
          </w:p>
          <w:p w14:paraId="154B232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9"/>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保持材质外观的延续性和协调性；</w:t>
            </w:r>
          </w:p>
          <w:p w14:paraId="31C9F852">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9"/>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r>
              <w:rPr>
                <w:rFonts w:hint="eastAsia" w:ascii="仿宋" w:hAnsi="仿宋" w:eastAsia="仿宋" w:cs="仿宋"/>
                <w:color w:val="auto"/>
                <w:sz w:val="24"/>
                <w:szCs w:val="24"/>
                <w:highlight w:val="none"/>
                <w:shd w:val="clear" w:color="auto" w:fill="FFFFFE"/>
              </w:rPr>
              <w:t>各种道路地坪保持清洁；</w:t>
            </w:r>
          </w:p>
          <w:p w14:paraId="3DA383C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9"/>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w:t>
            </w:r>
            <w:r>
              <w:rPr>
                <w:rFonts w:hint="eastAsia" w:ascii="仿宋" w:hAnsi="仿宋" w:eastAsia="仿宋" w:cs="仿宋"/>
                <w:color w:val="auto"/>
                <w:sz w:val="24"/>
                <w:szCs w:val="24"/>
                <w:highlight w:val="none"/>
                <w:shd w:val="clear" w:color="auto" w:fill="FFFFFE"/>
              </w:rPr>
              <w:t>无障碍设施必须完好，通畅；</w:t>
            </w:r>
          </w:p>
          <w:p w14:paraId="434ECC2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9"/>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(5)</w:t>
            </w:r>
            <w:r>
              <w:rPr>
                <w:rFonts w:hint="eastAsia" w:ascii="仿宋" w:hAnsi="仿宋" w:eastAsia="仿宋" w:cs="仿宋"/>
                <w:color w:val="auto"/>
                <w:sz w:val="24"/>
                <w:szCs w:val="24"/>
                <w:highlight w:val="none"/>
                <w:shd w:val="clear" w:color="auto" w:fill="FFFFFE"/>
              </w:rPr>
              <w:t>道路侧石应高出土层3-5cm。</w:t>
            </w:r>
          </w:p>
        </w:tc>
      </w:tr>
      <w:tr w14:paraId="4C5A9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22" w:hRule="atLeast"/>
          <w:jc w:val="center"/>
        </w:trPr>
        <w:tc>
          <w:tcPr>
            <w:tcW w:w="973" w:type="dxa"/>
            <w:noWrap w:val="0"/>
            <w:vAlign w:val="center"/>
          </w:tcPr>
          <w:p w14:paraId="7A27357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41"/>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3</w:t>
            </w:r>
          </w:p>
        </w:tc>
        <w:tc>
          <w:tcPr>
            <w:tcW w:w="1972" w:type="dxa"/>
            <w:noWrap w:val="0"/>
            <w:vAlign w:val="center"/>
          </w:tcPr>
          <w:p w14:paraId="62A7140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51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假山叠石</w:t>
            </w:r>
          </w:p>
        </w:tc>
        <w:tc>
          <w:tcPr>
            <w:tcW w:w="6116" w:type="dxa"/>
            <w:noWrap w:val="0"/>
            <w:vAlign w:val="top"/>
          </w:tcPr>
          <w:p w14:paraId="7EE5426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9"/>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假山叠石完整、稳固、安全；</w:t>
            </w:r>
          </w:p>
          <w:p w14:paraId="50F696E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9"/>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不适于攀爬的叠石必须有醒目标志和防护设备；</w:t>
            </w:r>
          </w:p>
          <w:p w14:paraId="3EC3874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7" w:right="103" w:firstLine="4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r>
              <w:rPr>
                <w:rFonts w:hint="eastAsia" w:ascii="仿宋" w:hAnsi="仿宋" w:eastAsia="仿宋" w:cs="仿宋"/>
                <w:color w:val="auto"/>
                <w:sz w:val="24"/>
                <w:szCs w:val="24"/>
                <w:highlight w:val="none"/>
                <w:shd w:val="clear" w:color="auto" w:fill="FFFFFE"/>
              </w:rPr>
              <w:t>假山四周及石缝不得有影响安全和景观的杂草、杂物，种植穴不得有空缺。</w:t>
            </w:r>
          </w:p>
        </w:tc>
      </w:tr>
      <w:tr w14:paraId="5A2D8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38" w:hRule="atLeast"/>
          <w:jc w:val="center"/>
        </w:trPr>
        <w:tc>
          <w:tcPr>
            <w:tcW w:w="973" w:type="dxa"/>
            <w:noWrap w:val="0"/>
            <w:vAlign w:val="center"/>
          </w:tcPr>
          <w:p w14:paraId="01888D7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35"/>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w:t>
            </w:r>
          </w:p>
        </w:tc>
        <w:tc>
          <w:tcPr>
            <w:tcW w:w="1972" w:type="dxa"/>
            <w:noWrap w:val="0"/>
            <w:vAlign w:val="center"/>
          </w:tcPr>
          <w:p w14:paraId="04EF8A7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27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娱乐健身设施</w:t>
            </w:r>
          </w:p>
        </w:tc>
        <w:tc>
          <w:tcPr>
            <w:tcW w:w="6116" w:type="dxa"/>
            <w:noWrap w:val="0"/>
            <w:vAlign w:val="top"/>
          </w:tcPr>
          <w:p w14:paraId="3DC4A82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9"/>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所有设施均应明示生产单位及使用要求、操作规程；</w:t>
            </w:r>
          </w:p>
          <w:p w14:paraId="75272C1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20" w:right="102" w:firstLine="39"/>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保持环境整洁，运转正常，色彩常新，运动机械定期进行安全检测，不得带故障运行。</w:t>
            </w:r>
          </w:p>
        </w:tc>
      </w:tr>
      <w:tr w14:paraId="62F67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66" w:hRule="atLeast"/>
          <w:jc w:val="center"/>
        </w:trPr>
        <w:tc>
          <w:tcPr>
            <w:tcW w:w="973" w:type="dxa"/>
            <w:noWrap w:val="0"/>
            <w:vAlign w:val="center"/>
          </w:tcPr>
          <w:p w14:paraId="2BC0298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41"/>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5</w:t>
            </w:r>
          </w:p>
        </w:tc>
        <w:tc>
          <w:tcPr>
            <w:tcW w:w="1972" w:type="dxa"/>
            <w:noWrap w:val="0"/>
            <w:vAlign w:val="center"/>
          </w:tcPr>
          <w:p w14:paraId="15A63F1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633"/>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上下水</w:t>
            </w:r>
          </w:p>
        </w:tc>
        <w:tc>
          <w:tcPr>
            <w:tcW w:w="6116" w:type="dxa"/>
            <w:noWrap w:val="0"/>
            <w:vAlign w:val="top"/>
          </w:tcPr>
          <w:p w14:paraId="40284BA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9"/>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保持管理通畅；上下水无污染；</w:t>
            </w:r>
          </w:p>
          <w:p w14:paraId="66A0B51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19" w:right="20" w:firstLine="4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外露的窨井、进水口、给水口等设施随时保持清洁、完整无损、杜绝隐患；</w:t>
            </w:r>
          </w:p>
          <w:p w14:paraId="7895904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9"/>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r>
              <w:rPr>
                <w:rFonts w:hint="eastAsia" w:ascii="仿宋" w:hAnsi="仿宋" w:eastAsia="仿宋" w:cs="仿宋"/>
                <w:color w:val="auto"/>
                <w:sz w:val="24"/>
                <w:szCs w:val="24"/>
                <w:highlight w:val="none"/>
                <w:shd w:val="clear" w:color="auto" w:fill="FFFFFE"/>
              </w:rPr>
              <w:t>防汛、消防等设施保持完好、有效，保证应急使用。</w:t>
            </w:r>
          </w:p>
        </w:tc>
      </w:tr>
      <w:tr w14:paraId="7C463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40" w:hRule="atLeast"/>
          <w:jc w:val="center"/>
        </w:trPr>
        <w:tc>
          <w:tcPr>
            <w:tcW w:w="973" w:type="dxa"/>
            <w:noWrap w:val="0"/>
            <w:vAlign w:val="center"/>
          </w:tcPr>
          <w:p w14:paraId="46DD6C4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38"/>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6</w:t>
            </w:r>
          </w:p>
        </w:tc>
        <w:tc>
          <w:tcPr>
            <w:tcW w:w="1972" w:type="dxa"/>
            <w:noWrap w:val="0"/>
            <w:vAlign w:val="center"/>
          </w:tcPr>
          <w:p w14:paraId="087EF6F6">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51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供电照明</w:t>
            </w:r>
          </w:p>
        </w:tc>
        <w:tc>
          <w:tcPr>
            <w:tcW w:w="6116" w:type="dxa"/>
            <w:noWrap w:val="0"/>
            <w:vAlign w:val="top"/>
          </w:tcPr>
          <w:p w14:paraId="75B6128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9"/>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输配电、煤气及照明设施保持常年完整、正常运转。</w:t>
            </w:r>
          </w:p>
          <w:p w14:paraId="032C15C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20" w:right="103" w:firstLine="39"/>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照明设施保持清洁、有足够照明度，无带电裸露部分，管线设施保持完整、安全。</w:t>
            </w:r>
          </w:p>
        </w:tc>
      </w:tr>
      <w:tr w14:paraId="5F1BC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55" w:hRule="atLeast"/>
          <w:jc w:val="center"/>
        </w:trPr>
        <w:tc>
          <w:tcPr>
            <w:tcW w:w="973" w:type="dxa"/>
            <w:noWrap w:val="0"/>
            <w:vAlign w:val="center"/>
          </w:tcPr>
          <w:p w14:paraId="6BCC123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442"/>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7</w:t>
            </w:r>
          </w:p>
        </w:tc>
        <w:tc>
          <w:tcPr>
            <w:tcW w:w="1972" w:type="dxa"/>
            <w:noWrap w:val="0"/>
            <w:vAlign w:val="center"/>
          </w:tcPr>
          <w:p w14:paraId="7865364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753"/>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shd w:val="clear" w:color="auto" w:fill="FFFFFE"/>
              </w:rPr>
              <w:t>厕所</w:t>
            </w:r>
          </w:p>
        </w:tc>
        <w:tc>
          <w:tcPr>
            <w:tcW w:w="6116" w:type="dxa"/>
            <w:noWrap w:val="0"/>
            <w:vAlign w:val="top"/>
          </w:tcPr>
          <w:p w14:paraId="4E2CB4A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9"/>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shd w:val="clear" w:color="auto" w:fill="FFFFFE"/>
              </w:rPr>
              <w:t>保持厕所内外环境清洁、卫生，定期消毒；</w:t>
            </w:r>
          </w:p>
          <w:p w14:paraId="6711E4C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firstLine="159"/>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shd w:val="clear" w:color="auto" w:fill="FFFFFE"/>
              </w:rPr>
              <w:t>保持厕所建筑及各项设施完好，正常使用；</w:t>
            </w:r>
          </w:p>
          <w:p w14:paraId="233F364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120" w:right="103" w:firstLine="39"/>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r>
              <w:rPr>
                <w:rFonts w:hint="eastAsia" w:ascii="仿宋" w:hAnsi="仿宋" w:eastAsia="仿宋" w:cs="仿宋"/>
                <w:color w:val="auto"/>
                <w:sz w:val="24"/>
                <w:szCs w:val="24"/>
                <w:highlight w:val="none"/>
                <w:shd w:val="clear" w:color="auto" w:fill="FFFFFE"/>
              </w:rPr>
              <w:t>定时检查、清扫，无恶臭异味，秽物污水外溢，断水缺电等现象。</w:t>
            </w:r>
          </w:p>
        </w:tc>
      </w:tr>
    </w:tbl>
    <w:p w14:paraId="11A8E537">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其它设施养护要求应符合下列规定：</w:t>
      </w:r>
    </w:p>
    <w:p w14:paraId="7CF7B78F">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lang w:val="en-US" w:eastAsia="zh-CN"/>
        </w:rPr>
        <w:t>.</w:t>
      </w:r>
      <w:r>
        <w:rPr>
          <w:rFonts w:hint="eastAsia" w:ascii="仿宋" w:hAnsi="仿宋" w:eastAsia="仿宋" w:cs="仿宋"/>
          <w:color w:val="auto"/>
          <w:sz w:val="24"/>
          <w:szCs w:val="24"/>
          <w:highlight w:val="none"/>
        </w:rPr>
        <w:t>垃圾箱及垃圾堆场：应外观清洁、完整，内壁无污垢陈渍，箱内无陈积垃圾，应实行垃圾分类，垃圾堆场必须与景区分隔，地面排水良好，场内无臭，无蚊蝇孽生。</w:t>
      </w:r>
    </w:p>
    <w:p w14:paraId="4280544E">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lang w:val="en-US" w:eastAsia="zh-CN"/>
        </w:rPr>
        <w:t>.</w:t>
      </w:r>
      <w:r>
        <w:rPr>
          <w:rFonts w:hint="eastAsia" w:ascii="仿宋" w:hAnsi="仿宋" w:eastAsia="仿宋" w:cs="仿宋"/>
          <w:color w:val="auto"/>
          <w:sz w:val="24"/>
          <w:szCs w:val="24"/>
          <w:highlight w:val="none"/>
        </w:rPr>
        <w:t>园椅、圆凳：分布合理，位置固定，无损坏、松动，整洁美观，同一场地内材质、形式相对统一，维修与油漆未干时，必须设置明显标志。</w:t>
      </w:r>
    </w:p>
    <w:p w14:paraId="271453B8">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r>
        <w:rPr>
          <w:rFonts w:hint="eastAsia" w:ascii="仿宋" w:hAnsi="仿宋" w:eastAsia="仿宋" w:cs="仿宋"/>
          <w:color w:val="auto"/>
          <w:sz w:val="24"/>
          <w:szCs w:val="24"/>
          <w:highlight w:val="none"/>
          <w:lang w:val="en-US" w:eastAsia="zh-CN"/>
        </w:rPr>
        <w:t>.</w:t>
      </w:r>
      <w:r>
        <w:rPr>
          <w:rFonts w:hint="eastAsia" w:ascii="仿宋" w:hAnsi="仿宋" w:eastAsia="仿宋" w:cs="仿宋"/>
          <w:color w:val="auto"/>
          <w:sz w:val="24"/>
          <w:szCs w:val="24"/>
          <w:highlight w:val="none"/>
        </w:rPr>
        <w:t>标牌：位置恰当，形式美观，书写端正，字迹清晰，构建完整，材质、色彩与绿地景观，环境协调，公园入口处总结介绍说明牌，应有中英文对照，标牌设置须符合《公共信息图形符号》（GB3818）《公共信息标志用图形符号》（GB10001）规定。</w:t>
      </w:r>
    </w:p>
    <w:p w14:paraId="7BF0B82B">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w:t>
      </w:r>
      <w:r>
        <w:rPr>
          <w:rFonts w:hint="eastAsia" w:ascii="仿宋" w:hAnsi="仿宋" w:eastAsia="仿宋" w:cs="仿宋"/>
          <w:color w:val="auto"/>
          <w:sz w:val="24"/>
          <w:szCs w:val="24"/>
          <w:highlight w:val="none"/>
          <w:lang w:val="en-US" w:eastAsia="zh-CN"/>
        </w:rPr>
        <w:t>.</w:t>
      </w:r>
      <w:r>
        <w:rPr>
          <w:rFonts w:hint="eastAsia" w:ascii="仿宋" w:hAnsi="仿宋" w:eastAsia="仿宋" w:cs="仿宋"/>
          <w:color w:val="auto"/>
          <w:sz w:val="24"/>
          <w:szCs w:val="24"/>
          <w:highlight w:val="none"/>
        </w:rPr>
        <w:t>报廊、宣传廊：位置恰当，整洁美观，构建完好，内容丰富、健康，陈列材料定期更换。</w:t>
      </w:r>
    </w:p>
    <w:p w14:paraId="1A4BBE43">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5</w:t>
      </w:r>
      <w:r>
        <w:rPr>
          <w:rFonts w:hint="eastAsia" w:ascii="仿宋" w:hAnsi="仿宋" w:eastAsia="仿宋" w:cs="仿宋"/>
          <w:color w:val="auto"/>
          <w:sz w:val="24"/>
          <w:szCs w:val="24"/>
          <w:highlight w:val="none"/>
          <w:lang w:val="en-US" w:eastAsia="zh-CN"/>
        </w:rPr>
        <w:t>.</w:t>
      </w:r>
      <w:r>
        <w:rPr>
          <w:rFonts w:hint="eastAsia" w:ascii="仿宋" w:hAnsi="仿宋" w:eastAsia="仿宋" w:cs="仿宋"/>
          <w:color w:val="auto"/>
          <w:sz w:val="24"/>
          <w:szCs w:val="24"/>
          <w:highlight w:val="none"/>
        </w:rPr>
        <w:t>广播：设施完好，适时广播，音量不得超过55dB。</w:t>
      </w:r>
    </w:p>
    <w:p w14:paraId="621C139C">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6</w:t>
      </w:r>
      <w:r>
        <w:rPr>
          <w:rFonts w:hint="eastAsia" w:ascii="仿宋" w:hAnsi="仿宋" w:eastAsia="仿宋" w:cs="仿宋"/>
          <w:color w:val="auto"/>
          <w:sz w:val="24"/>
          <w:szCs w:val="24"/>
          <w:highlight w:val="none"/>
          <w:lang w:val="en-US" w:eastAsia="zh-CN"/>
        </w:rPr>
        <w:t>.</w:t>
      </w:r>
      <w:r>
        <w:rPr>
          <w:rFonts w:hint="eastAsia" w:ascii="仿宋" w:hAnsi="仿宋" w:eastAsia="仿宋" w:cs="仿宋"/>
          <w:color w:val="auto"/>
          <w:sz w:val="24"/>
          <w:szCs w:val="24"/>
          <w:highlight w:val="none"/>
        </w:rPr>
        <w:t>停车场地：平整清洁，车位有明显标志。</w:t>
      </w:r>
    </w:p>
    <w:p w14:paraId="53D38D60">
      <w:pPr>
        <w:pStyle w:val="4"/>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60" w:firstLineChars="25"/>
        <w:jc w:val="both"/>
        <w:textAlignment w:val="baseline"/>
        <w:rPr>
          <w:rFonts w:hint="eastAsia" w:ascii="仿宋" w:hAnsi="仿宋" w:eastAsia="仿宋" w:cs="仿宋"/>
          <w:color w:val="auto"/>
          <w:sz w:val="24"/>
          <w:szCs w:val="24"/>
          <w:highlight w:val="none"/>
          <w:u w:val="none"/>
          <w:lang w:val="en-US" w:eastAsia="zh-CN"/>
        </w:rPr>
      </w:pPr>
      <w:r>
        <w:rPr>
          <w:rFonts w:hint="eastAsia" w:ascii="仿宋" w:hAnsi="仿宋" w:eastAsia="仿宋" w:cs="仿宋"/>
          <w:color w:val="auto"/>
          <w:sz w:val="24"/>
          <w:szCs w:val="24"/>
          <w:highlight w:val="none"/>
        </w:rPr>
        <w:t>7</w:t>
      </w:r>
      <w:r>
        <w:rPr>
          <w:rFonts w:hint="eastAsia" w:ascii="仿宋" w:hAnsi="仿宋" w:eastAsia="仿宋" w:cs="仿宋"/>
          <w:color w:val="auto"/>
          <w:sz w:val="24"/>
          <w:szCs w:val="24"/>
          <w:highlight w:val="none"/>
          <w:lang w:val="en-US" w:eastAsia="zh-CN"/>
        </w:rPr>
        <w:t>.</w:t>
      </w:r>
      <w:r>
        <w:rPr>
          <w:rFonts w:hint="eastAsia" w:ascii="仿宋" w:hAnsi="仿宋" w:eastAsia="仿宋" w:cs="仿宋"/>
          <w:color w:val="auto"/>
          <w:sz w:val="24"/>
          <w:szCs w:val="24"/>
          <w:highlight w:val="none"/>
        </w:rPr>
        <w:t>绿地内文物的保护和管理应符合《中华人名共和国文物保护法》的规定</w:t>
      </w:r>
      <w:r>
        <w:rPr>
          <w:rFonts w:hint="eastAsia" w:ascii="仿宋" w:hAnsi="仿宋" w:eastAsia="仿宋" w:cs="仿宋"/>
          <w:color w:val="auto"/>
          <w:sz w:val="24"/>
          <w:szCs w:val="24"/>
          <w:highlight w:val="none"/>
          <w:lang w:eastAsia="zh-CN"/>
        </w:rPr>
        <w:t>。</w:t>
      </w:r>
    </w:p>
    <w:p w14:paraId="46441196">
      <w:pPr>
        <w:widowControl w:val="0"/>
        <w:kinsoku/>
        <w:autoSpaceDE/>
        <w:autoSpaceDN/>
        <w:adjustRightInd/>
        <w:snapToGrid/>
        <w:spacing w:line="360" w:lineRule="auto"/>
        <w:jc w:val="both"/>
        <w:textAlignment w:val="auto"/>
        <w:rPr>
          <w:rFonts w:hint="eastAsia" w:ascii="仿宋" w:hAnsi="仿宋" w:eastAsia="仿宋" w:cs="仿宋"/>
          <w:b/>
          <w:snapToGrid/>
          <w:color w:val="auto"/>
          <w:kern w:val="2"/>
          <w:sz w:val="24"/>
          <w:szCs w:val="24"/>
          <w:highlight w:val="none"/>
          <w:lang w:eastAsia="zh-CN"/>
        </w:rPr>
      </w:pPr>
    </w:p>
    <w:p w14:paraId="2A5C8913">
      <w:pPr>
        <w:widowControl w:val="0"/>
        <w:kinsoku/>
        <w:autoSpaceDE/>
        <w:autoSpaceDN/>
        <w:adjustRightInd/>
        <w:snapToGrid/>
        <w:spacing w:line="360" w:lineRule="auto"/>
        <w:jc w:val="both"/>
        <w:textAlignment w:val="auto"/>
        <w:rPr>
          <w:rFonts w:hint="eastAsia" w:ascii="仿宋" w:hAnsi="仿宋" w:eastAsia="仿宋" w:cs="仿宋"/>
          <w:b/>
          <w:snapToGrid/>
          <w:color w:val="auto"/>
          <w:kern w:val="2"/>
          <w:sz w:val="24"/>
          <w:szCs w:val="24"/>
          <w:highlight w:val="none"/>
          <w:lang w:eastAsia="zh-CN"/>
        </w:rPr>
      </w:pPr>
      <w:r>
        <w:rPr>
          <w:rFonts w:hint="eastAsia" w:ascii="仿宋" w:hAnsi="仿宋" w:eastAsia="仿宋" w:cs="仿宋"/>
          <w:b/>
          <w:snapToGrid/>
          <w:color w:val="auto"/>
          <w:kern w:val="2"/>
          <w:sz w:val="24"/>
          <w:szCs w:val="24"/>
          <w:highlight w:val="none"/>
          <w:lang w:eastAsia="zh-CN"/>
        </w:rPr>
        <w:t>注：以上服务要求为实质性要求必须完全满足或优于，不满足作无效投标处理。</w:t>
      </w:r>
    </w:p>
    <w:p w14:paraId="412AB9DA">
      <w:pPr>
        <w:pageBreakBefore w:val="0"/>
        <w:widowControl w:val="0"/>
        <w:wordWrap/>
        <w:overflowPunct/>
        <w:topLinePunct w:val="0"/>
        <w:bidi w:val="0"/>
        <w:spacing w:line="242" w:lineRule="auto"/>
        <w:rPr>
          <w:rFonts w:hint="eastAsia" w:ascii="仿宋" w:hAnsi="仿宋" w:eastAsia="仿宋" w:cs="仿宋"/>
          <w:color w:val="auto"/>
          <w:spacing w:val="0"/>
          <w:position w:val="0"/>
          <w:highlight w:val="none"/>
        </w:rPr>
      </w:pPr>
    </w:p>
    <w:p w14:paraId="00C7E206">
      <w:pPr>
        <w:pageBreakBefore w:val="0"/>
        <w:widowControl w:val="0"/>
        <w:wordWrap/>
        <w:overflowPunct/>
        <w:topLinePunct w:val="0"/>
        <w:bidi w:val="0"/>
        <w:spacing w:line="242" w:lineRule="auto"/>
        <w:rPr>
          <w:rFonts w:hint="eastAsia" w:ascii="仿宋" w:hAnsi="仿宋" w:eastAsia="仿宋" w:cs="仿宋"/>
          <w:color w:val="auto"/>
          <w:spacing w:val="0"/>
          <w:position w:val="0"/>
          <w:highlight w:val="none"/>
        </w:rPr>
      </w:pPr>
    </w:p>
    <w:p w14:paraId="0C8A5741">
      <w:pPr>
        <w:pageBreakBefore w:val="0"/>
        <w:widowControl w:val="0"/>
        <w:wordWrap/>
        <w:overflowPunct/>
        <w:topLinePunct w:val="0"/>
        <w:bidi w:val="0"/>
        <w:spacing w:line="242" w:lineRule="auto"/>
        <w:rPr>
          <w:rFonts w:hint="eastAsia" w:ascii="仿宋" w:hAnsi="仿宋" w:eastAsia="仿宋" w:cs="仿宋"/>
          <w:color w:val="auto"/>
          <w:spacing w:val="0"/>
          <w:position w:val="0"/>
          <w:highlight w:val="none"/>
        </w:rPr>
      </w:pPr>
    </w:p>
    <w:p w14:paraId="6B259AFC">
      <w:pPr>
        <w:pageBreakBefore w:val="0"/>
        <w:widowControl w:val="0"/>
        <w:wordWrap/>
        <w:overflowPunct/>
        <w:topLinePunct w:val="0"/>
        <w:bidi w:val="0"/>
        <w:spacing w:line="242" w:lineRule="auto"/>
        <w:rPr>
          <w:rFonts w:hint="eastAsia" w:ascii="仿宋" w:hAnsi="仿宋" w:eastAsia="仿宋" w:cs="仿宋"/>
          <w:color w:val="auto"/>
          <w:spacing w:val="0"/>
          <w:position w:val="0"/>
          <w:highlight w:val="none"/>
        </w:rPr>
      </w:pPr>
    </w:p>
    <w:p w14:paraId="3ED56F9F">
      <w:pPr>
        <w:pageBreakBefore w:val="0"/>
        <w:widowControl w:val="0"/>
        <w:wordWrap/>
        <w:overflowPunct/>
        <w:topLinePunct w:val="0"/>
        <w:bidi w:val="0"/>
        <w:spacing w:line="242" w:lineRule="auto"/>
        <w:rPr>
          <w:rFonts w:hint="eastAsia" w:ascii="仿宋" w:hAnsi="仿宋" w:eastAsia="仿宋" w:cs="仿宋"/>
          <w:color w:val="auto"/>
          <w:spacing w:val="0"/>
          <w:position w:val="0"/>
          <w:highlight w:val="none"/>
        </w:rPr>
      </w:pPr>
    </w:p>
    <w:p w14:paraId="17AB7FF6">
      <w:pPr>
        <w:pageBreakBefore w:val="0"/>
        <w:widowControl w:val="0"/>
        <w:wordWrap/>
        <w:overflowPunct/>
        <w:topLinePunct w:val="0"/>
        <w:bidi w:val="0"/>
        <w:spacing w:line="242" w:lineRule="auto"/>
        <w:rPr>
          <w:rFonts w:hint="eastAsia" w:ascii="仿宋" w:hAnsi="仿宋" w:eastAsia="仿宋" w:cs="仿宋"/>
          <w:color w:val="auto"/>
          <w:spacing w:val="0"/>
          <w:position w:val="0"/>
          <w:highlight w:val="none"/>
        </w:rPr>
      </w:pPr>
    </w:p>
    <w:p w14:paraId="415AA055">
      <w:pPr>
        <w:pageBreakBefore w:val="0"/>
        <w:widowControl w:val="0"/>
        <w:wordWrap/>
        <w:overflowPunct/>
        <w:topLinePunct w:val="0"/>
        <w:bidi w:val="0"/>
        <w:spacing w:line="243" w:lineRule="auto"/>
        <w:rPr>
          <w:rFonts w:hint="eastAsia" w:ascii="仿宋" w:hAnsi="仿宋" w:eastAsia="仿宋" w:cs="仿宋"/>
          <w:color w:val="auto"/>
          <w:spacing w:val="0"/>
          <w:position w:val="0"/>
          <w:highlight w:val="none"/>
        </w:rPr>
      </w:pPr>
    </w:p>
    <w:p w14:paraId="2CA174BD">
      <w:pPr>
        <w:pageBreakBefore w:val="0"/>
        <w:widowControl w:val="0"/>
        <w:wordWrap/>
        <w:overflowPunct/>
        <w:topLinePunct w:val="0"/>
        <w:bidi w:val="0"/>
        <w:spacing w:line="243" w:lineRule="auto"/>
        <w:rPr>
          <w:rFonts w:hint="eastAsia" w:ascii="仿宋" w:hAnsi="仿宋" w:eastAsia="仿宋" w:cs="仿宋"/>
          <w:color w:val="auto"/>
          <w:spacing w:val="0"/>
          <w:position w:val="0"/>
          <w:highlight w:val="none"/>
        </w:rPr>
      </w:pPr>
    </w:p>
    <w:p w14:paraId="10D6A179">
      <w:pPr>
        <w:pageBreakBefore w:val="0"/>
        <w:widowControl w:val="0"/>
        <w:wordWrap/>
        <w:overflowPunct/>
        <w:topLinePunct w:val="0"/>
        <w:bidi w:val="0"/>
        <w:spacing w:line="245" w:lineRule="auto"/>
        <w:rPr>
          <w:rFonts w:hint="eastAsia" w:ascii="仿宋" w:hAnsi="仿宋" w:eastAsia="仿宋" w:cs="仿宋"/>
          <w:color w:val="auto"/>
          <w:spacing w:val="0"/>
          <w:position w:val="0"/>
          <w:highlight w:val="none"/>
          <w:lang w:eastAsia="zh-CN"/>
        </w:rPr>
      </w:pPr>
    </w:p>
    <w:p w14:paraId="1F80E02A">
      <w:pPr>
        <w:pageBreakBefore w:val="0"/>
        <w:widowControl w:val="0"/>
        <w:wordWrap/>
        <w:overflowPunct/>
        <w:topLinePunct w:val="0"/>
        <w:bidi w:val="0"/>
        <w:spacing w:line="245" w:lineRule="auto"/>
        <w:rPr>
          <w:rFonts w:hint="eastAsia" w:ascii="仿宋" w:hAnsi="仿宋" w:eastAsia="仿宋" w:cs="仿宋"/>
          <w:color w:val="auto"/>
          <w:spacing w:val="0"/>
          <w:position w:val="0"/>
          <w:highlight w:val="none"/>
          <w:lang w:eastAsia="zh-CN"/>
        </w:rPr>
      </w:pPr>
    </w:p>
    <w:p w14:paraId="3B42A895">
      <w:pPr>
        <w:pageBreakBefore w:val="0"/>
        <w:widowControl w:val="0"/>
        <w:wordWrap/>
        <w:overflowPunct/>
        <w:topLinePunct w:val="0"/>
        <w:bidi w:val="0"/>
        <w:spacing w:before="78" w:line="219" w:lineRule="auto"/>
        <w:outlineLvl w:val="0"/>
        <w:rPr>
          <w:rFonts w:hint="eastAsia" w:ascii="仿宋" w:hAnsi="仿宋" w:eastAsia="仿宋" w:cs="仿宋"/>
          <w:b/>
          <w:bCs/>
          <w:color w:val="auto"/>
          <w:spacing w:val="0"/>
          <w:position w:val="0"/>
          <w:sz w:val="24"/>
          <w:szCs w:val="24"/>
          <w:highlight w:val="none"/>
          <w:lang w:eastAsia="zh-CN"/>
        </w:rPr>
      </w:pPr>
      <w:bookmarkStart w:id="52" w:name="_Toc20493"/>
      <w:r>
        <w:rPr>
          <w:rFonts w:hint="eastAsia" w:ascii="仿宋" w:hAnsi="仿宋" w:eastAsia="仿宋" w:cs="仿宋"/>
          <w:b/>
          <w:bCs/>
          <w:color w:val="auto"/>
          <w:spacing w:val="0"/>
          <w:position w:val="0"/>
          <w:sz w:val="24"/>
          <w:szCs w:val="24"/>
          <w:highlight w:val="none"/>
          <w:lang w:eastAsia="zh-CN"/>
        </w:rPr>
        <w:t>（二） 商务条件</w:t>
      </w:r>
      <w:bookmarkEnd w:id="52"/>
    </w:p>
    <w:p w14:paraId="477E583D">
      <w:pPr>
        <w:pageBreakBefore w:val="0"/>
        <w:widowControl w:val="0"/>
        <w:wordWrap/>
        <w:overflowPunct/>
        <w:topLinePunct w:val="0"/>
        <w:bidi w:val="0"/>
        <w:spacing w:line="249" w:lineRule="auto"/>
        <w:rPr>
          <w:rFonts w:hint="eastAsia" w:ascii="仿宋" w:hAnsi="仿宋" w:eastAsia="仿宋" w:cs="仿宋"/>
          <w:color w:val="auto"/>
          <w:spacing w:val="0"/>
          <w:position w:val="0"/>
          <w:highlight w:val="none"/>
          <w:lang w:eastAsia="zh-CN"/>
        </w:rPr>
      </w:pPr>
    </w:p>
    <w:p w14:paraId="6A13EDEF">
      <w:pPr>
        <w:pStyle w:val="8"/>
        <w:outlineLvl w:val="1"/>
        <w:rPr>
          <w:rFonts w:hint="eastAsia" w:ascii="仿宋" w:hAnsi="仿宋" w:eastAsia="仿宋" w:cs="仿宋"/>
          <w:b/>
          <w:bCs w:val="0"/>
          <w:highlight w:val="none"/>
        </w:rPr>
      </w:pPr>
      <w:bookmarkStart w:id="53" w:name="_Toc18326"/>
      <w:r>
        <w:rPr>
          <w:rFonts w:hint="eastAsia" w:ascii="仿宋" w:hAnsi="仿宋" w:eastAsia="仿宋" w:cs="仿宋"/>
          <w:b/>
          <w:bCs w:val="0"/>
          <w:highlight w:val="none"/>
        </w:rPr>
        <w:t>1、服务期</w:t>
      </w:r>
      <w:bookmarkEnd w:id="53"/>
    </w:p>
    <w:p w14:paraId="1C1748B3">
      <w:pPr>
        <w:spacing w:line="440" w:lineRule="exact"/>
        <w:ind w:firstLine="48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绿化养护服务期限:</w:t>
      </w:r>
      <w:r>
        <w:rPr>
          <w:rFonts w:hint="eastAsia" w:ascii="仿宋" w:hAnsi="仿宋" w:eastAsia="仿宋" w:cs="仿宋"/>
          <w:color w:val="auto"/>
          <w:sz w:val="24"/>
          <w:szCs w:val="24"/>
          <w:highlight w:val="none"/>
          <w:lang w:eastAsia="zh-CN"/>
        </w:rPr>
        <w:t>202</w:t>
      </w:r>
      <w:r>
        <w:rPr>
          <w:rFonts w:hint="eastAsia" w:ascii="仿宋" w:hAnsi="仿宋" w:eastAsia="仿宋" w:cs="仿宋"/>
          <w:color w:val="auto"/>
          <w:sz w:val="24"/>
          <w:szCs w:val="24"/>
          <w:highlight w:val="none"/>
          <w:lang w:val="en-US" w:eastAsia="zh-CN"/>
        </w:rPr>
        <w:t>6</w:t>
      </w:r>
      <w:r>
        <w:rPr>
          <w:rFonts w:hint="eastAsia" w:ascii="仿宋" w:hAnsi="仿宋" w:eastAsia="仿宋" w:cs="仿宋"/>
          <w:color w:val="auto"/>
          <w:sz w:val="24"/>
          <w:szCs w:val="24"/>
          <w:highlight w:val="none"/>
          <w:lang w:eastAsia="zh-CN"/>
        </w:rPr>
        <w:t>年</w:t>
      </w:r>
      <w:r>
        <w:rPr>
          <w:rFonts w:hint="eastAsia" w:ascii="仿宋" w:hAnsi="仿宋" w:eastAsia="仿宋" w:cs="仿宋"/>
          <w:color w:val="auto"/>
          <w:sz w:val="24"/>
          <w:szCs w:val="24"/>
          <w:highlight w:val="none"/>
          <w:lang w:val="en-US" w:eastAsia="zh-CN"/>
        </w:rPr>
        <w:t>7</w:t>
      </w:r>
      <w:r>
        <w:rPr>
          <w:rFonts w:hint="eastAsia" w:ascii="仿宋" w:hAnsi="仿宋" w:eastAsia="仿宋" w:cs="仿宋"/>
          <w:color w:val="auto"/>
          <w:sz w:val="24"/>
          <w:szCs w:val="24"/>
          <w:highlight w:val="none"/>
          <w:lang w:eastAsia="zh-CN"/>
        </w:rPr>
        <w:t>月1日至2026年</w:t>
      </w:r>
      <w:r>
        <w:rPr>
          <w:rFonts w:hint="eastAsia" w:ascii="仿宋" w:hAnsi="仿宋" w:eastAsia="仿宋" w:cs="仿宋"/>
          <w:color w:val="auto"/>
          <w:sz w:val="24"/>
          <w:szCs w:val="24"/>
          <w:highlight w:val="none"/>
          <w:lang w:val="en-US" w:eastAsia="zh-CN"/>
        </w:rPr>
        <w:t>12</w:t>
      </w:r>
      <w:r>
        <w:rPr>
          <w:rFonts w:hint="eastAsia" w:ascii="仿宋" w:hAnsi="仿宋" w:eastAsia="仿宋" w:cs="仿宋"/>
          <w:color w:val="auto"/>
          <w:sz w:val="24"/>
          <w:szCs w:val="24"/>
          <w:highlight w:val="none"/>
          <w:lang w:eastAsia="zh-CN"/>
        </w:rPr>
        <w:t>月31日；</w:t>
      </w:r>
    </w:p>
    <w:p w14:paraId="015AAAB2">
      <w:pPr>
        <w:pStyle w:val="8"/>
        <w:numPr>
          <w:ilvl w:val="0"/>
          <w:numId w:val="2"/>
        </w:numPr>
        <w:jc w:val="left"/>
        <w:outlineLvl w:val="1"/>
        <w:rPr>
          <w:rFonts w:hint="eastAsia" w:ascii="仿宋" w:hAnsi="仿宋" w:eastAsia="仿宋" w:cs="仿宋"/>
          <w:b/>
          <w:bCs/>
          <w:snapToGrid w:val="0"/>
          <w:highlight w:val="none"/>
        </w:rPr>
      </w:pPr>
      <w:bookmarkStart w:id="54" w:name="_Toc29023"/>
      <w:r>
        <w:rPr>
          <w:rFonts w:hint="eastAsia" w:ascii="仿宋" w:hAnsi="仿宋" w:eastAsia="仿宋" w:cs="仿宋"/>
          <w:b/>
          <w:bCs/>
          <w:snapToGrid w:val="0"/>
          <w:highlight w:val="none"/>
        </w:rPr>
        <w:t>服务地点</w:t>
      </w:r>
      <w:bookmarkEnd w:id="54"/>
    </w:p>
    <w:p w14:paraId="72E190E0">
      <w:pPr>
        <w:spacing w:line="440" w:lineRule="exact"/>
        <w:ind w:firstLine="480"/>
        <w:rPr>
          <w:rFonts w:hint="eastAsia" w:ascii="仿宋" w:hAnsi="仿宋" w:eastAsia="仿宋" w:cs="仿宋"/>
          <w:color w:val="auto"/>
          <w:szCs w:val="24"/>
          <w:highlight w:val="none"/>
          <w:lang w:eastAsia="zh-CN"/>
        </w:rPr>
      </w:pPr>
      <w:r>
        <w:rPr>
          <w:rFonts w:hint="eastAsia" w:ascii="仿宋" w:hAnsi="仿宋" w:eastAsia="仿宋" w:cs="仿宋"/>
          <w:color w:val="auto"/>
          <w:sz w:val="24"/>
          <w:szCs w:val="24"/>
          <w:highlight w:val="none"/>
          <w:lang w:eastAsia="zh-CN"/>
        </w:rPr>
        <w:t>南昌市象湖风景区外围段（含灌婴广场、东线、北线、西线、象湖西路、万寿宫、昌南大道等）。</w:t>
      </w:r>
    </w:p>
    <w:p w14:paraId="4BBCDB08">
      <w:pPr>
        <w:pStyle w:val="8"/>
        <w:outlineLvl w:val="1"/>
        <w:rPr>
          <w:rFonts w:hint="eastAsia" w:ascii="仿宋" w:hAnsi="仿宋" w:eastAsia="仿宋" w:cs="仿宋"/>
          <w:b/>
          <w:bCs w:val="0"/>
          <w:highlight w:val="none"/>
        </w:rPr>
      </w:pPr>
      <w:bookmarkStart w:id="55" w:name="_Toc11204"/>
      <w:r>
        <w:rPr>
          <w:rFonts w:hint="eastAsia" w:ascii="仿宋" w:hAnsi="仿宋" w:eastAsia="仿宋" w:cs="仿宋"/>
          <w:b/>
          <w:bCs w:val="0"/>
          <w:highlight w:val="none"/>
        </w:rPr>
        <w:t>3、服务质量保证</w:t>
      </w:r>
      <w:bookmarkEnd w:id="55"/>
    </w:p>
    <w:p w14:paraId="31408B18">
      <w:pPr>
        <w:spacing w:line="460" w:lineRule="exact"/>
        <w:ind w:firstLine="48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en-US" w:eastAsia="zh-CN"/>
        </w:rPr>
        <w:t>3.1</w:t>
      </w:r>
      <w:r>
        <w:rPr>
          <w:rFonts w:hint="eastAsia" w:ascii="仿宋" w:hAnsi="仿宋" w:eastAsia="仿宋" w:cs="仿宋"/>
          <w:color w:val="auto"/>
          <w:sz w:val="24"/>
          <w:szCs w:val="24"/>
          <w:highlight w:val="none"/>
          <w:lang w:val="zh-CN" w:eastAsia="zh-CN"/>
        </w:rPr>
        <w:t>投标人承诺服务达到国家规定及南昌市象湖风景区管理处的要求。</w:t>
      </w:r>
    </w:p>
    <w:p w14:paraId="52438CCE">
      <w:pPr>
        <w:spacing w:line="460" w:lineRule="exact"/>
        <w:ind w:firstLine="48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en-US" w:eastAsia="zh-CN"/>
        </w:rPr>
        <w:t>3.2</w:t>
      </w:r>
      <w:r>
        <w:rPr>
          <w:rFonts w:hint="eastAsia" w:ascii="仿宋" w:hAnsi="仿宋" w:eastAsia="仿宋" w:cs="仿宋"/>
          <w:color w:val="auto"/>
          <w:sz w:val="24"/>
          <w:szCs w:val="24"/>
          <w:highlight w:val="none"/>
          <w:lang w:val="zh-CN" w:eastAsia="zh-CN"/>
        </w:rPr>
        <w:t>投标人保证合同服务质量符合合同附件的要求。</w:t>
      </w:r>
    </w:p>
    <w:p w14:paraId="34B4B474">
      <w:pPr>
        <w:spacing w:line="460" w:lineRule="exact"/>
        <w:ind w:firstLine="480"/>
        <w:rPr>
          <w:rFonts w:hint="eastAsia" w:ascii="仿宋" w:hAnsi="仿宋" w:eastAsia="仿宋" w:cs="仿宋"/>
          <w:color w:val="auto"/>
          <w:szCs w:val="24"/>
          <w:highlight w:val="none"/>
          <w:lang w:val="zh-CN" w:eastAsia="zh-CN"/>
        </w:rPr>
      </w:pPr>
      <w:r>
        <w:rPr>
          <w:rFonts w:hint="eastAsia" w:ascii="仿宋" w:hAnsi="仿宋" w:eastAsia="仿宋" w:cs="仿宋"/>
          <w:color w:val="auto"/>
          <w:sz w:val="24"/>
          <w:szCs w:val="24"/>
          <w:highlight w:val="none"/>
          <w:lang w:val="en-US" w:eastAsia="zh-CN"/>
        </w:rPr>
        <w:t>3.3</w:t>
      </w:r>
      <w:r>
        <w:rPr>
          <w:rFonts w:hint="eastAsia" w:ascii="仿宋" w:hAnsi="仿宋" w:eastAsia="仿宋" w:cs="仿宋"/>
          <w:color w:val="auto"/>
          <w:sz w:val="24"/>
          <w:szCs w:val="24"/>
          <w:highlight w:val="none"/>
          <w:lang w:val="zh-CN" w:eastAsia="zh-CN"/>
        </w:rPr>
        <w:t>验收中发现服务达不到验收标准或合同的规定，服务供应商必须免费进行整改，并且承担由此造成采购方的损失。</w:t>
      </w:r>
    </w:p>
    <w:p w14:paraId="5D0A14A4">
      <w:pPr>
        <w:spacing w:line="460" w:lineRule="exact"/>
        <w:ind w:firstLine="480"/>
        <w:jc w:val="left"/>
        <w:rPr>
          <w:rFonts w:hint="eastAsia" w:ascii="仿宋" w:hAnsi="仿宋" w:eastAsia="仿宋" w:cs="仿宋"/>
          <w:b w:val="0"/>
          <w:bCs w:val="0"/>
          <w:strike w:val="0"/>
          <w:dstrike w:val="0"/>
          <w:color w:val="auto"/>
          <w:sz w:val="24"/>
          <w:szCs w:val="24"/>
          <w:highlight w:val="none"/>
          <w:lang w:val="zh-CN" w:eastAsia="zh-CN"/>
        </w:rPr>
      </w:pPr>
      <w:r>
        <w:rPr>
          <w:rFonts w:hint="eastAsia" w:ascii="仿宋" w:hAnsi="仿宋" w:eastAsia="仿宋" w:cs="仿宋"/>
          <w:b w:val="0"/>
          <w:bCs w:val="0"/>
          <w:strike w:val="0"/>
          <w:dstrike w:val="0"/>
          <w:color w:val="auto"/>
          <w:sz w:val="24"/>
          <w:szCs w:val="24"/>
          <w:highlight w:val="none"/>
          <w:lang w:val="zh-CN" w:eastAsia="zh-CN"/>
        </w:rPr>
        <w:t>注：为规范履约验收方式，根据《财政部关于进一步加强政府采购需求和履约验收管理的指导意见》要求，本项目验收方式有：采购人组织验收小组验收。</w:t>
      </w:r>
    </w:p>
    <w:p w14:paraId="70EEA1B4">
      <w:pPr>
        <w:pStyle w:val="8"/>
        <w:spacing w:line="460" w:lineRule="exact"/>
        <w:outlineLvl w:val="1"/>
        <w:rPr>
          <w:rFonts w:hint="eastAsia" w:ascii="仿宋" w:hAnsi="仿宋" w:eastAsia="仿宋" w:cs="仿宋"/>
          <w:b/>
          <w:bCs w:val="0"/>
          <w:color w:val="auto"/>
          <w:highlight w:val="none"/>
        </w:rPr>
      </w:pPr>
      <w:bookmarkStart w:id="56" w:name="_Toc23175"/>
      <w:r>
        <w:rPr>
          <w:rFonts w:hint="eastAsia" w:ascii="仿宋" w:hAnsi="仿宋" w:eastAsia="仿宋" w:cs="仿宋"/>
          <w:b/>
          <w:bCs w:val="0"/>
          <w:color w:val="auto"/>
          <w:highlight w:val="none"/>
        </w:rPr>
        <w:t>4、付款方式：</w:t>
      </w:r>
      <w:bookmarkEnd w:id="56"/>
    </w:p>
    <w:p w14:paraId="01DF7457">
      <w:pPr>
        <w:spacing w:line="460" w:lineRule="exact"/>
        <w:ind w:firstLine="48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(1)按照中标金额每月(每月服务费=中标金额÷6个月-处罚金额)支付上一月的服务费。</w:t>
      </w:r>
    </w:p>
    <w:p w14:paraId="67E2B2D6">
      <w:pPr>
        <w:spacing w:line="460" w:lineRule="exact"/>
        <w:ind w:firstLine="48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(2)采购人将对中标人进行日常检查及不定期抽查，并按照检查情况凭中标人提供的正规发票在每月月底前支付上一个月的项目服务费(包含一切费用)。</w:t>
      </w:r>
    </w:p>
    <w:p w14:paraId="499A2661">
      <w:pPr>
        <w:spacing w:line="460" w:lineRule="exact"/>
        <w:ind w:firstLine="48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(3)每月服务费结算阶段，</w:t>
      </w:r>
      <w:r>
        <w:rPr>
          <w:rFonts w:hint="eastAsia" w:ascii="仿宋" w:hAnsi="仿宋" w:eastAsia="仿宋" w:cs="仿宋"/>
          <w:b/>
          <w:bCs/>
          <w:color w:val="auto"/>
          <w:sz w:val="24"/>
          <w:szCs w:val="24"/>
          <w:highlight w:val="none"/>
          <w:lang w:val="en-US" w:eastAsia="zh-CN"/>
        </w:rPr>
        <w:t>中标供应商须向采购人提交上月项目人员考勤台账、工资发放明细表、银行工资发放流水凭证等相关资料。</w:t>
      </w:r>
      <w:r>
        <w:rPr>
          <w:rFonts w:hint="eastAsia" w:ascii="仿宋" w:hAnsi="仿宋" w:eastAsia="仿宋" w:cs="仿宋"/>
          <w:color w:val="auto"/>
          <w:sz w:val="24"/>
          <w:szCs w:val="24"/>
          <w:highlight w:val="none"/>
          <w:lang w:val="en-US" w:eastAsia="zh-CN"/>
        </w:rPr>
        <w:t>采购人对人员在岗情况、工资发放真实性与足额性进行核查，核实无误后，按合同约定办理当期服务款项支付手续。若核查发现存在工资未按时足额发放、资料不实等情形，采购人可暂缓付款，督促供应商完成整改后再行结算。</w:t>
      </w:r>
    </w:p>
    <w:p w14:paraId="05F418A4">
      <w:pPr>
        <w:spacing w:line="460" w:lineRule="exact"/>
        <w:ind w:firstLine="48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en-US" w:eastAsia="zh-CN"/>
        </w:rPr>
        <w:t>(4)</w:t>
      </w:r>
      <w:r>
        <w:rPr>
          <w:rFonts w:hint="eastAsia" w:ascii="仿宋" w:hAnsi="仿宋" w:eastAsia="仿宋" w:cs="仿宋"/>
          <w:color w:val="auto"/>
          <w:sz w:val="24"/>
          <w:szCs w:val="24"/>
          <w:highlight w:val="none"/>
          <w:lang w:val="zh-CN" w:eastAsia="zh-CN"/>
        </w:rPr>
        <w:t>根据国家现行税法对</w:t>
      </w:r>
      <w:r>
        <w:rPr>
          <w:rFonts w:hint="eastAsia" w:ascii="仿宋" w:hAnsi="仿宋" w:eastAsia="仿宋" w:cs="仿宋"/>
          <w:color w:val="auto"/>
          <w:sz w:val="24"/>
          <w:szCs w:val="24"/>
          <w:highlight w:val="none"/>
          <w:lang w:eastAsia="zh-CN"/>
        </w:rPr>
        <w:t>中标人</w:t>
      </w:r>
      <w:r>
        <w:rPr>
          <w:rFonts w:hint="eastAsia" w:ascii="仿宋" w:hAnsi="仿宋" w:eastAsia="仿宋" w:cs="仿宋"/>
          <w:color w:val="auto"/>
          <w:sz w:val="24"/>
          <w:szCs w:val="24"/>
          <w:highlight w:val="none"/>
          <w:lang w:val="zh-CN" w:eastAsia="zh-CN"/>
        </w:rPr>
        <w:t>征收的与本合同有关的一切税费均由</w:t>
      </w:r>
      <w:r>
        <w:rPr>
          <w:rFonts w:hint="eastAsia" w:ascii="仿宋" w:hAnsi="仿宋" w:eastAsia="仿宋" w:cs="仿宋"/>
          <w:color w:val="auto"/>
          <w:sz w:val="24"/>
          <w:szCs w:val="24"/>
          <w:highlight w:val="none"/>
          <w:lang w:eastAsia="zh-CN"/>
        </w:rPr>
        <w:t>中标人</w:t>
      </w:r>
      <w:r>
        <w:rPr>
          <w:rFonts w:hint="eastAsia" w:ascii="仿宋" w:hAnsi="仿宋" w:eastAsia="仿宋" w:cs="仿宋"/>
          <w:color w:val="auto"/>
          <w:sz w:val="24"/>
          <w:szCs w:val="24"/>
          <w:highlight w:val="none"/>
          <w:lang w:val="zh-CN" w:eastAsia="zh-CN"/>
        </w:rPr>
        <w:t>承担；管养单位必须符合用工政策，按规定缴纳相关社保费用；</w:t>
      </w:r>
    </w:p>
    <w:p w14:paraId="6B444818">
      <w:pPr>
        <w:spacing w:line="460" w:lineRule="exact"/>
        <w:rPr>
          <w:rFonts w:hint="eastAsia" w:ascii="仿宋" w:hAnsi="仿宋" w:eastAsia="仿宋" w:cs="仿宋"/>
          <w:b/>
          <w:bCs/>
          <w:color w:val="auto"/>
          <w:sz w:val="24"/>
          <w:szCs w:val="24"/>
          <w:highlight w:val="none"/>
          <w:lang w:val="en-US" w:eastAsia="zh-CN"/>
        </w:rPr>
      </w:pPr>
      <w:bookmarkStart w:id="57" w:name="_Toc25817"/>
      <w:r>
        <w:rPr>
          <w:rFonts w:hint="eastAsia" w:ascii="仿宋" w:hAnsi="仿宋" w:eastAsia="仿宋" w:cs="仿宋"/>
          <w:b/>
          <w:bCs/>
          <w:color w:val="auto"/>
          <w:sz w:val="24"/>
          <w:szCs w:val="24"/>
          <w:highlight w:val="none"/>
          <w:lang w:val="en-US" w:eastAsia="zh-CN"/>
        </w:rPr>
        <w:t>5、履约保证金：</w:t>
      </w:r>
    </w:p>
    <w:p w14:paraId="0F65DA79">
      <w:pPr>
        <w:spacing w:line="460" w:lineRule="exact"/>
        <w:ind w:firstLine="48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eastAsia="zh-CN"/>
        </w:rPr>
        <w:t>合同签订后5个工作日内，中标人向采购人提交合同金额的10%作为履约保证金，履约保证金在服务期满且无任何质量问题后采购人无息退还</w:t>
      </w:r>
      <w:r>
        <w:rPr>
          <w:rFonts w:hint="eastAsia" w:ascii="仿宋" w:hAnsi="仿宋" w:eastAsia="仿宋" w:cs="仿宋"/>
          <w:color w:val="auto"/>
          <w:sz w:val="24"/>
          <w:szCs w:val="24"/>
          <w:highlight w:val="none"/>
          <w:lang w:val="zh-CN" w:eastAsia="zh-CN"/>
        </w:rPr>
        <w:t>；</w:t>
      </w:r>
    </w:p>
    <w:p w14:paraId="0343AE0D">
      <w:pPr>
        <w:pStyle w:val="8"/>
        <w:spacing w:line="460" w:lineRule="exact"/>
        <w:outlineLvl w:val="1"/>
        <w:rPr>
          <w:rFonts w:hint="eastAsia" w:ascii="仿宋" w:hAnsi="仿宋" w:eastAsia="仿宋" w:cs="仿宋"/>
          <w:b/>
          <w:bCs w:val="0"/>
          <w:highlight w:val="none"/>
          <w:lang w:eastAsia="zh-CN"/>
        </w:rPr>
      </w:pPr>
      <w:r>
        <w:rPr>
          <w:rFonts w:hint="eastAsia" w:ascii="仿宋" w:hAnsi="仿宋" w:eastAsia="仿宋" w:cs="仿宋"/>
          <w:b/>
          <w:bCs w:val="0"/>
          <w:highlight w:val="none"/>
          <w:lang w:val="en-US" w:eastAsia="zh-CN"/>
        </w:rPr>
        <w:t>6</w:t>
      </w:r>
      <w:r>
        <w:rPr>
          <w:rFonts w:hint="eastAsia" w:ascii="仿宋" w:hAnsi="仿宋" w:eastAsia="仿宋" w:cs="仿宋"/>
          <w:b/>
          <w:bCs w:val="0"/>
          <w:highlight w:val="none"/>
        </w:rPr>
        <w:t>、服务要求</w:t>
      </w:r>
      <w:r>
        <w:rPr>
          <w:rFonts w:hint="eastAsia" w:ascii="仿宋" w:hAnsi="仿宋" w:eastAsia="仿宋" w:cs="仿宋"/>
          <w:b/>
          <w:bCs w:val="0"/>
          <w:highlight w:val="none"/>
          <w:lang w:eastAsia="zh-CN"/>
        </w:rPr>
        <w:t>：</w:t>
      </w:r>
      <w:bookmarkEnd w:id="57"/>
    </w:p>
    <w:p w14:paraId="50A7335C">
      <w:pPr>
        <w:spacing w:line="460" w:lineRule="exact"/>
        <w:ind w:firstLine="480" w:firstLineChars="200"/>
        <w:outlineLvl w:val="0"/>
        <w:rPr>
          <w:rFonts w:hint="eastAsia" w:ascii="仿宋" w:hAnsi="仿宋" w:eastAsia="仿宋" w:cs="仿宋"/>
          <w:szCs w:val="24"/>
          <w:highlight w:val="none"/>
          <w:lang w:val="zh-CN" w:eastAsia="zh-CN"/>
        </w:rPr>
      </w:pPr>
      <w:bookmarkStart w:id="58" w:name="_Toc12479"/>
      <w:r>
        <w:rPr>
          <w:rFonts w:hint="eastAsia" w:ascii="仿宋" w:hAnsi="仿宋" w:eastAsia="仿宋" w:cs="仿宋"/>
          <w:color w:val="auto"/>
          <w:sz w:val="24"/>
          <w:szCs w:val="24"/>
          <w:highlight w:val="none"/>
          <w:lang w:eastAsia="zh-CN"/>
        </w:rPr>
        <w:t>1.</w:t>
      </w:r>
      <w:r>
        <w:rPr>
          <w:rFonts w:hint="eastAsia" w:ascii="仿宋" w:hAnsi="仿宋" w:eastAsia="仿宋" w:cs="仿宋"/>
          <w:color w:val="auto"/>
          <w:sz w:val="24"/>
          <w:szCs w:val="24"/>
          <w:highlight w:val="none"/>
          <w:lang w:val="zh-CN" w:eastAsia="zh-CN"/>
        </w:rPr>
        <w:t>合同签订时因实际绿化养护面积与招标文件中所述面积有差异，以实际养护面积为准；</w:t>
      </w:r>
      <w:bookmarkEnd w:id="58"/>
    </w:p>
    <w:p w14:paraId="56E38A19">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eastAsia="zh-CN"/>
        </w:rPr>
        <w:t>2.</w:t>
      </w:r>
      <w:r>
        <w:rPr>
          <w:rFonts w:hint="eastAsia" w:ascii="仿宋" w:hAnsi="仿宋" w:eastAsia="仿宋" w:cs="仿宋"/>
          <w:color w:val="auto"/>
          <w:sz w:val="24"/>
          <w:szCs w:val="24"/>
          <w:highlight w:val="none"/>
          <w:lang w:val="zh-CN" w:eastAsia="zh-CN"/>
        </w:rPr>
        <w:t>在合同履行过程中，若绿化养护面积出现重大变化时，最终项目价款以下列方式结算（本项目最终价款=中标人投标时所报的综合单价×双方核定的工程量），本价款最高不超过本项目的中标金额。</w:t>
      </w:r>
    </w:p>
    <w:p w14:paraId="4045A7AF">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eastAsia="zh-CN"/>
        </w:rPr>
        <w:t>3.</w:t>
      </w:r>
      <w:r>
        <w:rPr>
          <w:rFonts w:hint="eastAsia" w:ascii="仿宋" w:hAnsi="仿宋" w:eastAsia="仿宋" w:cs="仿宋"/>
          <w:color w:val="auto"/>
          <w:sz w:val="24"/>
          <w:szCs w:val="24"/>
          <w:highlight w:val="none"/>
          <w:lang w:val="zh-CN" w:eastAsia="zh-CN"/>
        </w:rPr>
        <w:t>评分标准、技术要求、商务要求中承诺响应达到的要求必须切实履行，不得通过伪造、虚构材料牟取中标，定标后采购单位将会同主管部门逐条核查中标单位的投标材料，若发现有虚假应标、中标后达不到承诺事项的行为，将从严从重处罚，没收履约保证金。并上报政府采购主管部门，一至三年内不得参与政府采购活动。</w:t>
      </w:r>
    </w:p>
    <w:p w14:paraId="7C5424A7">
      <w:pPr>
        <w:spacing w:line="440" w:lineRule="exact"/>
        <w:ind w:firstLine="480" w:firstLineChars="20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eastAsia="zh-CN"/>
        </w:rPr>
        <w:t>4.</w:t>
      </w:r>
      <w:r>
        <w:rPr>
          <w:rFonts w:hint="eastAsia" w:ascii="仿宋" w:hAnsi="仿宋" w:eastAsia="仿宋" w:cs="仿宋"/>
          <w:color w:val="auto"/>
          <w:sz w:val="24"/>
          <w:szCs w:val="24"/>
          <w:highlight w:val="none"/>
          <w:lang w:val="zh-CN" w:eastAsia="zh-CN"/>
        </w:rPr>
        <w:t>中标单位须承诺在中标后为所有养护人员购买人身意外伤害保险，保额不低于</w:t>
      </w:r>
      <w:r>
        <w:rPr>
          <w:rFonts w:hint="eastAsia" w:ascii="仿宋" w:hAnsi="仿宋" w:eastAsia="仿宋" w:cs="仿宋"/>
          <w:color w:val="auto"/>
          <w:sz w:val="24"/>
          <w:szCs w:val="24"/>
          <w:highlight w:val="none"/>
          <w:lang w:val="en-US" w:eastAsia="zh-CN"/>
        </w:rPr>
        <w:t>100</w:t>
      </w:r>
      <w:r>
        <w:rPr>
          <w:rFonts w:hint="eastAsia" w:ascii="仿宋" w:hAnsi="仿宋" w:eastAsia="仿宋" w:cs="仿宋"/>
          <w:color w:val="auto"/>
          <w:sz w:val="24"/>
          <w:szCs w:val="24"/>
          <w:highlight w:val="none"/>
          <w:lang w:val="zh-CN" w:eastAsia="zh-CN"/>
        </w:rPr>
        <w:t>万元人民币。中标单位必须与所有养护人员分别签订劳动合同，在合同履行期间，如发生中标单位的管养人员意外伤害事件，全部责任由中标单位承担，与招标单位无关。中标单位与招标单位签订合同时需携带相关保险材料原件以备查验，如不符合规定的，则予以废标。中标资格延至排序后一名的投标单位。</w:t>
      </w:r>
    </w:p>
    <w:p w14:paraId="4D7DB6D8">
      <w:pPr>
        <w:spacing w:line="440" w:lineRule="exact"/>
        <w:ind w:firstLine="480" w:firstLineChars="200"/>
        <w:outlineLvl w:val="0"/>
        <w:rPr>
          <w:rFonts w:hint="eastAsia" w:ascii="仿宋" w:hAnsi="仿宋" w:eastAsia="仿宋" w:cs="仿宋"/>
          <w:color w:val="auto"/>
          <w:sz w:val="24"/>
          <w:szCs w:val="24"/>
          <w:highlight w:val="none"/>
          <w:lang w:val="en-US" w:eastAsia="zh-CN"/>
        </w:rPr>
      </w:pPr>
      <w:bookmarkStart w:id="59" w:name="_Toc23432"/>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zh-CN" w:eastAsia="zh-CN"/>
        </w:rPr>
        <w:t>参加园林绿化养护投标活动前三年内，在生产作业中没有发生重大安全事故记录。</w:t>
      </w:r>
      <w:bookmarkEnd w:id="59"/>
    </w:p>
    <w:p w14:paraId="141305AE">
      <w:pPr>
        <w:spacing w:line="440" w:lineRule="exact"/>
        <w:ind w:firstLine="480" w:firstLineChars="200"/>
        <w:outlineLvl w:val="0"/>
        <w:rPr>
          <w:rFonts w:hint="eastAsia" w:ascii="仿宋" w:hAnsi="仿宋" w:eastAsia="仿宋" w:cs="仿宋"/>
          <w:color w:val="000000" w:themeColor="text1"/>
          <w:sz w:val="24"/>
          <w:szCs w:val="24"/>
          <w:highlight w:val="none"/>
          <w:lang w:eastAsia="zh-CN"/>
          <w14:textFill>
            <w14:solidFill>
              <w14:schemeClr w14:val="tx1"/>
            </w14:solidFill>
          </w14:textFill>
        </w:rPr>
      </w:pPr>
      <w:bookmarkStart w:id="60" w:name="_Toc32577"/>
      <w:r>
        <w:rPr>
          <w:rFonts w:hint="eastAsia" w:ascii="仿宋" w:hAnsi="仿宋" w:eastAsia="仿宋" w:cs="仿宋"/>
          <w:color w:val="000000" w:themeColor="text1"/>
          <w:sz w:val="24"/>
          <w:szCs w:val="24"/>
          <w:highlight w:val="none"/>
          <w:lang w:val="en-US" w:eastAsia="zh-CN"/>
          <w14:textFill>
            <w14:solidFill>
              <w14:schemeClr w14:val="tx1"/>
            </w14:solidFill>
          </w14:textFill>
        </w:rPr>
        <w:t>6</w:t>
      </w:r>
      <w:r>
        <w:rPr>
          <w:rFonts w:hint="eastAsia" w:ascii="仿宋" w:hAnsi="仿宋" w:eastAsia="仿宋" w:cs="仿宋"/>
          <w:color w:val="000000" w:themeColor="text1"/>
          <w:sz w:val="24"/>
          <w:szCs w:val="24"/>
          <w:highlight w:val="none"/>
          <w:lang w:eastAsia="zh-CN"/>
          <w14:textFill>
            <w14:solidFill>
              <w14:schemeClr w14:val="tx1"/>
            </w14:solidFill>
          </w14:textFill>
        </w:rPr>
        <w:t>.中标人须依法按时足额发放工资，不得</w:t>
      </w:r>
      <w:r>
        <w:rPr>
          <w:rFonts w:hint="eastAsia" w:ascii="仿宋" w:hAnsi="仿宋" w:eastAsia="仿宋" w:cs="仿宋"/>
          <w:color w:val="000000" w:themeColor="text1"/>
          <w:sz w:val="24"/>
          <w:szCs w:val="24"/>
          <w:highlight w:val="none"/>
          <w:lang w:val="en-US" w:eastAsia="zh-CN"/>
          <w14:textFill>
            <w14:solidFill>
              <w14:schemeClr w14:val="tx1"/>
            </w14:solidFill>
          </w14:textFill>
        </w:rPr>
        <w:t>发生</w:t>
      </w:r>
      <w:r>
        <w:rPr>
          <w:rFonts w:hint="eastAsia" w:ascii="仿宋" w:hAnsi="仿宋" w:eastAsia="仿宋" w:cs="仿宋"/>
          <w:color w:val="000000" w:themeColor="text1"/>
          <w:sz w:val="24"/>
          <w:szCs w:val="24"/>
          <w:highlight w:val="none"/>
          <w:lang w:eastAsia="zh-CN"/>
          <w14:textFill>
            <w14:solidFill>
              <w14:schemeClr w14:val="tx1"/>
            </w14:solidFill>
          </w14:textFill>
        </w:rPr>
        <w:t>以任何理由或方式拖欠行为。若出现工资拖欠情形，</w:t>
      </w:r>
      <w:r>
        <w:rPr>
          <w:rFonts w:hint="eastAsia" w:ascii="仿宋" w:hAnsi="仿宋" w:eastAsia="仿宋" w:cs="仿宋"/>
          <w:color w:val="000000" w:themeColor="text1"/>
          <w:sz w:val="24"/>
          <w:szCs w:val="24"/>
          <w:highlight w:val="none"/>
          <w:lang w:val="en-US" w:eastAsia="zh-CN"/>
          <w14:textFill>
            <w14:solidFill>
              <w14:schemeClr w14:val="tx1"/>
            </w14:solidFill>
          </w14:textFill>
        </w:rPr>
        <w:t>采购</w:t>
      </w:r>
      <w:r>
        <w:rPr>
          <w:rFonts w:hint="eastAsia" w:ascii="仿宋" w:hAnsi="仿宋" w:eastAsia="仿宋" w:cs="仿宋"/>
          <w:color w:val="000000" w:themeColor="text1"/>
          <w:sz w:val="24"/>
          <w:szCs w:val="24"/>
          <w:highlight w:val="none"/>
          <w:lang w:eastAsia="zh-CN"/>
          <w14:textFill>
            <w14:solidFill>
              <w14:schemeClr w14:val="tx1"/>
            </w14:solidFill>
          </w14:textFill>
        </w:rPr>
        <w:t>人有权终止合同，</w:t>
      </w:r>
      <w:r>
        <w:rPr>
          <w:rFonts w:hint="eastAsia" w:ascii="仿宋" w:hAnsi="仿宋" w:eastAsia="仿宋" w:cs="仿宋"/>
          <w:color w:val="000000" w:themeColor="text1"/>
          <w:sz w:val="24"/>
          <w:szCs w:val="24"/>
          <w:highlight w:val="none"/>
          <w:lang w:val="en-US" w:eastAsia="zh-CN"/>
          <w14:textFill>
            <w14:solidFill>
              <w14:schemeClr w14:val="tx1"/>
            </w14:solidFill>
          </w14:textFill>
        </w:rPr>
        <w:t>并</w:t>
      </w:r>
      <w:r>
        <w:rPr>
          <w:rFonts w:hint="eastAsia" w:ascii="仿宋" w:hAnsi="仿宋" w:eastAsia="仿宋" w:cs="仿宋"/>
          <w:color w:val="000000" w:themeColor="text1"/>
          <w:sz w:val="24"/>
          <w:szCs w:val="24"/>
          <w:highlight w:val="none"/>
          <w:lang w:eastAsia="zh-CN"/>
          <w14:textFill>
            <w14:solidFill>
              <w14:schemeClr w14:val="tx1"/>
            </w14:solidFill>
          </w14:textFill>
        </w:rPr>
        <w:t>追回已支付的相关</w:t>
      </w:r>
      <w:r>
        <w:rPr>
          <w:rFonts w:hint="eastAsia" w:ascii="仿宋" w:hAnsi="仿宋" w:eastAsia="仿宋" w:cs="仿宋"/>
          <w:color w:val="000000" w:themeColor="text1"/>
          <w:sz w:val="24"/>
          <w:szCs w:val="24"/>
          <w:highlight w:val="none"/>
          <w:lang w:val="en-US" w:eastAsia="zh-CN"/>
          <w14:textFill>
            <w14:solidFill>
              <w14:schemeClr w14:val="tx1"/>
            </w14:solidFill>
          </w14:textFill>
        </w:rPr>
        <w:t>费用</w:t>
      </w:r>
      <w:r>
        <w:rPr>
          <w:rFonts w:hint="eastAsia" w:ascii="仿宋" w:hAnsi="仿宋" w:eastAsia="仿宋" w:cs="仿宋"/>
          <w:color w:val="000000" w:themeColor="text1"/>
          <w:sz w:val="24"/>
          <w:szCs w:val="24"/>
          <w:highlight w:val="none"/>
          <w:lang w:eastAsia="zh-CN"/>
          <w14:textFill>
            <w14:solidFill>
              <w14:schemeClr w14:val="tx1"/>
            </w14:solidFill>
          </w14:textFill>
        </w:rPr>
        <w:t>，中标人须承担欠薪清偿、合同终止手续办理等全部责任及相应违约责任。</w:t>
      </w:r>
    </w:p>
    <w:p w14:paraId="27630651">
      <w:pPr>
        <w:spacing w:line="440" w:lineRule="exact"/>
        <w:outlineLvl w:val="0"/>
        <w:rPr>
          <w:rFonts w:hint="eastAsia" w:ascii="仿宋" w:hAnsi="仿宋" w:eastAsia="仿宋" w:cs="仿宋"/>
          <w:b/>
          <w:bCs/>
          <w:color w:val="000000" w:themeColor="text1"/>
          <w:szCs w:val="24"/>
          <w:highlight w:val="none"/>
          <w:lang w:val="zh-CN" w:eastAsia="zh-CN"/>
          <w14:textFill>
            <w14:solidFill>
              <w14:schemeClr w14:val="tx1"/>
            </w14:solidFill>
          </w14:textFill>
        </w:rPr>
      </w:pPr>
      <w:r>
        <w:rPr>
          <w:rFonts w:hint="eastAsia" w:ascii="仿宋" w:hAnsi="仿宋" w:eastAsia="仿宋" w:cs="仿宋"/>
          <w:b/>
          <w:bCs/>
          <w:color w:val="000000" w:themeColor="text1"/>
          <w:sz w:val="24"/>
          <w:szCs w:val="24"/>
          <w:highlight w:val="none"/>
          <w:lang w:val="en-US" w:eastAsia="zh-CN"/>
          <w14:textFill>
            <w14:solidFill>
              <w14:schemeClr w14:val="tx1"/>
            </w14:solidFill>
          </w14:textFill>
        </w:rPr>
        <w:t>7、绿植要求</w:t>
      </w:r>
      <w:r>
        <w:rPr>
          <w:rFonts w:hint="eastAsia" w:ascii="仿宋" w:hAnsi="仿宋" w:eastAsia="仿宋" w:cs="仿宋"/>
          <w:b/>
          <w:bCs/>
          <w:color w:val="000000" w:themeColor="text1"/>
          <w:sz w:val="24"/>
          <w:szCs w:val="24"/>
          <w:highlight w:val="none"/>
          <w:lang w:val="zh-CN" w:eastAsia="zh-CN"/>
          <w14:textFill>
            <w14:solidFill>
              <w14:schemeClr w14:val="tx1"/>
            </w14:solidFill>
          </w14:textFill>
        </w:rPr>
        <w:t>：</w:t>
      </w:r>
      <w:bookmarkEnd w:id="60"/>
    </w:p>
    <w:p w14:paraId="4F97DA03">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（1）乔木树冠完整，生长基本正常；无明显枯枝及非自然黄叶，无病虫枝，死树缺株率控制在1%以下。</w:t>
      </w:r>
    </w:p>
    <w:p w14:paraId="4487F8C9">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（2）灌木生长正常，叶片无脱绿缺肥现象，无明显枯枝黄叶，无病虫枝；非整形绿蓠高度基本一致，不露空缺；整形绿蓠整齐美观，不脱脚、不缺损。</w:t>
      </w:r>
    </w:p>
    <w:p w14:paraId="116DAF50">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（3）地被生长正常</w:t>
      </w:r>
      <w:r>
        <w:rPr>
          <w:rFonts w:hint="eastAsia" w:ascii="仿宋" w:hAnsi="仿宋" w:eastAsia="仿宋" w:cs="仿宋"/>
          <w:strike w:val="0"/>
          <w:dstrike w:val="0"/>
          <w:color w:val="auto"/>
          <w:sz w:val="24"/>
          <w:szCs w:val="24"/>
          <w:highlight w:val="none"/>
          <w:lang w:val="zh-CN" w:eastAsia="zh-CN"/>
        </w:rPr>
        <w:t>，</w:t>
      </w:r>
      <w:r>
        <w:rPr>
          <w:rFonts w:hint="eastAsia" w:ascii="仿宋" w:hAnsi="仿宋" w:eastAsia="仿宋" w:cs="仿宋"/>
          <w:color w:val="auto"/>
          <w:sz w:val="24"/>
          <w:szCs w:val="24"/>
          <w:highlight w:val="none"/>
          <w:lang w:val="zh-CN" w:eastAsia="zh-CN"/>
        </w:rPr>
        <w:t>叶片无厚重粉尘覆盖。</w:t>
      </w:r>
    </w:p>
    <w:p w14:paraId="5D60DCCF">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（4）树池无垃圾覆盖，树木上无悬挂物、无垃圾；树上无图刻，无粘贴。</w:t>
      </w:r>
    </w:p>
    <w:p w14:paraId="75B1E0C3">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（5）绿地及时清理各种生活垃圾、杂物、土堆、石块等。</w:t>
      </w:r>
    </w:p>
    <w:p w14:paraId="41C1705A">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6）新植及主侧枝未定型的树木采取整形技术逐年形成三级分枝骨架；观花类树种在花芽分化前完成修剪；灌木修剪以保持自然冠形为主，逐年循序更新老枝、去除过密枝并随时清理枯死枝和病虫枝，保持内膛通风透光；剪口平滑、剪口大于2cm的应涂保护剂。</w:t>
      </w:r>
    </w:p>
    <w:p w14:paraId="270163B7">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（7）人工整形树木表面平整、圆滑；整形绿蓠线条流畅、表面平整、轮廓分明。</w:t>
      </w:r>
    </w:p>
    <w:p w14:paraId="7884B958">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（8）木本地被根据季节特点和生长发育特性及时修剪，高度根据实际情况和景观需要而定；观花地被花后适当压低。</w:t>
      </w:r>
    </w:p>
    <w:p w14:paraId="5706D860">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（9）及时松土除草，保持土壤疏松；及时整穴、及时切边。</w:t>
      </w:r>
    </w:p>
    <w:p w14:paraId="79B95B12">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（10）乔、灌木及时整穴，基部无杂草束缚、绿蓠、地被内无明显杂草；草坪与各类乔、灌木、草花应及时切边，分隔15cm。</w:t>
      </w:r>
    </w:p>
    <w:p w14:paraId="7FEAD4C8">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（11）植被无明显有害生物危害状，叶片受害率控制在总量的10%以下，树干受害率控制在总量的5%以下。</w:t>
      </w:r>
    </w:p>
    <w:p w14:paraId="718C4F37">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（12）使用农药严格按操作规程和有关规定进行配比、用量正确、无药害产生。</w:t>
      </w:r>
    </w:p>
    <w:p w14:paraId="67A08E08">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（13）结合冬季树干涂白、修剪，及时清理消灭越冬虫卵、虫茧及有关病原体。</w:t>
      </w:r>
    </w:p>
    <w:p w14:paraId="288A9047">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（14）根据实际情况，适时浇水、浇水应浇透，确保各类植物正常生长。</w:t>
      </w:r>
    </w:p>
    <w:p w14:paraId="73FED4B3">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（15）灌足定根水，并连续灌水3-5年直至树木扎根较深后，不灌水也能正常生长为止。</w:t>
      </w:r>
    </w:p>
    <w:p w14:paraId="13901C32">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（16）绿地内不积水，坑洼处及时填平，确保雨后积水及时排除。</w:t>
      </w:r>
    </w:p>
    <w:p w14:paraId="7E63F276">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（17）按要求及时施肥，规范操作：每年春秋季各施肥1次:生长期追肥2-3次：观花植物于花芽分化期与花后各追肥1次；肥料埋施，切忌裸露。</w:t>
      </w:r>
    </w:p>
    <w:p w14:paraId="68E57E44">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（18）桩景植物植株生长健壮,没有明显的病虫害,没有缩枝现象。</w:t>
      </w:r>
    </w:p>
    <w:p w14:paraId="082F7BFB">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（19）桩景植物按各种不同的树种习性修剪,形状保持完好,没有5cm长以上的冗长枝。</w:t>
      </w:r>
    </w:p>
    <w:p w14:paraId="36A13F4F">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（20）桩景植物上不允许有杂生植物及其他杂物。</w:t>
      </w:r>
    </w:p>
    <w:p w14:paraId="5AECE84D">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（21）桩景植物夏秋季每天上下午各浇一次水，冬春季根据天气情况每1-2天浇一次水。</w:t>
      </w:r>
    </w:p>
    <w:p w14:paraId="7B59621F">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（22）一年四季做好控形修剪,养护中应随时剪除病枝、枯枝、细弱枝及徒长枝,保持桩景植物植株造型，同时按要求植物的疏剪、抹芽、摘心、摘叶等养护工作。</w:t>
      </w:r>
    </w:p>
    <w:p w14:paraId="5C4DFB9D">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（23）做好春季、冬季施肥工作，施肥时不能太靠近植物根部。</w:t>
      </w:r>
    </w:p>
    <w:p w14:paraId="16FC7F79">
      <w:pPr>
        <w:spacing w:line="440" w:lineRule="exact"/>
        <w:ind w:firstLine="480" w:firstLineChars="200"/>
        <w:rPr>
          <w:rFonts w:hint="eastAsia" w:ascii="仿宋" w:hAnsi="仿宋" w:eastAsia="仿宋" w:cs="仿宋"/>
          <w:szCs w:val="24"/>
          <w:highlight w:val="none"/>
          <w:lang w:val="zh-CN" w:eastAsia="zh-CN"/>
        </w:rPr>
      </w:pPr>
      <w:r>
        <w:rPr>
          <w:rFonts w:hint="eastAsia" w:ascii="仿宋" w:hAnsi="仿宋" w:eastAsia="仿宋" w:cs="仿宋"/>
          <w:color w:val="auto"/>
          <w:sz w:val="24"/>
          <w:szCs w:val="24"/>
          <w:highlight w:val="none"/>
          <w:lang w:val="zh-CN" w:eastAsia="zh-CN"/>
        </w:rPr>
        <w:t>（24）定时定期喷洒药物，保证桩景植物的无病虫害。</w:t>
      </w:r>
    </w:p>
    <w:p w14:paraId="5F43200C">
      <w:pPr>
        <w:spacing w:line="440" w:lineRule="exact"/>
        <w:ind w:firstLine="480" w:firstLineChars="200"/>
        <w:rPr>
          <w:rFonts w:hint="eastAsia" w:ascii="仿宋" w:hAnsi="仿宋" w:eastAsia="仿宋" w:cs="仿宋"/>
          <w:color w:val="auto"/>
          <w:sz w:val="24"/>
          <w:szCs w:val="24"/>
          <w:highlight w:val="none"/>
          <w:lang w:val="zh-CN" w:eastAsia="zh-CN"/>
        </w:rPr>
      </w:pPr>
      <w:r>
        <w:rPr>
          <w:rFonts w:hint="eastAsia" w:ascii="仿宋" w:hAnsi="仿宋" w:eastAsia="仿宋" w:cs="仿宋"/>
          <w:color w:val="auto"/>
          <w:sz w:val="24"/>
          <w:szCs w:val="24"/>
          <w:highlight w:val="none"/>
          <w:lang w:val="zh-CN" w:eastAsia="zh-CN"/>
        </w:rPr>
        <w:t>（2</w:t>
      </w:r>
      <w:r>
        <w:rPr>
          <w:rFonts w:hint="eastAsia" w:ascii="仿宋" w:hAnsi="仿宋" w:eastAsia="仿宋" w:cs="仿宋"/>
          <w:color w:val="auto"/>
          <w:sz w:val="24"/>
          <w:szCs w:val="24"/>
          <w:highlight w:val="none"/>
          <w:lang w:eastAsia="zh-CN"/>
        </w:rPr>
        <w:t>5</w:t>
      </w:r>
      <w:r>
        <w:rPr>
          <w:rFonts w:hint="eastAsia" w:ascii="仿宋" w:hAnsi="仿宋" w:eastAsia="仿宋" w:cs="仿宋"/>
          <w:color w:val="auto"/>
          <w:sz w:val="24"/>
          <w:szCs w:val="24"/>
          <w:highlight w:val="none"/>
          <w:lang w:val="zh-CN" w:eastAsia="zh-CN"/>
        </w:rPr>
        <w:t>）发现病虫害立即喷洒药物，保证植物的无病虫害。</w:t>
      </w:r>
    </w:p>
    <w:p w14:paraId="412C5B4E">
      <w:pPr>
        <w:spacing w:line="440" w:lineRule="exact"/>
        <w:ind w:firstLine="482" w:firstLineChars="200"/>
        <w:rPr>
          <w:rFonts w:hint="eastAsia" w:ascii="仿宋" w:hAnsi="仿宋" w:eastAsia="仿宋" w:cs="仿宋"/>
          <w:b/>
          <w:color w:val="auto"/>
          <w:sz w:val="24"/>
          <w:szCs w:val="24"/>
          <w:highlight w:val="none"/>
          <w:lang w:val="zh-CN" w:eastAsia="zh-CN"/>
        </w:rPr>
      </w:pPr>
    </w:p>
    <w:p w14:paraId="7CC14328">
      <w:pPr>
        <w:spacing w:line="440" w:lineRule="exact"/>
        <w:ind w:firstLine="482" w:firstLineChars="200"/>
        <w:rPr>
          <w:rFonts w:hint="eastAsia" w:ascii="仿宋" w:hAnsi="仿宋" w:eastAsia="仿宋" w:cs="仿宋"/>
          <w:b/>
          <w:color w:val="auto"/>
          <w:sz w:val="24"/>
          <w:szCs w:val="24"/>
          <w:highlight w:val="none"/>
          <w:lang w:val="zh-CN" w:eastAsia="zh-CN"/>
        </w:rPr>
      </w:pPr>
      <w:r>
        <w:rPr>
          <w:rFonts w:hint="eastAsia" w:ascii="仿宋" w:hAnsi="仿宋" w:eastAsia="仿宋" w:cs="仿宋"/>
          <w:b/>
          <w:color w:val="auto"/>
          <w:sz w:val="24"/>
          <w:szCs w:val="24"/>
          <w:highlight w:val="none"/>
          <w:lang w:val="zh-CN" w:eastAsia="zh-CN"/>
        </w:rPr>
        <w:t>注：①以上商务条款为实质性响应条款，必须完全满足或优于，否则作无效响应处理。</w:t>
      </w:r>
    </w:p>
    <w:p w14:paraId="617FF904">
      <w:pPr>
        <w:widowControl w:val="0"/>
        <w:kinsoku/>
        <w:autoSpaceDE/>
        <w:autoSpaceDN/>
        <w:adjustRightInd/>
        <w:snapToGrid/>
        <w:spacing w:line="360" w:lineRule="auto"/>
        <w:ind w:firstLine="482" w:firstLineChars="200"/>
        <w:jc w:val="both"/>
        <w:textAlignment w:val="auto"/>
        <w:rPr>
          <w:rFonts w:hint="eastAsia" w:ascii="仿宋" w:hAnsi="仿宋" w:eastAsia="仿宋" w:cs="仿宋"/>
          <w:b/>
          <w:bCs/>
          <w:color w:val="auto"/>
          <w:sz w:val="24"/>
          <w:szCs w:val="24"/>
          <w:highlight w:val="none"/>
          <w:lang w:val="en-US" w:eastAsia="zh-CN"/>
        </w:rPr>
      </w:pPr>
      <w:r>
        <w:rPr>
          <w:rFonts w:hint="eastAsia" w:ascii="仿宋" w:hAnsi="仿宋" w:eastAsia="仿宋" w:cs="仿宋"/>
          <w:b/>
          <w:bCs/>
          <w:color w:val="auto"/>
          <w:sz w:val="24"/>
          <w:szCs w:val="24"/>
          <w:highlight w:val="none"/>
          <w:lang w:val="en-US" w:eastAsia="zh-CN"/>
        </w:rPr>
        <w:t>②投标人所提供的资质、证明文件，以及提供的证书证明等材料应真实有效，若有虚假情况，取消中标资格，并按《政府采购法》第七十七条处理（供应商提供虚假材料谋取中标或成交的，将被处以采购金额千分之五以上千分之十以下的罚款，并被列入不良行为记录名单。此外，供应商在一至三年内禁止参加政府采购活动，如果有违法所得，还将被没收违法所得。情节严重的，由工商行政管理机关吊销营业执照；构成犯罪的，依法追究刑事责任）。若本文件要求提供佐证材料，如：图片证明、证书等，投标人必须提供提供清晰可辨的材料。若因材料模糊不清导致评委无法认定，则视为无效材料。</w:t>
      </w:r>
    </w:p>
    <w:p w14:paraId="472C9534">
      <w:r>
        <w:rPr>
          <w:rFonts w:hint="eastAsia" w:ascii="仿宋" w:hAnsi="仿宋" w:eastAsia="仿宋" w:cs="仿宋"/>
          <w:b/>
          <w:bCs/>
          <w:color w:val="auto"/>
          <w:sz w:val="24"/>
          <w:szCs w:val="24"/>
          <w:highlight w:val="none"/>
          <w:lang w:val="en-US" w:eastAsia="zh-CN"/>
        </w:rPr>
        <w:t>③</w:t>
      </w:r>
      <w:r>
        <w:rPr>
          <w:rFonts w:hint="eastAsia" w:ascii="仿宋" w:hAnsi="仿宋" w:eastAsia="仿宋" w:cs="仿宋"/>
          <w:b/>
          <w:color w:val="auto"/>
          <w:sz w:val="24"/>
          <w:szCs w:val="24"/>
          <w:highlight w:val="none"/>
          <w:lang w:val="zh-CN" w:eastAsia="zh-CN"/>
        </w:rPr>
        <w:t>中标人中标后，履行合同过程中，如有转包或发现实际内容与招标文件要求不一致，将其问题反映至同级财政部门，经查实其提供虚假材料，将取消其中标资格并终止合同</w:t>
      </w:r>
      <w:r>
        <w:rPr>
          <w:rFonts w:hint="eastAsia" w:ascii="仿宋" w:hAnsi="仿宋" w:eastAsia="仿宋" w:cs="仿宋"/>
          <w:b/>
          <w:snapToGrid/>
          <w:color w:val="auto"/>
          <w:kern w:val="2"/>
          <w:sz w:val="24"/>
          <w:szCs w:val="24"/>
          <w:highlight w:val="none"/>
          <w:lang w:eastAsia="zh-CN"/>
        </w:rPr>
        <w:t>。</w:t>
      </w:r>
      <w:bookmarkStart w:id="61" w:name="_GoBack"/>
      <w:bookmarkEnd w:id="6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23FC72B"/>
    <w:multiLevelType w:val="singleLevel"/>
    <w:tmpl w:val="C23FC72B"/>
    <w:lvl w:ilvl="0" w:tentative="0">
      <w:start w:val="1"/>
      <w:numFmt w:val="decimal"/>
      <w:suff w:val="nothing"/>
      <w:lvlText w:val="（%1）"/>
      <w:lvlJc w:val="left"/>
    </w:lvl>
  </w:abstractNum>
  <w:abstractNum w:abstractNumId="1">
    <w:nsid w:val="5DEEC270"/>
    <w:multiLevelType w:val="singleLevel"/>
    <w:tmpl w:val="5DEEC270"/>
    <w:lvl w:ilvl="0" w:tentative="0">
      <w:start w:val="2"/>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E633FB"/>
    <w:rsid w:val="6BE633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next w:val="3"/>
    <w:semiHidden/>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Body Text Indent"/>
    <w:basedOn w:val="1"/>
    <w:unhideWhenUsed/>
    <w:qFormat/>
    <w:uiPriority w:val="99"/>
    <w:pPr>
      <w:spacing w:after="120"/>
      <w:ind w:left="420" w:leftChars="200"/>
    </w:pPr>
    <w:rPr>
      <w:rFonts w:eastAsia="微软雅黑"/>
      <w:kern w:val="0"/>
      <w:sz w:val="24"/>
      <w:szCs w:val="20"/>
    </w:rPr>
  </w:style>
  <w:style w:type="paragraph" w:styleId="5">
    <w:name w:val="footer"/>
    <w:basedOn w:val="1"/>
    <w:qFormat/>
    <w:uiPriority w:val="0"/>
    <w:pPr>
      <w:tabs>
        <w:tab w:val="center" w:pos="4153"/>
        <w:tab w:val="right" w:pos="8306"/>
      </w:tabs>
    </w:pPr>
    <w:rPr>
      <w:sz w:val="18"/>
    </w:rPr>
  </w:style>
  <w:style w:type="paragraph" w:customStyle="1" w:styleId="8">
    <w:name w:val="纯文本1"/>
    <w:basedOn w:val="1"/>
    <w:qFormat/>
    <w:uiPriority w:val="0"/>
    <w:rPr>
      <w:sz w:val="24"/>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39</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2026-05-29T09:39:00Z</dcterms:created>
  <dc:creator>Administrator</dc:creator>
  <cp:lastModifiedBy>Administrator</cp:lastModifiedBy>
  <dcterms:modified xsi:type="dcterms:W3CDTF">2026-05-29T09:39:53Z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0EE1991E44CF49B9976A80FED016C3C2_11</vt:lpwstr>
  </property>
  <property fmtid="{D5CDD505-2E9C-101B-9397-08002B2CF9AE}" pid="4" name="KSOTemplateDocerSaveRecord">
    <vt:lpwstr>eyJoZGlkIjoiNDM2NjU0M2ZmOWM3MjQ3OGJhYjJmMGRkNTIzYTI4NjkiLCJ1c2VySWQiOiIyNzE2Mjg2NjIifQ==</vt:lpwstr>
  </property>
</Properties>
</file>