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3DF0F8">
      <w:pPr>
        <w:pStyle w:val="2"/>
        <w:numPr>
          <w:ilvl w:val="0"/>
          <w:numId w:val="0"/>
        </w:numPr>
        <w:bidi w:val="0"/>
        <w:ind w:leftChars="0"/>
        <w:jc w:val="center"/>
        <w:rPr>
          <w:rFonts w:hint="eastAsia" w:ascii="宋体" w:hAnsi="宋体" w:eastAsia="宋体" w:cs="宋体"/>
          <w:sz w:val="28"/>
          <w:szCs w:val="28"/>
          <w:lang w:val="en-US" w:eastAsia="zh-CN"/>
        </w:rPr>
      </w:pPr>
      <w:bookmarkStart w:id="0" w:name="_Toc19148"/>
      <w:bookmarkStart w:id="1" w:name="_Toc4787"/>
      <w:bookmarkStart w:id="2" w:name="_Toc18639"/>
      <w:r>
        <w:rPr>
          <w:rFonts w:hint="eastAsia" w:ascii="宋体" w:hAnsi="宋体" w:eastAsia="宋体" w:cs="宋体"/>
          <w:sz w:val="28"/>
          <w:szCs w:val="28"/>
          <w:lang w:val="en-US" w:eastAsia="zh-CN"/>
        </w:rPr>
        <w:t>第一部分 技术服务要求</w:t>
      </w:r>
      <w:bookmarkEnd w:id="0"/>
      <w:bookmarkEnd w:id="1"/>
      <w:bookmarkEnd w:id="2"/>
    </w:p>
    <w:p w14:paraId="6E8C42C9">
      <w:pPr>
        <w:widowControl w:val="0"/>
        <w:rPr>
          <w:color w:val="auto"/>
          <w:highlight w:val="none"/>
        </w:rPr>
      </w:pPr>
    </w:p>
    <w:p w14:paraId="1489526E">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textAlignment w:val="baseline"/>
        <w:outlineLvl w:val="9"/>
        <w:rPr>
          <w:rFonts w:hint="eastAsia" w:ascii="宋体" w:hAnsi="宋体" w:eastAsia="宋体" w:cs="宋体"/>
          <w:b/>
          <w:bCs/>
          <w:snapToGrid w:val="0"/>
          <w:spacing w:val="0"/>
          <w:sz w:val="24"/>
          <w:szCs w:val="24"/>
          <w:highlight w:val="none"/>
          <w:lang w:val="en-US" w:eastAsia="zh-CN"/>
        </w:rPr>
      </w:pPr>
      <w:r>
        <w:rPr>
          <w:rFonts w:hint="eastAsia" w:ascii="宋体" w:hAnsi="宋体" w:eastAsia="宋体" w:cs="宋体"/>
          <w:b/>
          <w:bCs/>
          <w:snapToGrid w:val="0"/>
          <w:spacing w:val="0"/>
          <w:sz w:val="24"/>
          <w:szCs w:val="24"/>
          <w:highlight w:val="none"/>
          <w:lang w:val="en-US" w:eastAsia="zh-CN"/>
        </w:rPr>
        <w:t>1.项目概况</w:t>
      </w:r>
    </w:p>
    <w:p w14:paraId="62FEB49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项目名称：临川区2026年中央、大中型水库移民扶持项目和小型水库移民解困资金项目全过程工程咨询第三方服务项目</w:t>
      </w:r>
    </w:p>
    <w:p w14:paraId="53017904">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textAlignment w:val="baseline"/>
        <w:outlineLvl w:val="9"/>
        <w:rPr>
          <w:rFonts w:hint="eastAsia" w:ascii="宋体" w:hAnsi="宋体" w:eastAsia="宋体" w:cs="宋体"/>
          <w:b/>
          <w:bCs/>
          <w:snapToGrid w:val="0"/>
          <w:spacing w:val="0"/>
          <w:sz w:val="24"/>
          <w:szCs w:val="24"/>
          <w:highlight w:val="none"/>
          <w:lang w:val="en-US" w:eastAsia="zh-CN"/>
        </w:rPr>
      </w:pPr>
      <w:r>
        <w:rPr>
          <w:rFonts w:hint="eastAsia" w:ascii="宋体" w:hAnsi="宋体" w:eastAsia="宋体" w:cs="宋体"/>
          <w:b/>
          <w:bCs/>
          <w:snapToGrid w:val="0"/>
          <w:spacing w:val="0"/>
          <w:sz w:val="24"/>
          <w:szCs w:val="24"/>
          <w:highlight w:val="none"/>
          <w:lang w:val="en-US" w:eastAsia="zh-CN"/>
        </w:rPr>
        <w:t>2.服务内容</w:t>
      </w:r>
    </w:p>
    <w:p w14:paraId="61CC252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1、项目勘测设计：分项目单元、结合投资和专业、开展项目勘测、设计工作。</w:t>
      </w:r>
    </w:p>
    <w:p w14:paraId="6F2249D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2、项目监理：包括质量控制、进度控制、投资控制、安全管理、信息管理。涵盖工程的勘测设计阶段、施工准备阶段、施工阶段、工程收尾阶段（包括但不限于竣工验收、工程移交、工程结算、保修等）。</w:t>
      </w:r>
    </w:p>
    <w:p w14:paraId="3FC44CC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3、项目管理服务：</w:t>
      </w:r>
    </w:p>
    <w:p w14:paraId="6E9B2D2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（1）编制年度计划方案：编制全区2026年度项目计划实施方案，对项目合规性进行咨询，建立临川区中央、大中型水库移民扶持及小型水库移民解困资金年度计划项目基本信息库。</w:t>
      </w:r>
    </w:p>
    <w:p w14:paraId="2F5537C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（2）项目管理咨询：协助项目法人完成相关工程设计评审、合同管理、进度管理、资金管理、质量安全管理，做好上级有关部门的监督、检查、审计、预结算评审等配合工作。</w:t>
      </w:r>
    </w:p>
    <w:p w14:paraId="0BD4C65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3）档案管理及工程验收咨询：指导有关参建单位按要求进行纸质及电子等文件材料的收集、整理工作；编制项目法人工程档案资料，承担项目法人验收资料的收集、整理、完善、归档工作；协助项目法人组织法人验收；协助临川区水利局制订验收工作实施方案（内容包括验收范围、内容、组织机构以及验收工作方法和工作程序），协助临川区水利局进行综合验收，编制综合验收报告。</w:t>
      </w:r>
    </w:p>
    <w:p w14:paraId="29CDF77F">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textAlignment w:val="baseline"/>
        <w:outlineLvl w:val="9"/>
        <w:rPr>
          <w:rFonts w:hint="eastAsia" w:ascii="宋体" w:hAnsi="宋体" w:eastAsia="宋体" w:cs="宋体"/>
          <w:b/>
          <w:bCs/>
          <w:snapToGrid w:val="0"/>
          <w:spacing w:val="0"/>
          <w:sz w:val="24"/>
          <w:szCs w:val="24"/>
          <w:highlight w:val="none"/>
          <w:lang w:val="en-US" w:eastAsia="zh-CN"/>
        </w:rPr>
      </w:pPr>
      <w:r>
        <w:rPr>
          <w:rFonts w:hint="eastAsia" w:ascii="宋体" w:hAnsi="宋体" w:eastAsia="宋体" w:cs="宋体"/>
          <w:b/>
          <w:bCs/>
          <w:snapToGrid w:val="0"/>
          <w:spacing w:val="0"/>
          <w:sz w:val="24"/>
          <w:szCs w:val="24"/>
          <w:highlight w:val="none"/>
          <w:lang w:val="en-US" w:eastAsia="zh-CN"/>
        </w:rPr>
        <w:t xml:space="preserve">3.服务要求 </w:t>
      </w:r>
    </w:p>
    <w:p w14:paraId="265509D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1、勘测设计工作目标</w:t>
      </w:r>
    </w:p>
    <w:p w14:paraId="5FE0172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（1）勘测量目标</w:t>
      </w:r>
    </w:p>
    <w:p w14:paraId="0B945A8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查明工程区域地形地貌、水文地质、气象、自然灾害等条件，准确获取测量、地质基础数据，为工程选址、布置、结构设计、施工及安全运行提供真实、可靠、完整的基础依据。</w:t>
      </w:r>
    </w:p>
    <w:p w14:paraId="256EDCA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（2）设计服务目标</w:t>
      </w:r>
    </w:p>
    <w:p w14:paraId="7857697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依据规范、标准及现场勘测成果，编制经济合理、安全可靠、适用耐久的设计文件；全过程提供设计配合、变更服务、技术交底、现场服务，保障工程顺利建设。</w:t>
      </w:r>
    </w:p>
    <w:p w14:paraId="717BEC8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2、勘测设计工作要求</w:t>
      </w:r>
    </w:p>
    <w:p w14:paraId="77DAA2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（1）勘测量工作要求</w:t>
      </w:r>
    </w:p>
    <w:p w14:paraId="397D46F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①严格按现行水利及有关行业规范、规程开展工程测绘等工作，成果真实准确。</w:t>
      </w:r>
    </w:p>
    <w:p w14:paraId="1D1F491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②地形图、断面测量精度满足设计施工要求。</w:t>
      </w:r>
    </w:p>
    <w:p w14:paraId="72867EE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（2）设计工作要求</w:t>
      </w:r>
    </w:p>
    <w:p w14:paraId="475160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① 设计图纸应符合现行水利及有关行业工程设计及施工相关规程、规范、标准要求。</w:t>
      </w:r>
    </w:p>
    <w:p w14:paraId="4585F69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② 总体布局合理，工程规模、建筑物型式、结构尺寸安全可靠、经济节约，便于施工运维。</w:t>
      </w:r>
    </w:p>
    <w:p w14:paraId="5622F13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③ 做好设计交底、现场服务、设计变更、重大技术问题处理，配合监理、施工及验收全过程技术服务。</w:t>
      </w:r>
    </w:p>
    <w:p w14:paraId="0FD1ED4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3、工程项目监理</w:t>
      </w:r>
    </w:p>
    <w:p w14:paraId="41F51AA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根据施工内容工作要求，监理机构应按事前、事中和事后三阶段开展监理服务工作，针对质量控制、进度控制、安全控制、合同管理及文档管理等方面提出详细监理规划，并对本项目工程重要部位、隐蔽工程部位进行监理旁站。需旁站监理的关键工序及其它隐蔽工序的质量控制采取必要的措施以及日常现场监理服务与查验，协助采购人对项目进行验收。监理工作应达到工程造价、质量、进度、安全目标要求。 </w:t>
      </w:r>
    </w:p>
    <w:p w14:paraId="09F9BBD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（1）项目质量控制措施要求</w:t>
      </w:r>
    </w:p>
    <w:p w14:paraId="6EE7F06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①监理机构应制定完整的质量控制流程，采取切实可行的质量控制手段和方法，控制项目建设质量。 </w:t>
      </w:r>
    </w:p>
    <w:p w14:paraId="19FF1A8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②监理机构应对存在的质量问题和安全风险进行有效控制。 </w:t>
      </w:r>
    </w:p>
    <w:p w14:paraId="7730243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③监理机构应建立完善的质量问题发现、通报和处理机制，制定问题处理跟踪流程和安全整改方案。 </w:t>
      </w:r>
    </w:p>
    <w:p w14:paraId="5766FBA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（2）项目进度控制措施要求</w:t>
      </w:r>
    </w:p>
    <w:p w14:paraId="62FA34A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①工程项目施工前，监理机构应会同采购人、实施方确定项目实施进度计划，制定完整有效的项目进度控制方案，并在项目施工过程中严格监督计划的执行。 </w:t>
      </w:r>
    </w:p>
    <w:p w14:paraId="6127CB5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②监理机构应跟踪施工进度计划，提出解决进度延期应采取的措施方案，实现控制目标。 </w:t>
      </w:r>
    </w:p>
    <w:p w14:paraId="506CDBE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（3）项目投资（造价）控制措施要求</w:t>
      </w:r>
    </w:p>
    <w:p w14:paraId="54E0125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①项目批复资金为控制上限，严格控制工程变更、现场签证与索赔；准确计量、规范支付，实现项目实际造价控制在批准资金和合同价款范围内。</w:t>
      </w:r>
    </w:p>
    <w:p w14:paraId="5BE4D5C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（4）项目安全管理措施要求 </w:t>
      </w:r>
    </w:p>
    <w:p w14:paraId="7B2F2F0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①要充分考虑在建项目的不确定性，确保项目不存在重大安全隐患。 </w:t>
      </w:r>
    </w:p>
    <w:p w14:paraId="18A23D8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②监理机构发现因材料质量、进度可能引发安全问题时，应及时向项目法人及采购人报告，并提出对策建议，同时督促实施方尽快采取改进措施。 </w:t>
      </w:r>
    </w:p>
    <w:p w14:paraId="47C8C62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（5）项目文档管理措施要求</w:t>
      </w:r>
    </w:p>
    <w:p w14:paraId="350A99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①做好项目建设监理日志的记录与整理工作，编写监理工作总结报告。 </w:t>
      </w:r>
    </w:p>
    <w:p w14:paraId="4A66168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 xml:space="preserve">②妥善保管项目设计、实施及验收过程中生成的各种资料文档。 </w:t>
      </w:r>
    </w:p>
    <w:p w14:paraId="228F104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default"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③在项目验收阶段，与承包人一起整理与项目有关的全部监理文档，并提交采购人，应提交项目法人的文档应一并提交给项目法人。</w:t>
      </w:r>
    </w:p>
    <w:p w14:paraId="41E1F53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4、项目管理咨询</w:t>
      </w:r>
    </w:p>
    <w:p w14:paraId="6AB52B6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（1）</w:t>
      </w:r>
      <w:r>
        <w:rPr>
          <w:rFonts w:hint="eastAsia" w:ascii="宋体" w:hAnsi="宋体" w:eastAsia="宋体" w:cs="宋体"/>
          <w:sz w:val="24"/>
          <w:szCs w:val="24"/>
          <w:highlight w:val="none"/>
        </w:rPr>
        <w:t>合规性要求</w:t>
      </w:r>
    </w:p>
    <w:p w14:paraId="534B9B3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全过程咨询工作必须严格遵守国家法律法规、水利行业及项目相关行业规程规范、强制性条文、项目批复文件及合同约定，服务行为合法合规。</w:t>
      </w:r>
    </w:p>
    <w:p w14:paraId="742D7DE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（2）</w:t>
      </w:r>
      <w:r>
        <w:rPr>
          <w:rFonts w:hint="eastAsia" w:ascii="宋体" w:hAnsi="宋体" w:eastAsia="宋体" w:cs="宋体"/>
          <w:sz w:val="24"/>
          <w:szCs w:val="24"/>
          <w:highlight w:val="none"/>
        </w:rPr>
        <w:t>成果真实性、科学性要求</w:t>
      </w:r>
    </w:p>
    <w:p w14:paraId="35AFE8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咨询各类报告、方案、文件、造价成果、监理意见等数据真实、依据充分、分析严谨、结论可靠，不得弄虚作假、夸大或隐瞒问题。</w:t>
      </w:r>
    </w:p>
    <w:p w14:paraId="7BA9A76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（3）</w:t>
      </w:r>
      <w:r>
        <w:rPr>
          <w:rFonts w:hint="eastAsia" w:ascii="宋体" w:hAnsi="宋体" w:eastAsia="宋体" w:cs="宋体"/>
          <w:sz w:val="24"/>
          <w:szCs w:val="24"/>
          <w:highlight w:val="none"/>
        </w:rPr>
        <w:t>专业技术深度要求</w:t>
      </w:r>
    </w:p>
    <w:p w14:paraId="49B134B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各阶段咨询成果深度满足审批、设计、施工、结算、归档要求，方案技术可行、经济合理、安全可靠，符合水利工程及项目功能要求。</w:t>
      </w:r>
    </w:p>
    <w:p w14:paraId="026B0AF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（4）</w:t>
      </w:r>
      <w:r>
        <w:rPr>
          <w:rFonts w:hint="eastAsia" w:ascii="宋体" w:hAnsi="宋体" w:eastAsia="宋体" w:cs="宋体"/>
          <w:sz w:val="24"/>
          <w:szCs w:val="24"/>
          <w:highlight w:val="none"/>
        </w:rPr>
        <w:t>人员与服务履职质量要求</w:t>
      </w:r>
    </w:p>
    <w:p w14:paraId="572857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配置专业配套、经验匹配的咨询团队，项目负责人到位履职，现场服务及时，技术把关严格，主动管控风险。</w:t>
      </w:r>
    </w:p>
    <w:p w14:paraId="7F86C3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（5）</w:t>
      </w:r>
      <w:r>
        <w:rPr>
          <w:rFonts w:hint="eastAsia" w:ascii="宋体" w:hAnsi="宋体" w:eastAsia="宋体" w:cs="宋体"/>
          <w:sz w:val="24"/>
          <w:szCs w:val="24"/>
          <w:highlight w:val="none"/>
        </w:rPr>
        <w:t>文件资料规范化要求</w:t>
      </w:r>
    </w:p>
    <w:p w14:paraId="694C05D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pacing w:val="0"/>
          <w:sz w:val="24"/>
          <w:szCs w:val="24"/>
          <w:highlight w:val="none"/>
          <w:lang w:val="en-US" w:eastAsia="zh-CN"/>
        </w:rPr>
      </w:pPr>
      <w:r>
        <w:rPr>
          <w:rFonts w:hint="eastAsia" w:ascii="宋体" w:hAnsi="宋体" w:eastAsia="宋体" w:cs="宋体"/>
          <w:spacing w:val="0"/>
          <w:sz w:val="24"/>
          <w:szCs w:val="24"/>
          <w:highlight w:val="none"/>
          <w:lang w:val="en-US" w:eastAsia="zh-CN"/>
        </w:rPr>
        <w:t>咨询成果、会议纪要、审核意见、台账记录等格式规范、内容完整、签字手续齐全、可追溯、可归档，满足工程验收与档案管理规定。</w:t>
      </w:r>
      <w:bookmarkStart w:id="3" w:name="bookmark81"/>
      <w:bookmarkEnd w:id="3"/>
    </w:p>
    <w:p w14:paraId="1CEC11E1">
      <w:pPr>
        <w:rPr>
          <w:rFonts w:hint="eastAsia" w:ascii="宋体" w:hAnsi="宋体" w:eastAsia="宋体" w:cs="宋体"/>
          <w:b/>
          <w:bCs/>
          <w:spacing w:val="0"/>
          <w:sz w:val="24"/>
          <w:szCs w:val="24"/>
          <w:highlight w:val="none"/>
          <w:lang w:val="en-US" w:eastAsia="zh-CN"/>
        </w:rPr>
      </w:pPr>
      <w:r>
        <w:rPr>
          <w:rFonts w:hint="eastAsia" w:ascii="宋体" w:hAnsi="宋体" w:eastAsia="宋体" w:cs="宋体"/>
          <w:b/>
          <w:bCs/>
          <w:spacing w:val="0"/>
          <w:sz w:val="24"/>
          <w:szCs w:val="24"/>
          <w:highlight w:val="none"/>
          <w:lang w:val="en-US" w:eastAsia="zh-CN"/>
        </w:rPr>
        <w:br w:type="page"/>
      </w:r>
    </w:p>
    <w:p w14:paraId="1E099165">
      <w:pPr>
        <w:bidi w:val="0"/>
        <w:spacing w:line="440" w:lineRule="exact"/>
        <w:ind w:firstLine="482" w:firstLineChars="200"/>
        <w:outlineLvl w:val="9"/>
        <w:rPr>
          <w:rFonts w:hint="eastAsia" w:ascii="宋体" w:hAnsi="宋体" w:eastAsia="宋体" w:cs="宋体"/>
          <w:b/>
          <w:bCs/>
          <w:color w:val="auto"/>
          <w:sz w:val="24"/>
          <w:szCs w:val="24"/>
          <w:highlight w:val="none"/>
        </w:rPr>
      </w:pPr>
      <w:r>
        <w:rPr>
          <w:rFonts w:hint="eastAsia" w:ascii="宋体" w:hAnsi="宋体" w:eastAsia="宋体" w:cs="宋体"/>
          <w:b/>
          <w:bCs/>
          <w:spacing w:val="0"/>
          <w:sz w:val="24"/>
          <w:szCs w:val="24"/>
          <w:highlight w:val="none"/>
          <w:lang w:val="en-US" w:eastAsia="zh-CN"/>
        </w:rPr>
        <w:t>4.</w:t>
      </w:r>
      <w:r>
        <w:rPr>
          <w:rFonts w:hint="eastAsia" w:ascii="宋体" w:hAnsi="宋体" w:eastAsia="宋体" w:cs="宋体"/>
          <w:b/>
          <w:bCs/>
          <w:color w:val="auto"/>
          <w:sz w:val="24"/>
          <w:szCs w:val="24"/>
          <w:highlight w:val="none"/>
        </w:rPr>
        <w:t>人员配置要求：</w:t>
      </w:r>
    </w:p>
    <w:p w14:paraId="0B611D3D">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outlineLvl w:val="9"/>
        <w:rPr>
          <w:rFonts w:hint="default"/>
          <w:color w:val="auto"/>
          <w:lang w:val="en-US" w:eastAsia="zh-CN"/>
        </w:rPr>
      </w:pPr>
      <w:r>
        <w:rPr>
          <w:rFonts w:hint="eastAsia" w:ascii="宋体" w:hAnsi="宋体" w:eastAsia="宋体" w:cs="宋体"/>
          <w:color w:val="auto"/>
          <w:sz w:val="24"/>
          <w:szCs w:val="24"/>
          <w:highlight w:val="none"/>
          <w:lang w:val="en-US" w:eastAsia="zh-CN"/>
        </w:rPr>
        <w:t>根据项目需求须至少配备</w:t>
      </w:r>
      <w:r>
        <w:rPr>
          <w:rFonts w:hint="eastAsia" w:ascii="宋体" w:hAnsi="宋体" w:cs="宋体"/>
          <w:color w:val="auto"/>
          <w:sz w:val="24"/>
          <w:szCs w:val="24"/>
          <w:highlight w:val="none"/>
          <w:lang w:val="en-US" w:eastAsia="zh-CN"/>
        </w:rPr>
        <w:t>14</w:t>
      </w:r>
      <w:r>
        <w:rPr>
          <w:rFonts w:hint="eastAsia" w:ascii="宋体" w:hAnsi="宋体" w:eastAsia="宋体" w:cs="宋体"/>
          <w:color w:val="auto"/>
          <w:sz w:val="24"/>
          <w:szCs w:val="24"/>
          <w:highlight w:val="none"/>
          <w:lang w:val="en-US" w:eastAsia="zh-CN"/>
        </w:rPr>
        <w:t>人或以上服务于本项目其中须包含：1名项目（管理）负责人（兼任</w:t>
      </w:r>
      <w:r>
        <w:rPr>
          <w:rFonts w:hint="eastAsia" w:ascii="宋体" w:hAnsi="宋体" w:eastAsia="宋体" w:cs="宋体"/>
          <w:color w:val="auto"/>
          <w:sz w:val="24"/>
          <w:szCs w:val="24"/>
          <w:highlight w:val="none"/>
        </w:rPr>
        <w:t>项目总监</w:t>
      </w:r>
      <w:r>
        <w:rPr>
          <w:rFonts w:hint="eastAsia" w:ascii="宋体" w:hAnsi="宋体" w:eastAsia="宋体" w:cs="宋体"/>
          <w:color w:val="auto"/>
          <w:sz w:val="24"/>
          <w:szCs w:val="24"/>
          <w:highlight w:val="none"/>
          <w:lang w:val="en-US" w:eastAsia="zh-CN"/>
        </w:rPr>
        <w:t>）需具有水利水电类初级职称</w:t>
      </w:r>
      <w:r>
        <w:rPr>
          <w:rFonts w:hint="eastAsia" w:ascii="宋体" w:hAnsi="宋体" w:eastAsia="宋体" w:cs="宋体"/>
          <w:b/>
          <w:bCs/>
          <w:color w:val="auto"/>
          <w:sz w:val="24"/>
          <w:szCs w:val="24"/>
          <w:highlight w:val="none"/>
          <w:lang w:val="en-US" w:eastAsia="zh-CN"/>
        </w:rPr>
        <w:t>【响应文件中提供相关证书扫描件】</w:t>
      </w:r>
      <w:r>
        <w:rPr>
          <w:rFonts w:hint="eastAsia" w:ascii="宋体" w:hAnsi="宋体" w:cs="宋体"/>
          <w:color w:val="auto"/>
          <w:sz w:val="24"/>
          <w:szCs w:val="24"/>
          <w:highlight w:val="none"/>
          <w:lang w:val="en-US" w:eastAsia="zh-CN"/>
        </w:rPr>
        <w:t>，1名</w:t>
      </w:r>
      <w:r>
        <w:rPr>
          <w:rFonts w:hint="eastAsia" w:ascii="宋体" w:hAnsi="宋体" w:eastAsia="宋体" w:cs="宋体"/>
          <w:color w:val="auto"/>
          <w:sz w:val="24"/>
          <w:szCs w:val="24"/>
          <w:highlight w:val="none"/>
          <w:lang w:val="en-US" w:eastAsia="zh-CN"/>
        </w:rPr>
        <w:t>项目设计负责人需具有水利水电类初级职称</w:t>
      </w:r>
      <w:r>
        <w:rPr>
          <w:rFonts w:hint="eastAsia" w:ascii="宋体" w:hAnsi="宋体" w:eastAsia="宋体" w:cs="宋体"/>
          <w:b/>
          <w:bCs/>
          <w:color w:val="auto"/>
          <w:sz w:val="24"/>
          <w:szCs w:val="24"/>
          <w:highlight w:val="none"/>
          <w:lang w:val="en-US" w:eastAsia="zh-CN"/>
        </w:rPr>
        <w:t>【响应文件中提供相关证书扫描件】</w:t>
      </w:r>
      <w:r>
        <w:rPr>
          <w:rFonts w:hint="eastAsia" w:ascii="宋体" w:hAnsi="宋体" w:eastAsia="宋体" w:cs="宋体"/>
          <w:color w:val="auto"/>
          <w:sz w:val="24"/>
          <w:szCs w:val="24"/>
          <w:highlight w:val="none"/>
          <w:lang w:val="en-US" w:eastAsia="zh-CN"/>
        </w:rPr>
        <w:t>，1名项目监理工程师需具有水利工程施工监理专业注册证书且同时具有水利水电类初级职称</w:t>
      </w:r>
      <w:r>
        <w:rPr>
          <w:rFonts w:hint="eastAsia" w:ascii="宋体" w:hAnsi="宋体" w:eastAsia="宋体" w:cs="宋体"/>
          <w:b/>
          <w:bCs/>
          <w:color w:val="auto"/>
          <w:sz w:val="24"/>
          <w:szCs w:val="24"/>
          <w:highlight w:val="none"/>
          <w:lang w:val="en-US" w:eastAsia="zh-CN"/>
        </w:rPr>
        <w:t>【响应文件中提供相关证书扫描件】</w:t>
      </w:r>
      <w:r>
        <w:rPr>
          <w:rFonts w:hint="eastAsia" w:ascii="宋体" w:hAnsi="宋体" w:eastAsia="宋体" w:cs="宋体"/>
          <w:color w:val="auto"/>
          <w:sz w:val="24"/>
          <w:szCs w:val="24"/>
          <w:highlight w:val="none"/>
          <w:lang w:val="en-US" w:eastAsia="zh-CN"/>
        </w:rPr>
        <w:t>，不少于5名监理人员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监理人员每月驻场不得少于22天</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，不少于6名其他人员】注：以上人员须为供应商在职人员且不得重复；合同履行过程中，项目（管理）负责人（</w:t>
      </w:r>
      <w:r>
        <w:rPr>
          <w:rFonts w:hint="eastAsia" w:ascii="宋体" w:hAnsi="宋体" w:eastAsia="宋体" w:cs="宋体"/>
          <w:color w:val="auto"/>
          <w:sz w:val="24"/>
          <w:szCs w:val="24"/>
          <w:highlight w:val="none"/>
        </w:rPr>
        <w:t>总监</w:t>
      </w:r>
      <w:r>
        <w:rPr>
          <w:rFonts w:hint="eastAsia" w:ascii="宋体" w:hAnsi="宋体" w:eastAsia="宋体" w:cs="宋体"/>
          <w:color w:val="auto"/>
          <w:sz w:val="24"/>
          <w:szCs w:val="24"/>
          <w:highlight w:val="none"/>
          <w:lang w:val="en-US" w:eastAsia="zh-CN"/>
        </w:rPr>
        <w:t>）不得变更。</w:t>
      </w:r>
    </w:p>
    <w:p w14:paraId="2AA2E3DA">
      <w:pPr>
        <w:keepNext w:val="0"/>
        <w:keepLines w:val="0"/>
        <w:pageBreakBefore w:val="0"/>
        <w:widowControl/>
        <w:kinsoku w:val="0"/>
        <w:wordWrap/>
        <w:overflowPunct/>
        <w:topLinePunct w:val="0"/>
        <w:autoSpaceDE w:val="0"/>
        <w:autoSpaceDN w:val="0"/>
        <w:bidi w:val="0"/>
        <w:adjustRightInd w:val="0"/>
        <w:snapToGrid w:val="0"/>
        <w:spacing w:line="360" w:lineRule="auto"/>
        <w:ind w:left="0"/>
        <w:textAlignment w:val="baseline"/>
      </w:pPr>
      <w:r>
        <w:rPr>
          <w:rFonts w:hint="eastAsia" w:ascii="宋体" w:hAnsi="宋体" w:eastAsia="宋体" w:cs="宋体"/>
          <w:b/>
          <w:bCs/>
          <w:color w:val="auto"/>
          <w:sz w:val="24"/>
          <w:szCs w:val="24"/>
          <w:lang w:eastAsia="zh-CN"/>
        </w:rPr>
        <w:t>注：以上技术服务要求为采购人最低需求，必须全部满足，有一项不满足视为无效响应。</w:t>
      </w:r>
      <w:r>
        <w:rPr>
          <w:rFonts w:hint="eastAsia" w:ascii="宋体" w:hAnsi="宋体" w:eastAsia="宋体" w:cs="宋体"/>
          <w:b/>
          <w:bCs/>
          <w:color w:val="auto"/>
          <w:sz w:val="24"/>
          <w:szCs w:val="24"/>
          <w:lang w:val="en-US" w:eastAsia="zh-CN"/>
        </w:rPr>
        <w:t>供应商</w:t>
      </w:r>
      <w:r>
        <w:rPr>
          <w:rFonts w:hint="eastAsia" w:ascii="宋体" w:hAnsi="宋体" w:eastAsia="宋体" w:cs="宋体"/>
          <w:b/>
          <w:bCs/>
          <w:color w:val="auto"/>
          <w:sz w:val="24"/>
          <w:szCs w:val="24"/>
          <w:lang w:eastAsia="zh-CN"/>
        </w:rPr>
        <w:t>也可提供优于以上要求参与磋商。</w:t>
      </w:r>
      <w:bookmarkStart w:id="4" w:name="_GoBack"/>
      <w:bookmarkEnd w:id="4"/>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8D49D">
    <w:pPr>
      <w:pStyle w:val="3"/>
      <w:spacing w:line="184" w:lineRule="auto"/>
      <w:ind w:left="4540"/>
      <w:rPr>
        <w:rFonts w:hint="eastAsia"/>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9424D3">
                          <w:pPr>
                            <w:pStyle w:val="4"/>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39424D3">
                    <w:pPr>
                      <w:pStyle w:val="4"/>
                    </w:pPr>
                    <w:r>
                      <w:fldChar w:fldCharType="begin"/>
                    </w:r>
                    <w:r>
                      <w:instrText xml:space="preserve"> PAGE  \* MERGEFORMAT </w:instrText>
                    </w:r>
                    <w:r>
                      <w:fldChar w:fldCharType="separate"/>
                    </w:r>
                    <w:r>
                      <w:t>52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60ECD6"/>
    <w:multiLevelType w:val="singleLevel"/>
    <w:tmpl w:val="1860ECD6"/>
    <w:lvl w:ilvl="0" w:tentative="0">
      <w:start w:val="1"/>
      <w:numFmt w:val="chineseCounting"/>
      <w:pStyle w:val="2"/>
      <w:suff w:val="nothing"/>
      <w:lvlText w:val="%1、"/>
      <w:lvlJc w:val="left"/>
      <w:pPr>
        <w:ind w:left="0" w:firstLine="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FB3C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numPr>
        <w:ilvl w:val="0"/>
        <w:numId w:val="1"/>
      </w:numPr>
      <w:spacing w:line="360" w:lineRule="auto"/>
      <w:ind w:firstLine="0"/>
      <w:outlineLvl w:val="1"/>
    </w:pPr>
    <w:rPr>
      <w:rFonts w:ascii="Arial" w:hAnsi="Arial" w:eastAsia="黑体"/>
      <w:b/>
      <w:bCs/>
      <w:sz w:val="24"/>
      <w:szCs w:val="32"/>
      <w:lang w:eastAsia="zh-CN"/>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2026-05-29T07:58:09Z</dcterms:created>
  <dc:creator>Administrator</dc:creator>
  <cp:lastModifiedBy>Administrator</cp:lastModifiedBy>
  <dcterms:modified xsi:type="dcterms:W3CDTF">2026-05-29T07:59:24Z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eyJoZGlkIjoiNTkwNDYwYmE1N2FmODA2NTcxYWZjODY3ZDI2OGY5MDciLCJ1c2VySWQiOiI0NzUxOTQ2MTEifQ==</vt:lpwstr>
  </property>
  <property fmtid="{D5CDD505-2E9C-101B-9397-08002B2CF9AE}" pid="4" name="ICV">
    <vt:lpwstr>A1279E48A811442D8249F7A3FFF020CD_12</vt:lpwstr>
  </property>
</Properties>
</file>