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483E85">
      <w:pPr>
        <w:pStyle w:val="5"/>
        <w:numPr>
          <w:ilvl w:val="0"/>
          <w:numId w:val="0"/>
        </w:numPr>
        <w:bidi w:val="0"/>
        <w:ind w:leftChars="0"/>
        <w:jc w:val="center"/>
        <w:rPr>
          <w:rFonts w:hint="eastAsia" w:ascii="宋体" w:hAnsi="宋体" w:eastAsia="宋体" w:cs="宋体"/>
        </w:rPr>
      </w:pPr>
      <w:bookmarkStart w:id="9" w:name="_GoBack"/>
      <w:bookmarkEnd w:id="9"/>
      <w:bookmarkStart w:id="0" w:name="_Toc18639"/>
      <w:bookmarkStart w:id="1" w:name="_Toc19148"/>
      <w:bookmarkStart w:id="2" w:name="_Toc5797"/>
      <w:bookmarkStart w:id="3" w:name="_Toc4787"/>
    </w:p>
    <w:p w14:paraId="694337A7">
      <w:pPr>
        <w:pStyle w:val="5"/>
        <w:numPr>
          <w:ilvl w:val="0"/>
          <w:numId w:val="0"/>
        </w:numPr>
        <w:bidi w:val="0"/>
        <w:ind w:leftChars="0"/>
        <w:jc w:val="center"/>
        <w:rPr>
          <w:rFonts w:hint="eastAsia" w:ascii="宋体" w:hAnsi="宋体" w:eastAsia="宋体" w:cs="宋体"/>
        </w:rPr>
      </w:pPr>
    </w:p>
    <w:p w14:paraId="2C3DF0F8">
      <w:pPr>
        <w:pStyle w:val="5"/>
        <w:numPr>
          <w:ilvl w:val="0"/>
          <w:numId w:val="0"/>
        </w:numPr>
        <w:bidi w:val="0"/>
        <w:ind w:leftChars="0"/>
        <w:jc w:val="center"/>
        <w:rPr>
          <w:rFonts w:hint="eastAsia" w:ascii="宋体" w:hAnsi="宋体" w:eastAsia="宋体" w:cs="宋体"/>
          <w:sz w:val="28"/>
          <w:szCs w:val="36"/>
        </w:rPr>
      </w:pPr>
      <w:r>
        <w:rPr>
          <w:rFonts w:hint="eastAsia" w:ascii="宋体" w:hAnsi="宋体" w:eastAsia="宋体" w:cs="宋体"/>
          <w:sz w:val="28"/>
          <w:szCs w:val="36"/>
        </w:rPr>
        <w:t xml:space="preserve">第一部分 </w:t>
      </w:r>
      <w:r>
        <w:rPr>
          <w:rFonts w:hint="eastAsia" w:ascii="宋体" w:hAnsi="宋体" w:eastAsia="宋体" w:cs="宋体"/>
          <w:sz w:val="28"/>
          <w:szCs w:val="36"/>
          <w:lang w:val="en-US" w:eastAsia="zh-CN"/>
        </w:rPr>
        <w:t>技术</w:t>
      </w:r>
      <w:r>
        <w:rPr>
          <w:rFonts w:hint="eastAsia" w:ascii="宋体" w:hAnsi="宋体" w:eastAsia="宋体" w:cs="宋体"/>
          <w:sz w:val="28"/>
          <w:szCs w:val="36"/>
        </w:rPr>
        <w:t>服务要求</w:t>
      </w:r>
      <w:bookmarkEnd w:id="0"/>
      <w:bookmarkEnd w:id="1"/>
      <w:bookmarkEnd w:id="2"/>
      <w:bookmarkEnd w:id="3"/>
    </w:p>
    <w:p w14:paraId="0EEE2697">
      <w:pPr>
        <w:pStyle w:val="9"/>
        <w:numPr>
          <w:ilvl w:val="0"/>
          <w:numId w:val="0"/>
        </w:numPr>
        <w:ind w:leftChars="100"/>
        <w:rPr>
          <w:rFonts w:hint="eastAsia" w:ascii="宋体" w:hAnsi="宋体" w:eastAsia="宋体" w:cs="宋体"/>
          <w:lang w:val="en-US" w:eastAsia="zh-CN"/>
        </w:rPr>
      </w:pPr>
    </w:p>
    <w:p w14:paraId="68F0613C">
      <w:pPr>
        <w:widowControl w:val="0"/>
        <w:spacing w:before="78" w:line="220" w:lineRule="auto"/>
        <w:jc w:val="both"/>
        <w:outlineLvl w:val="1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bookmarkStart w:id="4" w:name="_Toc1523"/>
      <w:bookmarkStart w:id="5" w:name="_Toc7528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4"/>
      <w:bookmarkEnd w:id="5"/>
    </w:p>
    <w:p w14:paraId="68CF3634">
      <w:pPr>
        <w:widowControl w:val="0"/>
        <w:spacing w:before="64"/>
        <w:rPr>
          <w:color w:val="auto"/>
          <w:highlight w:val="none"/>
          <w:lang w:eastAsia="zh-CN"/>
        </w:rPr>
      </w:pPr>
    </w:p>
    <w:tbl>
      <w:tblPr>
        <w:tblStyle w:val="12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75A1D9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705F48F2">
            <w:pPr>
              <w:widowControl w:val="0"/>
              <w:spacing w:before="183" w:line="223" w:lineRule="auto"/>
              <w:ind w:left="1091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color w:val="auto"/>
                <w:highlight w:val="none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8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127E66E0">
            <w:pPr>
              <w:pStyle w:val="13"/>
              <w:widowControl w:val="0"/>
              <w:spacing w:line="245" w:lineRule="auto"/>
              <w:rPr>
                <w:color w:val="auto"/>
                <w:highlight w:val="none"/>
              </w:rPr>
            </w:pPr>
          </w:p>
          <w:p w14:paraId="163D55B3">
            <w:pPr>
              <w:pStyle w:val="13"/>
              <w:widowControl w:val="0"/>
              <w:spacing w:line="246" w:lineRule="auto"/>
              <w:rPr>
                <w:color w:val="auto"/>
                <w:highlight w:val="none"/>
              </w:rPr>
            </w:pPr>
          </w:p>
          <w:p w14:paraId="4A0D81F4">
            <w:pPr>
              <w:widowControl w:val="0"/>
              <w:spacing w:before="78" w:line="219" w:lineRule="auto"/>
              <w:ind w:left="481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033F43E3">
            <w:pPr>
              <w:pStyle w:val="13"/>
              <w:widowControl w:val="0"/>
              <w:spacing w:line="338" w:lineRule="auto"/>
              <w:rPr>
                <w:color w:val="auto"/>
                <w:highlight w:val="none"/>
              </w:rPr>
            </w:pPr>
          </w:p>
          <w:p w14:paraId="2D1C1191">
            <w:pPr>
              <w:widowControl w:val="0"/>
              <w:spacing w:before="78" w:line="220" w:lineRule="auto"/>
              <w:ind w:left="1311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28DAA0B3">
            <w:pPr>
              <w:pStyle w:val="13"/>
              <w:widowControl w:val="0"/>
              <w:spacing w:line="263" w:lineRule="auto"/>
              <w:rPr>
                <w:color w:val="auto"/>
                <w:highlight w:val="none"/>
              </w:rPr>
            </w:pPr>
          </w:p>
          <w:p w14:paraId="6653C645">
            <w:pPr>
              <w:pStyle w:val="13"/>
              <w:widowControl w:val="0"/>
              <w:spacing w:line="263" w:lineRule="auto"/>
              <w:rPr>
                <w:color w:val="auto"/>
                <w:highlight w:val="none"/>
              </w:rPr>
            </w:pPr>
          </w:p>
          <w:p w14:paraId="36EA3DB4">
            <w:pPr>
              <w:pStyle w:val="13"/>
              <w:widowControl w:val="0"/>
              <w:spacing w:line="264" w:lineRule="auto"/>
              <w:rPr>
                <w:color w:val="auto"/>
                <w:highlight w:val="none"/>
              </w:rPr>
            </w:pPr>
          </w:p>
          <w:p w14:paraId="534DE6CD">
            <w:pPr>
              <w:widowControl w:val="0"/>
              <w:spacing w:before="78" w:line="221" w:lineRule="auto"/>
              <w:ind w:left="192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6E9C1A17">
            <w:pPr>
              <w:pStyle w:val="13"/>
              <w:widowControl w:val="0"/>
              <w:jc w:val="center"/>
              <w:rPr>
                <w:rFonts w:hint="default"/>
                <w:color w:val="auto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position w:val="17"/>
                <w:sz w:val="24"/>
                <w:szCs w:val="24"/>
                <w:highlight w:val="none"/>
                <w:lang w:eastAsia="zh-CN"/>
              </w:rPr>
              <w:t>《</w:t>
            </w:r>
            <w:r>
              <w:rPr>
                <w:rFonts w:hint="eastAsia" w:ascii="宋体" w:hAnsi="宋体" w:eastAsia="宋体" w:cs="宋体"/>
                <w:color w:val="auto"/>
                <w:spacing w:val="-1"/>
                <w:position w:val="17"/>
                <w:sz w:val="24"/>
                <w:szCs w:val="24"/>
                <w:highlight w:val="none"/>
                <w:lang w:val="en-US" w:eastAsia="zh-CN"/>
              </w:rPr>
              <w:t>中央苏区第四次反“围剿”战役遗址-红一方面军总部旧址》展陈大纲</w:t>
            </w:r>
          </w:p>
        </w:tc>
      </w:tr>
      <w:tr w14:paraId="38EE56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2" w:hRule="atLeast"/>
        </w:trPr>
        <w:tc>
          <w:tcPr>
            <w:tcW w:w="2865" w:type="dxa"/>
            <w:gridSpan w:val="2"/>
          </w:tcPr>
          <w:p w14:paraId="5D20A6D6">
            <w:pPr>
              <w:widowControl w:val="0"/>
              <w:spacing w:before="253" w:line="219" w:lineRule="auto"/>
              <w:ind w:left="1188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48AD3C47">
            <w:pPr>
              <w:pStyle w:val="13"/>
              <w:widowControl w:val="0"/>
              <w:jc w:val="center"/>
              <w:rPr>
                <w:rFonts w:hint="default" w:ascii="宋体" w:hAnsi="宋体" w:eastAsia="宋体" w:cs="宋体"/>
                <w:color w:val="auto"/>
                <w:spacing w:val="-1"/>
                <w:position w:val="17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position w:val="17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0BA98D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2A6BA7ED">
            <w:pPr>
              <w:widowControl w:val="0"/>
              <w:spacing w:before="253" w:line="219" w:lineRule="auto"/>
              <w:ind w:left="1071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10B4A0DE">
            <w:pPr>
              <w:pStyle w:val="13"/>
              <w:widowControl w:val="0"/>
              <w:jc w:val="center"/>
              <w:rPr>
                <w:rFonts w:hint="default" w:ascii="宋体" w:hAnsi="宋体" w:eastAsia="宋体" w:cs="宋体"/>
                <w:color w:val="auto"/>
                <w:spacing w:val="-1"/>
                <w:position w:val="17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pacing w:val="-1"/>
                <w:position w:val="17"/>
                <w:sz w:val="24"/>
                <w:szCs w:val="24"/>
                <w:highlight w:val="none"/>
                <w:lang w:val="en-US" w:eastAsia="zh-CN"/>
              </w:rPr>
              <w:t>自合同签订之日起15天内完成全部服务内容。</w:t>
            </w:r>
          </w:p>
        </w:tc>
      </w:tr>
      <w:tr w14:paraId="68E59C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02AB18A8">
            <w:pPr>
              <w:widowControl w:val="0"/>
              <w:spacing w:before="256" w:line="219" w:lineRule="auto"/>
              <w:ind w:left="951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78DD9D39">
            <w:pPr>
              <w:pStyle w:val="13"/>
              <w:widowControl w:val="0"/>
              <w:jc w:val="center"/>
              <w:rPr>
                <w:rFonts w:hint="default" w:ascii="宋体" w:hAnsi="宋体" w:eastAsia="宋体" w:cs="宋体"/>
                <w:color w:val="auto"/>
                <w:spacing w:val="-1"/>
                <w:position w:val="17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position w:val="17"/>
                <w:sz w:val="24"/>
                <w:szCs w:val="24"/>
                <w:highlight w:val="none"/>
                <w:lang w:val="en-US" w:eastAsia="zh-CN"/>
              </w:rPr>
              <w:t>采购人指定地点</w:t>
            </w:r>
          </w:p>
        </w:tc>
      </w:tr>
      <w:tr w14:paraId="56E01B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4BBB6B0F">
            <w:pPr>
              <w:widowControl w:val="0"/>
              <w:spacing w:before="256" w:line="221" w:lineRule="auto"/>
              <w:ind w:left="1189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7006FB35">
            <w:pPr>
              <w:pStyle w:val="13"/>
              <w:widowControl w:val="0"/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</w:p>
        </w:tc>
      </w:tr>
    </w:tbl>
    <w:p w14:paraId="6E8C42C9">
      <w:pPr>
        <w:widowControl w:val="0"/>
        <w:rPr>
          <w:color w:val="auto"/>
          <w:highlight w:val="none"/>
        </w:rPr>
      </w:pPr>
    </w:p>
    <w:p w14:paraId="15EAFCD4">
      <w:pPr>
        <w:widowControl w:val="0"/>
        <w:rPr>
          <w:color w:val="auto"/>
          <w:highlight w:val="none"/>
        </w:rPr>
        <w:sectPr>
          <w:footerReference r:id="rId3" w:type="default"/>
          <w:pgSz w:w="11906" w:h="16839"/>
          <w:pgMar w:top="1232" w:right="1786" w:bottom="1156" w:left="1786" w:header="0" w:footer="994" w:gutter="0"/>
          <w:cols w:space="720" w:num="1"/>
        </w:sectPr>
      </w:pPr>
    </w:p>
    <w:p w14:paraId="72F20264">
      <w:pPr>
        <w:widowControl w:val="0"/>
        <w:spacing w:before="78" w:line="220" w:lineRule="auto"/>
        <w:jc w:val="both"/>
        <w:outlineLvl w:val="1"/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6" w:name="bookmark81"/>
      <w:bookmarkEnd w:id="6"/>
      <w:bookmarkStart w:id="7" w:name="_Toc25481"/>
      <w:bookmarkStart w:id="8" w:name="_Toc21565"/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二、采购要求</w:t>
      </w:r>
      <w:bookmarkEnd w:id="7"/>
      <w:bookmarkEnd w:id="8"/>
    </w:p>
    <w:p w14:paraId="67F0BC1F">
      <w:pPr>
        <w:widowControl w:val="0"/>
        <w:spacing w:line="258" w:lineRule="auto"/>
        <w:rPr>
          <w:color w:val="auto"/>
          <w:highlight w:val="none"/>
        </w:rPr>
      </w:pPr>
    </w:p>
    <w:p w14:paraId="196DF104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（一）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服务</w:t>
      </w:r>
      <w:r>
        <w:rPr>
          <w:rFonts w:hint="eastAsia" w:ascii="宋体" w:hAnsi="宋体" w:eastAsia="宋体" w:cs="宋体"/>
          <w:sz w:val="24"/>
          <w:szCs w:val="24"/>
        </w:rPr>
        <w:t>需求</w:t>
      </w:r>
    </w:p>
    <w:p w14:paraId="5D8E82F6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1、项目背景</w:t>
      </w:r>
    </w:p>
    <w:p w14:paraId="4AB1046A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为深入贯彻落实习近平总书记关于用心用情用力保护好、管理好、运用好红色资源重要指示精神，依据江西省人民政府办公厅《关于加强新时代江西革命文物保护利用的意见》，为切实打造高质量精品展陈，提升资金使用效益，拟进行公开遴选展陈大纲编写团队，做好展陈大纲撰写工作。</w:t>
      </w:r>
    </w:p>
    <w:p w14:paraId="09D845A4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2、展览主题</w:t>
      </w:r>
    </w:p>
    <w:p w14:paraId="48F452BC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以《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中央苏区第四次反“围剿”战役遗址-红一方面军总部旧址》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为主题，突出后龚村在中央苏区反“围剿”中的战略地位，展现红军与当地群众的鱼水情深，打造兼具历史深度与时代温度的红色展览。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大纲共包含19个主题馆内容：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总司令部旧址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陈列（主题馆）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毛泽东八进抚州馆、朱德旧居陈列馆、邓小平在抚州陈列馆、开国将帅馆、抚州英烈馆、抚州志士馆、抚州贡献馆、无线电总队旧址馆、总政治部旧址陈列馆、周恩来旧居陈列馆、金溪金银库陈列展、王稼祥旧居陈列馆、红军卫生部旧址陈列馆、党的建设专题馆、经济建设专题馆、文化建设专题馆、政权建设专题馆、军队建设专题馆。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围绕金溪县左坊镇后龚村红色研学项目建设的总体目标，多角度、多形式，运用现代展陈方式在加护在保护革命文物的同时，传承好红色基因，充分用好红色资源，弘扬以伟大建党精神为源头的中国共产党人精神谱系。</w:t>
      </w:r>
    </w:p>
    <w:p w14:paraId="6016CBF0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3、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服务内容及要求</w:t>
      </w:r>
    </w:p>
    <w:p w14:paraId="23F20716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5" w:leftChars="0" w:hanging="425" w:firstLineChars="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组建项目专业团队，编制展览内容大纲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DD7B211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5" w:leftChars="0" w:hanging="425" w:firstLineChars="0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学术资料收集和整理、提供展览大纲、展览内容文本，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多媒体、展项互动、场景艺术品建议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67A42E4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5" w:leftChars="0" w:hanging="425" w:firstLineChars="0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各展馆展览标题、副标题以及说明文字，简洁凝练，高度概括。</w:t>
      </w:r>
    </w:p>
    <w:p w14:paraId="4A37FA35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5" w:leftChars="0" w:hanging="425" w:firstLineChars="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导向正确：大纲内容体现红色文化、革命历史、社会价值正向导向。</w:t>
      </w:r>
    </w:p>
    <w:p w14:paraId="6F7D1167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5" w:leftChars="0" w:hanging="425" w:firstLineChars="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突出后龚村战略地位，展现军民鱼水情，兼具历史深度与时代温度。完整包含第四次反 “围剿” 关键历史事件、重要人物、战役过程。</w:t>
      </w:r>
    </w:p>
    <w:p w14:paraId="19B3AACD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5" w:leftChars="0" w:hanging="425" w:firstLineChars="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展览文本结构完整，文辞风格统一；前言、一级至三级标题、结束语，体系齐全。</w:t>
      </w:r>
    </w:p>
    <w:p w14:paraId="204FC47F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5" w:leftChars="0" w:hanging="425" w:firstLineChars="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语言表述兼顾专业性与通俗性，文字流畅。</w:t>
      </w:r>
    </w:p>
    <w:p w14:paraId="1B54B7EF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5" w:leftChars="0" w:hanging="425" w:firstLineChars="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能够为指导后期形式设计和展陈施工奠定基础；将最新研究成果、展陈大纲、展品紧密结合，充分考虑多媒体和科技手段与展览内容的合理结合。</w:t>
      </w:r>
    </w:p>
    <w:p w14:paraId="3ADC80BB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25" w:leftChars="0" w:hanging="425" w:firstLineChars="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配合采购人和专家意见对文本进行修改优化、参加采购人组织的与本展览设计、施工中标单位的会议，帮助展览的中标单位理解文本内容及展示重点，配合形式设计进行展览内容文本调整。</w:t>
      </w:r>
    </w:p>
    <w:p w14:paraId="17674154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（10）整体要求。展览大纲具有科学性、真实性、准确性，同时兼具通俗性和趣味性；视野高远、主题明确、体例完整、逻辑清晰、内容详实、准确无误等，并达到送审稿要求。</w:t>
      </w:r>
    </w:p>
    <w:p w14:paraId="37DA2153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（11）供应商投标文件应提供完整的展览大纲文本。建议主要展品清单、多媒体展项清单、场景艺术品或互动展项清单。</w:t>
      </w:r>
    </w:p>
    <w:p w14:paraId="78F56032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80" w:leftChars="0" w:hanging="480" w:hangingChars="200"/>
        <w:jc w:val="both"/>
        <w:textAlignment w:val="baseline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4、</w:t>
      </w:r>
      <w:r>
        <w:rPr>
          <w:rFonts w:hint="eastAsia" w:hAnsi="宋体" w:eastAsia="宋体" w:cs="宋体"/>
          <w:color w:val="auto"/>
          <w:sz w:val="24"/>
          <w:szCs w:val="24"/>
          <w:highlight w:val="none"/>
          <w:lang w:val="en-US" w:eastAsia="zh-CN"/>
        </w:rPr>
        <w:t>人员保障：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根据</w:t>
      </w:r>
      <w:r>
        <w:rPr>
          <w:rFonts w:hint="eastAsia" w:hAnsi="宋体" w:eastAsia="宋体" w:cs="宋体"/>
          <w:color w:val="auto"/>
          <w:sz w:val="24"/>
          <w:szCs w:val="24"/>
          <w:highlight w:val="none"/>
          <w:lang w:val="en-US" w:eastAsia="zh-CN"/>
        </w:rPr>
        <w:t>本项目大纲编撰内容和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要求，成交供应商须投入足够的专业力量、一流的专家团队，认真组织</w:t>
      </w:r>
      <w:r>
        <w:rPr>
          <w:rFonts w:hint="eastAsia" w:hAnsi="宋体" w:eastAsia="宋体" w:cs="宋体"/>
          <w:color w:val="auto"/>
          <w:sz w:val="24"/>
          <w:szCs w:val="24"/>
          <w:highlight w:val="none"/>
          <w:lang w:val="en-US" w:eastAsia="zh-CN"/>
        </w:rPr>
        <w:t>展陈大纲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研究和编制工作</w:t>
      </w:r>
      <w:r>
        <w:rPr>
          <w:rFonts w:hint="eastAsia" w:hAnsi="宋体" w:eastAsia="宋体" w:cs="宋体"/>
          <w:color w:val="auto"/>
          <w:sz w:val="24"/>
          <w:szCs w:val="24"/>
          <w:highlight w:val="none"/>
          <w:lang w:val="en-US" w:eastAsia="zh-CN"/>
        </w:rPr>
        <w:t>且具有丰富的展陈策划及展陈大纲编撰经验。</w:t>
      </w:r>
    </w:p>
    <w:p w14:paraId="6164A4C0">
      <w:pPr>
        <w:pStyle w:val="7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80" w:hanging="480" w:hangingChars="200"/>
        <w:textAlignment w:val="baseline"/>
        <w:rPr>
          <w:rFonts w:hint="eastAsia" w:ascii="宋体" w:hAnsi="宋体" w:eastAsia="宋体" w:cs="宋体"/>
          <w:b/>
          <w:bCs/>
          <w:color w:val="auto"/>
          <w:spacing w:val="-2"/>
          <w:sz w:val="24"/>
          <w:szCs w:val="24"/>
          <w:highlight w:val="none"/>
          <w:lang w:eastAsia="zh-CN"/>
        </w:rPr>
      </w:pPr>
      <w:r>
        <w:rPr>
          <w:rFonts w:hint="eastAsia" w:hAnsi="宋体" w:eastAsia="宋体" w:cs="宋体"/>
          <w:color w:val="auto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编制《金溪县左坊镇后龚村红色研学项目展陈大纲撰写服务项目》</w:t>
      </w:r>
      <w:r>
        <w:rPr>
          <w:rFonts w:hint="eastAsia" w:hAnsi="宋体" w:eastAsia="宋体" w:cs="宋体"/>
          <w:color w:val="auto"/>
          <w:sz w:val="24"/>
          <w:szCs w:val="24"/>
          <w:highlight w:val="none"/>
          <w:lang w:val="en-US" w:eastAsia="zh-CN"/>
        </w:rPr>
        <w:t>需符合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行业标准参照WW/T 0088-2018。</w:t>
      </w:r>
    </w:p>
    <w:p w14:paraId="642F8228">
      <w:pPr>
        <w:pageBreakBefore w:val="0"/>
        <w:overflowPunct/>
        <w:bidi w:val="0"/>
        <w:adjustRightInd w:val="0"/>
        <w:spacing w:line="360" w:lineRule="auto"/>
        <w:ind w:left="0" w:firstLine="474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2"/>
          <w:sz w:val="24"/>
          <w:szCs w:val="24"/>
          <w:lang w:eastAsia="zh-CN"/>
        </w:rPr>
        <w:t>注：投标人必须全部满足或优于上述</w:t>
      </w:r>
      <w:r>
        <w:rPr>
          <w:rFonts w:hint="eastAsia" w:ascii="宋体" w:hAnsi="宋体" w:eastAsia="宋体" w:cs="宋体"/>
          <w:b/>
          <w:bCs/>
          <w:color w:val="auto"/>
          <w:spacing w:val="-2"/>
          <w:sz w:val="24"/>
          <w:szCs w:val="24"/>
          <w:lang w:val="en-US" w:eastAsia="zh-CN"/>
        </w:rPr>
        <w:t>采购需求</w:t>
      </w:r>
      <w:r>
        <w:rPr>
          <w:rFonts w:hint="eastAsia" w:ascii="宋体" w:hAnsi="宋体" w:eastAsia="宋体" w:cs="宋体"/>
          <w:b/>
          <w:bCs/>
          <w:color w:val="auto"/>
          <w:spacing w:val="-2"/>
          <w:sz w:val="24"/>
          <w:szCs w:val="24"/>
          <w:lang w:eastAsia="zh-CN"/>
        </w:rPr>
        <w:t>条件，否则视为无效响</w:t>
      </w:r>
      <w:r>
        <w:rPr>
          <w:rFonts w:hint="eastAsia" w:ascii="宋体" w:hAnsi="宋体" w:eastAsia="宋体" w:cs="宋体"/>
          <w:b/>
          <w:bCs/>
          <w:color w:val="auto"/>
          <w:spacing w:val="-3"/>
          <w:sz w:val="24"/>
          <w:szCs w:val="24"/>
          <w:lang w:eastAsia="zh-CN"/>
        </w:rPr>
        <w:t>应。</w:t>
      </w:r>
    </w:p>
    <w:p w14:paraId="0876B1D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B23B6D">
    <w:pPr>
      <w:pStyle w:val="8"/>
      <w:rPr>
        <w:lang w:eastAsia="zh-C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F17D436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aHsktAgAAWQQAAA4AAABkcnMvZTJvRG9jLnhtbK1UzY7TMBC+I/EO&#10;lu80aYFV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s0lY7tAAAAAFAQAADwAAAAAAAAABACAAAAAiAAAAZHJzL2Rvd25yZXYueG1sUEsBAhQAFAAAAAgA&#10;h07iQMIaHsktAgAAWQQAAA4AAAAAAAAAAQAgAAAAHwEAAGRycy9lMm9Eb2MueG1sUEsFBgAAAAAG&#10;AAYAWQEAAL4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F17D436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EBF1312"/>
    <w:multiLevelType w:val="singleLevel"/>
    <w:tmpl w:val="AEBF1312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1860ECD6"/>
    <w:multiLevelType w:val="singleLevel"/>
    <w:tmpl w:val="1860ECD6"/>
    <w:lvl w:ilvl="0" w:tentative="0">
      <w:start w:val="1"/>
      <w:numFmt w:val="chineseCounting"/>
      <w:pStyle w:val="5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196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5">
    <w:name w:val="heading 2"/>
    <w:basedOn w:val="1"/>
    <w:next w:val="1"/>
    <w:qFormat/>
    <w:uiPriority w:val="0"/>
    <w:pPr>
      <w:keepNext/>
      <w:keepLines/>
      <w:numPr>
        <w:ilvl w:val="0"/>
        <w:numId w:val="1"/>
      </w:numPr>
      <w:spacing w:line="360" w:lineRule="auto"/>
      <w:ind w:firstLine="0"/>
      <w:outlineLvl w:val="1"/>
    </w:pPr>
    <w:rPr>
      <w:rFonts w:ascii="Arial" w:hAnsi="Arial" w:eastAsia="黑体"/>
      <w:b/>
      <w:bCs/>
      <w:sz w:val="24"/>
      <w:szCs w:val="32"/>
      <w:lang w:eastAsia="zh-CN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3"/>
    <w:semiHidden/>
    <w:unhideWhenUsed/>
    <w:qFormat/>
    <w:uiPriority w:val="99"/>
    <w:pPr>
      <w:spacing w:after="120" w:line="480" w:lineRule="auto"/>
      <w:ind w:left="420" w:leftChars="200"/>
    </w:pPr>
    <w:rPr>
      <w:rFonts w:ascii="Calibri" w:hAnsi="Calibri" w:eastAsia="Calibri"/>
      <w:lang w:eastAsia="en-US"/>
    </w:rPr>
  </w:style>
  <w:style w:type="paragraph" w:customStyle="1" w:styleId="3">
    <w:name w:val="表格文字"/>
    <w:basedOn w:val="4"/>
    <w:autoRedefine/>
    <w:qFormat/>
    <w:uiPriority w:val="0"/>
    <w:pPr>
      <w:jc w:val="center"/>
    </w:pPr>
    <w:rPr>
      <w:rFonts w:ascii="仿宋_GB2312" w:eastAsia="仿宋_GB2312"/>
      <w:kern w:val="44"/>
    </w:rPr>
  </w:style>
  <w:style w:type="paragraph" w:customStyle="1" w:styleId="4">
    <w:name w:val="文档正文"/>
    <w:basedOn w:val="1"/>
    <w:autoRedefine/>
    <w:qFormat/>
    <w:uiPriority w:val="0"/>
    <w:pPr>
      <w:adjustRightInd/>
      <w:spacing w:line="240" w:lineRule="auto"/>
      <w:ind w:firstLine="480" w:firstLineChars="200"/>
      <w:textAlignment w:val="auto"/>
    </w:pPr>
    <w:rPr>
      <w:rFonts w:hAnsi="宋体" w:eastAsia="宋体"/>
      <w:kern w:val="2"/>
      <w:sz w:val="24"/>
      <w:szCs w:val="24"/>
    </w:rPr>
  </w:style>
  <w:style w:type="paragraph" w:styleId="6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paragraph" w:styleId="7">
    <w:name w:val="Plain Text"/>
    <w:basedOn w:val="1"/>
    <w:qFormat/>
    <w:uiPriority w:val="0"/>
    <w:rPr>
      <w:rFonts w:ascii="宋体" w:hAnsi="Courier New"/>
      <w:sz w:val="20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9">
    <w:name w:val="Body Text First Indent"/>
    <w:basedOn w:val="6"/>
    <w:qFormat/>
    <w:uiPriority w:val="0"/>
    <w:pPr>
      <w:ind w:firstLine="420" w:firstLineChars="100"/>
    </w:pPr>
  </w:style>
  <w:style w:type="table" w:customStyle="1" w:styleId="1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3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2026-05-29T08:26:21Z</dcterms:created>
  <dc:creator>Administrator</dc:creator>
  <cp:lastModifiedBy>满满</cp:lastModifiedBy>
  <dcterms:modified xsi:type="dcterms:W3CDTF">2026-05-29T08:26:52Z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eyJoZGlkIjoiODNjZjlkZGY0NzAzMjJkZmMxMjkxY2E1NDc2NjEwYmIiLCJ1c2VySWQiOiI0NDIyODcxMzIifQ==</vt:lpwstr>
  </property>
  <property fmtid="{D5CDD505-2E9C-101B-9397-08002B2CF9AE}" pid="4" name="ICV">
    <vt:lpwstr>80A806D2896D4070896E03387708FC43_12</vt:lpwstr>
  </property>
</Properties>
</file>