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21B48">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71205721">
      <w:pPr>
        <w:keepNext w:val="0"/>
        <w:keepLines w:val="0"/>
        <w:pageBreakBefore w:val="0"/>
        <w:widowControl/>
        <w:kinsoku/>
        <w:wordWrap/>
        <w:overflowPunct w:val="0"/>
        <w:topLinePunct w:val="0"/>
        <w:autoSpaceDE w:val="0"/>
        <w:autoSpaceDN w:val="0"/>
        <w:bidi w:val="0"/>
        <w:adjustRightInd w:val="0"/>
        <w:snapToGrid w:val="0"/>
        <w:spacing w:line="360" w:lineRule="auto"/>
        <w:ind w:left="0" w:right="0" w:firstLine="460" w:firstLineChars="200"/>
        <w:jc w:val="center"/>
        <w:textAlignment w:val="baseline"/>
        <w:rPr>
          <w:rFonts w:hint="eastAsia" w:asciiTheme="minorEastAsia" w:hAnsiTheme="minorEastAsia" w:eastAsiaTheme="minorEastAsia" w:cstheme="minorEastAsia"/>
          <w:snapToGrid w:val="0"/>
          <w:color w:val="auto"/>
          <w:spacing w:val="-5"/>
          <w:kern w:val="0"/>
          <w:sz w:val="24"/>
          <w:szCs w:val="24"/>
          <w:lang w:val="en-US" w:eastAsia="zh-CN"/>
        </w:rPr>
      </w:pPr>
    </w:p>
    <w:p w14:paraId="239D7422">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1、采购清单</w:t>
      </w:r>
    </w:p>
    <w:tbl>
      <w:tblPr>
        <w:tblStyle w:val="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3"/>
        <w:gridCol w:w="5091"/>
        <w:gridCol w:w="1144"/>
        <w:gridCol w:w="1144"/>
      </w:tblGrid>
      <w:tr w14:paraId="41889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6A7D02C8">
            <w:pPr>
              <w:widowControl w:val="0"/>
              <w:spacing w:line="240" w:lineRule="auto"/>
              <w:jc w:val="center"/>
              <w:rPr>
                <w:rFonts w:hint="eastAsia" w:ascii="宋体" w:hAnsi="宋体" w:eastAsia="宋体" w:cs="宋体"/>
                <w:sz w:val="24"/>
                <w:szCs w:val="24"/>
                <w:highlight w:val="none"/>
                <w:lang w:eastAsia="en-US"/>
              </w:rPr>
            </w:pPr>
            <w:r>
              <w:rPr>
                <w:rFonts w:hint="eastAsia" w:ascii="宋体" w:hAnsi="宋体" w:eastAsia="宋体" w:cs="宋体"/>
                <w:sz w:val="24"/>
                <w:szCs w:val="24"/>
                <w:highlight w:val="none"/>
              </w:rPr>
              <w:t>序号</w:t>
            </w:r>
          </w:p>
        </w:tc>
        <w:tc>
          <w:tcPr>
            <w:tcW w:w="2986" w:type="pct"/>
            <w:vAlign w:val="center"/>
          </w:tcPr>
          <w:p w14:paraId="58E0A8F8">
            <w:pPr>
              <w:widowControl w:val="0"/>
              <w:spacing w:line="240" w:lineRule="auto"/>
              <w:jc w:val="center"/>
              <w:rPr>
                <w:rFonts w:hint="eastAsia" w:ascii="宋体" w:hAnsi="宋体" w:eastAsia="宋体" w:cs="宋体"/>
                <w:sz w:val="24"/>
                <w:szCs w:val="24"/>
                <w:highlight w:val="none"/>
                <w:lang w:eastAsia="en-US"/>
              </w:rPr>
            </w:pPr>
            <w:r>
              <w:rPr>
                <w:rFonts w:hint="eastAsia" w:ascii="宋体" w:hAnsi="宋体" w:eastAsia="宋体" w:cs="宋体"/>
                <w:sz w:val="24"/>
                <w:szCs w:val="24"/>
                <w:highlight w:val="none"/>
              </w:rPr>
              <w:t>名称</w:t>
            </w:r>
          </w:p>
        </w:tc>
        <w:tc>
          <w:tcPr>
            <w:tcW w:w="671" w:type="pct"/>
            <w:vAlign w:val="center"/>
          </w:tcPr>
          <w:p w14:paraId="3DBF04AA">
            <w:pPr>
              <w:widowControl w:val="0"/>
              <w:spacing w:line="240" w:lineRule="auto"/>
              <w:jc w:val="center"/>
              <w:rPr>
                <w:rFonts w:hint="eastAsia" w:ascii="宋体" w:hAnsi="宋体" w:eastAsia="宋体" w:cs="宋体"/>
                <w:sz w:val="24"/>
                <w:szCs w:val="24"/>
                <w:highlight w:val="none"/>
                <w:lang w:eastAsia="en-US"/>
              </w:rPr>
            </w:pPr>
            <w:r>
              <w:rPr>
                <w:rFonts w:hint="eastAsia" w:ascii="宋体" w:hAnsi="宋体" w:eastAsia="宋体" w:cs="宋体"/>
                <w:sz w:val="24"/>
                <w:szCs w:val="24"/>
                <w:highlight w:val="none"/>
              </w:rPr>
              <w:t>数量</w:t>
            </w:r>
          </w:p>
        </w:tc>
        <w:tc>
          <w:tcPr>
            <w:tcW w:w="671" w:type="pct"/>
            <w:vAlign w:val="center"/>
          </w:tcPr>
          <w:p w14:paraId="6422CE0A">
            <w:pPr>
              <w:widowControl w:val="0"/>
              <w:spacing w:line="240" w:lineRule="auto"/>
              <w:jc w:val="center"/>
              <w:rPr>
                <w:rFonts w:hint="eastAsia" w:ascii="宋体" w:hAnsi="宋体" w:eastAsia="宋体" w:cs="宋体"/>
                <w:sz w:val="24"/>
                <w:szCs w:val="24"/>
                <w:highlight w:val="none"/>
                <w:lang w:eastAsia="en-US"/>
              </w:rPr>
            </w:pPr>
            <w:r>
              <w:rPr>
                <w:rFonts w:hint="eastAsia" w:ascii="宋体" w:hAnsi="宋体" w:eastAsia="宋体" w:cs="宋体"/>
                <w:sz w:val="24"/>
                <w:szCs w:val="24"/>
                <w:highlight w:val="none"/>
              </w:rPr>
              <w:t>单位</w:t>
            </w:r>
          </w:p>
        </w:tc>
      </w:tr>
      <w:tr w14:paraId="02C19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30B02B58">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w:t>
            </w:r>
          </w:p>
        </w:tc>
        <w:tc>
          <w:tcPr>
            <w:tcW w:w="2986" w:type="pct"/>
            <w:vAlign w:val="center"/>
          </w:tcPr>
          <w:p w14:paraId="717B939A">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实名认证平台</w:t>
            </w:r>
          </w:p>
        </w:tc>
        <w:tc>
          <w:tcPr>
            <w:tcW w:w="671" w:type="pct"/>
            <w:vAlign w:val="center"/>
          </w:tcPr>
          <w:p w14:paraId="2CDA6379">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5126DB6B">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35C8B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584A201E">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2</w:t>
            </w:r>
          </w:p>
        </w:tc>
        <w:tc>
          <w:tcPr>
            <w:tcW w:w="2986" w:type="pct"/>
            <w:vAlign w:val="center"/>
          </w:tcPr>
          <w:p w14:paraId="2EBF010F">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无线控制器平台</w:t>
            </w:r>
          </w:p>
        </w:tc>
        <w:tc>
          <w:tcPr>
            <w:tcW w:w="671" w:type="pct"/>
            <w:vAlign w:val="center"/>
          </w:tcPr>
          <w:p w14:paraId="709864FA">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2166C46E">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3F08A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70B78011">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3</w:t>
            </w:r>
          </w:p>
        </w:tc>
        <w:tc>
          <w:tcPr>
            <w:tcW w:w="2986" w:type="pct"/>
            <w:vAlign w:val="center"/>
          </w:tcPr>
          <w:p w14:paraId="4AB8FCF1">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云管理网络平台</w:t>
            </w:r>
          </w:p>
        </w:tc>
        <w:tc>
          <w:tcPr>
            <w:tcW w:w="671" w:type="pct"/>
            <w:vAlign w:val="center"/>
          </w:tcPr>
          <w:p w14:paraId="35CC91A1">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03FB8C6F">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套</w:t>
            </w:r>
          </w:p>
        </w:tc>
      </w:tr>
      <w:tr w14:paraId="4B8DD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4A0CB0CE">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4</w:t>
            </w:r>
          </w:p>
        </w:tc>
        <w:tc>
          <w:tcPr>
            <w:tcW w:w="2986" w:type="pct"/>
            <w:vAlign w:val="center"/>
          </w:tcPr>
          <w:p w14:paraId="63E7BA5B">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下一代防火墙</w:t>
            </w:r>
          </w:p>
        </w:tc>
        <w:tc>
          <w:tcPr>
            <w:tcW w:w="671" w:type="pct"/>
            <w:vAlign w:val="center"/>
          </w:tcPr>
          <w:p w14:paraId="4BE52800">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313C53E7">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77AF8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1B841577">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5</w:t>
            </w:r>
          </w:p>
        </w:tc>
        <w:tc>
          <w:tcPr>
            <w:tcW w:w="2986" w:type="pct"/>
            <w:vAlign w:val="center"/>
          </w:tcPr>
          <w:p w14:paraId="35383A57">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高密AP</w:t>
            </w:r>
          </w:p>
        </w:tc>
        <w:tc>
          <w:tcPr>
            <w:tcW w:w="671" w:type="pct"/>
            <w:vAlign w:val="center"/>
          </w:tcPr>
          <w:p w14:paraId="4922F9B7">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12</w:t>
            </w:r>
          </w:p>
        </w:tc>
        <w:tc>
          <w:tcPr>
            <w:tcW w:w="671" w:type="pct"/>
            <w:vAlign w:val="center"/>
          </w:tcPr>
          <w:p w14:paraId="5DD2C0B6">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4B926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233CAD29">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6</w:t>
            </w:r>
          </w:p>
        </w:tc>
        <w:tc>
          <w:tcPr>
            <w:tcW w:w="2986" w:type="pct"/>
            <w:vAlign w:val="center"/>
          </w:tcPr>
          <w:p w14:paraId="69CBB304">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吸顶AP</w:t>
            </w:r>
          </w:p>
        </w:tc>
        <w:tc>
          <w:tcPr>
            <w:tcW w:w="671" w:type="pct"/>
            <w:vAlign w:val="center"/>
          </w:tcPr>
          <w:p w14:paraId="469F9857">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157</w:t>
            </w:r>
          </w:p>
        </w:tc>
        <w:tc>
          <w:tcPr>
            <w:tcW w:w="671" w:type="pct"/>
            <w:vAlign w:val="center"/>
          </w:tcPr>
          <w:p w14:paraId="73A40D0E">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6FF67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4B87C193">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7</w:t>
            </w:r>
          </w:p>
        </w:tc>
        <w:tc>
          <w:tcPr>
            <w:tcW w:w="2986" w:type="pct"/>
            <w:vAlign w:val="center"/>
          </w:tcPr>
          <w:p w14:paraId="3219F1CE">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室外AP</w:t>
            </w:r>
          </w:p>
        </w:tc>
        <w:tc>
          <w:tcPr>
            <w:tcW w:w="671" w:type="pct"/>
            <w:vAlign w:val="center"/>
          </w:tcPr>
          <w:p w14:paraId="285E37AA">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89</w:t>
            </w:r>
          </w:p>
        </w:tc>
        <w:tc>
          <w:tcPr>
            <w:tcW w:w="671" w:type="pct"/>
            <w:vAlign w:val="center"/>
          </w:tcPr>
          <w:p w14:paraId="418A47B4">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33B2D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5DB38288">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8</w:t>
            </w:r>
          </w:p>
        </w:tc>
        <w:tc>
          <w:tcPr>
            <w:tcW w:w="2986" w:type="pct"/>
            <w:vAlign w:val="center"/>
          </w:tcPr>
          <w:p w14:paraId="4AA37326">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学生宿舍7全光汇聚交换机</w:t>
            </w:r>
          </w:p>
        </w:tc>
        <w:tc>
          <w:tcPr>
            <w:tcW w:w="671" w:type="pct"/>
            <w:vAlign w:val="center"/>
          </w:tcPr>
          <w:p w14:paraId="7B85472D">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43088966">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4BCEC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6FCEF746">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9</w:t>
            </w:r>
          </w:p>
        </w:tc>
        <w:tc>
          <w:tcPr>
            <w:tcW w:w="2986" w:type="pct"/>
            <w:vAlign w:val="center"/>
          </w:tcPr>
          <w:p w14:paraId="71F12A18">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24口全供电POE设备</w:t>
            </w:r>
          </w:p>
        </w:tc>
        <w:tc>
          <w:tcPr>
            <w:tcW w:w="671" w:type="pct"/>
            <w:vAlign w:val="center"/>
          </w:tcPr>
          <w:p w14:paraId="4BE8C9B0">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15</w:t>
            </w:r>
          </w:p>
        </w:tc>
        <w:tc>
          <w:tcPr>
            <w:tcW w:w="671" w:type="pct"/>
            <w:vAlign w:val="center"/>
          </w:tcPr>
          <w:p w14:paraId="3C8E3F3A">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2AEE0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57DCAC60">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10</w:t>
            </w:r>
          </w:p>
        </w:tc>
        <w:tc>
          <w:tcPr>
            <w:tcW w:w="2986" w:type="pct"/>
            <w:vAlign w:val="center"/>
          </w:tcPr>
          <w:p w14:paraId="47CDC8AC">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8口全供电POE设备</w:t>
            </w:r>
          </w:p>
        </w:tc>
        <w:tc>
          <w:tcPr>
            <w:tcW w:w="671" w:type="pct"/>
            <w:vAlign w:val="center"/>
          </w:tcPr>
          <w:p w14:paraId="3C985A9B">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7</w:t>
            </w:r>
          </w:p>
        </w:tc>
        <w:tc>
          <w:tcPr>
            <w:tcW w:w="671" w:type="pct"/>
            <w:vAlign w:val="center"/>
          </w:tcPr>
          <w:p w14:paraId="3BD8CA45">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69408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0855A305">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11</w:t>
            </w:r>
          </w:p>
        </w:tc>
        <w:tc>
          <w:tcPr>
            <w:tcW w:w="2986" w:type="pct"/>
            <w:vAlign w:val="center"/>
          </w:tcPr>
          <w:p w14:paraId="585BAE0A">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24口光汇聚交换机</w:t>
            </w:r>
          </w:p>
        </w:tc>
        <w:tc>
          <w:tcPr>
            <w:tcW w:w="671" w:type="pct"/>
            <w:vAlign w:val="center"/>
          </w:tcPr>
          <w:p w14:paraId="50308A73">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5</w:t>
            </w:r>
          </w:p>
        </w:tc>
        <w:tc>
          <w:tcPr>
            <w:tcW w:w="671" w:type="pct"/>
            <w:vAlign w:val="center"/>
          </w:tcPr>
          <w:p w14:paraId="713C4F4B">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台</w:t>
            </w:r>
          </w:p>
        </w:tc>
      </w:tr>
      <w:tr w14:paraId="5F999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6AB4F512">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12</w:t>
            </w:r>
          </w:p>
        </w:tc>
        <w:tc>
          <w:tcPr>
            <w:tcW w:w="2986" w:type="pct"/>
            <w:vAlign w:val="center"/>
          </w:tcPr>
          <w:p w14:paraId="3B2AB11F">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边缘计算管理平台</w:t>
            </w:r>
          </w:p>
        </w:tc>
        <w:tc>
          <w:tcPr>
            <w:tcW w:w="671" w:type="pct"/>
            <w:vAlign w:val="center"/>
          </w:tcPr>
          <w:p w14:paraId="6FD9B638">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2</w:t>
            </w:r>
          </w:p>
        </w:tc>
        <w:tc>
          <w:tcPr>
            <w:tcW w:w="671" w:type="pct"/>
            <w:vAlign w:val="center"/>
          </w:tcPr>
          <w:p w14:paraId="0E3078E2">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套</w:t>
            </w:r>
          </w:p>
        </w:tc>
      </w:tr>
      <w:tr w14:paraId="5CD13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2187108B">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13</w:t>
            </w:r>
          </w:p>
        </w:tc>
        <w:tc>
          <w:tcPr>
            <w:tcW w:w="2986" w:type="pct"/>
            <w:vAlign w:val="center"/>
          </w:tcPr>
          <w:p w14:paraId="55926C34">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千兆单模模块</w:t>
            </w:r>
          </w:p>
        </w:tc>
        <w:tc>
          <w:tcPr>
            <w:tcW w:w="671" w:type="pct"/>
            <w:vAlign w:val="center"/>
          </w:tcPr>
          <w:p w14:paraId="6D4DDA35">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96</w:t>
            </w:r>
          </w:p>
        </w:tc>
        <w:tc>
          <w:tcPr>
            <w:tcW w:w="671" w:type="pct"/>
            <w:vAlign w:val="center"/>
          </w:tcPr>
          <w:p w14:paraId="5EB922DB">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块</w:t>
            </w:r>
          </w:p>
        </w:tc>
      </w:tr>
      <w:tr w14:paraId="1259A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6229A935">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14</w:t>
            </w:r>
          </w:p>
        </w:tc>
        <w:tc>
          <w:tcPr>
            <w:tcW w:w="2986" w:type="pct"/>
            <w:vAlign w:val="center"/>
          </w:tcPr>
          <w:p w14:paraId="734D4838">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室外光缆</w:t>
            </w:r>
          </w:p>
        </w:tc>
        <w:tc>
          <w:tcPr>
            <w:tcW w:w="671" w:type="pct"/>
            <w:vAlign w:val="center"/>
          </w:tcPr>
          <w:p w14:paraId="76D870BF">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1500</w:t>
            </w:r>
          </w:p>
        </w:tc>
        <w:tc>
          <w:tcPr>
            <w:tcW w:w="671" w:type="pct"/>
            <w:vAlign w:val="center"/>
          </w:tcPr>
          <w:p w14:paraId="686A3882">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米</w:t>
            </w:r>
          </w:p>
        </w:tc>
      </w:tr>
      <w:tr w14:paraId="44E80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154E3C9B">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15</w:t>
            </w:r>
          </w:p>
        </w:tc>
        <w:tc>
          <w:tcPr>
            <w:tcW w:w="2986" w:type="pct"/>
            <w:vAlign w:val="center"/>
          </w:tcPr>
          <w:p w14:paraId="7577BFDA">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室外复合光缆</w:t>
            </w:r>
          </w:p>
        </w:tc>
        <w:tc>
          <w:tcPr>
            <w:tcW w:w="671" w:type="pct"/>
            <w:vAlign w:val="center"/>
          </w:tcPr>
          <w:p w14:paraId="0E07FB38">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3000</w:t>
            </w:r>
          </w:p>
        </w:tc>
        <w:tc>
          <w:tcPr>
            <w:tcW w:w="671" w:type="pct"/>
            <w:vAlign w:val="center"/>
          </w:tcPr>
          <w:p w14:paraId="633D51E8">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米</w:t>
            </w:r>
          </w:p>
        </w:tc>
      </w:tr>
      <w:tr w14:paraId="0F5E2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151620C2">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16</w:t>
            </w:r>
          </w:p>
        </w:tc>
        <w:tc>
          <w:tcPr>
            <w:tcW w:w="2986" w:type="pct"/>
            <w:vAlign w:val="center"/>
          </w:tcPr>
          <w:p w14:paraId="0CF36B93">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网线</w:t>
            </w:r>
          </w:p>
        </w:tc>
        <w:tc>
          <w:tcPr>
            <w:tcW w:w="671" w:type="pct"/>
            <w:vAlign w:val="center"/>
          </w:tcPr>
          <w:p w14:paraId="7172A99C">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50</w:t>
            </w:r>
          </w:p>
        </w:tc>
        <w:tc>
          <w:tcPr>
            <w:tcW w:w="671" w:type="pct"/>
            <w:vAlign w:val="center"/>
          </w:tcPr>
          <w:p w14:paraId="56E1C340">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箱</w:t>
            </w:r>
          </w:p>
        </w:tc>
      </w:tr>
      <w:tr w14:paraId="0F0BE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294688A9">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17</w:t>
            </w:r>
          </w:p>
        </w:tc>
        <w:tc>
          <w:tcPr>
            <w:tcW w:w="2986" w:type="pct"/>
            <w:vAlign w:val="center"/>
          </w:tcPr>
          <w:p w14:paraId="11F57FA8">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其他网络设备</w:t>
            </w:r>
          </w:p>
        </w:tc>
        <w:tc>
          <w:tcPr>
            <w:tcW w:w="671" w:type="pct"/>
            <w:vAlign w:val="center"/>
          </w:tcPr>
          <w:p w14:paraId="122F15B8">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3360E479">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批</w:t>
            </w:r>
          </w:p>
        </w:tc>
      </w:tr>
      <w:tr w14:paraId="1005C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pct"/>
            <w:vAlign w:val="center"/>
          </w:tcPr>
          <w:p w14:paraId="56E32E9F">
            <w:pPr>
              <w:widowControl/>
              <w:spacing w:line="240" w:lineRule="auto"/>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18</w:t>
            </w:r>
          </w:p>
        </w:tc>
        <w:tc>
          <w:tcPr>
            <w:tcW w:w="2986" w:type="pct"/>
            <w:vAlign w:val="center"/>
          </w:tcPr>
          <w:p w14:paraId="64806579">
            <w:pPr>
              <w:widowControl/>
              <w:spacing w:line="240" w:lineRule="auto"/>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bidi="ar"/>
              </w:rPr>
              <w:t>安装调试</w:t>
            </w:r>
          </w:p>
        </w:tc>
        <w:tc>
          <w:tcPr>
            <w:tcW w:w="671" w:type="pct"/>
            <w:vAlign w:val="center"/>
          </w:tcPr>
          <w:p w14:paraId="2CC1B963">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1</w:t>
            </w:r>
          </w:p>
        </w:tc>
        <w:tc>
          <w:tcPr>
            <w:tcW w:w="671" w:type="pct"/>
            <w:vAlign w:val="center"/>
          </w:tcPr>
          <w:p w14:paraId="1EF1CA0F">
            <w:pPr>
              <w:widowControl/>
              <w:spacing w:line="24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lang w:bidi="ar"/>
              </w:rPr>
              <w:t>项</w:t>
            </w:r>
          </w:p>
        </w:tc>
      </w:tr>
    </w:tbl>
    <w:p w14:paraId="4952A625">
      <w:pPr>
        <w:rPr>
          <w:rFonts w:hint="eastAsia"/>
          <w:sz w:val="24"/>
          <w:szCs w:val="24"/>
          <w:highlight w:val="none"/>
        </w:rPr>
      </w:pPr>
    </w:p>
    <w:p w14:paraId="02BCC21F">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2、技术参数</w:t>
      </w:r>
    </w:p>
    <w:tbl>
      <w:tblPr>
        <w:tblStyle w:val="4"/>
        <w:tblW w:w="4997" w:type="pct"/>
        <w:tblInd w:w="0" w:type="dxa"/>
        <w:tblLayout w:type="fixed"/>
        <w:tblCellMar>
          <w:top w:w="0" w:type="dxa"/>
          <w:left w:w="108" w:type="dxa"/>
          <w:bottom w:w="0" w:type="dxa"/>
          <w:right w:w="108" w:type="dxa"/>
        </w:tblCellMar>
      </w:tblPr>
      <w:tblGrid>
        <w:gridCol w:w="622"/>
        <w:gridCol w:w="826"/>
        <w:gridCol w:w="5612"/>
        <w:gridCol w:w="728"/>
        <w:gridCol w:w="730"/>
      </w:tblGrid>
      <w:tr w14:paraId="6CE3E292">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1E6FC939">
            <w:pPr>
              <w:widowControl/>
              <w:spacing w:line="240" w:lineRule="auto"/>
              <w:jc w:val="center"/>
              <w:textAlignment w:val="center"/>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ar"/>
              </w:rPr>
              <w:t>序号</w:t>
            </w:r>
          </w:p>
        </w:tc>
        <w:tc>
          <w:tcPr>
            <w:tcW w:w="484" w:type="pct"/>
            <w:tcBorders>
              <w:top w:val="single" w:color="000000" w:sz="4" w:space="0"/>
              <w:left w:val="single" w:color="000000" w:sz="4" w:space="0"/>
              <w:bottom w:val="single" w:color="000000" w:sz="4" w:space="0"/>
              <w:right w:val="single" w:color="000000" w:sz="4" w:space="0"/>
            </w:tcBorders>
            <w:vAlign w:val="center"/>
          </w:tcPr>
          <w:p w14:paraId="41875EC2">
            <w:pPr>
              <w:widowControl/>
              <w:spacing w:line="240" w:lineRule="auto"/>
              <w:jc w:val="center"/>
              <w:textAlignment w:val="center"/>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ar"/>
              </w:rPr>
              <w:t>货物名称</w:t>
            </w:r>
          </w:p>
        </w:tc>
        <w:tc>
          <w:tcPr>
            <w:tcW w:w="3294" w:type="pct"/>
            <w:tcBorders>
              <w:top w:val="single" w:color="000000" w:sz="4" w:space="0"/>
              <w:left w:val="single" w:color="000000" w:sz="4" w:space="0"/>
              <w:bottom w:val="single" w:color="000000" w:sz="4" w:space="0"/>
              <w:right w:val="single" w:color="000000" w:sz="4" w:space="0"/>
            </w:tcBorders>
            <w:vAlign w:val="center"/>
          </w:tcPr>
          <w:p w14:paraId="014B1B29">
            <w:pPr>
              <w:widowControl/>
              <w:spacing w:line="240" w:lineRule="auto"/>
              <w:jc w:val="center"/>
              <w:textAlignment w:val="center"/>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ar"/>
              </w:rPr>
              <w:t>技术要求</w:t>
            </w:r>
          </w:p>
        </w:tc>
        <w:tc>
          <w:tcPr>
            <w:tcW w:w="427" w:type="pct"/>
            <w:tcBorders>
              <w:top w:val="single" w:color="000000" w:sz="4" w:space="0"/>
              <w:left w:val="single" w:color="000000" w:sz="4" w:space="0"/>
              <w:bottom w:val="single" w:color="000000" w:sz="4" w:space="0"/>
              <w:right w:val="single" w:color="000000" w:sz="4" w:space="0"/>
            </w:tcBorders>
            <w:vAlign w:val="center"/>
          </w:tcPr>
          <w:p w14:paraId="395DAFD7">
            <w:pPr>
              <w:widowControl/>
              <w:spacing w:line="240" w:lineRule="auto"/>
              <w:jc w:val="center"/>
              <w:textAlignment w:val="center"/>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ar"/>
              </w:rPr>
              <w:t>单位</w:t>
            </w:r>
          </w:p>
        </w:tc>
        <w:tc>
          <w:tcPr>
            <w:tcW w:w="428" w:type="pct"/>
            <w:tcBorders>
              <w:top w:val="single" w:color="000000" w:sz="4" w:space="0"/>
              <w:left w:val="single" w:color="000000" w:sz="4" w:space="0"/>
              <w:bottom w:val="single" w:color="000000" w:sz="4" w:space="0"/>
              <w:right w:val="single" w:color="000000" w:sz="4" w:space="0"/>
            </w:tcBorders>
            <w:vAlign w:val="center"/>
          </w:tcPr>
          <w:p w14:paraId="5A2F8A92">
            <w:pPr>
              <w:widowControl/>
              <w:spacing w:line="240" w:lineRule="auto"/>
              <w:jc w:val="center"/>
              <w:textAlignment w:val="center"/>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kern w:val="0"/>
                <w:sz w:val="24"/>
                <w:szCs w:val="24"/>
                <w:highlight w:val="none"/>
                <w:lang w:bidi="ar"/>
              </w:rPr>
              <w:t>数量</w:t>
            </w:r>
          </w:p>
        </w:tc>
      </w:tr>
      <w:tr w14:paraId="76ABBE66">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7D77EB9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c>
          <w:tcPr>
            <w:tcW w:w="484" w:type="pct"/>
            <w:tcBorders>
              <w:top w:val="single" w:color="000000" w:sz="4" w:space="0"/>
              <w:left w:val="single" w:color="000000" w:sz="4" w:space="0"/>
              <w:bottom w:val="single" w:color="000000" w:sz="4" w:space="0"/>
              <w:right w:val="single" w:color="000000" w:sz="4" w:space="0"/>
            </w:tcBorders>
            <w:vAlign w:val="center"/>
          </w:tcPr>
          <w:p w14:paraId="7C95865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实名认证平台</w:t>
            </w:r>
          </w:p>
        </w:tc>
        <w:tc>
          <w:tcPr>
            <w:tcW w:w="3294" w:type="pct"/>
            <w:tcBorders>
              <w:top w:val="single" w:color="000000" w:sz="4" w:space="0"/>
              <w:left w:val="single" w:color="000000" w:sz="4" w:space="0"/>
              <w:bottom w:val="single" w:color="000000" w:sz="4" w:space="0"/>
              <w:right w:val="single" w:color="000000" w:sz="4" w:space="0"/>
            </w:tcBorders>
            <w:vAlign w:val="center"/>
          </w:tcPr>
          <w:p w14:paraId="0F50E339">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支持分布式部署。总部部署可以统一管理全网的身份信息；分支单位机构部署可将身份策略信息汇总至身份策略中心，实现各个分布式下认证管理系统之间的用户身份漫游认证；可对分支机构管理员进行分权，分级管理员只能管理本单位的用户；</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2、认证服务器配置内置Portal和802.1x功能，本次配置5000并发终端授权；</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3、平台须与本次采购的无线控制器及现用于惟诚楼的无线控制器无缝对接，实现无线接入用户集中实名认证。</w:t>
            </w:r>
            <w:r>
              <w:rPr>
                <w:rFonts w:hint="eastAsia" w:asciiTheme="minorEastAsia" w:hAnsiTheme="minorEastAsia" w:eastAsiaTheme="minorEastAsia" w:cstheme="minorEastAsia"/>
                <w:b/>
                <w:bCs/>
                <w:color w:val="auto"/>
                <w:kern w:val="0"/>
                <w:sz w:val="24"/>
                <w:szCs w:val="24"/>
                <w:highlight w:val="none"/>
                <w:lang w:bidi="ar"/>
              </w:rPr>
              <w:t>（</w:t>
            </w:r>
            <w:r>
              <w:rPr>
                <w:rFonts w:hint="eastAsia" w:asciiTheme="minorEastAsia" w:hAnsiTheme="minorEastAsia" w:eastAsiaTheme="minorEastAsia" w:cstheme="minorEastAsia"/>
                <w:b/>
                <w:color w:val="auto"/>
                <w:sz w:val="24"/>
                <w:szCs w:val="24"/>
                <w:highlight w:val="none"/>
                <w:shd w:val="clear" w:color="auto" w:fill="FFFFFF"/>
              </w:rPr>
              <w:t>所投平台须支持与现有无线控制器</w:t>
            </w:r>
            <w:r>
              <w:rPr>
                <w:rFonts w:hint="eastAsia" w:asciiTheme="minorEastAsia" w:hAnsiTheme="minorEastAsia" w:eastAsiaTheme="minorEastAsia" w:cstheme="minorEastAsia"/>
                <w:b/>
                <w:color w:val="auto"/>
                <w:sz w:val="24"/>
                <w:szCs w:val="24"/>
                <w:highlight w:val="none"/>
                <w:shd w:val="clear" w:color="auto" w:fill="FFFFFF"/>
                <w:lang w:eastAsia="zh-CN"/>
              </w:rPr>
              <w:t>（品牌:锐捷/ruijie，型号:RG-NBC512）</w:t>
            </w:r>
            <w:r>
              <w:rPr>
                <w:rFonts w:hint="eastAsia" w:asciiTheme="minorEastAsia" w:hAnsiTheme="minorEastAsia" w:eastAsiaTheme="minorEastAsia" w:cstheme="minorEastAsia"/>
                <w:b/>
                <w:color w:val="auto"/>
                <w:sz w:val="24"/>
                <w:szCs w:val="24"/>
                <w:highlight w:val="none"/>
                <w:shd w:val="clear" w:color="auto" w:fill="FFFFFF"/>
              </w:rPr>
              <w:t>实现互联互通，满足统一管理与维护需求。采购人可配合提供现有系统的接口协议标准。</w:t>
            </w:r>
            <w:r>
              <w:rPr>
                <w:rFonts w:hint="eastAsia" w:asciiTheme="minorEastAsia" w:hAnsiTheme="minorEastAsia" w:eastAsiaTheme="minorEastAsia" w:cstheme="minorEastAsia"/>
                <w:b/>
                <w:color w:val="auto"/>
                <w:sz w:val="24"/>
                <w:szCs w:val="24"/>
                <w:highlight w:val="none"/>
                <w:shd w:val="clear" w:color="auto" w:fill="FFFFFF"/>
                <w:lang w:eastAsia="zh-CN"/>
              </w:rPr>
              <w:t>供应商</w:t>
            </w:r>
            <w:r>
              <w:rPr>
                <w:rFonts w:hint="eastAsia" w:asciiTheme="minorEastAsia" w:hAnsiTheme="minorEastAsia" w:eastAsiaTheme="minorEastAsia" w:cstheme="minorEastAsia"/>
                <w:b/>
                <w:color w:val="auto"/>
                <w:sz w:val="24"/>
                <w:szCs w:val="24"/>
                <w:highlight w:val="none"/>
                <w:shd w:val="clear" w:color="auto" w:fill="FFFFFF"/>
              </w:rPr>
              <w:t>应在技术方案中详细阐述对接实现方案，互联互通功能将在验收环节进行验证。</w:t>
            </w:r>
            <w:r>
              <w:rPr>
                <w:rFonts w:hint="eastAsia" w:asciiTheme="minorEastAsia" w:hAnsiTheme="minorEastAsia" w:eastAsiaTheme="minorEastAsia" w:cstheme="minorEastAsia"/>
                <w:b/>
                <w:bCs/>
                <w:color w:val="auto"/>
                <w:kern w:val="0"/>
                <w:sz w:val="24"/>
                <w:szCs w:val="24"/>
                <w:highlight w:val="none"/>
                <w:lang w:bidi="ar"/>
              </w:rPr>
              <w:t>）</w:t>
            </w:r>
          </w:p>
          <w:p w14:paraId="2D29CD29">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4、支持有线的用户名密码认证（EAP-MD5）、无线的用户名密码认证（PEAP-MSCHAPV2）和USB-KEY CA证书认证（EAP-TLS）；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5、支持已认证的用户使用自己的智能手机为访客终端扫描二维码进行访客入网接入认证授权，支持只有授权指定的用户组才能为访客做二维码授权，且在认证系统后台有访客与授权访客开户的用户账号绑定。</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6、支持授权码认证，普通用户可生成授权码，访客在Portal认证页面输入授权码认证上网，同时授权码具备有效期。</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7、支持手机号、邮箱、私密问答作为密保找回用户密码。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8、支持用户非法外连互联网禁网功能，一旦访问则进行日志记录，并禁用所有网络连接；支持基于网络设备ACL、设备VLAN、主机ACL的网络权限控制。</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9、支持使用用户名密码+手机号及短信获取的6位数随机校验码作为认证要素进行双因子认证；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10、支持开户、销户、分组管理用户；支持定制用户信息包含的字段，例如部门、年龄等；支持由已认证用户通过自助平台建立短时间临时用户账号，供访客使用；支持违反规定的用户放入黑名单，一段时间内禁止登陆；支持设置账号的使用期限，到期自动销户，并提前通知用户；</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11、支持与出口、日志系统设备联动实现中文实名日志记录，实现实名审计、流量控制功能</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12、支持主流杀毒软件弱联动功能或强联动功能，实现自定义杀毒软件联动。强联动可检测安装、运行、更新情况，可推送离线升级包，可远程调用杀毒软件进行病毒扫描；弱联动，可检测安装、运行、更新情况，并可以推送离线升级包；</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13、支持安装程序的检测和修复，对必须安装的软件强制下载和安装，禁止安装的软件提示卸载；支持进程运行、注册表项、Windows服务项的检查和修复；支持对外连接口进行管理，可禁止使用USB、光驱等外连接口；支持Windows补丁的强制或非强制更新；支持基于交换机ACL、交换机VLAN、主机ACL实现的隔离区；</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14、支持短信URL短码认证，点击短信里面的URL链接即可认证；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15、支持无线认证页面合并：普通用户、短信、二维码、微信web认证合并。</w:t>
            </w:r>
          </w:p>
        </w:tc>
        <w:tc>
          <w:tcPr>
            <w:tcW w:w="427" w:type="pct"/>
            <w:tcBorders>
              <w:top w:val="single" w:color="000000" w:sz="4" w:space="0"/>
              <w:left w:val="single" w:color="000000" w:sz="4" w:space="0"/>
              <w:bottom w:val="single" w:color="000000" w:sz="4" w:space="0"/>
              <w:right w:val="single" w:color="000000" w:sz="4" w:space="0"/>
            </w:tcBorders>
            <w:vAlign w:val="center"/>
          </w:tcPr>
          <w:p w14:paraId="37B0745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076CDEC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7BB5241F">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35B45926">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w:t>
            </w:r>
          </w:p>
        </w:tc>
        <w:tc>
          <w:tcPr>
            <w:tcW w:w="484" w:type="pct"/>
            <w:tcBorders>
              <w:top w:val="single" w:color="000000" w:sz="4" w:space="0"/>
              <w:left w:val="single" w:color="000000" w:sz="4" w:space="0"/>
              <w:bottom w:val="single" w:color="000000" w:sz="4" w:space="0"/>
              <w:right w:val="single" w:color="000000" w:sz="4" w:space="0"/>
            </w:tcBorders>
            <w:vAlign w:val="center"/>
          </w:tcPr>
          <w:p w14:paraId="62CCD7A7">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无线控制器平台</w:t>
            </w:r>
          </w:p>
        </w:tc>
        <w:tc>
          <w:tcPr>
            <w:tcW w:w="3294" w:type="pct"/>
            <w:tcBorders>
              <w:top w:val="single" w:color="000000" w:sz="4" w:space="0"/>
              <w:left w:val="single" w:color="000000" w:sz="4" w:space="0"/>
              <w:bottom w:val="single" w:color="000000" w:sz="4" w:space="0"/>
              <w:right w:val="single" w:color="000000" w:sz="4" w:space="0"/>
            </w:tcBorders>
            <w:vAlign w:val="center"/>
          </w:tcPr>
          <w:p w14:paraId="6779FB21">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1、要求所投产品满足常规AP最大数量≥512；本次实际配置≥288个AP管理授权；</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2、要求所投产品集中转发性能≥10Gbps；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3、要求所投产品提供≥8个千兆GE端口，≥2个2.5GE端口，以及≥2个万兆SFP+端口；</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4、CAPWAP隧道同时支持IPv4和IPv6双栈，支持用户地址和隧道地址任意选择使用IPv4或IPv6，灵活组合使用；</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5、支持Portal认证基于源/目的地址配置黑名单(阻断规则)功能，禁止终端在Portal认证成功后访问指定的网络；</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6、满足策略转发双网关，方便总部分支网络用户远程办公，同时减少ACAP中间链路资源占用，设备满足同一SSID终端的内网业务AC集中转发处理，外网业务AP本地转发；</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7、为精准识别终端接入过程中存在的异常，所投产品需要图形化呈现终端在关联、802.1x认证、PSK认证、IP地址获取等阶段的全部协议交互流程及各个阶段的耗时；</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8、为使得网络管理员实时感知网络状态，所投产品需要在网络发生异常时，可利用短信、微信、邮件等三种不同方式推送告警信息；</w:t>
            </w:r>
          </w:p>
        </w:tc>
        <w:tc>
          <w:tcPr>
            <w:tcW w:w="427" w:type="pct"/>
            <w:tcBorders>
              <w:top w:val="single" w:color="000000" w:sz="4" w:space="0"/>
              <w:left w:val="single" w:color="000000" w:sz="4" w:space="0"/>
              <w:bottom w:val="single" w:color="000000" w:sz="4" w:space="0"/>
              <w:right w:val="single" w:color="000000" w:sz="4" w:space="0"/>
            </w:tcBorders>
            <w:vAlign w:val="center"/>
          </w:tcPr>
          <w:p w14:paraId="4DA41C8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2BE7EE7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2E07592E">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6F37BCFC">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3</w:t>
            </w:r>
          </w:p>
        </w:tc>
        <w:tc>
          <w:tcPr>
            <w:tcW w:w="484" w:type="pct"/>
            <w:tcBorders>
              <w:top w:val="single" w:color="000000" w:sz="4" w:space="0"/>
              <w:left w:val="single" w:color="000000" w:sz="4" w:space="0"/>
              <w:bottom w:val="single" w:color="000000" w:sz="4" w:space="0"/>
              <w:right w:val="single" w:color="000000" w:sz="4" w:space="0"/>
            </w:tcBorders>
            <w:vAlign w:val="center"/>
          </w:tcPr>
          <w:p w14:paraId="4859F5F9">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云管理网络平台</w:t>
            </w:r>
          </w:p>
        </w:tc>
        <w:tc>
          <w:tcPr>
            <w:tcW w:w="3294" w:type="pct"/>
            <w:tcBorders>
              <w:top w:val="single" w:color="000000" w:sz="4" w:space="0"/>
              <w:left w:val="single" w:color="000000" w:sz="4" w:space="0"/>
              <w:bottom w:val="single" w:color="000000" w:sz="4" w:space="0"/>
              <w:right w:val="single" w:color="000000" w:sz="4" w:space="0"/>
            </w:tcBorders>
            <w:vAlign w:val="center"/>
          </w:tcPr>
          <w:p w14:paraId="73D0401B">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1、支持支持HTTPS、支持WIS通道，查看区域分析，包含网络质量、AP在线率、终端接入量、终端流量；</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2</w:t>
            </w:r>
            <w:r>
              <w:rPr>
                <w:rFonts w:hint="eastAsia" w:asciiTheme="minorEastAsia" w:hAnsiTheme="minorEastAsia" w:eastAsiaTheme="minorEastAsia" w:cstheme="minorEastAsia"/>
                <w:color w:val="auto"/>
                <w:kern w:val="0"/>
                <w:sz w:val="24"/>
                <w:szCs w:val="24"/>
                <w:highlight w:val="none"/>
                <w:lang w:bidi="ar"/>
              </w:rPr>
              <w:t>、支持点击终端图标显示终端的漫游履历，溯源到终端准确时间、准确地点的设备链接情况；</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3</w:t>
            </w:r>
            <w:r>
              <w:rPr>
                <w:rFonts w:hint="eastAsia" w:asciiTheme="minorEastAsia" w:hAnsiTheme="minorEastAsia" w:eastAsiaTheme="minorEastAsia" w:cstheme="minorEastAsia"/>
                <w:color w:val="auto"/>
                <w:kern w:val="0"/>
                <w:sz w:val="24"/>
                <w:szCs w:val="24"/>
                <w:highlight w:val="none"/>
                <w:lang w:bidi="ar"/>
              </w:rPr>
              <w:t>、支持显示整体设备在线/离线情况、在线用户情况、在线用户趋势；</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bidi="ar"/>
              </w:rPr>
              <w:t>、支持设备活跃告警排行显示、无线体验情况显示；</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5</w:t>
            </w:r>
            <w:r>
              <w:rPr>
                <w:rFonts w:hint="eastAsia" w:asciiTheme="minorEastAsia" w:hAnsiTheme="minorEastAsia" w:eastAsiaTheme="minorEastAsia" w:cstheme="minorEastAsia"/>
                <w:color w:val="auto"/>
                <w:kern w:val="0"/>
                <w:sz w:val="24"/>
                <w:szCs w:val="24"/>
                <w:highlight w:val="none"/>
                <w:lang w:bidi="ar"/>
              </w:rPr>
              <w:t>、支持全屏模式、场所切换；</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6</w:t>
            </w:r>
            <w:r>
              <w:rPr>
                <w:rFonts w:hint="eastAsia" w:asciiTheme="minorEastAsia" w:hAnsiTheme="minorEastAsia" w:eastAsiaTheme="minorEastAsia" w:cstheme="minorEastAsia"/>
                <w:color w:val="auto"/>
                <w:kern w:val="0"/>
                <w:sz w:val="24"/>
                <w:szCs w:val="24"/>
                <w:highlight w:val="none"/>
                <w:lang w:bidi="ar"/>
              </w:rPr>
              <w:t>、支持时间维度选择：小时/天；</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7</w:t>
            </w:r>
            <w:r>
              <w:rPr>
                <w:rFonts w:hint="eastAsia" w:asciiTheme="minorEastAsia" w:hAnsiTheme="minorEastAsia" w:eastAsiaTheme="minorEastAsia" w:cstheme="minorEastAsia"/>
                <w:color w:val="auto"/>
                <w:kern w:val="0"/>
                <w:sz w:val="24"/>
                <w:szCs w:val="24"/>
                <w:highlight w:val="none"/>
                <w:lang w:bidi="ar"/>
              </w:rPr>
              <w:t>、支持区域面积选择：RADIO数/STA数；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8</w:t>
            </w:r>
            <w:r>
              <w:rPr>
                <w:rFonts w:hint="eastAsia" w:asciiTheme="minorEastAsia" w:hAnsiTheme="minorEastAsia" w:eastAsiaTheme="minorEastAsia" w:cstheme="minorEastAsia"/>
                <w:color w:val="auto"/>
                <w:kern w:val="0"/>
                <w:sz w:val="24"/>
                <w:szCs w:val="24"/>
                <w:highlight w:val="none"/>
                <w:lang w:bidi="ar"/>
              </w:rPr>
              <w:t>、支持指标维度选择：信道利用率/负载/灾区；</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9</w:t>
            </w:r>
            <w:r>
              <w:rPr>
                <w:rFonts w:hint="eastAsia" w:asciiTheme="minorEastAsia" w:hAnsiTheme="minorEastAsia" w:eastAsiaTheme="minorEastAsia" w:cstheme="minorEastAsia"/>
                <w:color w:val="auto"/>
                <w:kern w:val="0"/>
                <w:sz w:val="24"/>
                <w:szCs w:val="24"/>
                <w:highlight w:val="none"/>
                <w:lang w:bidi="ar"/>
              </w:rPr>
              <w:t>、支持组织结构的增删改等配置；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0</w:t>
            </w:r>
            <w:r>
              <w:rPr>
                <w:rFonts w:hint="eastAsia" w:asciiTheme="minorEastAsia" w:hAnsiTheme="minorEastAsia" w:eastAsiaTheme="minorEastAsia" w:cstheme="minorEastAsia"/>
                <w:color w:val="auto"/>
                <w:kern w:val="0"/>
                <w:sz w:val="24"/>
                <w:szCs w:val="24"/>
                <w:highlight w:val="none"/>
                <w:lang w:bidi="ar"/>
              </w:rPr>
              <w:t>、支持组织结构和AC以及AP组对应关系的配置；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1</w:t>
            </w:r>
            <w:r>
              <w:rPr>
                <w:rFonts w:hint="eastAsia" w:asciiTheme="minorEastAsia" w:hAnsiTheme="minorEastAsia" w:eastAsiaTheme="minorEastAsia" w:cstheme="minorEastAsia"/>
                <w:color w:val="auto"/>
                <w:kern w:val="0"/>
                <w:sz w:val="24"/>
                <w:szCs w:val="24"/>
                <w:highlight w:val="none"/>
                <w:lang w:bidi="ar"/>
              </w:rPr>
              <w:t>、支持创建账号并分配给不同组织架构，拥有不同的权限；</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2</w:t>
            </w:r>
            <w:r>
              <w:rPr>
                <w:rFonts w:hint="eastAsia" w:asciiTheme="minorEastAsia" w:hAnsiTheme="minorEastAsia" w:eastAsiaTheme="minorEastAsia" w:cstheme="minorEastAsia"/>
                <w:color w:val="auto"/>
                <w:kern w:val="0"/>
                <w:sz w:val="24"/>
                <w:szCs w:val="24"/>
                <w:highlight w:val="none"/>
                <w:lang w:bidi="ar"/>
              </w:rPr>
              <w:t>、支持账号的分级分权管理，支持按账号权限显示WIS PRO网络概览，网络优化，一键诊断等功能数据；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3</w:t>
            </w:r>
            <w:r>
              <w:rPr>
                <w:rFonts w:hint="eastAsia" w:asciiTheme="minorEastAsia" w:hAnsiTheme="minorEastAsia" w:eastAsiaTheme="minorEastAsia" w:cstheme="minorEastAsia"/>
                <w:color w:val="auto"/>
                <w:kern w:val="0"/>
                <w:sz w:val="24"/>
                <w:szCs w:val="24"/>
                <w:highlight w:val="none"/>
                <w:lang w:bidi="ar"/>
              </w:rPr>
              <w:t>、支持2D全局视图展示，包括AP在线/总数，终端总数；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bidi="ar"/>
              </w:rPr>
              <w:t>、支持2D楼栋视图展示，包括AP在线/总数，终端总数；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5</w:t>
            </w:r>
            <w:r>
              <w:rPr>
                <w:rFonts w:hint="eastAsia" w:asciiTheme="minorEastAsia" w:hAnsiTheme="minorEastAsia" w:eastAsiaTheme="minorEastAsia" w:cstheme="minorEastAsia"/>
                <w:color w:val="auto"/>
                <w:kern w:val="0"/>
                <w:sz w:val="24"/>
                <w:szCs w:val="24"/>
                <w:highlight w:val="none"/>
                <w:lang w:bidi="ar"/>
              </w:rPr>
              <w:t>、支持设备或终端搜索，支持新增楼栋；</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6</w:t>
            </w:r>
            <w:r>
              <w:rPr>
                <w:rFonts w:hint="eastAsia" w:asciiTheme="minorEastAsia" w:hAnsiTheme="minorEastAsia" w:eastAsiaTheme="minorEastAsia" w:cstheme="minorEastAsia"/>
                <w:color w:val="auto"/>
                <w:kern w:val="0"/>
                <w:sz w:val="24"/>
                <w:szCs w:val="24"/>
                <w:highlight w:val="none"/>
                <w:lang w:bidi="ar"/>
              </w:rPr>
              <w:t>、支持体验概览展示；</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7</w:t>
            </w:r>
            <w:r>
              <w:rPr>
                <w:rFonts w:hint="eastAsia" w:asciiTheme="minorEastAsia" w:hAnsiTheme="minorEastAsia" w:eastAsiaTheme="minorEastAsia" w:cstheme="minorEastAsia"/>
                <w:color w:val="auto"/>
                <w:kern w:val="0"/>
                <w:sz w:val="24"/>
                <w:szCs w:val="24"/>
                <w:highlight w:val="none"/>
                <w:lang w:bidi="ar"/>
              </w:rPr>
              <w:t>、工具箱支持漫游回放；</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w:t>
            </w:r>
            <w:r>
              <w:rPr>
                <w:rFonts w:hint="eastAsia" w:asciiTheme="minorEastAsia" w:hAnsiTheme="minorEastAsia" w:eastAsiaTheme="minorEastAsia" w:cstheme="minorEastAsia"/>
                <w:color w:val="auto"/>
                <w:kern w:val="0"/>
                <w:sz w:val="24"/>
                <w:szCs w:val="24"/>
                <w:highlight w:val="none"/>
                <w:lang w:val="en-US" w:eastAsia="zh-CN" w:bidi="ar"/>
              </w:rPr>
              <w:t>8</w:t>
            </w:r>
            <w:r>
              <w:rPr>
                <w:rFonts w:hint="eastAsia" w:asciiTheme="minorEastAsia" w:hAnsiTheme="minorEastAsia" w:eastAsiaTheme="minorEastAsia" w:cstheme="minorEastAsia"/>
                <w:color w:val="auto"/>
                <w:kern w:val="0"/>
                <w:sz w:val="24"/>
                <w:szCs w:val="24"/>
                <w:highlight w:val="none"/>
                <w:lang w:bidi="ar"/>
              </w:rPr>
              <w:t>、支持上传平面图（支持svg/jpg/png，最大50M）；</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19</w:t>
            </w:r>
            <w:r>
              <w:rPr>
                <w:rFonts w:hint="eastAsia" w:asciiTheme="minorEastAsia" w:hAnsiTheme="minorEastAsia" w:eastAsiaTheme="minorEastAsia" w:cstheme="minorEastAsia"/>
                <w:color w:val="auto"/>
                <w:kern w:val="0"/>
                <w:sz w:val="24"/>
                <w:szCs w:val="24"/>
                <w:highlight w:val="none"/>
                <w:lang w:bidi="ar"/>
              </w:rPr>
              <w:t>、支持添加设备（胖AP、瘦AP）；</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0</w:t>
            </w:r>
            <w:r>
              <w:rPr>
                <w:rFonts w:hint="eastAsia" w:asciiTheme="minorEastAsia" w:hAnsiTheme="minorEastAsia" w:eastAsiaTheme="minorEastAsia" w:cstheme="minorEastAsia"/>
                <w:color w:val="auto"/>
                <w:kern w:val="0"/>
                <w:sz w:val="24"/>
                <w:szCs w:val="24"/>
                <w:highlight w:val="none"/>
                <w:lang w:bidi="ar"/>
              </w:rPr>
              <w:t>、支持图层设备的拖动；</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1</w:t>
            </w:r>
            <w:r>
              <w:rPr>
                <w:rFonts w:hint="eastAsia" w:asciiTheme="minorEastAsia" w:hAnsiTheme="minorEastAsia" w:eastAsiaTheme="minorEastAsia" w:cstheme="minorEastAsia"/>
                <w:color w:val="auto"/>
                <w:kern w:val="0"/>
                <w:sz w:val="24"/>
                <w:szCs w:val="24"/>
                <w:highlight w:val="none"/>
                <w:lang w:bidi="ar"/>
              </w:rPr>
              <w:t>、支持显示、关闭危险Wi-FI信号；</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2</w:t>
            </w:r>
            <w:r>
              <w:rPr>
                <w:rFonts w:hint="eastAsia" w:asciiTheme="minorEastAsia" w:hAnsiTheme="minorEastAsia" w:eastAsiaTheme="minorEastAsia" w:cstheme="minorEastAsia"/>
                <w:color w:val="auto"/>
                <w:kern w:val="0"/>
                <w:sz w:val="24"/>
                <w:szCs w:val="24"/>
                <w:highlight w:val="none"/>
                <w:lang w:bidi="ar"/>
              </w:rPr>
              <w:t>、支持显示、关闭终端数量；</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3</w:t>
            </w:r>
            <w:r>
              <w:rPr>
                <w:rFonts w:hint="eastAsia" w:asciiTheme="minorEastAsia" w:hAnsiTheme="minorEastAsia" w:eastAsiaTheme="minorEastAsia" w:cstheme="minorEastAsia"/>
                <w:color w:val="auto"/>
                <w:kern w:val="0"/>
                <w:sz w:val="24"/>
                <w:szCs w:val="24"/>
                <w:highlight w:val="none"/>
                <w:lang w:bidi="ar"/>
              </w:rPr>
              <w:t>、点击危险WIFI的SSID，支持快速定位到图上的具体位置；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bidi="ar"/>
              </w:rPr>
              <w:t>、搜索框支持搜索设备或终端；</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5</w:t>
            </w:r>
            <w:r>
              <w:rPr>
                <w:rFonts w:hint="eastAsia" w:asciiTheme="minorEastAsia" w:hAnsiTheme="minorEastAsia" w:eastAsiaTheme="minorEastAsia" w:cstheme="minorEastAsia"/>
                <w:color w:val="auto"/>
                <w:kern w:val="0"/>
                <w:sz w:val="24"/>
                <w:szCs w:val="24"/>
                <w:highlight w:val="none"/>
                <w:lang w:bidi="ar"/>
              </w:rPr>
              <w:t>、支持瘦AP告警；</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6</w:t>
            </w:r>
            <w:r>
              <w:rPr>
                <w:rFonts w:hint="eastAsia" w:asciiTheme="minorEastAsia" w:hAnsiTheme="minorEastAsia" w:eastAsiaTheme="minorEastAsia" w:cstheme="minorEastAsia"/>
                <w:color w:val="auto"/>
                <w:kern w:val="0"/>
                <w:sz w:val="24"/>
                <w:szCs w:val="24"/>
                <w:highlight w:val="none"/>
                <w:lang w:bidi="ar"/>
              </w:rPr>
              <w:t>、支持平台面视图可以查看设备功率，信道，频宽，信道利用率；</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7</w:t>
            </w:r>
            <w:r>
              <w:rPr>
                <w:rFonts w:hint="eastAsia" w:asciiTheme="minorEastAsia" w:hAnsiTheme="minorEastAsia" w:eastAsiaTheme="minorEastAsia" w:cstheme="minorEastAsia"/>
                <w:color w:val="auto"/>
                <w:kern w:val="0"/>
                <w:sz w:val="24"/>
                <w:szCs w:val="24"/>
                <w:highlight w:val="none"/>
                <w:lang w:bidi="ar"/>
              </w:rPr>
              <w:t>、支持障碍物识别；</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w:t>
            </w:r>
            <w:r>
              <w:rPr>
                <w:rFonts w:hint="eastAsia" w:asciiTheme="minorEastAsia" w:hAnsiTheme="minorEastAsia" w:eastAsiaTheme="minorEastAsia" w:cstheme="minorEastAsia"/>
                <w:color w:val="auto"/>
                <w:kern w:val="0"/>
                <w:sz w:val="24"/>
                <w:szCs w:val="24"/>
                <w:highlight w:val="none"/>
                <w:lang w:val="en-US" w:eastAsia="zh-CN" w:bidi="ar"/>
              </w:rPr>
              <w:t>8</w:t>
            </w:r>
            <w:r>
              <w:rPr>
                <w:rFonts w:hint="eastAsia" w:asciiTheme="minorEastAsia" w:hAnsiTheme="minorEastAsia" w:eastAsiaTheme="minorEastAsia" w:cstheme="minorEastAsia"/>
                <w:color w:val="auto"/>
                <w:kern w:val="0"/>
                <w:sz w:val="24"/>
                <w:szCs w:val="24"/>
                <w:highlight w:val="none"/>
                <w:lang w:bidi="ar"/>
              </w:rPr>
              <w:t>、孪生首页支持3D视图；</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val="en-US" w:eastAsia="zh-CN" w:bidi="ar"/>
              </w:rPr>
              <w:t>29</w:t>
            </w:r>
            <w:r>
              <w:rPr>
                <w:rFonts w:hint="eastAsia" w:asciiTheme="minorEastAsia" w:hAnsiTheme="minorEastAsia" w:eastAsiaTheme="minorEastAsia" w:cstheme="minorEastAsia"/>
                <w:color w:val="auto"/>
                <w:kern w:val="0"/>
                <w:sz w:val="24"/>
                <w:szCs w:val="24"/>
                <w:highlight w:val="none"/>
                <w:lang w:bidi="ar"/>
              </w:rPr>
              <w:t>、支持查看设备的ssid和信号覆盖。</w:t>
            </w:r>
          </w:p>
        </w:tc>
        <w:tc>
          <w:tcPr>
            <w:tcW w:w="427" w:type="pct"/>
            <w:tcBorders>
              <w:top w:val="single" w:color="000000" w:sz="4" w:space="0"/>
              <w:left w:val="single" w:color="000000" w:sz="4" w:space="0"/>
              <w:bottom w:val="single" w:color="000000" w:sz="4" w:space="0"/>
              <w:right w:val="single" w:color="000000" w:sz="4" w:space="0"/>
            </w:tcBorders>
            <w:vAlign w:val="center"/>
          </w:tcPr>
          <w:p w14:paraId="17382E7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套</w:t>
            </w:r>
          </w:p>
        </w:tc>
        <w:tc>
          <w:tcPr>
            <w:tcW w:w="428" w:type="pct"/>
            <w:tcBorders>
              <w:top w:val="single" w:color="000000" w:sz="4" w:space="0"/>
              <w:left w:val="single" w:color="000000" w:sz="4" w:space="0"/>
              <w:bottom w:val="single" w:color="000000" w:sz="4" w:space="0"/>
              <w:right w:val="single" w:color="000000" w:sz="4" w:space="0"/>
            </w:tcBorders>
            <w:vAlign w:val="center"/>
          </w:tcPr>
          <w:p w14:paraId="615C53CA">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254EBB4C">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6AF509A8">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4</w:t>
            </w:r>
          </w:p>
        </w:tc>
        <w:tc>
          <w:tcPr>
            <w:tcW w:w="484" w:type="pct"/>
            <w:tcBorders>
              <w:top w:val="single" w:color="000000" w:sz="4" w:space="0"/>
              <w:left w:val="single" w:color="000000" w:sz="4" w:space="0"/>
              <w:bottom w:val="single" w:color="000000" w:sz="4" w:space="0"/>
              <w:right w:val="single" w:color="000000" w:sz="4" w:space="0"/>
            </w:tcBorders>
            <w:vAlign w:val="center"/>
          </w:tcPr>
          <w:p w14:paraId="55806AF7">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下一代防火墙</w:t>
            </w:r>
          </w:p>
        </w:tc>
        <w:tc>
          <w:tcPr>
            <w:tcW w:w="3294" w:type="pct"/>
            <w:tcBorders>
              <w:top w:val="single" w:color="000000" w:sz="4" w:space="0"/>
              <w:left w:val="single" w:color="000000" w:sz="4" w:space="0"/>
              <w:bottom w:val="single" w:color="000000" w:sz="4" w:space="0"/>
              <w:right w:val="single" w:color="000000" w:sz="4" w:space="0"/>
            </w:tcBorders>
            <w:vAlign w:val="center"/>
          </w:tcPr>
          <w:p w14:paraId="3A94662A">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1、标准机架式设备，网络层吞吐量≥35G，应用层吞吐量≥20G，并发连接数≥800万，HTTP新建连接数≥18万，冗余电源，千兆电口≥16个，万兆光口SFP+≥6个。</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2、支持IPv4/IPv6双栈工作模式，以适应IPv6发展趋势；支持基于应用、服务、时间、域名、IPv6对象等维度的访问控制；</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3.支持以安全策略模板方式快速部署安全策略，安全策略模板支持默认模板和自定义模板等多种格式；</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4、支持对信任区域主机外发的异常流量进行检测，如ICMP，UPD，SYN，DNS Flood等DDoS攻击行为；</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5、支持IPv4／v6 NAT地址转换，支持源目的地址转换，目的地址转换和双向地址转换，支持针对源IP、目的IP和双向IP连接数控制；</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6、支持URL过滤和文件过滤功能，URL过滤支持GET，POST请求过滤和HTTPS网站过滤，文件过滤支持文件上传和下载过滤；</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7、支持对常见应用服务（HTTP、FTP、SSH、SMTP、IMAP）和数据库软件（MySQL、Oracle、MSSQL）的口令暴力破解防护功能；</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8、具备对常见网络协议（SSH、FTP、RDP、VNC、Netbios）和数据库（MySQL、Oracle、MSSQL）的弱密码扫描功能；</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9、支持https解密功能，支持TCP代理和SSL代理，支持基于文件传输方式、文件类型等维度的管控策略配置。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10、支持对网站的扫描防护和防止恶意爬虫攻击；支持其他类型的Web攻击，如文件包含，目录遍历，信息泄露攻击等；</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11、支持对安全策略管理和审计功能，记录安全策略变更时间、变更账号、变更类型等内容，提升日常安全策略运维效率；</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12、为防护互联网边界安全，支持服务器漏洞防扫描功能，并对扫描源IP进行日志记录和联动封锁；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13、支持ftp协议命令控制功能，至少包含delete、rmdir、mkdir、rename、mget、dir、mput、get、put等，保护对外服务不被恶意篡改。</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14、为了保证设备具备最新的防护能力以及提升学校整体的防御能力，产品应具备网端云协同联动功能，包括关联检测、威胁防护库更新、联动处置等，可实现:检测DGA安全事件、更新僵尸网络与病毒防护库、热门威胁库，对于失陷用户，能够成功推送杀毒通知。</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检测（验）报告扫描件（检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 4943.1-2022系列标准）并加盖供应商公章佐证，不符合或不提供的视为无效响应</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15、为保障设备策略冗余，支持策略冗余检测，设备进行策略冗余分析，可以给出哪些信息是冗余的；支持安全策略自动生成，将平台根据安全策略日志分析出的策略下发到设备(分析的包过滤策略，在下发时可以调整部分参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16、为有效应对当下勒索软件泛滥的风险，保障内网安全，产品支持勒索病毒检测与防御功能，针对勒索病毒攻击设置专项安全策略。可实现对内网PC通过外网访问勒索病毒的通信域名拦截，且能够查看阻拦勒索软件的日志记录。</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检测（验）报告扫描件（检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 4943.1-2022系列标准）并加盖供应商公章佐证，不符合或不提供的视为无效响应</w:t>
            </w:r>
            <w:r>
              <w:rPr>
                <w:rFonts w:hint="eastAsia" w:asciiTheme="minorEastAsia" w:hAnsiTheme="minorEastAsia" w:eastAsiaTheme="minorEastAsia" w:cstheme="minorEastAsia"/>
                <w:color w:val="auto"/>
                <w:sz w:val="24"/>
                <w:szCs w:val="24"/>
                <w:highlight w:val="none"/>
                <w:lang w:eastAsia="zh-CN"/>
              </w:rPr>
              <w:t>】</w:t>
            </w:r>
          </w:p>
        </w:tc>
        <w:tc>
          <w:tcPr>
            <w:tcW w:w="427" w:type="pct"/>
            <w:tcBorders>
              <w:top w:val="single" w:color="000000" w:sz="4" w:space="0"/>
              <w:left w:val="single" w:color="000000" w:sz="4" w:space="0"/>
              <w:bottom w:val="single" w:color="000000" w:sz="4" w:space="0"/>
              <w:right w:val="single" w:color="000000" w:sz="4" w:space="0"/>
            </w:tcBorders>
            <w:vAlign w:val="center"/>
          </w:tcPr>
          <w:p w14:paraId="6A202A5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6F04C6E2">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53D8FC76">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58741B5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w:t>
            </w:r>
          </w:p>
        </w:tc>
        <w:tc>
          <w:tcPr>
            <w:tcW w:w="484" w:type="pct"/>
            <w:tcBorders>
              <w:top w:val="single" w:color="000000" w:sz="4" w:space="0"/>
              <w:left w:val="single" w:color="000000" w:sz="4" w:space="0"/>
              <w:bottom w:val="single" w:color="000000" w:sz="4" w:space="0"/>
              <w:right w:val="single" w:color="000000" w:sz="4" w:space="0"/>
            </w:tcBorders>
            <w:vAlign w:val="center"/>
          </w:tcPr>
          <w:p w14:paraId="794AA6E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高密AP</w:t>
            </w:r>
          </w:p>
        </w:tc>
        <w:tc>
          <w:tcPr>
            <w:tcW w:w="3294" w:type="pct"/>
            <w:tcBorders>
              <w:top w:val="single" w:color="000000" w:sz="4" w:space="0"/>
              <w:left w:val="single" w:color="000000" w:sz="4" w:space="0"/>
              <w:bottom w:val="single" w:color="000000" w:sz="4" w:space="0"/>
              <w:right w:val="single" w:color="000000" w:sz="4" w:space="0"/>
            </w:tcBorders>
            <w:vAlign w:val="center"/>
          </w:tcPr>
          <w:p w14:paraId="3FF30B19">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1、支持802.11be标准，采用三射频设计，整机支持8条空间流，整机最大无线速率≥6.45Gbps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2、5GHz单射频支持4*4MIMO，且单射频最大接入速率≥5.76Gbps。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3、支持5GHz内外置天线切换。</w:t>
            </w:r>
          </w:p>
          <w:p w14:paraId="69FD83B0">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4、支持多级赋形天线，在干扰情况下，多级赋型天线带来抗干扰提升；天线档位支持多种天线工作模式的配置切换。</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检测（验）报告（检验依据须为GB/T 25000.51系列标准）扫描件并加盖供应商公章佐证，不符合或不提供的视为无效响应</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5、支持1个5G以太网电口和1个1G以太网电口，支持10G光口≥1个。</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6、支持BLE5.3，支持USB2.0</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7、为快速建立高度隔离的安全网络，设备应支持实现AP虚拟化功能，实现一台AP虚拟为多台AP，分别受不同AC设备独立管理，互不影响。不同虚拟AP之间数据隔离，虚拟AP在AC上不占用APLicense</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8、支持基于终端数或流量的智能负载均衡，支持基于STA/SSID/AP的限速。</w:t>
            </w:r>
          </w:p>
        </w:tc>
        <w:tc>
          <w:tcPr>
            <w:tcW w:w="427" w:type="pct"/>
            <w:tcBorders>
              <w:top w:val="single" w:color="000000" w:sz="4" w:space="0"/>
              <w:left w:val="single" w:color="000000" w:sz="4" w:space="0"/>
              <w:bottom w:val="single" w:color="000000" w:sz="4" w:space="0"/>
              <w:right w:val="single" w:color="000000" w:sz="4" w:space="0"/>
            </w:tcBorders>
            <w:vAlign w:val="center"/>
          </w:tcPr>
          <w:p w14:paraId="3DB1ED53">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6DEA62B0">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w:t>
            </w:r>
          </w:p>
        </w:tc>
      </w:tr>
      <w:tr w14:paraId="44448070">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465A24E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6</w:t>
            </w:r>
          </w:p>
        </w:tc>
        <w:tc>
          <w:tcPr>
            <w:tcW w:w="484" w:type="pct"/>
            <w:tcBorders>
              <w:top w:val="single" w:color="000000" w:sz="4" w:space="0"/>
              <w:left w:val="single" w:color="000000" w:sz="4" w:space="0"/>
              <w:bottom w:val="single" w:color="000000" w:sz="4" w:space="0"/>
              <w:right w:val="single" w:color="000000" w:sz="4" w:space="0"/>
            </w:tcBorders>
            <w:vAlign w:val="center"/>
          </w:tcPr>
          <w:p w14:paraId="0B46197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吸顶AP</w:t>
            </w:r>
          </w:p>
        </w:tc>
        <w:tc>
          <w:tcPr>
            <w:tcW w:w="3294" w:type="pct"/>
            <w:tcBorders>
              <w:top w:val="single" w:color="000000" w:sz="4" w:space="0"/>
              <w:left w:val="single" w:color="000000" w:sz="4" w:space="0"/>
              <w:bottom w:val="single" w:color="000000" w:sz="4" w:space="0"/>
              <w:right w:val="single" w:color="000000" w:sz="4" w:space="0"/>
            </w:tcBorders>
            <w:vAlign w:val="center"/>
          </w:tcPr>
          <w:p w14:paraId="1B4CC85F">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1、室外AP，支持802.11be标准，采用双路双频设计，整机空间流≥4条，最大无线速率≥3.57Gbps；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2、≥1个2.5G Base-T以太网电口（支持802.3af/at受电），1个RJ45的Console接口；</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3、内置全向天线；</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4、内置蓝牙5.3；</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5、支持802.11w防御Deauth攻击，支持CPU保护策略，支持WPA（TKIP）、WPA-PSK、WPA2（AES）、WPA3、WEP（64/128位）数据加密方式；</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6、支持微信认证、二维码访客认证、短信认证、无感知认证；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7、支持IPv6技术，包括IPv6报文透传,IPv6终端接入认证；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8、支持胖/瘦AP两种工作模式的切换，在瘦AP工作模式时，AP与控制器之间采用</w:t>
            </w:r>
            <w:r>
              <w:rPr>
                <w:rFonts w:hint="eastAsia" w:asciiTheme="minorEastAsia" w:hAnsiTheme="minorEastAsia" w:eastAsiaTheme="minorEastAsia" w:cstheme="minorEastAsia"/>
                <w:color w:val="auto"/>
                <w:kern w:val="0"/>
                <w:sz w:val="24"/>
                <w:szCs w:val="24"/>
                <w:highlight w:val="none"/>
                <w:lang w:val="en-US" w:eastAsia="zh-CN" w:bidi="ar"/>
              </w:rPr>
              <w:t>国家</w:t>
            </w:r>
            <w:r>
              <w:rPr>
                <w:rFonts w:hint="eastAsia" w:asciiTheme="minorEastAsia" w:hAnsiTheme="minorEastAsia" w:eastAsiaTheme="minorEastAsia" w:cstheme="minorEastAsia"/>
                <w:color w:val="auto"/>
                <w:kern w:val="0"/>
                <w:sz w:val="24"/>
                <w:szCs w:val="24"/>
                <w:highlight w:val="none"/>
                <w:lang w:bidi="ar"/>
              </w:rPr>
              <w:t>标准的CAPWAP协议通信;</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9、支持PPPoE client、IPsec VPN、NAT路由功能；</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10、避免无线网络中私接非法AP，所投AP具有非法AP的精确反制和模糊反制功能，能够主动识别非法设备并令非法设备不能使用；</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11、所投AP具有WLAN自动网优功能，不借助任何网络优化软件，仅通过AP配置进行无线网络优化，降低无线网络中的频段干扰。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12、支持Telnet、TFTP、WEB管理，支持手机端APP、微信服务号远程运维管理。</w:t>
            </w:r>
          </w:p>
        </w:tc>
        <w:tc>
          <w:tcPr>
            <w:tcW w:w="427" w:type="pct"/>
            <w:tcBorders>
              <w:top w:val="single" w:color="000000" w:sz="4" w:space="0"/>
              <w:left w:val="single" w:color="000000" w:sz="4" w:space="0"/>
              <w:bottom w:val="single" w:color="000000" w:sz="4" w:space="0"/>
              <w:right w:val="single" w:color="000000" w:sz="4" w:space="0"/>
            </w:tcBorders>
            <w:vAlign w:val="center"/>
          </w:tcPr>
          <w:p w14:paraId="6BAFB6E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4F09C12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157</w:t>
            </w:r>
          </w:p>
        </w:tc>
      </w:tr>
      <w:tr w14:paraId="129F4D33">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13001F28">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7</w:t>
            </w:r>
          </w:p>
        </w:tc>
        <w:tc>
          <w:tcPr>
            <w:tcW w:w="484" w:type="pct"/>
            <w:tcBorders>
              <w:top w:val="single" w:color="000000" w:sz="4" w:space="0"/>
              <w:left w:val="single" w:color="000000" w:sz="4" w:space="0"/>
              <w:bottom w:val="single" w:color="000000" w:sz="4" w:space="0"/>
              <w:right w:val="single" w:color="000000" w:sz="4" w:space="0"/>
            </w:tcBorders>
            <w:vAlign w:val="center"/>
          </w:tcPr>
          <w:p w14:paraId="06B80C8A">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室外AP</w:t>
            </w:r>
          </w:p>
        </w:tc>
        <w:tc>
          <w:tcPr>
            <w:tcW w:w="3294" w:type="pct"/>
            <w:tcBorders>
              <w:top w:val="single" w:color="000000" w:sz="4" w:space="0"/>
              <w:left w:val="single" w:color="000000" w:sz="4" w:space="0"/>
              <w:bottom w:val="single" w:color="000000" w:sz="4" w:space="0"/>
              <w:right w:val="single" w:color="000000" w:sz="4" w:space="0"/>
            </w:tcBorders>
            <w:vAlign w:val="center"/>
          </w:tcPr>
          <w:p w14:paraId="5DC5B6CA">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1、室外AP，支持802.11be标准，采用双路双频设计，整机空间流≥4条，最大无线速率≥3.57Gbps；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2、≥1个2.5G SFP光口；≥1个2.5G Base-T以太网电口（支持802.3af/at受电）；</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3、内置全向天线；</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4、内置蓝牙5.3；</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5、支持802.11w防御Deauth攻击，支持CPU保护策略，支持WPA（TKIP）、WPA-PSK、WPA2（AES）、WPA3、WEP（64/128位）数据加密方式；</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6、支持微信认证、二维码访客认证、短信认证、无感知认证；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7、支持IPv6技术，包括IPv6报文透传,IPv6终端接入认证；</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8、支持胖/瘦AP两种工作模式的切换，在瘦AP工作模式时，AP与控制器之间采用</w:t>
            </w:r>
            <w:r>
              <w:rPr>
                <w:rFonts w:hint="eastAsia" w:asciiTheme="minorEastAsia" w:hAnsiTheme="minorEastAsia" w:eastAsiaTheme="minorEastAsia" w:cstheme="minorEastAsia"/>
                <w:color w:val="auto"/>
                <w:kern w:val="0"/>
                <w:sz w:val="24"/>
                <w:szCs w:val="24"/>
                <w:highlight w:val="none"/>
                <w:lang w:val="en-US" w:eastAsia="zh-CN" w:bidi="ar"/>
              </w:rPr>
              <w:t>国家</w:t>
            </w:r>
            <w:r>
              <w:rPr>
                <w:rFonts w:hint="eastAsia" w:asciiTheme="minorEastAsia" w:hAnsiTheme="minorEastAsia" w:eastAsiaTheme="minorEastAsia" w:cstheme="minorEastAsia"/>
                <w:color w:val="auto"/>
                <w:kern w:val="0"/>
                <w:sz w:val="24"/>
                <w:szCs w:val="24"/>
                <w:highlight w:val="none"/>
                <w:lang w:bidi="ar"/>
              </w:rPr>
              <w:t>标准的CAPWAP协议通信;</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9、支持PPPoE client、IPsec VPN、NAT路由功能；</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10、避免无线网络中私接非法AP，所投AP具有非法AP的精确反制和模糊反制功能，能够主动识别非法设备并令非法设备不能使用；</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11、所投AP具有WLAN自动网优功能，不借助任何网络优化软件，仅通过AP配置进行无线网络优化，降低无线网络中的频段干扰。</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12、支持Telnet、TFTP、WEB管理，支持手机端APP、微信服务号远程运维管理。</w:t>
            </w:r>
          </w:p>
        </w:tc>
        <w:tc>
          <w:tcPr>
            <w:tcW w:w="427" w:type="pct"/>
            <w:tcBorders>
              <w:top w:val="single" w:color="000000" w:sz="4" w:space="0"/>
              <w:left w:val="single" w:color="000000" w:sz="4" w:space="0"/>
              <w:bottom w:val="single" w:color="000000" w:sz="4" w:space="0"/>
              <w:right w:val="single" w:color="000000" w:sz="4" w:space="0"/>
            </w:tcBorders>
            <w:vAlign w:val="center"/>
          </w:tcPr>
          <w:p w14:paraId="0502471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436EF44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89</w:t>
            </w:r>
          </w:p>
        </w:tc>
      </w:tr>
      <w:tr w14:paraId="37D2DA96">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0461507C">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w:t>
            </w:r>
          </w:p>
        </w:tc>
        <w:tc>
          <w:tcPr>
            <w:tcW w:w="484" w:type="pct"/>
            <w:tcBorders>
              <w:top w:val="single" w:color="000000" w:sz="4" w:space="0"/>
              <w:left w:val="single" w:color="000000" w:sz="4" w:space="0"/>
              <w:bottom w:val="single" w:color="000000" w:sz="4" w:space="0"/>
              <w:right w:val="single" w:color="000000" w:sz="4" w:space="0"/>
            </w:tcBorders>
            <w:vAlign w:val="center"/>
          </w:tcPr>
          <w:p w14:paraId="245945F1">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学生宿舍7全光汇聚交换机</w:t>
            </w:r>
          </w:p>
        </w:tc>
        <w:tc>
          <w:tcPr>
            <w:tcW w:w="3294" w:type="pct"/>
            <w:tcBorders>
              <w:top w:val="single" w:color="000000" w:sz="4" w:space="0"/>
              <w:left w:val="single" w:color="000000" w:sz="4" w:space="0"/>
              <w:bottom w:val="single" w:color="000000" w:sz="4" w:space="0"/>
              <w:right w:val="single" w:color="000000" w:sz="4" w:space="0"/>
            </w:tcBorders>
            <w:vAlign w:val="center"/>
          </w:tcPr>
          <w:p w14:paraId="0FDCFE6D">
            <w:pPr>
              <w:widowControl/>
              <w:numPr>
                <w:ilvl w:val="0"/>
                <w:numId w:val="1"/>
              </w:numPr>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固化≥28个1000M SFP光口，≥8个复用的10/100/1000Mbps电口，≥8个1G/10G SFP+光口，≥2个业务扩展插槽，可扩展万兆和100G接口;</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2、交换容量≥2.4Tbps，包转发率≥822Mpps；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3、为响应国家节能减排政策，整机采用绿色环保设计，满负荷情况下功耗≤80W；</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4、要求所投设备MAC地址≥196K，路由表项≥64K；</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5、支持RIPv2，OSPFv2/v3，BGP4/4+，IS-ISv4/v6；支持IGMP v1/v2/v3，PIM-SM等组播协议；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6、支持特有的CPU保护策略，对发往CPU的数据流，进行流区分和优先级队列分级处理，并根据需要实施带宽限速，充分保护CPU不被非法流量占用、恶意攻击和资源消耗；</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7、支持基础网络保护机制，增强设备防攻击能力，即使在受到攻击的情况下，也能保护系统各种服务的正常运行，保持较低的CPU负载，从而保障整个网络的稳定运行；</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8、支持基于流的采样功能，对所选数据流包头中的源IP地址、目的IP地址、协议号、源端口号、包长等信息进行采样，并发送至网管主机；</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依据须为YD/T 1630-2007系列标准）扫描件并加盖供应商公章佐证，不符合或不提供的视为无效响应</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9、支持硬件层级双boot，采用两个FLASH芯片存储boot软件（系统引导程序），实现硬件级boot冗余备份，避免因FLASH芯片故障导致交换机无法启动。</w:t>
            </w:r>
          </w:p>
        </w:tc>
        <w:tc>
          <w:tcPr>
            <w:tcW w:w="427" w:type="pct"/>
            <w:tcBorders>
              <w:top w:val="single" w:color="000000" w:sz="4" w:space="0"/>
              <w:left w:val="single" w:color="000000" w:sz="4" w:space="0"/>
              <w:bottom w:val="single" w:color="000000" w:sz="4" w:space="0"/>
              <w:right w:val="single" w:color="000000" w:sz="4" w:space="0"/>
            </w:tcBorders>
            <w:vAlign w:val="center"/>
          </w:tcPr>
          <w:p w14:paraId="2C19673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6598F3E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46F56A09">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2F188043">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9</w:t>
            </w:r>
          </w:p>
        </w:tc>
        <w:tc>
          <w:tcPr>
            <w:tcW w:w="484" w:type="pct"/>
            <w:tcBorders>
              <w:top w:val="single" w:color="000000" w:sz="4" w:space="0"/>
              <w:left w:val="single" w:color="000000" w:sz="4" w:space="0"/>
              <w:bottom w:val="single" w:color="000000" w:sz="4" w:space="0"/>
              <w:right w:val="single" w:color="000000" w:sz="4" w:space="0"/>
            </w:tcBorders>
            <w:vAlign w:val="center"/>
          </w:tcPr>
          <w:p w14:paraId="59FD6706">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24口全供电POE设备</w:t>
            </w:r>
          </w:p>
        </w:tc>
        <w:tc>
          <w:tcPr>
            <w:tcW w:w="3294" w:type="pct"/>
            <w:tcBorders>
              <w:top w:val="single" w:color="000000" w:sz="4" w:space="0"/>
              <w:left w:val="single" w:color="000000" w:sz="4" w:space="0"/>
              <w:bottom w:val="single" w:color="000000" w:sz="4" w:space="0"/>
              <w:right w:val="single" w:color="000000" w:sz="4" w:space="0"/>
            </w:tcBorders>
            <w:vAlign w:val="center"/>
          </w:tcPr>
          <w:p w14:paraId="69664577">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1、交换容量≥672Gbps，包转发率≥126Mpps。配置千兆电口≥24个，非复用千兆光口≥4个，支持PoE/PoE+，POE输出功率≥370W；</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2、交换机半导体器件的失效率随温度增加指数上升，为保证设备在弱电井正常工作，设备需在0-50℃；</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3、支持N:1虚拟化功能，可将多台物理设备虚拟化为一台逻辑设备统一管理，简化管理，并且链路故障的收敛时间≤30ms；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4、支持MAC地址自动学习和老化；</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5、支持IPv4静态路由、RIP V1/V2、OSPF，支持IPv6静态路由、RIPng；</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6、支持ITU-TG.8032公有环网协议ERPS,并且链路故障的收敛时间≤50ms；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7、绿色节能：要求支持高效节能以太网特性。端口如果在连续一段时间之内空闲，系统会将该端口设置为节能模式，当有报文收发时再通过定时发送的监听码流唤醒端口恢复业务，达到节能的效果；</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8、支持IEEE 802.3az标准的EEE节能技术，减小端口功耗；</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9、支持基础网络保护策略，能够限制用户向网络中发送ARP报文、ICMP请求报文、DHCP请求报文等数据包的数率，对超过限速阈值的报文进行丢弃处理，甚至能够识别攻击行为，对有攻击行为的用户进行隔离。</w:t>
            </w:r>
          </w:p>
          <w:p w14:paraId="1383E2D7">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10、支持快速链路检测协议，可快速检测链路的通断和光纤链路的单向性，并支持端口下的环路检测功能，防止端口下因私接Hub等设备形成的环路而导致网络故障的现象。</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11、配合云管平台支持基于网关的网络拓扑自动发现，并以图形化形式呈现；支持基于云的工具箱功能（配置下发、配置备份、配置恢复、命令调试、访问eWeb、访问Telnet、访问SSH、重启、设备升级）。</w:t>
            </w:r>
          </w:p>
        </w:tc>
        <w:tc>
          <w:tcPr>
            <w:tcW w:w="427" w:type="pct"/>
            <w:tcBorders>
              <w:top w:val="single" w:color="000000" w:sz="4" w:space="0"/>
              <w:left w:val="single" w:color="000000" w:sz="4" w:space="0"/>
              <w:bottom w:val="single" w:color="000000" w:sz="4" w:space="0"/>
              <w:right w:val="single" w:color="000000" w:sz="4" w:space="0"/>
            </w:tcBorders>
            <w:vAlign w:val="center"/>
          </w:tcPr>
          <w:p w14:paraId="45A2083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74219245">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15</w:t>
            </w:r>
          </w:p>
        </w:tc>
      </w:tr>
      <w:tr w14:paraId="62BF7B38">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4FF1B69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10</w:t>
            </w:r>
          </w:p>
        </w:tc>
        <w:tc>
          <w:tcPr>
            <w:tcW w:w="484" w:type="pct"/>
            <w:tcBorders>
              <w:top w:val="single" w:color="000000" w:sz="4" w:space="0"/>
              <w:left w:val="single" w:color="000000" w:sz="4" w:space="0"/>
              <w:bottom w:val="single" w:color="000000" w:sz="4" w:space="0"/>
              <w:right w:val="single" w:color="000000" w:sz="4" w:space="0"/>
            </w:tcBorders>
            <w:vAlign w:val="center"/>
          </w:tcPr>
          <w:p w14:paraId="06F74243">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8口全供电POE设备</w:t>
            </w:r>
          </w:p>
        </w:tc>
        <w:tc>
          <w:tcPr>
            <w:tcW w:w="3294" w:type="pct"/>
            <w:tcBorders>
              <w:top w:val="single" w:color="000000" w:sz="4" w:space="0"/>
              <w:left w:val="single" w:color="000000" w:sz="4" w:space="0"/>
              <w:bottom w:val="single" w:color="000000" w:sz="4" w:space="0"/>
              <w:right w:val="single" w:color="000000" w:sz="4" w:space="0"/>
            </w:tcBorders>
            <w:vAlign w:val="center"/>
          </w:tcPr>
          <w:p w14:paraId="56B5B1AC">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1、交换容量≥432Gbps，包转发率≥80Mpps；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2、固化10/100/1000M以太网电口≥8，1000M/2.5G SFP千兆光接口≥2个；</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3、支持POE和POE+同时可POE供电端口≥8个，POE最大输出功率≥125W，PoE满载下整机最大功耗141W；</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4、设备采用降噪设计，整机噪声≤37dB；</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5、要求所投产品端口浪涌抗扰度≥10KV（即具备10KV的防雷能力）；</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6、符合国家低碳环保等政策要求，支持IEEE 802.3az标准的EEE节能技术；</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7、支持静态路由协议；</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8、支持生成树协议STP(IEEE 802.1d)，RSTP(IEEE 802.1w)和MSTP(IEEE 802.1s)，完全保证快速收敛，提高容错能力，保证网络的稳定运行和链路的负载均衡，合理使用网络通道，提供冗余链路利用率；</w:t>
            </w:r>
          </w:p>
          <w:p w14:paraId="136DE935">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9、为保证设备受到外部机械碰撞仍可以保持结构完整、无裂痕、无严重损伤，所投产品的防护等级达到IK05。</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依据须为GB/T 20138</w:t>
            </w:r>
            <w:r>
              <w:rPr>
                <w:rFonts w:hint="eastAsia" w:asciiTheme="minorEastAsia" w:hAnsiTheme="minorEastAsia" w:eastAsiaTheme="minorEastAsia" w:cstheme="minorEastAsia"/>
                <w:b/>
                <w:bCs/>
                <w:color w:val="auto"/>
                <w:kern w:val="0"/>
                <w:sz w:val="24"/>
                <w:szCs w:val="24"/>
                <w:highlight w:val="none"/>
                <w:lang w:val="en-US" w:eastAsia="zh-CN" w:bidi="ar"/>
              </w:rPr>
              <w:t>-2023</w:t>
            </w:r>
            <w:r>
              <w:rPr>
                <w:rFonts w:hint="eastAsia" w:asciiTheme="minorEastAsia" w:hAnsiTheme="minorEastAsia" w:eastAsiaTheme="minorEastAsia" w:cstheme="minorEastAsia"/>
                <w:b/>
                <w:bCs/>
                <w:color w:val="auto"/>
                <w:kern w:val="0"/>
                <w:sz w:val="24"/>
                <w:szCs w:val="24"/>
                <w:highlight w:val="none"/>
                <w:lang w:bidi="ar"/>
              </w:rPr>
              <w:t>标准）扫描件并加盖供应商公章佐证，不符合或不提供的视为无效响应</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10、支持快速以太网链路检测协议，可快速检测链路的通断和光纤链路的单向性，并支持端口下的环路检测功能，防止端口下因私接Hub等设备形成的环路而导致网络故障的现象；</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11、支持SNMP、CLI(Telnet/Console)、Syslog、NTP、TFTP、Web。</w:t>
            </w:r>
          </w:p>
        </w:tc>
        <w:tc>
          <w:tcPr>
            <w:tcW w:w="427" w:type="pct"/>
            <w:tcBorders>
              <w:top w:val="single" w:color="000000" w:sz="4" w:space="0"/>
              <w:left w:val="single" w:color="000000" w:sz="4" w:space="0"/>
              <w:bottom w:val="single" w:color="000000" w:sz="4" w:space="0"/>
              <w:right w:val="single" w:color="000000" w:sz="4" w:space="0"/>
            </w:tcBorders>
            <w:vAlign w:val="center"/>
          </w:tcPr>
          <w:p w14:paraId="7A9841E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3E266A0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7</w:t>
            </w:r>
          </w:p>
        </w:tc>
      </w:tr>
      <w:tr w14:paraId="155EA564">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66E6EEE7">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11</w:t>
            </w:r>
          </w:p>
        </w:tc>
        <w:tc>
          <w:tcPr>
            <w:tcW w:w="484" w:type="pct"/>
            <w:tcBorders>
              <w:top w:val="single" w:color="000000" w:sz="4" w:space="0"/>
              <w:left w:val="single" w:color="000000" w:sz="4" w:space="0"/>
              <w:bottom w:val="single" w:color="000000" w:sz="4" w:space="0"/>
              <w:right w:val="single" w:color="000000" w:sz="4" w:space="0"/>
            </w:tcBorders>
            <w:vAlign w:val="center"/>
          </w:tcPr>
          <w:p w14:paraId="446812C6">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24口光汇聚交换机</w:t>
            </w:r>
          </w:p>
        </w:tc>
        <w:tc>
          <w:tcPr>
            <w:tcW w:w="3294" w:type="pct"/>
            <w:tcBorders>
              <w:top w:val="single" w:color="000000" w:sz="4" w:space="0"/>
              <w:left w:val="single" w:color="000000" w:sz="4" w:space="0"/>
              <w:bottom w:val="single" w:color="000000" w:sz="4" w:space="0"/>
              <w:right w:val="single" w:color="000000" w:sz="4" w:space="0"/>
            </w:tcBorders>
            <w:vAlign w:val="center"/>
          </w:tcPr>
          <w:p w14:paraId="67A4FD42">
            <w:pPr>
              <w:widowControl/>
              <w:spacing w:line="240" w:lineRule="auto"/>
              <w:jc w:val="left"/>
              <w:textAlignment w:val="center"/>
              <w:rPr>
                <w:rFonts w:hint="eastAsia" w:asciiTheme="minorEastAsia" w:hAnsiTheme="minorEastAsia" w:eastAsiaTheme="minorEastAsia" w:cstheme="minorEastAsia"/>
                <w:color w:val="auto"/>
                <w:kern w:val="0"/>
                <w:sz w:val="24"/>
                <w:szCs w:val="24"/>
                <w:highlight w:val="none"/>
                <w:lang w:bidi="ar"/>
              </w:rPr>
            </w:pPr>
            <w:r>
              <w:rPr>
                <w:rFonts w:hint="eastAsia" w:asciiTheme="minorEastAsia" w:hAnsiTheme="minorEastAsia" w:eastAsiaTheme="minorEastAsia" w:cstheme="minorEastAsia"/>
                <w:color w:val="auto"/>
                <w:kern w:val="0"/>
                <w:sz w:val="24"/>
                <w:szCs w:val="24"/>
                <w:highlight w:val="none"/>
                <w:lang w:bidi="ar"/>
              </w:rPr>
              <w:t>1、配置千兆光口≥28个，配置千兆电口≥8个，配置万兆光口≥4个，配置双电源</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2、交换容量≥1.28Tbps，包转发率≥222Mpps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3、支持RIP，OSPF，BGP，RIPng，OSPFv3，BGP4+</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4、支持IGMP v1/v2/v3，IGMP v1/v2/v3 Snooping，支持PIM-DM，PIM-SM，PIM-SSM，PIM for IPv6</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5、支持软件定义网络SDN，符合OpenFlow 1.3协议标准</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6、支持虚拟化功能，最多可将9台物理设备虚拟化为一台逻辑设备统一管理，并且链路故障的收敛时间≤50ms（最快8ms）</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7、支持G.8032公有环网协议ERPS,并且链路故障的收敛时间≤50ms；</w:t>
            </w:r>
          </w:p>
          <w:p w14:paraId="3F94CA2F">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8、为保证设备受到外部机械碰撞仍可以保持结构完整、无裂痕、无严重损伤，所投24口交换机防护等级达到IK05。</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依据须为GB/T 20138</w:t>
            </w:r>
            <w:r>
              <w:rPr>
                <w:rFonts w:hint="eastAsia" w:asciiTheme="minorEastAsia" w:hAnsiTheme="minorEastAsia" w:eastAsiaTheme="minorEastAsia" w:cstheme="minorEastAsia"/>
                <w:b/>
                <w:bCs/>
                <w:color w:val="auto"/>
                <w:kern w:val="0"/>
                <w:sz w:val="24"/>
                <w:szCs w:val="24"/>
                <w:highlight w:val="none"/>
                <w:lang w:val="en-US" w:eastAsia="zh-CN" w:bidi="ar"/>
              </w:rPr>
              <w:t>-2023</w:t>
            </w:r>
            <w:r>
              <w:rPr>
                <w:rFonts w:hint="eastAsia" w:asciiTheme="minorEastAsia" w:hAnsiTheme="minorEastAsia" w:eastAsiaTheme="minorEastAsia" w:cstheme="minorEastAsia"/>
                <w:b/>
                <w:bCs/>
                <w:color w:val="auto"/>
                <w:kern w:val="0"/>
                <w:sz w:val="24"/>
                <w:szCs w:val="24"/>
                <w:highlight w:val="none"/>
                <w:lang w:bidi="ar"/>
              </w:rPr>
              <w:t>标准）扫描件并加盖供应商公章佐证，不符合或不提供的视为无效响应</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br w:type="textWrapping"/>
            </w:r>
            <w:r>
              <w:rPr>
                <w:rFonts w:hint="eastAsia" w:asciiTheme="minorEastAsia" w:hAnsiTheme="minorEastAsia" w:eastAsiaTheme="minorEastAsia" w:cstheme="minorEastAsia"/>
                <w:color w:val="auto"/>
                <w:kern w:val="0"/>
                <w:sz w:val="24"/>
                <w:szCs w:val="24"/>
                <w:highlight w:val="none"/>
                <w:lang w:bidi="ar"/>
              </w:rPr>
              <w:t>9、支持SNMPv1/v2C/v3、CLI(Telnet/Console)、RMON(1,2,3,9)、SSH、Syslog、NTP/SNTP、FTP、TFTP、Web</w:t>
            </w:r>
          </w:p>
        </w:tc>
        <w:tc>
          <w:tcPr>
            <w:tcW w:w="427" w:type="pct"/>
            <w:tcBorders>
              <w:top w:val="single" w:color="000000" w:sz="4" w:space="0"/>
              <w:left w:val="single" w:color="000000" w:sz="4" w:space="0"/>
              <w:bottom w:val="single" w:color="000000" w:sz="4" w:space="0"/>
              <w:right w:val="single" w:color="000000" w:sz="4" w:space="0"/>
            </w:tcBorders>
            <w:vAlign w:val="center"/>
          </w:tcPr>
          <w:p w14:paraId="4A1D348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台</w:t>
            </w:r>
          </w:p>
        </w:tc>
        <w:tc>
          <w:tcPr>
            <w:tcW w:w="428" w:type="pct"/>
            <w:tcBorders>
              <w:top w:val="single" w:color="000000" w:sz="4" w:space="0"/>
              <w:left w:val="single" w:color="000000" w:sz="4" w:space="0"/>
              <w:bottom w:val="single" w:color="000000" w:sz="4" w:space="0"/>
              <w:right w:val="single" w:color="000000" w:sz="4" w:space="0"/>
            </w:tcBorders>
            <w:vAlign w:val="center"/>
          </w:tcPr>
          <w:p w14:paraId="5D76105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w:t>
            </w:r>
          </w:p>
        </w:tc>
      </w:tr>
      <w:tr w14:paraId="17CCC10D">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6AFBAC7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12</w:t>
            </w:r>
          </w:p>
        </w:tc>
        <w:tc>
          <w:tcPr>
            <w:tcW w:w="484" w:type="pct"/>
            <w:tcBorders>
              <w:top w:val="single" w:color="000000" w:sz="4" w:space="0"/>
              <w:left w:val="single" w:color="000000" w:sz="4" w:space="0"/>
              <w:bottom w:val="single" w:color="000000" w:sz="4" w:space="0"/>
              <w:right w:val="single" w:color="000000" w:sz="4" w:space="0"/>
            </w:tcBorders>
            <w:vAlign w:val="center"/>
          </w:tcPr>
          <w:p w14:paraId="54153C55">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边缘计算管理平台</w:t>
            </w:r>
          </w:p>
        </w:tc>
        <w:tc>
          <w:tcPr>
            <w:tcW w:w="3294" w:type="pct"/>
            <w:tcBorders>
              <w:top w:val="single" w:color="000000" w:sz="4" w:space="0"/>
              <w:left w:val="single" w:color="000000" w:sz="4" w:space="0"/>
              <w:bottom w:val="single" w:color="000000" w:sz="4" w:space="0"/>
              <w:right w:val="single" w:color="000000" w:sz="4" w:space="0"/>
            </w:tcBorders>
            <w:vAlign w:val="center"/>
          </w:tcPr>
          <w:p w14:paraId="4DB86BB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一、实验箱结构</w:t>
            </w:r>
          </w:p>
          <w:p w14:paraId="3708EEF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采用模块化实验箱设计，整体分为上下两部分。实验箱上部嵌入人机交互显示单元、视觉感知单元等2个单元。实验箱下部嵌入边缘计算单元、智能监测显示单元、ROS智能机械臂单元、无线网关单元、智能语音处理单元、智能端感知单元等6个单元，附带4个机械臂独立货物抓取仓位。</w:t>
            </w:r>
          </w:p>
          <w:p w14:paraId="6CC58A38">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2、尺寸规格：实验箱长度≥500mm、宽度≥330mm、高度≥210mm。</w:t>
            </w:r>
          </w:p>
          <w:p w14:paraId="71548186">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3、外壳材质：实验箱采用铝合金包边处理，具备良好的承重能力和抗压强度。</w:t>
            </w:r>
          </w:p>
          <w:p w14:paraId="51F9E33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4、外部接口：实验箱外部具备≥2个USB3.0接口、≥1个RJ45 CAT6网口、≥1个品字电源插口（须附带电源开关）。</w:t>
            </w:r>
          </w:p>
          <w:p w14:paraId="7A8DD63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5、供电要求：实验箱电流电压10A/250VAC、绝缘电阻≥100MΩ500VDC。内部统一电源转换，支持DC 5V/12V输出，确保各单元稳定运行。</w:t>
            </w:r>
          </w:p>
          <w:p w14:paraId="2E5F1E9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6、便携性：实验箱带有提手，方便教师与学生移动使用。</w:t>
            </w:r>
          </w:p>
          <w:p w14:paraId="1226875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7、安全性：配备过流、过压、短路保护电路。</w:t>
            </w:r>
          </w:p>
          <w:p w14:paraId="6B21E1D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二、实验箱下部区域</w:t>
            </w:r>
          </w:p>
          <w:p w14:paraId="0DE14CB9">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1、边缘计算单元1套</w:t>
            </w:r>
          </w:p>
          <w:p w14:paraId="17490C6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(1)处理器：采用嵌入式计算平台，搭载≥6核高性能≥64位处理器，确保多任务并行处理与复杂计算场景下的高效运行。</w:t>
            </w:r>
          </w:p>
          <w:p w14:paraId="686EACC7">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(2)GPU：配备≥1024核图形处理器，需基于支持AI加速的先进架构设计，含≥32个专用AI计算核心，兼容主流AI模型优化工具与通用并行计算框架，AI算力≥40TOPS，可满足视觉识别、数据推理等高强度AI任务需求。</w:t>
            </w:r>
          </w:p>
          <w:p w14:paraId="78E73FCE">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(3)显存：≥8GB显存。</w:t>
            </w:r>
          </w:p>
          <w:p w14:paraId="5A87C928">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(4)存储：≥128GB固态硬盘。</w:t>
            </w:r>
          </w:p>
          <w:p w14:paraId="263CDF2C">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(5)内存：≥8GB 128-bit LPDDR5 102GB/S。</w:t>
            </w:r>
          </w:p>
          <w:p w14:paraId="084A541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(6)接口：≥4×USB 3.2、≥1×USB Type-C、≥1×DP、≥1×RJ45、≥40-Pin扩展GPIO、≥2×MIPI CSI-2摄像头接口。</w:t>
            </w:r>
          </w:p>
          <w:p w14:paraId="26886CD7">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(7)散热：具备主动散热模组，支持连续稳定运行。</w:t>
            </w:r>
          </w:p>
          <w:p w14:paraId="5AC44B5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2、智能监测显示单元1套</w:t>
            </w:r>
          </w:p>
          <w:p w14:paraId="378A731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(1)主控：基于32位微控制器核心的嵌入式系统板，支持C语言编程开发。</w:t>
            </w:r>
          </w:p>
          <w:p w14:paraId="556EEFB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(2)显示屏：≥2.4英寸TFT彩色显示屏，分辨率≥320×240，支持界面切换与数据可视化。</w:t>
            </w:r>
          </w:p>
          <w:p w14:paraId="1BEEDA3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(3)触控：板载TTP224电容式触摸按键，≥4路输入，支持上移、下移/清空、确认、返回等操作。</w:t>
            </w:r>
          </w:p>
          <w:p w14:paraId="3536DD5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(4)功能界面：至少支持环境检测、安全预警、智能门锁三类功能界面显示与交互。</w:t>
            </w:r>
          </w:p>
          <w:p w14:paraId="14D6B05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(5)无线通信：集成ZigBee终端模块，通过串口与STM32主控通信，并可将传感器数据无线传输至无线网关单元。</w:t>
            </w:r>
          </w:p>
          <w:p w14:paraId="0B36FF7A">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3、ROS智能机械臂单元1套</w:t>
            </w:r>
          </w:p>
          <w:p w14:paraId="57F39BF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(1)自由度：≥6自由度（支持X、Y、Z轴空间位移）。</w:t>
            </w:r>
          </w:p>
          <w:p w14:paraId="37B28EB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(2)夹抓开合角度：≥6CM。</w:t>
            </w:r>
          </w:p>
          <w:p w14:paraId="58191F3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(3)结构材质：金属材质或高强度工程塑料。</w:t>
            </w:r>
          </w:p>
          <w:p w14:paraId="56CECDE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(4)电机类型：舵机/步进电机。</w:t>
            </w:r>
          </w:p>
          <w:p w14:paraId="56BD0F39">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(5)控制接口：支持串口（UART）、PWM或CAN通信。</w:t>
            </w:r>
          </w:p>
          <w:p w14:paraId="2DFDD96C">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(6)控制方式：主控边缘计算平台控制。</w:t>
            </w:r>
          </w:p>
          <w:p w14:paraId="7E8AC44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(7)有效负载：≥200g。</w:t>
            </w:r>
          </w:p>
          <w:p w14:paraId="2C997D10">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(8)工作半径：≥40cm。</w:t>
            </w:r>
          </w:p>
          <w:p w14:paraId="175FA68E">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(9)重复定位精度：≤±0.5mm。</w:t>
            </w:r>
          </w:p>
          <w:p w14:paraId="4B8563F6">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(10)须附带智能机械臂虚拟仿真与上位机平台，并具备以下功能：</w:t>
            </w:r>
          </w:p>
          <w:p w14:paraId="5758AE0E">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①内置舵机驱动运动学模型，包含正运动学、逆运动学、轨迹规划算法，能够实现精确的轨迹与姿态控制。</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检测（验）报告扫描件（检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 4943.1-2022</w:t>
            </w:r>
            <w:r>
              <w:rPr>
                <w:rFonts w:hint="eastAsia" w:asciiTheme="minorEastAsia" w:hAnsiTheme="minorEastAsia" w:eastAsiaTheme="minorEastAsia" w:cstheme="minorEastAsia"/>
                <w:b/>
                <w:bCs/>
                <w:color w:val="auto"/>
                <w:kern w:val="0"/>
                <w:sz w:val="24"/>
                <w:szCs w:val="24"/>
                <w:highlight w:val="none"/>
                <w:lang w:val="en-US" w:eastAsia="zh-CN" w:bidi="ar"/>
              </w:rPr>
              <w:t>系列</w:t>
            </w:r>
            <w:r>
              <w:rPr>
                <w:rFonts w:hint="eastAsia" w:asciiTheme="minorEastAsia" w:hAnsiTheme="minorEastAsia" w:eastAsiaTheme="minorEastAsia" w:cstheme="minorEastAsia"/>
                <w:b/>
                <w:bCs/>
                <w:color w:val="auto"/>
                <w:kern w:val="0"/>
                <w:sz w:val="24"/>
                <w:szCs w:val="24"/>
                <w:highlight w:val="none"/>
                <w:lang w:bidi="ar"/>
              </w:rPr>
              <w:t>标准）并加盖供应商公章佐证，不符合或不提供的视为无效响应</w:t>
            </w:r>
            <w:r>
              <w:rPr>
                <w:rFonts w:hint="eastAsia" w:asciiTheme="minorEastAsia" w:hAnsiTheme="minorEastAsia" w:eastAsiaTheme="minorEastAsia" w:cstheme="minorEastAsia"/>
                <w:color w:val="auto"/>
                <w:sz w:val="24"/>
                <w:szCs w:val="24"/>
                <w:highlight w:val="none"/>
                <w:lang w:eastAsia="zh-CN"/>
              </w:rPr>
              <w:t>】</w:t>
            </w:r>
          </w:p>
          <w:p w14:paraId="001A3930">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②数字孪生与同步控制：平台应具备3D可视化界面，支持机械臂虚拟模型与真实机械臂1:1姿态同步，保证虚拟仿真与物理机械臂运动一致。</w:t>
            </w:r>
          </w:p>
          <w:p w14:paraId="0910A1B6">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③摄像头：支持接入机械臂摄像头，显示图像采集画面。</w:t>
            </w:r>
          </w:p>
          <w:p w14:paraId="5E186A3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④六自由度机械臂控制：支持拖拽式操作，可通过可视化界面直接拖动关节进行控制。</w:t>
            </w:r>
          </w:p>
          <w:p w14:paraId="69B03A9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⑤动作组预设：支持动作组预设与调用，用户可保存常用动作序列并一键执行。</w:t>
            </w:r>
          </w:p>
          <w:p w14:paraId="28C52D6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4、无线网关1套</w:t>
            </w:r>
          </w:p>
          <w:p w14:paraId="2F6C24E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(1)通信协议：基于ZigBee无线通信协议，支持协调器模式。</w:t>
            </w:r>
          </w:p>
          <w:p w14:paraId="62D1AE1A">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(2)主控芯片：ZigBee协调端模块（CC2530或同等性能芯片）。</w:t>
            </w:r>
          </w:p>
          <w:p w14:paraId="21110E0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(3)数据采集：通过板间连线获取来自智能端感知单元的温湿度、光照、雨量、烟雾、人体红外、超声波传感器的信息。</w:t>
            </w:r>
          </w:p>
          <w:p w14:paraId="26535884">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(4)传输能力：支持多终端接入与数据收发，单链路通信距离≥50m（无遮挡环境下）。</w:t>
            </w:r>
          </w:p>
          <w:p w14:paraId="6677881B">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5、智能语音处理单元1套</w:t>
            </w:r>
          </w:p>
          <w:p w14:paraId="12AD70F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(1)麦克风阵列：支持≥4路PDM麦克风输入，构建远场拾音阵列，拾音半径≥5米。</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检测（验）报告扫描件（检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依据须为GB/T</w:t>
            </w:r>
            <w:r>
              <w:rPr>
                <w:rFonts w:hint="eastAsia" w:asciiTheme="minorEastAsia" w:hAnsiTheme="minorEastAsia" w:eastAsiaTheme="minorEastAsia" w:cstheme="minorEastAsia"/>
                <w:b/>
                <w:bCs/>
                <w:color w:val="auto"/>
                <w:kern w:val="0"/>
                <w:sz w:val="24"/>
                <w:szCs w:val="24"/>
                <w:highlight w:val="none"/>
                <w:lang w:val="en-US" w:eastAsia="zh-CN" w:bidi="ar"/>
              </w:rPr>
              <w:t xml:space="preserve"> </w:t>
            </w:r>
            <w:r>
              <w:rPr>
                <w:rFonts w:hint="eastAsia" w:asciiTheme="minorEastAsia" w:hAnsiTheme="minorEastAsia" w:eastAsiaTheme="minorEastAsia" w:cstheme="minorEastAsia"/>
                <w:b/>
                <w:bCs/>
                <w:color w:val="auto"/>
                <w:kern w:val="0"/>
                <w:sz w:val="24"/>
                <w:szCs w:val="24"/>
                <w:highlight w:val="none"/>
                <w:lang w:bidi="ar"/>
              </w:rPr>
              <w:t>9254.1-2021</w:t>
            </w:r>
            <w:r>
              <w:rPr>
                <w:rFonts w:hint="eastAsia" w:asciiTheme="minorEastAsia" w:hAnsiTheme="minorEastAsia" w:eastAsiaTheme="minorEastAsia" w:cstheme="minorEastAsia"/>
                <w:b/>
                <w:bCs/>
                <w:color w:val="auto"/>
                <w:kern w:val="0"/>
                <w:sz w:val="24"/>
                <w:szCs w:val="24"/>
                <w:highlight w:val="none"/>
                <w:lang w:val="en-US" w:eastAsia="zh-CN" w:bidi="ar"/>
              </w:rPr>
              <w:t>系列</w:t>
            </w:r>
            <w:r>
              <w:rPr>
                <w:rFonts w:hint="eastAsia" w:asciiTheme="minorEastAsia" w:hAnsiTheme="minorEastAsia" w:eastAsiaTheme="minorEastAsia" w:cstheme="minorEastAsia"/>
                <w:b/>
                <w:bCs/>
                <w:color w:val="auto"/>
                <w:kern w:val="0"/>
                <w:sz w:val="24"/>
                <w:szCs w:val="24"/>
                <w:highlight w:val="none"/>
                <w:lang w:bidi="ar"/>
              </w:rPr>
              <w:t>标准）并加盖供应商公章佐证，不符合或不提供的视为无效响应）</w:t>
            </w:r>
            <w:r>
              <w:rPr>
                <w:rFonts w:hint="eastAsia" w:asciiTheme="minorEastAsia" w:hAnsiTheme="minorEastAsia" w:eastAsiaTheme="minorEastAsia" w:cstheme="minorEastAsia"/>
                <w:color w:val="auto"/>
                <w:sz w:val="24"/>
                <w:szCs w:val="24"/>
                <w:highlight w:val="none"/>
                <w:lang w:eastAsia="zh-CN"/>
              </w:rPr>
              <w:t>】</w:t>
            </w:r>
          </w:p>
          <w:p w14:paraId="22D28E1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(2)音频处理算法：集成回声消除（AEC）、波束形成（Beamforming）、去混响（De-reverberation）、噪声抑制（Noise Suppression）、自动增益控制（AGC）等。</w:t>
            </w:r>
          </w:p>
          <w:p w14:paraId="02A0E4B7">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(3)声源定位：支持声源方向检测（DoA），用于波束形成与语音交互增强。</w:t>
            </w:r>
          </w:p>
          <w:p w14:paraId="7172FF58">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(4)视觉反馈：可编程RGB LED和状态指示器显示设备状态和语音活动。</w:t>
            </w:r>
          </w:p>
          <w:p w14:paraId="63BABC05">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(5)静音按钮：可按下可静音/取消静音麦克风输入。</w:t>
            </w:r>
          </w:p>
          <w:p w14:paraId="0DCBEFB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(6)静音指示LED：支持点亮以显示音频已静音。</w:t>
            </w:r>
          </w:p>
          <w:p w14:paraId="63B75E5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(7)音频接口：支持USB UAC2.0音频传输模式，或I²S数字音频接口模式。</w:t>
            </w:r>
          </w:p>
          <w:p w14:paraId="0CAC532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(8)控制接口：支持I²C、SPI或USB，用于参数配置与固件更新。</w:t>
            </w:r>
          </w:p>
          <w:p w14:paraId="49FDF30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(9)GPIO接口：≥2路输入（GPI）、≥5路输出（GPO），可扩展至外部控制或指示。</w:t>
            </w:r>
          </w:p>
          <w:p w14:paraId="2E62204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6、智能端感知单元1套</w:t>
            </w:r>
          </w:p>
          <w:p w14:paraId="057DF70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（1）环境检测模块：</w:t>
            </w:r>
          </w:p>
          <w:p w14:paraId="4C798A59">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①温湿度传感器：DHT11模块，温度精度±0.5℃，湿度精度±3%RH。</w:t>
            </w:r>
          </w:p>
          <w:p w14:paraId="6DBD5FE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②光照传感器：BH1750芯片，量程1–65535 Lux。</w:t>
            </w:r>
          </w:p>
          <w:p w14:paraId="15143BFE">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③雨量传感器：基于感应板+运算放大器，支持雨量大小实时采集与记录。</w:t>
            </w:r>
          </w:p>
          <w:p w14:paraId="444E3F7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（2）安全预警模块</w:t>
            </w:r>
          </w:p>
          <w:p w14:paraId="08E66B7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①烟雾传感器：MQ-2模块，检测烟雾/气体浓度，输出PPM值。</w:t>
            </w:r>
          </w:p>
          <w:p w14:paraId="0AB4770A">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②人体红外传感器：PIR+菲涅尔透镜，探测范围≥5m。</w:t>
            </w:r>
          </w:p>
          <w:p w14:paraId="48477BD2">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③超声波测距：CS100A模块，量程≥80cm，测距精度≤1cm。</w:t>
            </w:r>
          </w:p>
          <w:p w14:paraId="7966022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④预警蜂鸣器：支持异常情况声响报警。</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b/>
                <w:bCs/>
                <w:color w:val="auto"/>
                <w:kern w:val="0"/>
                <w:sz w:val="24"/>
                <w:szCs w:val="24"/>
                <w:highlight w:val="none"/>
                <w:lang w:bidi="ar"/>
              </w:rPr>
              <w:t>（响应文件中提供第三方检测机构出具的具有</w:t>
            </w:r>
            <w:r>
              <w:rPr>
                <w:rFonts w:hint="eastAsia" w:asciiTheme="minorEastAsia" w:hAnsiTheme="minorEastAsia" w:eastAsiaTheme="minorEastAsia" w:cstheme="minorEastAsia"/>
                <w:b/>
                <w:bCs/>
                <w:color w:val="auto"/>
                <w:kern w:val="0"/>
                <w:sz w:val="24"/>
                <w:szCs w:val="24"/>
                <w:highlight w:val="none"/>
                <w:lang w:eastAsia="zh-CN" w:bidi="ar"/>
              </w:rPr>
              <w:t>CMA标志的</w:t>
            </w:r>
            <w:r>
              <w:rPr>
                <w:rFonts w:hint="eastAsia" w:asciiTheme="minorEastAsia" w:hAnsiTheme="minorEastAsia" w:eastAsiaTheme="minorEastAsia" w:cstheme="minorEastAsia"/>
                <w:b/>
                <w:bCs/>
                <w:color w:val="auto"/>
                <w:kern w:val="0"/>
                <w:sz w:val="24"/>
                <w:szCs w:val="24"/>
                <w:highlight w:val="none"/>
                <w:lang w:bidi="ar"/>
              </w:rPr>
              <w:t>检测（验）报告扫描件（检</w:t>
            </w:r>
            <w:r>
              <w:rPr>
                <w:rFonts w:hint="eastAsia" w:asciiTheme="minorEastAsia" w:hAnsiTheme="minorEastAsia" w:eastAsiaTheme="minorEastAsia" w:cstheme="minorEastAsia"/>
                <w:b/>
                <w:bCs/>
                <w:color w:val="auto"/>
                <w:kern w:val="0"/>
                <w:sz w:val="24"/>
                <w:szCs w:val="24"/>
                <w:highlight w:val="none"/>
                <w:lang w:val="en-US" w:eastAsia="zh-CN" w:bidi="ar"/>
              </w:rPr>
              <w:t>测（</w:t>
            </w:r>
            <w:r>
              <w:rPr>
                <w:rFonts w:hint="eastAsia" w:asciiTheme="minorEastAsia" w:hAnsiTheme="minorEastAsia" w:eastAsiaTheme="minorEastAsia" w:cstheme="minorEastAsia"/>
                <w:b/>
                <w:bCs/>
                <w:color w:val="auto"/>
                <w:kern w:val="0"/>
                <w:sz w:val="24"/>
                <w:szCs w:val="24"/>
                <w:highlight w:val="none"/>
                <w:lang w:bidi="ar"/>
              </w:rPr>
              <w:t>验</w:t>
            </w:r>
            <w:r>
              <w:rPr>
                <w:rFonts w:hint="eastAsia" w:asciiTheme="minorEastAsia" w:hAnsiTheme="minorEastAsia" w:eastAsiaTheme="minorEastAsia" w:cstheme="minorEastAsia"/>
                <w:b/>
                <w:bCs/>
                <w:color w:val="auto"/>
                <w:kern w:val="0"/>
                <w:sz w:val="24"/>
                <w:szCs w:val="24"/>
                <w:highlight w:val="none"/>
                <w:lang w:eastAsia="zh-CN" w:bidi="ar"/>
              </w:rPr>
              <w:t>）</w:t>
            </w:r>
            <w:r>
              <w:rPr>
                <w:rFonts w:hint="eastAsia" w:asciiTheme="minorEastAsia" w:hAnsiTheme="minorEastAsia" w:eastAsiaTheme="minorEastAsia" w:cstheme="minorEastAsia"/>
                <w:b/>
                <w:bCs/>
                <w:color w:val="auto"/>
                <w:kern w:val="0"/>
                <w:sz w:val="24"/>
                <w:szCs w:val="24"/>
                <w:highlight w:val="none"/>
                <w:lang w:bidi="ar"/>
              </w:rPr>
              <w:t>依据须为GB 4943.1-2022</w:t>
            </w:r>
            <w:r>
              <w:rPr>
                <w:rFonts w:hint="eastAsia" w:asciiTheme="minorEastAsia" w:hAnsiTheme="minorEastAsia" w:eastAsiaTheme="minorEastAsia" w:cstheme="minorEastAsia"/>
                <w:b/>
                <w:bCs/>
                <w:color w:val="auto"/>
                <w:kern w:val="0"/>
                <w:sz w:val="24"/>
                <w:szCs w:val="24"/>
                <w:highlight w:val="none"/>
                <w:lang w:val="en-US" w:eastAsia="zh-CN" w:bidi="ar"/>
              </w:rPr>
              <w:t>系列</w:t>
            </w:r>
            <w:r>
              <w:rPr>
                <w:rFonts w:hint="eastAsia" w:asciiTheme="minorEastAsia" w:hAnsiTheme="minorEastAsia" w:eastAsiaTheme="minorEastAsia" w:cstheme="minorEastAsia"/>
                <w:b/>
                <w:bCs/>
                <w:color w:val="auto"/>
                <w:kern w:val="0"/>
                <w:sz w:val="24"/>
                <w:szCs w:val="24"/>
                <w:highlight w:val="none"/>
                <w:lang w:bidi="ar"/>
              </w:rPr>
              <w:t>标准）并加盖供应商公章佐证，不符合或不提供的视为无效响应</w:t>
            </w:r>
            <w:r>
              <w:rPr>
                <w:rFonts w:hint="eastAsia" w:asciiTheme="minorEastAsia" w:hAnsiTheme="minorEastAsia" w:eastAsiaTheme="minorEastAsia" w:cstheme="minorEastAsia"/>
                <w:color w:val="auto"/>
                <w:sz w:val="24"/>
                <w:szCs w:val="24"/>
                <w:highlight w:val="none"/>
                <w:lang w:eastAsia="zh-CN"/>
              </w:rPr>
              <w:t>】</w:t>
            </w:r>
          </w:p>
          <w:p w14:paraId="596E5ED9">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（3）智能门锁模块</w:t>
            </w:r>
          </w:p>
          <w:p w14:paraId="7A399740">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①触摸按键：TTP224电容式触摸模块，支持≥4路输入。</w:t>
            </w:r>
          </w:p>
          <w:p w14:paraId="0E6C6C16">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②界面控制：上移、下移/清空、确认、返回功能键。</w:t>
            </w:r>
          </w:p>
          <w:p w14:paraId="707B48F4">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③密码输入：数字触控输入（1、2、3、4），支持基本开锁/验证功能。</w:t>
            </w:r>
          </w:p>
          <w:p w14:paraId="44AAA4F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三、实验箱上部区域：</w:t>
            </w:r>
          </w:p>
          <w:p w14:paraId="61884A8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1、人机交互显示单元</w:t>
            </w:r>
          </w:p>
          <w:p w14:paraId="44A1492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(1)尺寸：≥15.6英寸。</w:t>
            </w:r>
          </w:p>
          <w:p w14:paraId="7A8165D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(2)分辨率：≥1920(RGB)×1080,FHD,141PPI。</w:t>
            </w:r>
          </w:p>
          <w:p w14:paraId="512DCEAA">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(3)亮度：≥300cd/m²，适合室内教学环境。</w:t>
            </w:r>
          </w:p>
          <w:p w14:paraId="655E218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(4)颜色数量：≥16.2M，100%sRGB。</w:t>
            </w:r>
          </w:p>
          <w:p w14:paraId="67383238">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(5)刷新频率：≥60Hz。</w:t>
            </w:r>
          </w:p>
          <w:p w14:paraId="71EB7ECF">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(6)对比度：≥1200:1。</w:t>
            </w:r>
          </w:p>
          <w:p w14:paraId="726CBDB0">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(7)显示区域：≥344.16(W)×193.59(H)mm。</w:t>
            </w:r>
          </w:p>
          <w:p w14:paraId="50B5F7C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(8)接口类型：DP接口或HDMI接口。</w:t>
            </w:r>
          </w:p>
          <w:p w14:paraId="6FEE99D3">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(9)电源供电：3.3V供电，主控统一供电或独立供电。</w:t>
            </w:r>
          </w:p>
          <w:p w14:paraId="2F903761">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2、视觉感知单元</w:t>
            </w:r>
          </w:p>
          <w:p w14:paraId="4AA9444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(1)摄像头：高清USB工业级摄像头。</w:t>
            </w:r>
          </w:p>
          <w:p w14:paraId="5AAE236D">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(2)分辨率：≥1920×1080，支持1080p@30fps。</w:t>
            </w:r>
          </w:p>
          <w:p w14:paraId="6591E430">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(3)感光元件：CMOS传感器。</w:t>
            </w:r>
          </w:p>
          <w:p w14:paraId="28EBEC3E">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(4)对焦方式：自动或手动对焦，适</w:t>
            </w:r>
            <w:bookmarkStart w:id="0" w:name="_GoBack"/>
            <w:bookmarkEnd w:id="0"/>
            <w:r>
              <w:rPr>
                <w:rFonts w:hint="eastAsia" w:asciiTheme="minorEastAsia" w:hAnsiTheme="minorEastAsia" w:eastAsiaTheme="minorEastAsia" w:cstheme="minorEastAsia"/>
                <w:color w:val="auto"/>
                <w:sz w:val="24"/>
                <w:szCs w:val="24"/>
                <w:highlight w:val="none"/>
              </w:rPr>
              <w:t>应不同距离目标检测。</w:t>
            </w:r>
          </w:p>
          <w:p w14:paraId="7DD2C217">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(5)图像格式：支持YUY2/MJPEG格式。</w:t>
            </w:r>
          </w:p>
          <w:p w14:paraId="7F4F4336">
            <w:pPr>
              <w:spacing w:line="240" w:lineRule="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(6)数据传输：通过USB 2.0或USB 3.0将视觉画面传输到边缘计算单元。</w:t>
            </w:r>
          </w:p>
        </w:tc>
        <w:tc>
          <w:tcPr>
            <w:tcW w:w="427" w:type="pct"/>
            <w:tcBorders>
              <w:top w:val="single" w:color="000000" w:sz="4" w:space="0"/>
              <w:left w:val="single" w:color="000000" w:sz="4" w:space="0"/>
              <w:bottom w:val="single" w:color="000000" w:sz="4" w:space="0"/>
              <w:right w:val="single" w:color="000000" w:sz="4" w:space="0"/>
            </w:tcBorders>
            <w:vAlign w:val="center"/>
          </w:tcPr>
          <w:p w14:paraId="1ED2733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套</w:t>
            </w:r>
          </w:p>
        </w:tc>
        <w:tc>
          <w:tcPr>
            <w:tcW w:w="428" w:type="pct"/>
            <w:tcBorders>
              <w:top w:val="single" w:color="000000" w:sz="4" w:space="0"/>
              <w:left w:val="single" w:color="000000" w:sz="4" w:space="0"/>
              <w:bottom w:val="single" w:color="000000" w:sz="4" w:space="0"/>
              <w:right w:val="single" w:color="000000" w:sz="4" w:space="0"/>
            </w:tcBorders>
            <w:vAlign w:val="center"/>
          </w:tcPr>
          <w:p w14:paraId="0A9BD87C">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2</w:t>
            </w:r>
          </w:p>
        </w:tc>
      </w:tr>
      <w:tr w14:paraId="74B4604E">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2516C573">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13</w:t>
            </w:r>
          </w:p>
        </w:tc>
        <w:tc>
          <w:tcPr>
            <w:tcW w:w="484" w:type="pct"/>
            <w:tcBorders>
              <w:top w:val="single" w:color="000000" w:sz="4" w:space="0"/>
              <w:left w:val="single" w:color="000000" w:sz="4" w:space="0"/>
              <w:bottom w:val="single" w:color="000000" w:sz="4" w:space="0"/>
              <w:right w:val="single" w:color="000000" w:sz="4" w:space="0"/>
            </w:tcBorders>
            <w:vAlign w:val="center"/>
          </w:tcPr>
          <w:p w14:paraId="75A18951">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千兆单模模块</w:t>
            </w:r>
          </w:p>
        </w:tc>
        <w:tc>
          <w:tcPr>
            <w:tcW w:w="3294" w:type="pct"/>
            <w:tcBorders>
              <w:top w:val="single" w:color="000000" w:sz="4" w:space="0"/>
              <w:left w:val="single" w:color="000000" w:sz="4" w:space="0"/>
              <w:bottom w:val="single" w:color="000000" w:sz="4" w:space="0"/>
              <w:right w:val="single" w:color="000000" w:sz="4" w:space="0"/>
            </w:tcBorders>
            <w:vAlign w:val="center"/>
          </w:tcPr>
          <w:p w14:paraId="511DDFA3">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千兆LC接口模块（1310nm），10km，适用于SFP接口</w:t>
            </w:r>
          </w:p>
        </w:tc>
        <w:tc>
          <w:tcPr>
            <w:tcW w:w="427" w:type="pct"/>
            <w:tcBorders>
              <w:top w:val="single" w:color="000000" w:sz="4" w:space="0"/>
              <w:left w:val="single" w:color="000000" w:sz="4" w:space="0"/>
              <w:bottom w:val="single" w:color="000000" w:sz="4" w:space="0"/>
              <w:right w:val="single" w:color="000000" w:sz="4" w:space="0"/>
            </w:tcBorders>
            <w:vAlign w:val="center"/>
          </w:tcPr>
          <w:p w14:paraId="021949C2">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块</w:t>
            </w:r>
          </w:p>
        </w:tc>
        <w:tc>
          <w:tcPr>
            <w:tcW w:w="428" w:type="pct"/>
            <w:tcBorders>
              <w:top w:val="single" w:color="000000" w:sz="4" w:space="0"/>
              <w:left w:val="single" w:color="000000" w:sz="4" w:space="0"/>
              <w:bottom w:val="single" w:color="000000" w:sz="4" w:space="0"/>
              <w:right w:val="single" w:color="000000" w:sz="4" w:space="0"/>
            </w:tcBorders>
            <w:vAlign w:val="center"/>
          </w:tcPr>
          <w:p w14:paraId="1F2F4D47">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96</w:t>
            </w:r>
          </w:p>
        </w:tc>
      </w:tr>
      <w:tr w14:paraId="7F1BA3AE">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46DF7411">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14</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5748107">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室外光缆</w:t>
            </w:r>
          </w:p>
        </w:tc>
        <w:tc>
          <w:tcPr>
            <w:tcW w:w="3294" w:type="pct"/>
            <w:tcBorders>
              <w:top w:val="single" w:color="000000" w:sz="4" w:space="0"/>
              <w:left w:val="single" w:color="000000" w:sz="4" w:space="0"/>
              <w:bottom w:val="single" w:color="000000" w:sz="4" w:space="0"/>
              <w:right w:val="single" w:color="000000" w:sz="4" w:space="0"/>
            </w:tcBorders>
            <w:vAlign w:val="center"/>
          </w:tcPr>
          <w:p w14:paraId="61869CA4">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8芯，单模</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04343B24">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米</w:t>
            </w:r>
          </w:p>
        </w:tc>
        <w:tc>
          <w:tcPr>
            <w:tcW w:w="428" w:type="pct"/>
            <w:tcBorders>
              <w:top w:val="single" w:color="000000" w:sz="4" w:space="0"/>
              <w:left w:val="single" w:color="000000" w:sz="4" w:space="0"/>
              <w:bottom w:val="single" w:color="000000" w:sz="4" w:space="0"/>
              <w:right w:val="single" w:color="000000" w:sz="4" w:space="0"/>
            </w:tcBorders>
            <w:noWrap/>
            <w:vAlign w:val="center"/>
          </w:tcPr>
          <w:p w14:paraId="62CD7558">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1500</w:t>
            </w:r>
          </w:p>
        </w:tc>
      </w:tr>
      <w:tr w14:paraId="3401A87B">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62634DEF">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15</w:t>
            </w:r>
          </w:p>
        </w:tc>
        <w:tc>
          <w:tcPr>
            <w:tcW w:w="484" w:type="pct"/>
            <w:tcBorders>
              <w:top w:val="single" w:color="000000" w:sz="4" w:space="0"/>
              <w:left w:val="single" w:color="000000" w:sz="4" w:space="0"/>
              <w:bottom w:val="single" w:color="000000" w:sz="4" w:space="0"/>
              <w:right w:val="single" w:color="000000" w:sz="4" w:space="0"/>
            </w:tcBorders>
            <w:vAlign w:val="center"/>
          </w:tcPr>
          <w:p w14:paraId="16B1B041">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室外复合光缆</w:t>
            </w:r>
          </w:p>
        </w:tc>
        <w:tc>
          <w:tcPr>
            <w:tcW w:w="3294" w:type="pct"/>
            <w:tcBorders>
              <w:top w:val="single" w:color="000000" w:sz="4" w:space="0"/>
              <w:left w:val="single" w:color="000000" w:sz="4" w:space="0"/>
              <w:bottom w:val="single" w:color="000000" w:sz="4" w:space="0"/>
              <w:right w:val="single" w:color="000000" w:sz="4" w:space="0"/>
            </w:tcBorders>
            <w:vAlign w:val="center"/>
          </w:tcPr>
          <w:p w14:paraId="39C36CB4">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8芯，单模，2*2.5mm²</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192E0CFC">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米</w:t>
            </w:r>
          </w:p>
        </w:tc>
        <w:tc>
          <w:tcPr>
            <w:tcW w:w="428" w:type="pct"/>
            <w:tcBorders>
              <w:top w:val="single" w:color="000000" w:sz="4" w:space="0"/>
              <w:left w:val="single" w:color="000000" w:sz="4" w:space="0"/>
              <w:bottom w:val="single" w:color="000000" w:sz="4" w:space="0"/>
              <w:right w:val="single" w:color="000000" w:sz="4" w:space="0"/>
            </w:tcBorders>
            <w:noWrap/>
            <w:vAlign w:val="center"/>
          </w:tcPr>
          <w:p w14:paraId="16B4DFF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3000</w:t>
            </w:r>
          </w:p>
        </w:tc>
      </w:tr>
      <w:tr w14:paraId="367C3299">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3EA939A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16</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D163DC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网线</w:t>
            </w:r>
          </w:p>
        </w:tc>
        <w:tc>
          <w:tcPr>
            <w:tcW w:w="3294" w:type="pct"/>
            <w:tcBorders>
              <w:top w:val="single" w:color="000000" w:sz="4" w:space="0"/>
              <w:left w:val="single" w:color="000000" w:sz="4" w:space="0"/>
              <w:bottom w:val="single" w:color="000000" w:sz="4" w:space="0"/>
              <w:right w:val="single" w:color="000000" w:sz="4" w:space="0"/>
            </w:tcBorders>
            <w:vAlign w:val="center"/>
          </w:tcPr>
          <w:p w14:paraId="594D8B6E">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六类，非屏蔽</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0EEAF060">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箱</w:t>
            </w:r>
          </w:p>
        </w:tc>
        <w:tc>
          <w:tcPr>
            <w:tcW w:w="428" w:type="pct"/>
            <w:tcBorders>
              <w:top w:val="single" w:color="000000" w:sz="4" w:space="0"/>
              <w:left w:val="single" w:color="000000" w:sz="4" w:space="0"/>
              <w:bottom w:val="single" w:color="000000" w:sz="4" w:space="0"/>
              <w:right w:val="single" w:color="000000" w:sz="4" w:space="0"/>
            </w:tcBorders>
            <w:noWrap/>
            <w:vAlign w:val="center"/>
          </w:tcPr>
          <w:p w14:paraId="66145E8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50</w:t>
            </w:r>
          </w:p>
        </w:tc>
      </w:tr>
      <w:tr w14:paraId="4716E6F3">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55ADD639">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17</w:t>
            </w:r>
          </w:p>
        </w:tc>
        <w:tc>
          <w:tcPr>
            <w:tcW w:w="484" w:type="pct"/>
            <w:tcBorders>
              <w:top w:val="single" w:color="000000" w:sz="4" w:space="0"/>
              <w:left w:val="single" w:color="000000" w:sz="4" w:space="0"/>
              <w:bottom w:val="single" w:color="000000" w:sz="4" w:space="0"/>
              <w:right w:val="single" w:color="000000" w:sz="4" w:space="0"/>
            </w:tcBorders>
            <w:vAlign w:val="center"/>
          </w:tcPr>
          <w:p w14:paraId="09001CD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其他网络设备</w:t>
            </w:r>
          </w:p>
        </w:tc>
        <w:tc>
          <w:tcPr>
            <w:tcW w:w="3294" w:type="pct"/>
            <w:tcBorders>
              <w:top w:val="single" w:color="000000" w:sz="4" w:space="0"/>
              <w:left w:val="single" w:color="000000" w:sz="4" w:space="0"/>
              <w:bottom w:val="single" w:color="000000" w:sz="4" w:space="0"/>
              <w:right w:val="single" w:color="000000" w:sz="4" w:space="0"/>
            </w:tcBorders>
            <w:vAlign w:val="center"/>
          </w:tcPr>
          <w:p w14:paraId="645FB05C">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熔纤盒、光纤配线架、耦合器等</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45FD991B">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批</w:t>
            </w:r>
          </w:p>
        </w:tc>
        <w:tc>
          <w:tcPr>
            <w:tcW w:w="428" w:type="pct"/>
            <w:tcBorders>
              <w:top w:val="single" w:color="000000" w:sz="4" w:space="0"/>
              <w:left w:val="single" w:color="000000" w:sz="4" w:space="0"/>
              <w:bottom w:val="single" w:color="000000" w:sz="4" w:space="0"/>
              <w:right w:val="single" w:color="000000" w:sz="4" w:space="0"/>
            </w:tcBorders>
            <w:noWrap/>
            <w:vAlign w:val="center"/>
          </w:tcPr>
          <w:p w14:paraId="2CE778ED">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r w14:paraId="225DEDF2">
        <w:tblPrEx>
          <w:tblCellMar>
            <w:top w:w="0" w:type="dxa"/>
            <w:left w:w="108" w:type="dxa"/>
            <w:bottom w:w="0" w:type="dxa"/>
            <w:right w:w="108" w:type="dxa"/>
          </w:tblCellMar>
        </w:tblPrEx>
        <w:trPr>
          <w:trHeight w:val="360" w:hRule="atLeast"/>
        </w:trPr>
        <w:tc>
          <w:tcPr>
            <w:tcW w:w="365" w:type="pct"/>
            <w:tcBorders>
              <w:top w:val="single" w:color="000000" w:sz="4" w:space="0"/>
              <w:left w:val="single" w:color="000000" w:sz="4" w:space="0"/>
              <w:bottom w:val="single" w:color="000000" w:sz="4" w:space="0"/>
              <w:right w:val="single" w:color="000000" w:sz="4" w:space="0"/>
            </w:tcBorders>
            <w:vAlign w:val="center"/>
          </w:tcPr>
          <w:p w14:paraId="54A6E3B9">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18</w:t>
            </w:r>
          </w:p>
        </w:tc>
        <w:tc>
          <w:tcPr>
            <w:tcW w:w="484" w:type="pct"/>
            <w:tcBorders>
              <w:top w:val="single" w:color="000000" w:sz="4" w:space="0"/>
              <w:left w:val="single" w:color="000000" w:sz="4" w:space="0"/>
              <w:bottom w:val="single" w:color="000000" w:sz="4" w:space="0"/>
              <w:right w:val="single" w:color="000000" w:sz="4" w:space="0"/>
            </w:tcBorders>
            <w:vAlign w:val="center"/>
          </w:tcPr>
          <w:p w14:paraId="217B1C2E">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安装调试</w:t>
            </w:r>
          </w:p>
        </w:tc>
        <w:tc>
          <w:tcPr>
            <w:tcW w:w="3294" w:type="pct"/>
            <w:tcBorders>
              <w:top w:val="single" w:color="000000" w:sz="4" w:space="0"/>
              <w:left w:val="single" w:color="000000" w:sz="4" w:space="0"/>
              <w:bottom w:val="single" w:color="000000" w:sz="4" w:space="0"/>
              <w:right w:val="single" w:color="000000" w:sz="4" w:space="0"/>
            </w:tcBorders>
            <w:vAlign w:val="center"/>
          </w:tcPr>
          <w:p w14:paraId="0AF4E0BD">
            <w:pPr>
              <w:widowControl/>
              <w:spacing w:line="240" w:lineRule="auto"/>
              <w:jc w:val="left"/>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设备安装、绿化带开挖埋管，光纤、双绞线等敷设，水晶头、轧带、管卡、标签、空开等</w:t>
            </w:r>
          </w:p>
        </w:tc>
        <w:tc>
          <w:tcPr>
            <w:tcW w:w="427" w:type="pct"/>
            <w:tcBorders>
              <w:top w:val="single" w:color="000000" w:sz="4" w:space="0"/>
              <w:left w:val="single" w:color="000000" w:sz="4" w:space="0"/>
              <w:bottom w:val="single" w:color="000000" w:sz="4" w:space="0"/>
              <w:right w:val="single" w:color="000000" w:sz="4" w:space="0"/>
            </w:tcBorders>
            <w:noWrap/>
            <w:vAlign w:val="center"/>
          </w:tcPr>
          <w:p w14:paraId="6F5E65D5">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项</w:t>
            </w:r>
          </w:p>
        </w:tc>
        <w:tc>
          <w:tcPr>
            <w:tcW w:w="428" w:type="pct"/>
            <w:tcBorders>
              <w:top w:val="single" w:color="000000" w:sz="4" w:space="0"/>
              <w:left w:val="single" w:color="000000" w:sz="4" w:space="0"/>
              <w:bottom w:val="single" w:color="000000" w:sz="4" w:space="0"/>
              <w:right w:val="single" w:color="000000" w:sz="4" w:space="0"/>
            </w:tcBorders>
            <w:noWrap/>
            <w:vAlign w:val="center"/>
          </w:tcPr>
          <w:p w14:paraId="13759EE8">
            <w:pPr>
              <w:widowControl/>
              <w:spacing w:line="240" w:lineRule="auto"/>
              <w:jc w:val="center"/>
              <w:textAlignment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bidi="ar"/>
              </w:rPr>
              <w:t>1</w:t>
            </w:r>
          </w:p>
        </w:tc>
      </w:tr>
    </w:tbl>
    <w:p w14:paraId="7DE01585">
      <w:pPr>
        <w:pageBreakBefore w:val="0"/>
        <w:widowControl w:val="0"/>
        <w:wordWrap/>
        <w:overflowPunct/>
        <w:topLinePunct w:val="0"/>
        <w:bidi w:val="0"/>
        <w:spacing w:line="242" w:lineRule="auto"/>
        <w:rPr>
          <w:color w:val="auto"/>
          <w:highlight w:val="none"/>
        </w:rPr>
      </w:pPr>
    </w:p>
    <w:p w14:paraId="5CDAFF74">
      <w:pPr>
        <w:pageBreakBefore w:val="0"/>
        <w:widowControl w:val="0"/>
        <w:wordWrap/>
        <w:overflowPunct/>
        <w:topLinePunct w:val="0"/>
        <w:bidi w:val="0"/>
        <w:spacing w:line="245" w:lineRule="auto"/>
        <w:rPr>
          <w:color w:val="auto"/>
          <w:highlight w:val="none"/>
          <w:lang w:eastAsia="zh-CN"/>
        </w:rPr>
      </w:pPr>
    </w:p>
    <w:p w14:paraId="617BAD7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3C7FE7"/>
    <w:multiLevelType w:val="singleLevel"/>
    <w:tmpl w:val="B93C7FE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E275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2026-05-29T08:12:20Z</dcterms:created>
  <dc:creator>1</dc:creator>
  <cp:lastModifiedBy>1</cp:lastModifiedBy>
  <dcterms:modified xsi:type="dcterms:W3CDTF">2026-05-29T08:13:01Z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767F38D9F4D04B88BFEF76DB97C3AF23_12</vt:lpwstr>
  </property>
</Properties>
</file>