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5755B2">
      <w:pPr>
        <w:pStyle w:val="2"/>
        <w:widowControl/>
        <w:spacing w:before="0" w:beforeAutospacing="0" w:after="0" w:afterAutospacing="0" w:line="360" w:lineRule="auto"/>
        <w:ind w:left="0" w:right="0" w:firstLine="629"/>
        <w:rPr>
          <w:rFonts w:hint="eastAsia" w:ascii="宋体" w:hAnsi="Times New Roman" w:eastAsia="宋体" w:cs="宋体"/>
          <w:bCs w:val="0"/>
          <w:lang w:val="en-US"/>
        </w:rPr>
      </w:pPr>
      <w:r>
        <w:rPr>
          <w:rFonts w:hint="eastAsia" w:ascii="宋体" w:hAnsi="Times New Roman" w:eastAsia="宋体" w:cs="宋体"/>
          <w:bCs w:val="0"/>
          <w:lang w:eastAsia="zh-CN"/>
        </w:rPr>
        <w:t>服务需求</w:t>
      </w:r>
    </w:p>
    <w:p w14:paraId="1584DD6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10" w:firstLineChars="200"/>
        <w:textAlignment w:val="auto"/>
        <w:rPr>
          <w:rFonts w:hint="eastAsia" w:ascii="宋体" w:hAnsi="宋体" w:eastAsia="宋体" w:cs="Times New Roman"/>
          <w:b/>
          <w:bCs w:val="0"/>
          <w:spacing w:val="7"/>
          <w:sz w:val="24"/>
          <w:szCs w:val="24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Times New Roman"/>
          <w:b/>
          <w:bCs w:val="0"/>
          <w:spacing w:val="7"/>
          <w:sz w:val="24"/>
          <w:szCs w:val="24"/>
          <w:lang w:val="en-US" w:eastAsia="zh-CN"/>
        </w:rPr>
        <w:t>1、服务范围</w:t>
      </w:r>
    </w:p>
    <w:p w14:paraId="37DD24E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中标供应商负责安义县就业之家的全面运营管理，包括但不限于：</w:t>
      </w:r>
    </w:p>
    <w:p w14:paraId="08A5653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（1）线上平台管理：招聘信息发布、求职人员回访、数据统计更新、信息化运维等；</w:t>
      </w:r>
    </w:p>
    <w:p w14:paraId="1A9BB34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（2）品牌宣传推广：媒体宣传、活动策划、直播带岗等；</w:t>
      </w:r>
    </w:p>
    <w:p w14:paraId="0A9F89C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（3）重点群体帮扶：失业人员帮扶、企业用工需求对接等；</w:t>
      </w:r>
    </w:p>
    <w:p w14:paraId="17DB976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（4）台账与迎检工作：服务台账管理、迎检材料撰写及讲解。</w:t>
      </w:r>
    </w:p>
    <w:p w14:paraId="2AD1688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10" w:firstLineChars="200"/>
        <w:textAlignment w:val="auto"/>
        <w:rPr>
          <w:rFonts w:hint="eastAsia" w:ascii="宋体" w:hAnsi="宋体" w:eastAsia="宋体" w:cs="Times New Roman"/>
          <w:b/>
          <w:bCs w:val="0"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/>
          <w:bCs w:val="0"/>
          <w:spacing w:val="7"/>
          <w:sz w:val="24"/>
          <w:szCs w:val="24"/>
          <w:lang w:val="en-US" w:eastAsia="zh-CN"/>
        </w:rPr>
        <w:t>2、服务内容及要求</w:t>
      </w:r>
    </w:p>
    <w:p w14:paraId="1F19342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中标供应商须组建不少于5人的专职运营团队，做好安义县就业之家日常运营管理工作，以保障其业务高水准完成。</w:t>
      </w:r>
    </w:p>
    <w:p w14:paraId="56F2C26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具体服务包括但不限于以下内容：</w:t>
      </w:r>
    </w:p>
    <w:p w14:paraId="139C1D9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2.1实体大厅运营</w:t>
      </w:r>
    </w:p>
    <w:p w14:paraId="762E3F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（1）提供“一站式”服务，工作日开放并保障电话/现场咨询，服务响应率100%；</w:t>
      </w:r>
    </w:p>
    <w:p w14:paraId="24DFD42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（2）每日接待来访人员，完成登记、受理、回访及台账管理；</w:t>
      </w:r>
    </w:p>
    <w:p w14:paraId="793B6B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（3）维护服务大厅设施设备，确保岗位轮播屏、招聘信息栏定期更新。</w:t>
      </w:r>
    </w:p>
    <w:p w14:paraId="700C0D4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2.2线上平台运维</w:t>
      </w:r>
    </w:p>
    <w:p w14:paraId="40DD4F1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（1）维护“江西省5+2就业之家”平台，定期更新招聘岗位，确保岗位真实性≥95%；</w:t>
      </w:r>
    </w:p>
    <w:p w14:paraId="4869821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（2）开展企业及求职者回访，建立服务台账，帮扶长期失业人员等重点群体，帮扶率、核实率均≥95%。</w:t>
      </w:r>
    </w:p>
    <w:p w14:paraId="7850E3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2.3数据对接与材料管理</w:t>
      </w:r>
    </w:p>
    <w:p w14:paraId="4E0A646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（1）根据要求向市级及以上部门提交运营数据及材料，配合完成迎检讲解工作。</w:t>
      </w:r>
    </w:p>
    <w:p w14:paraId="569F6ED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（2）完成日常材料撰写。</w:t>
      </w:r>
    </w:p>
    <w:p w14:paraId="1E2A54D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10" w:firstLineChars="200"/>
        <w:textAlignment w:val="auto"/>
        <w:rPr>
          <w:rFonts w:hint="eastAsia" w:ascii="宋体" w:hAnsi="宋体" w:eastAsia="宋体" w:cs="Times New Roman"/>
          <w:b/>
          <w:bCs w:val="0"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/>
          <w:bCs w:val="0"/>
          <w:spacing w:val="7"/>
          <w:sz w:val="24"/>
          <w:szCs w:val="24"/>
          <w:lang w:val="en-US" w:eastAsia="zh-CN"/>
        </w:rPr>
        <w:t>3、运营考核体系</w:t>
      </w:r>
    </w:p>
    <w:tbl>
      <w:tblPr>
        <w:tblStyle w:val="4"/>
        <w:tblW w:w="5689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0"/>
        <w:gridCol w:w="4570"/>
        <w:gridCol w:w="992"/>
        <w:gridCol w:w="3214"/>
      </w:tblGrid>
      <w:tr w14:paraId="31739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 w14:paraId="60FE18F4">
            <w:pPr>
              <w:spacing w:after="0" w:line="360" w:lineRule="auto"/>
              <w:jc w:val="center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指标类别</w:t>
            </w:r>
          </w:p>
        </w:tc>
        <w:tc>
          <w:tcPr>
            <w:tcW w:w="2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 w14:paraId="6F9F1A98">
            <w:pPr>
              <w:spacing w:after="0" w:line="360" w:lineRule="auto"/>
              <w:jc w:val="center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具体要求</w:t>
            </w:r>
          </w:p>
        </w:tc>
        <w:tc>
          <w:tcPr>
            <w:tcW w:w="4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 w14:paraId="034AE838">
            <w:pPr>
              <w:spacing w:after="0" w:line="360" w:lineRule="auto"/>
              <w:jc w:val="center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得分</w:t>
            </w:r>
          </w:p>
        </w:tc>
        <w:tc>
          <w:tcPr>
            <w:tcW w:w="1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 w14:paraId="79D4C70C">
            <w:pPr>
              <w:spacing w:after="0" w:line="360" w:lineRule="auto"/>
              <w:jc w:val="center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材料</w:t>
            </w:r>
          </w:p>
        </w:tc>
      </w:tr>
      <w:tr w14:paraId="456BB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5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36DEE2">
            <w:pPr>
              <w:spacing w:after="0" w:line="360" w:lineRule="auto"/>
              <w:jc w:val="center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基础服务</w:t>
            </w:r>
          </w:p>
        </w:tc>
        <w:tc>
          <w:tcPr>
            <w:tcW w:w="2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97A2E9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岗位信息更新及时率、准确率≥95%；</w:t>
            </w:r>
          </w:p>
          <w:p w14:paraId="59833E63">
            <w:pPr>
              <w:spacing w:after="0" w:line="360" w:lineRule="auto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每少1个百分点扣1分。</w:t>
            </w:r>
          </w:p>
        </w:tc>
        <w:tc>
          <w:tcPr>
            <w:tcW w:w="4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3E9793">
            <w:pPr>
              <w:spacing w:after="0" w:line="360" w:lineRule="auto"/>
              <w:jc w:val="center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695818">
            <w:pPr>
              <w:spacing w:after="0" w:line="360" w:lineRule="auto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提供企业招工需求台账</w:t>
            </w:r>
          </w:p>
        </w:tc>
      </w:tr>
      <w:tr w14:paraId="7CE9E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5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A3BA76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2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7221B0">
            <w:pPr>
              <w:spacing w:after="0" w:line="360" w:lineRule="auto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线上线下求职者的登记，回访率达到100%、台账完整率100%；每少1个百分点扣1分。</w:t>
            </w:r>
          </w:p>
        </w:tc>
        <w:tc>
          <w:tcPr>
            <w:tcW w:w="4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BFF795">
            <w:pPr>
              <w:spacing w:after="0" w:line="360" w:lineRule="auto"/>
              <w:jc w:val="center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C4601D">
            <w:pPr>
              <w:spacing w:after="0" w:line="360" w:lineRule="auto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提供台账</w:t>
            </w:r>
          </w:p>
        </w:tc>
      </w:tr>
      <w:tr w14:paraId="033B9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5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94AAFF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2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4621D8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运营好“安义就业之家”微信视频号、抖音号，全年发布短视频不少于70条；</w:t>
            </w:r>
          </w:p>
          <w:p w14:paraId="69E727CC">
            <w:pPr>
              <w:spacing w:after="0" w:line="360" w:lineRule="auto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每少1条扣1分。</w:t>
            </w:r>
          </w:p>
        </w:tc>
        <w:tc>
          <w:tcPr>
            <w:tcW w:w="4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321D08">
            <w:pPr>
              <w:spacing w:after="0" w:line="360" w:lineRule="auto"/>
              <w:jc w:val="center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6791C3">
            <w:pPr>
              <w:spacing w:after="0" w:line="360" w:lineRule="auto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提供台账</w:t>
            </w:r>
          </w:p>
        </w:tc>
      </w:tr>
      <w:tr w14:paraId="26EF5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5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644B29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2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33D874">
            <w:pPr>
              <w:spacing w:after="0" w:line="360" w:lineRule="auto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每年制作安义县就业之家宣传单页不少于1000份；每少100份扣1分。</w:t>
            </w:r>
          </w:p>
        </w:tc>
        <w:tc>
          <w:tcPr>
            <w:tcW w:w="4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94C7B2">
            <w:pPr>
              <w:spacing w:after="0" w:line="360" w:lineRule="auto"/>
              <w:jc w:val="center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0C767B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1.宣传物料制作合同</w:t>
            </w:r>
          </w:p>
          <w:p w14:paraId="3C82F0D9">
            <w:pPr>
              <w:spacing w:after="0" w:line="360" w:lineRule="auto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2.宣传物料制作清单</w:t>
            </w:r>
          </w:p>
        </w:tc>
      </w:tr>
      <w:tr w14:paraId="5AF52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5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84AE3F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2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9475A8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负责将安义县就业之家典型事迹，在省市媒体进行信息报道不少于5次；</w:t>
            </w:r>
          </w:p>
          <w:p w14:paraId="63449949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每少1次扣2分。</w:t>
            </w:r>
          </w:p>
        </w:tc>
        <w:tc>
          <w:tcPr>
            <w:tcW w:w="4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F70CAF">
            <w:pPr>
              <w:spacing w:after="0" w:line="360" w:lineRule="auto"/>
              <w:jc w:val="center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DAD1AF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提供台账（包括但不限于链接、报道页面内容等）</w:t>
            </w:r>
          </w:p>
        </w:tc>
      </w:tr>
      <w:tr w14:paraId="63D4C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5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0F607B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2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E24FB9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全年走访企业或校园的业务培训指导不少于120次；每少1次扣1分。</w:t>
            </w:r>
          </w:p>
        </w:tc>
        <w:tc>
          <w:tcPr>
            <w:tcW w:w="4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B2275F">
            <w:pPr>
              <w:spacing w:after="0" w:line="360" w:lineRule="auto"/>
              <w:jc w:val="center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6C5D2F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提供台账</w:t>
            </w:r>
          </w:p>
        </w:tc>
      </w:tr>
      <w:tr w14:paraId="0D744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5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4860A4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2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324F4A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每周开展直播带岗活动全年不少于100场。每少1场扣1分。</w:t>
            </w:r>
          </w:p>
        </w:tc>
        <w:tc>
          <w:tcPr>
            <w:tcW w:w="4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91F8E2">
            <w:pPr>
              <w:spacing w:after="0" w:line="360" w:lineRule="auto"/>
              <w:jc w:val="center"/>
              <w:rPr>
                <w:rFonts w:hint="default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FD52A1">
            <w:pPr>
              <w:spacing w:after="0" w:line="360" w:lineRule="auto"/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Cs/>
                <w:spacing w:val="7"/>
                <w:sz w:val="24"/>
                <w:szCs w:val="24"/>
                <w:lang w:val="en-US" w:eastAsia="zh-CN"/>
              </w:rPr>
              <w:t>提供台账</w:t>
            </w:r>
          </w:p>
        </w:tc>
      </w:tr>
    </w:tbl>
    <w:p w14:paraId="5FCE6B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注：所有完成考核事项需要同时达标省、市运营考核指标。</w:t>
      </w:r>
    </w:p>
    <w:p w14:paraId="2952856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ind w:firstLine="510" w:firstLineChars="200"/>
        <w:textAlignment w:val="auto"/>
        <w:rPr>
          <w:rFonts w:hint="default" w:ascii="宋体" w:hAnsi="宋体" w:eastAsia="宋体" w:cs="Times New Roman"/>
          <w:b/>
          <w:bCs w:val="0"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/>
          <w:bCs w:val="0"/>
          <w:spacing w:val="7"/>
          <w:sz w:val="24"/>
          <w:szCs w:val="24"/>
          <w:lang w:val="en-US" w:eastAsia="zh-CN"/>
        </w:rPr>
        <w:t>4.运营考核标准</w:t>
      </w:r>
    </w:p>
    <w:p w14:paraId="7E97109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（1）若年度考核得分达到90分（含）以上，则采购方按照合同约定全额支付剩余基础运营服务费用（即年度基础运营服务费的30%）。</w:t>
      </w:r>
    </w:p>
    <w:p w14:paraId="2D45FED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（2）若年度考核得分达到80分（含）以上但少于90分（不含），则采购方从基础运营服务费用总额中核减10%后支付剩余费用；</w:t>
      </w:r>
    </w:p>
    <w:p w14:paraId="3BA1AE2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ind w:firstLine="508" w:firstLineChars="200"/>
        <w:textAlignment w:val="auto"/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（3）若年度考核得分达到70分（含）以上但少于80分（不含），则采购方从基础运营服务费用总额中核减20%后支付剩余费用；</w:t>
      </w:r>
    </w:p>
    <w:p w14:paraId="1E82D60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ind w:firstLine="508" w:firstLineChars="200"/>
        <w:textAlignment w:val="auto"/>
      </w:pPr>
      <w:r>
        <w:rPr>
          <w:rFonts w:hint="eastAsia" w:ascii="宋体" w:hAnsi="宋体" w:eastAsia="宋体" w:cs="Times New Roman"/>
          <w:bCs/>
          <w:spacing w:val="7"/>
          <w:sz w:val="24"/>
          <w:szCs w:val="24"/>
          <w:lang w:val="en-US" w:eastAsia="zh-CN"/>
        </w:rPr>
        <w:t>（4）若年度考核得分在70分（不含）以下，则采购方从基础运营服务费用总额中核减30%，即不支付第三笔服务费用。</w:t>
      </w:r>
    </w:p>
    <w:sectPr>
      <w:pgSz w:w="12240" w:h="15840"/>
      <w:pgMar w:top="1440" w:right="1800" w:bottom="1440" w:left="1800" w:header="720" w:footer="72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mNGVjN2EzZTYwNWE0NWU2NTkyNzhlNDA3MDA1OWUifQ=="/>
  </w:docVars>
  <w:rsids>
    <w:rsidRoot w:val="00000000"/>
    <w:rsid w:val="1A3F7329"/>
    <w:rsid w:val="41EC0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6"/>
    <w:semiHidden/>
    <w:unhideWhenUsed/>
    <w:qFormat/>
    <w:uiPriority w:val="0"/>
    <w:pPr>
      <w:keepNext/>
      <w:keepLines/>
      <w:widowControl w:val="0"/>
      <w:suppressLineNumbers w:val="0"/>
      <w:adjustRightInd/>
      <w:snapToGrid/>
      <w:spacing w:before="260" w:beforeAutospacing="0" w:after="260" w:afterAutospacing="0" w:line="415" w:lineRule="auto"/>
      <w:ind w:left="0" w:right="0" w:firstLine="628"/>
      <w:jc w:val="center"/>
      <w:outlineLvl w:val="1"/>
    </w:pPr>
    <w:rPr>
      <w:rFonts w:ascii="Arial" w:hAnsi="Arial" w:eastAsia="黑体" w:cs="Times New Roman"/>
      <w:b/>
      <w:bCs/>
      <w:snapToGrid/>
      <w:kern w:val="2"/>
      <w:sz w:val="32"/>
      <w:szCs w:val="32"/>
      <w:lang w:val="en-US" w:eastAsia="zh-CN" w:bidi="ar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rPr>
      <w:sz w:val="24"/>
    </w:rPr>
  </w:style>
  <w:style w:type="character" w:customStyle="1" w:styleId="6">
    <w:name w:val="标题 2 Char"/>
    <w:basedOn w:val="5"/>
    <w:link w:val="2"/>
    <w:qFormat/>
    <w:uiPriority w:val="0"/>
    <w:rPr>
      <w:rFonts w:hint="default" w:ascii="Arial" w:hAnsi="Arial" w:eastAsia="黑体" w:cs="Arial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1336</Words>
  <Characters>1383</Characters>
  <Lines>0</Lines>
  <Paragraphs>0</Paragraphs>
  <TotalTime>0</TotalTime>
  <ScaleCrop>false</ScaleCrop>
  <LinksUpToDate>false</LinksUpToDate>
  <CharactersWithSpaces>1383</CharactersWithSpaces>
  <Application>WPS Office_12.1.0.26381_F1E327BC-269C-435d-A152-05C5408002CA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2026-04-23T05:25:00Z</dcterms:created>
  <dc:creator>asus</dc:creator>
  <cp:lastModifiedBy>10942</cp:lastModifiedBy>
  <dcterms:modified xsi:type="dcterms:W3CDTF">2026-05-29T04:20:11Z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2052-12.1.0.26381</vt:lpwstr>
  </property>
  <property fmtid="{D5CDD505-2E9C-101B-9397-08002B2CF9AE}" pid="3" name="ICV">
    <vt:lpwstr>EE04C0A3DEB74952AC33DC5B184B9CE9_12</vt:lpwstr>
  </property>
  <property fmtid="{D5CDD505-2E9C-101B-9397-08002B2CF9AE}" pid="4" name="KSOTemplateDocerSaveRecord">
    <vt:lpwstr>eyJoZGlkIjoiMmRjYjM5NTQ3NGMzM2I5MzBjOTY5Y2I2M2MzNzMxZmUiLCJ1c2VySWQiOiI0NDk5NjU2NjYifQ==</vt:lpwstr>
  </property>
</Properties>
</file>