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FC625F">
      <w:pPr>
        <w:spacing w:line="266" w:lineRule="auto"/>
        <w:rPr>
          <w:rFonts w:ascii="Arial"/>
          <w:sz w:val="21"/>
          <w:highlight w:val="none"/>
        </w:rPr>
      </w:pPr>
    </w:p>
    <w:p w14:paraId="3E2F5E5C">
      <w:pPr>
        <w:spacing w:line="267" w:lineRule="auto"/>
        <w:rPr>
          <w:rFonts w:ascii="Arial"/>
          <w:sz w:val="21"/>
          <w:highlight w:val="none"/>
        </w:rPr>
      </w:pPr>
    </w:p>
    <w:p w14:paraId="79582872">
      <w:pPr>
        <w:spacing w:line="267" w:lineRule="auto"/>
        <w:rPr>
          <w:rFonts w:ascii="Arial"/>
          <w:sz w:val="21"/>
          <w:highlight w:val="none"/>
        </w:rPr>
      </w:pPr>
    </w:p>
    <w:p w14:paraId="43B5C318">
      <w:pPr>
        <w:spacing w:before="125" w:line="296" w:lineRule="exact"/>
        <w:ind w:left="3203"/>
        <w:outlineLvl w:val="0"/>
        <w:rPr>
          <w:rFonts w:ascii="微软雅黑" w:hAnsi="微软雅黑" w:eastAsia="微软雅黑" w:cs="微软雅黑"/>
          <w:sz w:val="29"/>
          <w:szCs w:val="29"/>
          <w:highlight w:val="none"/>
        </w:rPr>
      </w:pPr>
      <w:r>
        <w:rPr>
          <w:rFonts w:ascii="微软雅黑" w:hAnsi="微软雅黑" w:eastAsia="微软雅黑" w:cs="微软雅黑"/>
          <w:spacing w:val="22"/>
          <w:position w:val="-1"/>
          <w:sz w:val="29"/>
          <w:szCs w:val="29"/>
          <w:highlight w:val="none"/>
        </w:rPr>
        <w:t>第五章</w:t>
      </w:r>
      <w:r>
        <w:rPr>
          <w:rFonts w:ascii="微软雅黑" w:hAnsi="微软雅黑" w:eastAsia="微软雅黑" w:cs="微软雅黑"/>
          <w:spacing w:val="1"/>
          <w:position w:val="-1"/>
          <w:sz w:val="29"/>
          <w:szCs w:val="29"/>
          <w:highlight w:val="none"/>
        </w:rPr>
        <w:t xml:space="preserve">    </w:t>
      </w:r>
      <w:r>
        <w:rPr>
          <w:rFonts w:ascii="微软雅黑" w:hAnsi="微软雅黑" w:eastAsia="微软雅黑" w:cs="微软雅黑"/>
          <w:spacing w:val="22"/>
          <w:position w:val="-1"/>
          <w:sz w:val="29"/>
          <w:szCs w:val="29"/>
          <w:highlight w:val="none"/>
        </w:rPr>
        <w:t>采购需求</w:t>
      </w:r>
    </w:p>
    <w:p w14:paraId="2A1B455A">
      <w:pPr>
        <w:spacing w:line="359" w:lineRule="auto"/>
        <w:rPr>
          <w:rFonts w:ascii="Arial"/>
          <w:sz w:val="21"/>
          <w:highlight w:val="none"/>
        </w:rPr>
      </w:pPr>
    </w:p>
    <w:p w14:paraId="43395C1C">
      <w:pPr>
        <w:spacing w:before="94" w:line="229" w:lineRule="exact"/>
        <w:ind w:left="318"/>
        <w:outlineLvl w:val="1"/>
        <w:rPr>
          <w:rFonts w:ascii="微软雅黑" w:hAnsi="微软雅黑" w:eastAsia="微软雅黑" w:cs="微软雅黑"/>
          <w:sz w:val="22"/>
          <w:szCs w:val="22"/>
          <w:highlight w:val="none"/>
        </w:rPr>
      </w:pPr>
      <w:r>
        <w:rPr>
          <w:rFonts w:ascii="微软雅黑" w:hAnsi="微软雅黑" w:eastAsia="微软雅黑" w:cs="微软雅黑"/>
          <w:spacing w:val="11"/>
          <w:position w:val="-1"/>
          <w:sz w:val="22"/>
          <w:szCs w:val="22"/>
          <w:highlight w:val="none"/>
        </w:rPr>
        <w:t>一</w:t>
      </w:r>
      <w:r>
        <w:rPr>
          <w:rFonts w:ascii="微软雅黑" w:hAnsi="微软雅黑" w:eastAsia="微软雅黑" w:cs="微软雅黑"/>
          <w:spacing w:val="-33"/>
          <w:position w:val="-1"/>
          <w:sz w:val="22"/>
          <w:szCs w:val="22"/>
          <w:highlight w:val="none"/>
        </w:rPr>
        <w:t xml:space="preserve"> </w:t>
      </w:r>
      <w:r>
        <w:rPr>
          <w:rFonts w:ascii="微软雅黑" w:hAnsi="微软雅黑" w:eastAsia="微软雅黑" w:cs="微软雅黑"/>
          <w:spacing w:val="11"/>
          <w:position w:val="-1"/>
          <w:sz w:val="22"/>
          <w:szCs w:val="22"/>
          <w:highlight w:val="none"/>
        </w:rPr>
        <w:t>、采购需求表</w:t>
      </w:r>
    </w:p>
    <w:p w14:paraId="5DBA2398">
      <w:pPr>
        <w:spacing w:before="97"/>
        <w:rPr>
          <w:highlight w:val="none"/>
        </w:rPr>
      </w:pPr>
    </w:p>
    <w:tbl>
      <w:tblPr>
        <w:tblStyle w:val="7"/>
        <w:tblW w:w="901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02"/>
        <w:gridCol w:w="963"/>
        <w:gridCol w:w="6149"/>
      </w:tblGrid>
      <w:tr w14:paraId="16AA11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902" w:type="dxa"/>
            <w:tcBorders>
              <w:right w:val="nil"/>
            </w:tcBorders>
            <w:vAlign w:val="top"/>
          </w:tcPr>
          <w:p w14:paraId="79CEE641">
            <w:pPr>
              <w:spacing w:before="203" w:line="223" w:lineRule="auto"/>
              <w:ind w:left="1103"/>
              <w:rPr>
                <w:rFonts w:ascii="宋体" w:hAnsi="宋体" w:eastAsia="宋体" w:cs="宋体"/>
                <w:sz w:val="24"/>
                <w:szCs w:val="24"/>
                <w:highlight w:val="none"/>
              </w:rPr>
            </w:pPr>
            <w:r>
              <w:rPr>
                <w:rFonts w:ascii="宋体" w:hAnsi="宋体" w:eastAsia="宋体" w:cs="宋体"/>
                <w:sz w:val="24"/>
                <w:szCs w:val="24"/>
                <w:highlight w:val="none"/>
              </w:rPr>
              <w:t>名</w:t>
            </w:r>
          </w:p>
          <w:p w14:paraId="65F61B8F">
            <w:pPr>
              <w:spacing w:line="242" w:lineRule="auto"/>
              <w:rPr>
                <w:rFonts w:ascii="Arial"/>
                <w:sz w:val="21"/>
                <w:highlight w:val="none"/>
              </w:rPr>
            </w:pPr>
          </w:p>
          <w:p w14:paraId="6C26334A">
            <w:pPr>
              <w:spacing w:line="243" w:lineRule="auto"/>
              <w:rPr>
                <w:rFonts w:ascii="Arial"/>
                <w:sz w:val="21"/>
                <w:highlight w:val="none"/>
              </w:rPr>
            </w:pPr>
          </w:p>
          <w:p w14:paraId="297EA078">
            <w:pPr>
              <w:spacing w:before="78" w:line="220" w:lineRule="auto"/>
              <w:ind w:left="519"/>
              <w:rPr>
                <w:rFonts w:ascii="宋体" w:hAnsi="宋体" w:eastAsia="宋体" w:cs="宋体"/>
                <w:sz w:val="24"/>
                <w:szCs w:val="24"/>
                <w:highlight w:val="none"/>
              </w:rPr>
            </w:pPr>
            <w:r>
              <w:rPr>
                <w:rFonts w:ascii="宋体" w:hAnsi="宋体" w:eastAsia="宋体" w:cs="宋体"/>
                <w:sz w:val="24"/>
                <w:szCs w:val="24"/>
                <w:highlight w:val="none"/>
              </w:rPr>
              <w:t>内</w:t>
            </w:r>
          </w:p>
          <w:p w14:paraId="74F22EBB">
            <w:pPr>
              <w:spacing w:line="337" w:lineRule="auto"/>
              <w:rPr>
                <w:rFonts w:ascii="Arial"/>
                <w:sz w:val="21"/>
                <w:highlight w:val="none"/>
              </w:rPr>
            </w:pPr>
          </w:p>
          <w:p w14:paraId="2D1A61C1">
            <w:pPr>
              <w:spacing w:before="78" w:line="220" w:lineRule="auto"/>
              <w:ind w:left="1323"/>
              <w:rPr>
                <w:rFonts w:ascii="宋体" w:hAnsi="宋体" w:eastAsia="宋体" w:cs="宋体"/>
                <w:sz w:val="24"/>
                <w:szCs w:val="24"/>
                <w:highlight w:val="none"/>
              </w:rPr>
            </w:pPr>
            <w:r>
              <w:rPr>
                <w:rFonts w:ascii="宋体" w:hAnsi="宋体" w:eastAsia="宋体" w:cs="宋体"/>
                <w:sz w:val="24"/>
                <w:szCs w:val="24"/>
                <w:highlight w:val="none"/>
              </w:rPr>
              <w:t>容</w:t>
            </w:r>
          </w:p>
        </w:tc>
        <w:tc>
          <w:tcPr>
            <w:tcW w:w="963" w:type="dxa"/>
            <w:tcBorders>
              <w:left w:val="nil"/>
            </w:tcBorders>
            <w:vAlign w:val="top"/>
          </w:tcPr>
          <w:p w14:paraId="3F065D1E">
            <w:pPr>
              <w:spacing w:line="269" w:lineRule="auto"/>
              <w:rPr>
                <w:rFonts w:ascii="Arial"/>
                <w:sz w:val="21"/>
                <w:highlight w:val="none"/>
              </w:rPr>
            </w:pPr>
          </w:p>
          <w:p w14:paraId="5958DF31">
            <w:pPr>
              <w:spacing w:line="269" w:lineRule="auto"/>
              <w:rPr>
                <w:rFonts w:ascii="Arial"/>
                <w:sz w:val="21"/>
                <w:highlight w:val="none"/>
              </w:rPr>
            </w:pPr>
          </w:p>
          <w:p w14:paraId="24AD03F3">
            <w:pPr>
              <w:spacing w:line="269" w:lineRule="auto"/>
              <w:rPr>
                <w:rFonts w:ascii="Arial"/>
                <w:sz w:val="21"/>
                <w:highlight w:val="none"/>
              </w:rPr>
            </w:pPr>
          </w:p>
          <w:p w14:paraId="09ADD949">
            <w:pPr>
              <w:spacing w:before="78" w:line="222" w:lineRule="auto"/>
              <w:ind w:left="346"/>
              <w:rPr>
                <w:rFonts w:ascii="宋体" w:hAnsi="宋体" w:eastAsia="宋体" w:cs="宋体"/>
                <w:sz w:val="24"/>
                <w:szCs w:val="24"/>
                <w:highlight w:val="none"/>
              </w:rPr>
            </w:pPr>
            <w:r>
              <w:rPr>
                <w:rFonts w:ascii="宋体" w:hAnsi="宋体" w:eastAsia="宋体" w:cs="宋体"/>
                <w:sz w:val="24"/>
                <w:szCs w:val="24"/>
                <w:highlight w:val="none"/>
              </w:rPr>
              <w:t>称</w:t>
            </w:r>
          </w:p>
        </w:tc>
        <w:tc>
          <w:tcPr>
            <w:tcW w:w="6149" w:type="dxa"/>
            <w:vAlign w:val="top"/>
          </w:tcPr>
          <w:p w14:paraId="4780EA71">
            <w:pPr>
              <w:spacing w:line="243" w:lineRule="auto"/>
              <w:rPr>
                <w:rFonts w:ascii="Arial"/>
                <w:sz w:val="21"/>
                <w:highlight w:val="none"/>
              </w:rPr>
            </w:pPr>
          </w:p>
          <w:p w14:paraId="0E070B54">
            <w:pPr>
              <w:spacing w:line="244" w:lineRule="auto"/>
              <w:rPr>
                <w:rFonts w:ascii="Arial"/>
                <w:sz w:val="21"/>
                <w:highlight w:val="none"/>
              </w:rPr>
            </w:pPr>
          </w:p>
          <w:p w14:paraId="135302DA">
            <w:pPr>
              <w:spacing w:line="244" w:lineRule="auto"/>
              <w:rPr>
                <w:rFonts w:ascii="Arial"/>
                <w:sz w:val="21"/>
                <w:highlight w:val="none"/>
              </w:rPr>
            </w:pPr>
          </w:p>
          <w:p w14:paraId="452D6DBB">
            <w:pPr>
              <w:spacing w:before="91" w:line="221" w:lineRule="auto"/>
              <w:ind w:left="153"/>
              <w:rPr>
                <w:rFonts w:ascii="仿宋" w:hAnsi="仿宋" w:eastAsia="仿宋" w:cs="仿宋"/>
                <w:sz w:val="28"/>
                <w:szCs w:val="28"/>
                <w:highlight w:val="none"/>
              </w:rPr>
            </w:pPr>
            <w:r>
              <w:rPr>
                <w:rFonts w:ascii="仿宋" w:hAnsi="仿宋" w:eastAsia="仿宋" w:cs="仿宋"/>
                <w:spacing w:val="-1"/>
                <w:sz w:val="28"/>
                <w:szCs w:val="28"/>
                <w:highlight w:val="none"/>
              </w:rPr>
              <w:t>上栗县农业农村局兜底实施农业巨灾保险应对旱</w:t>
            </w:r>
          </w:p>
          <w:p w14:paraId="383B56C7">
            <w:pPr>
              <w:spacing w:before="28" w:line="222" w:lineRule="auto"/>
              <w:ind w:left="1974"/>
              <w:rPr>
                <w:rFonts w:ascii="仿宋" w:hAnsi="仿宋" w:eastAsia="仿宋" w:cs="仿宋"/>
                <w:sz w:val="28"/>
                <w:szCs w:val="28"/>
                <w:highlight w:val="none"/>
              </w:rPr>
            </w:pPr>
            <w:r>
              <w:rPr>
                <w:rFonts w:ascii="仿宋" w:hAnsi="仿宋" w:eastAsia="仿宋" w:cs="仿宋"/>
                <w:spacing w:val="-3"/>
                <w:sz w:val="28"/>
                <w:szCs w:val="28"/>
                <w:highlight w:val="none"/>
              </w:rPr>
              <w:t>灾风险项目第</w:t>
            </w:r>
            <w:r>
              <w:rPr>
                <w:rFonts w:hint="eastAsia" w:ascii="仿宋" w:hAnsi="仿宋" w:eastAsia="仿宋" w:cs="仿宋"/>
                <w:spacing w:val="-3"/>
                <w:sz w:val="28"/>
                <w:szCs w:val="28"/>
                <w:highlight w:val="none"/>
                <w:lang w:val="en-US" w:eastAsia="zh-CN"/>
              </w:rPr>
              <w:t>三</w:t>
            </w:r>
            <w:r>
              <w:rPr>
                <w:rFonts w:ascii="仿宋" w:hAnsi="仿宋" w:eastAsia="仿宋" w:cs="仿宋"/>
                <w:spacing w:val="-3"/>
                <w:sz w:val="28"/>
                <w:szCs w:val="28"/>
                <w:highlight w:val="none"/>
              </w:rPr>
              <w:t>次</w:t>
            </w:r>
          </w:p>
        </w:tc>
      </w:tr>
      <w:tr w14:paraId="65FDCC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gridSpan w:val="2"/>
            <w:vAlign w:val="top"/>
          </w:tcPr>
          <w:p w14:paraId="753CFD60">
            <w:pPr>
              <w:spacing w:before="268" w:line="220" w:lineRule="auto"/>
              <w:ind w:left="1199"/>
              <w:rPr>
                <w:rFonts w:ascii="宋体" w:hAnsi="宋体" w:eastAsia="宋体" w:cs="宋体"/>
                <w:sz w:val="24"/>
                <w:szCs w:val="24"/>
                <w:highlight w:val="none"/>
              </w:rPr>
            </w:pPr>
            <w:r>
              <w:rPr>
                <w:rFonts w:ascii="宋体" w:hAnsi="宋体" w:eastAsia="宋体" w:cs="宋体"/>
                <w:spacing w:val="-6"/>
                <w:sz w:val="24"/>
                <w:szCs w:val="24"/>
                <w:highlight w:val="none"/>
              </w:rPr>
              <w:t>数量</w:t>
            </w:r>
          </w:p>
        </w:tc>
        <w:tc>
          <w:tcPr>
            <w:tcW w:w="6149" w:type="dxa"/>
            <w:vAlign w:val="top"/>
          </w:tcPr>
          <w:p w14:paraId="3261D090">
            <w:pPr>
              <w:spacing w:before="313" w:line="224" w:lineRule="auto"/>
              <w:ind w:left="2823"/>
              <w:rPr>
                <w:rFonts w:ascii="仿宋" w:hAnsi="仿宋" w:eastAsia="仿宋" w:cs="仿宋"/>
                <w:sz w:val="28"/>
                <w:szCs w:val="28"/>
                <w:highlight w:val="none"/>
              </w:rPr>
            </w:pPr>
            <w:r>
              <w:rPr>
                <w:rFonts w:ascii="仿宋" w:hAnsi="仿宋" w:eastAsia="仿宋" w:cs="仿宋"/>
                <w:spacing w:val="-16"/>
                <w:sz w:val="28"/>
                <w:szCs w:val="28"/>
                <w:highlight w:val="none"/>
              </w:rPr>
              <w:t>1</w:t>
            </w:r>
            <w:r>
              <w:rPr>
                <w:rFonts w:ascii="仿宋" w:hAnsi="仿宋" w:eastAsia="仿宋" w:cs="仿宋"/>
                <w:spacing w:val="20"/>
                <w:sz w:val="28"/>
                <w:szCs w:val="28"/>
                <w:highlight w:val="none"/>
              </w:rPr>
              <w:t xml:space="preserve"> </w:t>
            </w:r>
            <w:r>
              <w:rPr>
                <w:rFonts w:ascii="仿宋" w:hAnsi="仿宋" w:eastAsia="仿宋" w:cs="仿宋"/>
                <w:spacing w:val="-16"/>
                <w:sz w:val="28"/>
                <w:szCs w:val="28"/>
                <w:highlight w:val="none"/>
              </w:rPr>
              <w:t>项</w:t>
            </w:r>
          </w:p>
        </w:tc>
      </w:tr>
      <w:tr w14:paraId="27BA29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gridSpan w:val="2"/>
            <w:vAlign w:val="top"/>
          </w:tcPr>
          <w:p w14:paraId="5C929BCD">
            <w:pPr>
              <w:spacing w:before="269" w:line="220" w:lineRule="auto"/>
              <w:ind w:left="1080"/>
              <w:rPr>
                <w:rFonts w:ascii="宋体" w:hAnsi="宋体" w:eastAsia="宋体" w:cs="宋体"/>
                <w:sz w:val="24"/>
                <w:szCs w:val="24"/>
                <w:highlight w:val="none"/>
              </w:rPr>
            </w:pPr>
            <w:r>
              <w:rPr>
                <w:rFonts w:ascii="宋体" w:hAnsi="宋体" w:eastAsia="宋体" w:cs="宋体"/>
                <w:spacing w:val="-5"/>
                <w:sz w:val="24"/>
                <w:szCs w:val="24"/>
                <w:highlight w:val="none"/>
              </w:rPr>
              <w:t>服务期</w:t>
            </w:r>
          </w:p>
        </w:tc>
        <w:tc>
          <w:tcPr>
            <w:tcW w:w="6149" w:type="dxa"/>
            <w:vAlign w:val="top"/>
          </w:tcPr>
          <w:p w14:paraId="177EAAA8">
            <w:pPr>
              <w:spacing w:before="315" w:line="222" w:lineRule="auto"/>
              <w:ind w:left="1628"/>
              <w:rPr>
                <w:rFonts w:ascii="仿宋" w:hAnsi="仿宋" w:eastAsia="仿宋" w:cs="仿宋"/>
                <w:sz w:val="28"/>
                <w:szCs w:val="28"/>
                <w:highlight w:val="none"/>
              </w:rPr>
            </w:pPr>
            <w:r>
              <w:rPr>
                <w:rFonts w:ascii="仿宋" w:hAnsi="仿宋" w:eastAsia="仿宋" w:cs="仿宋"/>
                <w:spacing w:val="-5"/>
                <w:sz w:val="28"/>
                <w:szCs w:val="28"/>
                <w:highlight w:val="none"/>
              </w:rPr>
              <w:t>合同签订后服务期1年。</w:t>
            </w:r>
          </w:p>
        </w:tc>
      </w:tr>
      <w:tr w14:paraId="07C8DE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2865" w:type="dxa"/>
            <w:gridSpan w:val="2"/>
            <w:vAlign w:val="top"/>
          </w:tcPr>
          <w:p w14:paraId="047303E1">
            <w:pPr>
              <w:spacing w:before="273" w:line="220" w:lineRule="auto"/>
              <w:ind w:left="960"/>
              <w:rPr>
                <w:rFonts w:ascii="宋体" w:hAnsi="宋体" w:eastAsia="宋体" w:cs="宋体"/>
                <w:sz w:val="24"/>
                <w:szCs w:val="24"/>
                <w:highlight w:val="none"/>
              </w:rPr>
            </w:pPr>
            <w:r>
              <w:rPr>
                <w:rFonts w:ascii="宋体" w:hAnsi="宋体" w:eastAsia="宋体" w:cs="宋体"/>
                <w:spacing w:val="-5"/>
                <w:sz w:val="24"/>
                <w:szCs w:val="24"/>
                <w:highlight w:val="none"/>
              </w:rPr>
              <w:t>服务地点</w:t>
            </w:r>
          </w:p>
        </w:tc>
        <w:tc>
          <w:tcPr>
            <w:tcW w:w="6149" w:type="dxa"/>
            <w:vAlign w:val="top"/>
          </w:tcPr>
          <w:p w14:paraId="5E988B58">
            <w:pPr>
              <w:spacing w:before="321" w:line="222" w:lineRule="auto"/>
              <w:ind w:left="2020"/>
              <w:rPr>
                <w:rFonts w:ascii="仿宋" w:hAnsi="仿宋" w:eastAsia="仿宋" w:cs="仿宋"/>
                <w:sz w:val="27"/>
                <w:szCs w:val="27"/>
                <w:highlight w:val="none"/>
              </w:rPr>
            </w:pPr>
            <w:r>
              <w:rPr>
                <w:rFonts w:ascii="仿宋" w:hAnsi="仿宋" w:eastAsia="仿宋" w:cs="仿宋"/>
                <w:spacing w:val="-4"/>
                <w:sz w:val="27"/>
                <w:szCs w:val="27"/>
                <w:highlight w:val="none"/>
              </w:rPr>
              <w:t>上栗县全县范围。</w:t>
            </w:r>
          </w:p>
        </w:tc>
      </w:tr>
      <w:tr w14:paraId="3047E0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1" w:hRule="atLeast"/>
        </w:trPr>
        <w:tc>
          <w:tcPr>
            <w:tcW w:w="2865" w:type="dxa"/>
            <w:gridSpan w:val="2"/>
            <w:vAlign w:val="top"/>
          </w:tcPr>
          <w:p w14:paraId="32B31F22">
            <w:pPr>
              <w:spacing w:before="277" w:line="221" w:lineRule="auto"/>
              <w:ind w:left="1201"/>
              <w:rPr>
                <w:rFonts w:ascii="宋体" w:hAnsi="宋体" w:eastAsia="宋体" w:cs="宋体"/>
                <w:sz w:val="24"/>
                <w:szCs w:val="24"/>
                <w:highlight w:val="none"/>
              </w:rPr>
            </w:pPr>
            <w:r>
              <w:rPr>
                <w:rFonts w:ascii="宋体" w:hAnsi="宋体" w:eastAsia="宋体" w:cs="宋体"/>
                <w:spacing w:val="-7"/>
                <w:sz w:val="24"/>
                <w:szCs w:val="24"/>
                <w:highlight w:val="none"/>
              </w:rPr>
              <w:t>备注</w:t>
            </w:r>
          </w:p>
        </w:tc>
        <w:tc>
          <w:tcPr>
            <w:tcW w:w="6149" w:type="dxa"/>
            <w:vAlign w:val="top"/>
          </w:tcPr>
          <w:p w14:paraId="3CBA2435">
            <w:pPr>
              <w:rPr>
                <w:rFonts w:ascii="Arial"/>
                <w:sz w:val="21"/>
                <w:highlight w:val="none"/>
              </w:rPr>
            </w:pPr>
          </w:p>
        </w:tc>
      </w:tr>
    </w:tbl>
    <w:p w14:paraId="3D8923C8">
      <w:pPr>
        <w:rPr>
          <w:rFonts w:ascii="Arial"/>
          <w:sz w:val="21"/>
          <w:highlight w:val="none"/>
        </w:rPr>
      </w:pPr>
    </w:p>
    <w:p w14:paraId="61F2E225">
      <w:pPr>
        <w:rPr>
          <w:rFonts w:ascii="Arial" w:hAnsi="Arial" w:eastAsia="Arial" w:cs="Arial"/>
          <w:sz w:val="21"/>
          <w:szCs w:val="21"/>
          <w:highlight w:val="none"/>
        </w:rPr>
        <w:sectPr>
          <w:headerReference r:id="rId5" w:type="default"/>
          <w:footerReference r:id="rId6" w:type="default"/>
          <w:pgSz w:w="11906" w:h="16840"/>
          <w:pgMar w:top="400" w:right="1409" w:bottom="1214" w:left="1477" w:header="0" w:footer="968" w:gutter="0"/>
          <w:cols w:space="720" w:num="1"/>
        </w:sectPr>
      </w:pPr>
      <w:bookmarkStart w:id="0" w:name="_GoBack"/>
      <w:bookmarkEnd w:id="0"/>
    </w:p>
    <w:p w14:paraId="79964A0A">
      <w:pPr>
        <w:spacing w:line="269" w:lineRule="auto"/>
        <w:rPr>
          <w:rFonts w:ascii="Arial"/>
          <w:sz w:val="21"/>
          <w:highlight w:val="none"/>
        </w:rPr>
      </w:pPr>
    </w:p>
    <w:p w14:paraId="12FF4C7E">
      <w:pPr>
        <w:spacing w:line="269" w:lineRule="auto"/>
        <w:rPr>
          <w:rFonts w:ascii="Arial"/>
          <w:sz w:val="21"/>
          <w:highlight w:val="none"/>
        </w:rPr>
      </w:pPr>
    </w:p>
    <w:p w14:paraId="58A55A0A">
      <w:pPr>
        <w:spacing w:line="269" w:lineRule="auto"/>
        <w:rPr>
          <w:rFonts w:ascii="Arial"/>
          <w:sz w:val="21"/>
          <w:highlight w:val="none"/>
        </w:rPr>
      </w:pPr>
    </w:p>
    <w:p w14:paraId="51A730BB">
      <w:pPr>
        <w:spacing w:before="124" w:line="296" w:lineRule="exact"/>
        <w:jc w:val="center"/>
        <w:outlineLvl w:val="1"/>
        <w:rPr>
          <w:rFonts w:ascii="微软雅黑" w:hAnsi="微软雅黑" w:eastAsia="微软雅黑" w:cs="微软雅黑"/>
          <w:sz w:val="29"/>
          <w:szCs w:val="29"/>
          <w:highlight w:val="none"/>
        </w:rPr>
      </w:pPr>
      <w:r>
        <w:rPr>
          <w:rFonts w:ascii="微软雅黑" w:hAnsi="微软雅黑" w:eastAsia="微软雅黑" w:cs="微软雅黑"/>
          <w:spacing w:val="15"/>
          <w:position w:val="-1"/>
          <w:sz w:val="29"/>
          <w:szCs w:val="29"/>
          <w:highlight w:val="none"/>
        </w:rPr>
        <w:t>二</w:t>
      </w:r>
      <w:r>
        <w:rPr>
          <w:rFonts w:ascii="微软雅黑" w:hAnsi="微软雅黑" w:eastAsia="微软雅黑" w:cs="微软雅黑"/>
          <w:spacing w:val="-35"/>
          <w:position w:val="-1"/>
          <w:sz w:val="29"/>
          <w:szCs w:val="29"/>
          <w:highlight w:val="none"/>
        </w:rPr>
        <w:t xml:space="preserve"> </w:t>
      </w:r>
      <w:r>
        <w:rPr>
          <w:rFonts w:ascii="微软雅黑" w:hAnsi="微软雅黑" w:eastAsia="微软雅黑" w:cs="微软雅黑"/>
          <w:spacing w:val="15"/>
          <w:position w:val="-1"/>
          <w:sz w:val="29"/>
          <w:szCs w:val="29"/>
          <w:highlight w:val="none"/>
        </w:rPr>
        <w:t>、采购要求</w:t>
      </w:r>
    </w:p>
    <w:p w14:paraId="000B0142">
      <w:pPr>
        <w:pStyle w:val="3"/>
        <w:spacing w:before="79" w:line="220" w:lineRule="auto"/>
        <w:ind w:left="4"/>
        <w:outlineLvl w:val="1"/>
        <w:rPr>
          <w:highlight w:val="none"/>
        </w:rPr>
      </w:pPr>
      <w:r>
        <w:rPr>
          <w:b/>
          <w:bCs/>
          <w:spacing w:val="-5"/>
          <w:highlight w:val="none"/>
        </w:rPr>
        <w:t>一、服务需求</w:t>
      </w:r>
    </w:p>
    <w:p w14:paraId="3E7C434B">
      <w:pPr>
        <w:pStyle w:val="3"/>
        <w:spacing w:before="181" w:line="359" w:lineRule="auto"/>
        <w:ind w:firstLine="482"/>
        <w:rPr>
          <w:highlight w:val="none"/>
        </w:rPr>
      </w:pPr>
      <w:r>
        <w:rPr>
          <w:highlight w:val="none"/>
        </w:rPr>
        <w:t>为加强上栗县农业生产救灾和灾后恢复生产资金保</w:t>
      </w:r>
      <w:r>
        <w:rPr>
          <w:spacing w:val="-1"/>
          <w:highlight w:val="none"/>
        </w:rPr>
        <w:t>障，进一步推动上栗县金融支农产品创新，发挥保险机制在防灾减损中的重要作用，为全县农业生产上</w:t>
      </w:r>
      <w:r>
        <w:rPr>
          <w:rFonts w:ascii="Arial" w:hAnsi="Arial" w:eastAsia="Arial" w:cs="Arial"/>
          <w:spacing w:val="-1"/>
          <w:highlight w:val="none"/>
        </w:rPr>
        <w:t>“</w:t>
      </w:r>
      <w:r>
        <w:rPr>
          <w:spacing w:val="-1"/>
          <w:highlight w:val="none"/>
        </w:rPr>
        <w:t>双保险</w:t>
      </w:r>
      <w:r>
        <w:rPr>
          <w:rFonts w:ascii="Arial" w:hAnsi="Arial" w:eastAsia="Arial" w:cs="Arial"/>
          <w:spacing w:val="-1"/>
          <w:highlight w:val="none"/>
        </w:rPr>
        <w:t>”</w:t>
      </w:r>
      <w:r>
        <w:rPr>
          <w:spacing w:val="-1"/>
          <w:highlight w:val="none"/>
        </w:rPr>
        <w:t>，避免农</w:t>
      </w:r>
      <w:r>
        <w:rPr>
          <w:spacing w:val="-2"/>
          <w:highlight w:val="none"/>
        </w:rPr>
        <w:t>户因灾返贫，稳定农业生产基本面，服务乡村振兴战略实施，促进农业农村平稳发展，</w:t>
      </w:r>
      <w:r>
        <w:rPr>
          <w:spacing w:val="-3"/>
          <w:highlight w:val="none"/>
        </w:rPr>
        <w:t>现于上栗县开展农业巨灾保险工作。</w:t>
      </w:r>
    </w:p>
    <w:p w14:paraId="2FD8B52B">
      <w:pPr>
        <w:pStyle w:val="3"/>
        <w:spacing w:before="180" w:line="219" w:lineRule="auto"/>
        <w:ind w:right="12"/>
        <w:jc w:val="right"/>
        <w:rPr>
          <w:highlight w:val="none"/>
        </w:rPr>
      </w:pPr>
      <w:r>
        <w:rPr>
          <w:rFonts w:ascii="Arial" w:hAnsi="Arial" w:eastAsia="Arial" w:cs="Arial"/>
          <w:spacing w:val="-1"/>
          <w:highlight w:val="none"/>
        </w:rPr>
        <w:t>1</w:t>
      </w:r>
      <w:r>
        <w:rPr>
          <w:spacing w:val="-1"/>
          <w:highlight w:val="none"/>
        </w:rPr>
        <w:t>、投保对象。由上栗县政府统一组织投保，上栗县农业农村局代表政府作为投保人</w:t>
      </w:r>
    </w:p>
    <w:p w14:paraId="1F2654E8">
      <w:pPr>
        <w:spacing w:line="257" w:lineRule="auto"/>
        <w:rPr>
          <w:rFonts w:ascii="Arial"/>
          <w:sz w:val="21"/>
          <w:highlight w:val="none"/>
        </w:rPr>
      </w:pPr>
    </w:p>
    <w:p w14:paraId="4701499F">
      <w:pPr>
        <w:pStyle w:val="3"/>
        <w:spacing w:before="79" w:line="121" w:lineRule="exact"/>
        <w:ind w:left="24"/>
        <w:rPr>
          <w:highlight w:val="none"/>
        </w:rPr>
      </w:pPr>
      <w:r>
        <w:rPr>
          <w:position w:val="1"/>
          <w:highlight w:val="none"/>
        </w:rPr>
        <w:t>。</w:t>
      </w:r>
    </w:p>
    <w:p w14:paraId="5D3C797A">
      <w:pPr>
        <w:pStyle w:val="3"/>
        <w:spacing w:before="192" w:line="312" w:lineRule="auto"/>
        <w:ind w:left="3" w:right="31" w:firstLine="474"/>
        <w:rPr>
          <w:highlight w:val="none"/>
        </w:rPr>
      </w:pPr>
      <w:r>
        <w:rPr>
          <w:rFonts w:ascii="Arial" w:hAnsi="Arial" w:eastAsia="Arial" w:cs="Arial"/>
          <w:spacing w:val="-1"/>
          <w:highlight w:val="none"/>
        </w:rPr>
        <w:t>2</w:t>
      </w:r>
      <w:r>
        <w:rPr>
          <w:spacing w:val="-1"/>
          <w:highlight w:val="none"/>
        </w:rPr>
        <w:t>、保险主体。</w:t>
      </w:r>
      <w:r>
        <w:rPr>
          <w:rFonts w:hint="eastAsia"/>
          <w:spacing w:val="-1"/>
          <w:highlight w:val="none"/>
          <w:lang w:eastAsia="zh-CN"/>
        </w:rPr>
        <w:t>上栗县农业农村局</w:t>
      </w:r>
      <w:r>
        <w:rPr>
          <w:rFonts w:hint="eastAsia"/>
          <w:spacing w:val="-1"/>
          <w:highlight w:val="none"/>
        </w:rPr>
        <w:t>组织生产或管理，符合当地普遍采用的技术标准和行业规范，且生长正常的种植物，和保险事故发生后农业减灾、救灾及支持恢复农业生产等有关费用，可作为本保险合同的保险标的，具体以地方政府认可为准。</w:t>
      </w:r>
    </w:p>
    <w:p w14:paraId="24F38EFA">
      <w:pPr>
        <w:pStyle w:val="3"/>
        <w:spacing w:before="139" w:line="328" w:lineRule="exact"/>
        <w:ind w:left="481"/>
        <w:rPr>
          <w:highlight w:val="none"/>
        </w:rPr>
      </w:pPr>
      <w:r>
        <w:rPr>
          <w:rFonts w:ascii="Arial" w:hAnsi="Arial" w:eastAsia="Arial" w:cs="Arial"/>
          <w:spacing w:val="-4"/>
          <w:position w:val="1"/>
          <w:highlight w:val="none"/>
        </w:rPr>
        <w:t>3</w:t>
      </w:r>
      <w:r>
        <w:rPr>
          <w:spacing w:val="-4"/>
          <w:position w:val="1"/>
          <w:highlight w:val="none"/>
        </w:rPr>
        <w:t>、保险内容</w:t>
      </w:r>
    </w:p>
    <w:p w14:paraId="6D43E6FA">
      <w:pPr>
        <w:pStyle w:val="3"/>
        <w:spacing w:before="79" w:line="359" w:lineRule="auto"/>
        <w:ind w:right="37" w:firstLine="481"/>
        <w:rPr>
          <w:rFonts w:hint="eastAsia"/>
          <w:highlight w:val="none"/>
        </w:rPr>
      </w:pPr>
      <w:r>
        <w:rPr>
          <w:spacing w:val="-1"/>
          <w:highlight w:val="none"/>
        </w:rPr>
        <w:t>（</w:t>
      </w:r>
      <w:r>
        <w:rPr>
          <w:rFonts w:ascii="Arial" w:hAnsi="Arial" w:eastAsia="Arial" w:cs="Arial"/>
          <w:spacing w:val="-1"/>
          <w:highlight w:val="none"/>
        </w:rPr>
        <w:t>1</w:t>
      </w:r>
      <w:r>
        <w:rPr>
          <w:spacing w:val="-1"/>
          <w:highlight w:val="none"/>
        </w:rPr>
        <w:t>）保险责任。根据上栗县自然灾害特点，将暴雨、干旱</w:t>
      </w:r>
      <w:r>
        <w:rPr>
          <w:rFonts w:hint="eastAsia"/>
          <w:spacing w:val="-1"/>
          <w:highlight w:val="none"/>
          <w:lang w:eastAsia="zh-CN"/>
        </w:rPr>
        <w:t>、风灾、雪灾</w:t>
      </w:r>
      <w:r>
        <w:rPr>
          <w:spacing w:val="-1"/>
          <w:highlight w:val="none"/>
        </w:rPr>
        <w:t>等作为保险灾害种</w:t>
      </w:r>
      <w:r>
        <w:rPr>
          <w:highlight w:val="none"/>
        </w:rPr>
        <w:t>类，覆盖种植作物等与农业生产相关的行业领域。</w:t>
      </w:r>
      <w:r>
        <w:rPr>
          <w:rFonts w:hint="eastAsia"/>
          <w:highlight w:val="none"/>
        </w:rPr>
        <w:t>在保险期间内，保险种植物所在区域的保险指数达到保险合同约定的起赔标准时，视为保险事故发生，保险人按照本保险合同的约定负责赔偿。</w:t>
      </w:r>
    </w:p>
    <w:p w14:paraId="0991D1A2">
      <w:pPr>
        <w:pStyle w:val="3"/>
        <w:spacing w:before="79" w:line="359" w:lineRule="auto"/>
        <w:ind w:right="37" w:firstLine="481"/>
        <w:rPr>
          <w:rFonts w:hint="eastAsia"/>
          <w:highlight w:val="none"/>
        </w:rPr>
      </w:pPr>
      <w:r>
        <w:rPr>
          <w:rFonts w:hint="eastAsia"/>
          <w:highlight w:val="none"/>
        </w:rPr>
        <w:t>保险种植物所在区域的保险指数和起赔标准是指：</w:t>
      </w:r>
    </w:p>
    <w:p w14:paraId="3E74A138">
      <w:pPr>
        <w:pStyle w:val="3"/>
        <w:spacing w:before="79" w:line="359" w:lineRule="auto"/>
        <w:ind w:right="37" w:firstLine="481"/>
        <w:rPr>
          <w:rFonts w:hint="eastAsia"/>
          <w:highlight w:val="none"/>
        </w:rPr>
      </w:pPr>
      <w:r>
        <w:rPr>
          <w:rFonts w:hint="eastAsia"/>
          <w:highlight w:val="none"/>
        </w:rPr>
        <w:t>（一）暴雨指数是指保险种植物在保险期限内遭受暴雨灾害，且达到保险合同约定的赔偿标准，暴雨指数起赔标准是指承保区域内约定的气象观测站点出现日降水量≥65mm或连续2天（含）以上日降水量≥50mm。</w:t>
      </w:r>
    </w:p>
    <w:p w14:paraId="7F7EB114">
      <w:pPr>
        <w:pStyle w:val="3"/>
        <w:spacing w:before="79" w:line="359" w:lineRule="auto"/>
        <w:ind w:right="37" w:firstLine="481"/>
        <w:rPr>
          <w:rFonts w:hint="eastAsia"/>
          <w:highlight w:val="none"/>
        </w:rPr>
      </w:pPr>
      <w:r>
        <w:rPr>
          <w:rFonts w:hint="eastAsia"/>
          <w:highlight w:val="none"/>
        </w:rPr>
        <w:t>（二）低温冻害指数是指保险种植物在保险期限内遭受低温冻害，且达到保险合同约定的赔偿标准，低温冻害指数起赔标准是指承保区域内约定的气象观测站点出现连续2天（含）以上日最低气温低于-1℃（不含）的冷空气过程。</w:t>
      </w:r>
    </w:p>
    <w:p w14:paraId="7A69A305">
      <w:pPr>
        <w:pStyle w:val="3"/>
        <w:spacing w:before="79" w:line="359" w:lineRule="auto"/>
        <w:ind w:right="37" w:firstLine="481"/>
        <w:rPr>
          <w:rFonts w:hint="eastAsia"/>
          <w:highlight w:val="none"/>
        </w:rPr>
      </w:pPr>
      <w:r>
        <w:rPr>
          <w:rFonts w:hint="eastAsia"/>
          <w:highlight w:val="none"/>
        </w:rPr>
        <w:t>（三）冰雹指数是指保险种植物在保险期限内遭受冰雹灾害，且达到保险合同约定的赔偿标准，冰雹指数起赔标准是指承保区域内约定的气象观测站点出现直径达5毫米（含）以上冰雹。</w:t>
      </w:r>
    </w:p>
    <w:p w14:paraId="2D9118A6">
      <w:pPr>
        <w:pStyle w:val="3"/>
        <w:spacing w:before="79" w:line="359" w:lineRule="auto"/>
        <w:ind w:right="37" w:firstLine="481"/>
        <w:rPr>
          <w:rFonts w:hint="eastAsia"/>
          <w:highlight w:val="none"/>
        </w:rPr>
      </w:pPr>
      <w:r>
        <w:rPr>
          <w:rFonts w:hint="eastAsia"/>
          <w:highlight w:val="none"/>
        </w:rPr>
        <w:t>（四）干旱指数是指保险种植物在保险期限内遭受干旱灾害，且达到保险合同约定的赔偿标准，干旱指数起赔标准是指承保区域内约定的气象观测站点出现连续无有效降水日数（日降水量＜2mm）大于等于20天。</w:t>
      </w:r>
    </w:p>
    <w:p w14:paraId="2669D72C">
      <w:pPr>
        <w:pStyle w:val="3"/>
        <w:spacing w:before="79" w:line="359" w:lineRule="auto"/>
        <w:ind w:right="37" w:firstLine="481"/>
        <w:rPr>
          <w:rFonts w:hint="eastAsia"/>
          <w:highlight w:val="none"/>
        </w:rPr>
      </w:pPr>
      <w:r>
        <w:rPr>
          <w:rFonts w:hint="eastAsia"/>
          <w:highlight w:val="none"/>
        </w:rPr>
        <w:t>（五）风灾指数是指保险种植物在保险期限内遭受大风灾害，且达到保险合同约定的赔偿标准，风灾指数起赔标准是指承保区域内约定的气象观测站点出现风速达到17.2米/秒（含）以上的自然风。</w:t>
      </w:r>
    </w:p>
    <w:p w14:paraId="43AE4834">
      <w:pPr>
        <w:pStyle w:val="3"/>
        <w:spacing w:before="79" w:line="359" w:lineRule="auto"/>
        <w:ind w:right="37" w:firstLine="481"/>
        <w:rPr>
          <w:rFonts w:hint="eastAsia"/>
          <w:highlight w:val="none"/>
        </w:rPr>
      </w:pPr>
      <w:r>
        <w:rPr>
          <w:rFonts w:hint="eastAsia"/>
          <w:highlight w:val="none"/>
        </w:rPr>
        <w:t>（六）雪灾指数是指保险种植物在保险期限内遭受持续降雪，且达到保险合同约定的赔偿标准，雪灾指数起赔标准是指承保区域内约定的气象观测站点出现24小时内积雪深度达2cm（含）以上。</w:t>
      </w:r>
    </w:p>
    <w:p w14:paraId="542DD629">
      <w:pPr>
        <w:pStyle w:val="3"/>
        <w:spacing w:before="79" w:line="359" w:lineRule="auto"/>
        <w:ind w:right="37" w:firstLine="481"/>
        <w:rPr>
          <w:rFonts w:hint="eastAsia"/>
          <w:highlight w:val="none"/>
        </w:rPr>
      </w:pPr>
      <w:r>
        <w:rPr>
          <w:rFonts w:hint="eastAsia"/>
          <w:highlight w:val="none"/>
        </w:rPr>
        <w:t>（七）地震/余震指数是指保险种植物在保险期限内遭受地震（含余震）灾害，且达到保险合同约定的赔偿标准，地震/余震指数起赔标准是指承保区域内发生6级（含）以上地震或余震，且震源（经纬度）位于保险区域范围内。</w:t>
      </w:r>
    </w:p>
    <w:p w14:paraId="51EC18A3">
      <w:pPr>
        <w:pStyle w:val="3"/>
        <w:spacing w:before="79" w:line="359" w:lineRule="auto"/>
        <w:ind w:right="37" w:firstLine="481"/>
        <w:rPr>
          <w:highlight w:val="none"/>
        </w:rPr>
      </w:pPr>
      <w:r>
        <w:rPr>
          <w:rFonts w:hint="eastAsia"/>
          <w:highlight w:val="none"/>
        </w:rPr>
        <w:t>（八）救灾应急响应是指承保区域内区县级（含）以上减灾委或应急管理局发布救灾应急响应，且达到保险合同约定的赔偿标准，救灾应急响应起赔标准是指承保区域内区县级（含）以上减灾委或应急管理局发布的IV级（含）以上救灾应急响应。</w:t>
      </w:r>
    </w:p>
    <w:p w14:paraId="0763336D">
      <w:pPr>
        <w:pStyle w:val="3"/>
        <w:spacing w:before="193" w:line="360" w:lineRule="auto"/>
        <w:ind w:left="4" w:right="37" w:firstLine="482"/>
        <w:rPr>
          <w:rFonts w:hint="eastAsia"/>
          <w:highlight w:val="none"/>
        </w:rPr>
      </w:pPr>
      <w:r>
        <w:rPr>
          <w:rFonts w:hint="eastAsia"/>
          <w:highlight w:val="none"/>
        </w:rPr>
        <w:t>暴雨指数、低温冻害指数、冰雹指数、干旱指数、风灾指数、雪灾指数、地震/余震指数以气象部门审核发布的保险种植物所在地域的气象站观测数据为准，救灾应急响应以区县级（含）以上减灾委或应急管理局官方网站发布数据为准。保险种植物所在地域设有多个气象站点的，以本保险合同指定的站点为准，具体气象观测站点名称、编号及经纬度以保险单中载明为准。</w:t>
      </w:r>
    </w:p>
    <w:p w14:paraId="7AB75265">
      <w:pPr>
        <w:pStyle w:val="3"/>
        <w:spacing w:before="193" w:line="360" w:lineRule="auto"/>
        <w:ind w:left="4" w:right="37" w:firstLine="482"/>
        <w:rPr>
          <w:rFonts w:hint="eastAsia"/>
          <w:highlight w:val="none"/>
        </w:rPr>
      </w:pPr>
      <w:r>
        <w:rPr>
          <w:rFonts w:hint="eastAsia"/>
          <w:highlight w:val="none"/>
        </w:rPr>
        <w:t>保险种植物所在地域的气象站由于站点仪器损坏、导致气象数据无法正常获取，以离保险种植物最近距离的气象站观测数据代替，且须经气象部门审核认定。</w:t>
      </w:r>
    </w:p>
    <w:p w14:paraId="696DECB6">
      <w:pPr>
        <w:pStyle w:val="3"/>
        <w:spacing w:before="193" w:line="360" w:lineRule="auto"/>
        <w:ind w:left="4" w:right="37" w:firstLine="482"/>
        <w:rPr>
          <w:highlight w:val="none"/>
        </w:rPr>
      </w:pPr>
      <w:r>
        <w:rPr>
          <w:highlight w:val="none"/>
        </w:rPr>
        <w:t>（</w:t>
      </w:r>
      <w:r>
        <w:rPr>
          <w:rFonts w:ascii="Arial" w:hAnsi="Arial" w:eastAsia="Arial" w:cs="Arial"/>
          <w:highlight w:val="none"/>
        </w:rPr>
        <w:t>2</w:t>
      </w:r>
      <w:r>
        <w:rPr>
          <w:highlight w:val="none"/>
        </w:rPr>
        <w:t>）保险方式。保险期间内，上栗县农业农</w:t>
      </w:r>
      <w:r>
        <w:rPr>
          <w:spacing w:val="-1"/>
          <w:highlight w:val="none"/>
        </w:rPr>
        <w:t>村局使用财政资金统一投保，自然灾害</w:t>
      </w:r>
      <w:r>
        <w:rPr>
          <w:highlight w:val="none"/>
        </w:rPr>
        <w:t>发生后，承保机构将赔付资金支付给上栗县农业农村</w:t>
      </w:r>
      <w:r>
        <w:rPr>
          <w:spacing w:val="-1"/>
          <w:highlight w:val="none"/>
        </w:rPr>
        <w:t>局，用于全县救灾及灾后恢复生产</w:t>
      </w:r>
      <w:r>
        <w:rPr>
          <w:spacing w:val="-2"/>
          <w:highlight w:val="none"/>
        </w:rPr>
        <w:t>资金补充。承保机构对农业巨保险单独核算，一年一清。</w:t>
      </w:r>
    </w:p>
    <w:p w14:paraId="2C289B8E">
      <w:pPr>
        <w:pStyle w:val="3"/>
        <w:spacing w:before="142" w:line="341" w:lineRule="auto"/>
        <w:ind w:right="57" w:firstLine="486"/>
        <w:rPr>
          <w:highlight w:val="none"/>
        </w:rPr>
      </w:pPr>
      <w:r>
        <w:rPr>
          <w:spacing w:val="-1"/>
          <w:highlight w:val="none"/>
        </w:rPr>
        <w:t>（</w:t>
      </w:r>
      <w:r>
        <w:rPr>
          <w:rFonts w:ascii="Arial" w:hAnsi="Arial" w:eastAsia="Arial" w:cs="Arial"/>
          <w:spacing w:val="-1"/>
          <w:highlight w:val="none"/>
        </w:rPr>
        <w:t>3</w:t>
      </w:r>
      <w:r>
        <w:rPr>
          <w:spacing w:val="-1"/>
          <w:highlight w:val="none"/>
        </w:rPr>
        <w:t>）赔付方式及流程。保险期间内，当自然灾害达到了保险合同约定的救灾应急响</w:t>
      </w:r>
      <w:r>
        <w:rPr>
          <w:highlight w:val="none"/>
        </w:rPr>
        <w:t>应级别或相关气象指数达到条款规定的保险责任触发标准的，</w:t>
      </w:r>
      <w:r>
        <w:rPr>
          <w:spacing w:val="-1"/>
          <w:highlight w:val="none"/>
        </w:rPr>
        <w:t>承保机构依照保险合同约</w:t>
      </w:r>
      <w:r>
        <w:rPr>
          <w:highlight w:val="none"/>
        </w:rPr>
        <w:t>定，将赔偿金及时支付给上栗县农业农村局。当灾情发生时，</w:t>
      </w:r>
      <w:r>
        <w:rPr>
          <w:spacing w:val="-1"/>
          <w:highlight w:val="none"/>
        </w:rPr>
        <w:t>上栗县农业农村局根据各</w:t>
      </w:r>
      <w:r>
        <w:rPr>
          <w:highlight w:val="none"/>
        </w:rPr>
        <w:t>乡（镇）受灾情况等因素，上栗县农业农村部门根据受灾损失</w:t>
      </w:r>
      <w:r>
        <w:rPr>
          <w:spacing w:val="-1"/>
          <w:highlight w:val="none"/>
        </w:rPr>
        <w:t>情况，会同财政部门按规</w:t>
      </w:r>
      <w:r>
        <w:rPr>
          <w:highlight w:val="none"/>
        </w:rPr>
        <w:t>定程序将赔偿款直接补至农业受灾主体，专款用于农业生产救</w:t>
      </w:r>
      <w:r>
        <w:rPr>
          <w:spacing w:val="-1"/>
          <w:highlight w:val="none"/>
        </w:rPr>
        <w:t>灾及灾后恢复生产。具体</w:t>
      </w:r>
      <w:r>
        <w:rPr>
          <w:spacing w:val="-11"/>
          <w:highlight w:val="none"/>
        </w:rPr>
        <w:t>赔偿如下：</w:t>
      </w:r>
    </w:p>
    <w:p w14:paraId="6395B0BD">
      <w:pPr>
        <w:keepNext w:val="0"/>
        <w:keepLines w:val="0"/>
        <w:pageBreakBefore w:val="0"/>
        <w:widowControl w:val="0"/>
        <w:kinsoku/>
        <w:wordWrap/>
        <w:overflowPunct/>
        <w:topLinePunct/>
        <w:autoSpaceDE w:val="0"/>
        <w:autoSpaceDN/>
        <w:bidi w:val="0"/>
        <w:adjustRightInd/>
        <w:snapToGrid/>
        <w:spacing w:line="360" w:lineRule="auto"/>
        <w:ind w:left="0" w:firstLine="482" w:firstLineChars="200"/>
        <w:textAlignment w:val="auto"/>
        <w:rPr>
          <w:rFonts w:hint="eastAsia" w:ascii="宋体" w:hAnsi="宋体" w:eastAsia="宋体" w:cs="宋体"/>
          <w:kern w:val="0"/>
          <w:sz w:val="24"/>
          <w:szCs w:val="24"/>
          <w:highlight w:val="none"/>
          <w:lang w:val="en-US" w:eastAsia="zh-CN" w:bidi="ar-SA"/>
        </w:rPr>
      </w:pPr>
      <w:r>
        <w:rPr>
          <w:rFonts w:hint="eastAsia" w:ascii="宋体" w:hAnsi="宋体" w:eastAsia="宋体" w:cs="宋体"/>
          <w:b/>
          <w:bCs w:val="0"/>
          <w:kern w:val="0"/>
          <w:sz w:val="24"/>
          <w:szCs w:val="24"/>
          <w:highlight w:val="none"/>
        </w:rPr>
        <w:t>暴雨指数</w:t>
      </w:r>
      <w:r>
        <w:rPr>
          <w:rFonts w:hint="eastAsia" w:ascii="宋体" w:hAnsi="宋体" w:eastAsia="宋体" w:cs="宋体"/>
          <w:b/>
          <w:bCs w:val="0"/>
          <w:kern w:val="0"/>
          <w:sz w:val="24"/>
          <w:szCs w:val="24"/>
          <w:highlight w:val="none"/>
          <w:lang w:eastAsia="zh-CN"/>
        </w:rPr>
        <w:t>：</w:t>
      </w:r>
      <w:r>
        <w:rPr>
          <w:rFonts w:hint="eastAsia" w:ascii="宋体" w:hAnsi="宋体" w:eastAsia="宋体" w:cs="宋体"/>
          <w:kern w:val="0"/>
          <w:sz w:val="24"/>
          <w:szCs w:val="24"/>
          <w:highlight w:val="none"/>
          <w:lang w:val="en-US" w:eastAsia="zh-CN" w:bidi="ar-SA"/>
        </w:rPr>
        <w:t>保险区域范围内约定的气象观测站点观测范围内发生连续性暴雨灾害，达到约定的暴雨指数触发标准（</w:t>
      </w:r>
      <w:r>
        <w:rPr>
          <w:rFonts w:hint="eastAsia" w:ascii="宋体" w:hAnsi="宋体" w:eastAsia="宋体" w:cs="宋体"/>
          <w:color w:val="auto"/>
          <w:kern w:val="0"/>
          <w:sz w:val="24"/>
          <w:szCs w:val="24"/>
          <w:highlight w:val="none"/>
        </w:rPr>
        <w:t>即承保区域内约定的</w:t>
      </w:r>
      <w:r>
        <w:rPr>
          <w:rFonts w:hint="eastAsia" w:ascii="宋体" w:hAnsi="宋体" w:eastAsia="宋体" w:cs="宋体"/>
          <w:color w:val="auto"/>
          <w:sz w:val="24"/>
          <w:szCs w:val="24"/>
          <w:highlight w:val="none"/>
          <w:lang w:eastAsia="zh-CN"/>
        </w:rPr>
        <w:t>气象观测站点</w:t>
      </w:r>
      <w:r>
        <w:rPr>
          <w:rFonts w:hint="eastAsia" w:ascii="宋体" w:hAnsi="宋体" w:eastAsia="宋体" w:cs="宋体"/>
          <w:color w:val="auto"/>
          <w:kern w:val="0"/>
          <w:sz w:val="24"/>
          <w:szCs w:val="24"/>
          <w:highlight w:val="none"/>
        </w:rPr>
        <w:t>出现</w:t>
      </w:r>
      <w:r>
        <w:rPr>
          <w:rFonts w:hint="eastAsia" w:ascii="宋体" w:hAnsi="宋体" w:eastAsia="宋体" w:cs="宋体"/>
          <w:sz w:val="24"/>
          <w:szCs w:val="24"/>
          <w:highlight w:val="none"/>
        </w:rPr>
        <w:t>日降水量≥6</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mm或连续2天（含）以上日降水量≥50mm</w:t>
      </w:r>
      <w:r>
        <w:rPr>
          <w:rFonts w:hint="eastAsia" w:ascii="宋体" w:hAnsi="宋体" w:eastAsia="宋体" w:cs="宋体"/>
          <w:kern w:val="0"/>
          <w:sz w:val="24"/>
          <w:szCs w:val="24"/>
          <w:highlight w:val="none"/>
          <w:lang w:val="en-US" w:eastAsia="zh-CN" w:bidi="ar-SA"/>
        </w:rPr>
        <w:t>）时，视为保险事故发生，保险人按照以下方式进行赔偿。</w:t>
      </w:r>
    </w:p>
    <w:p w14:paraId="11BF47D5">
      <w:pPr>
        <w:keepNext w:val="0"/>
        <w:keepLines w:val="0"/>
        <w:pageBreakBefore w:val="0"/>
        <w:widowControl w:val="0"/>
        <w:kinsoku/>
        <w:wordWrap/>
        <w:overflowPunct/>
        <w:topLinePunct/>
        <w:autoSpaceDE w:val="0"/>
        <w:autoSpaceDN/>
        <w:bidi w:val="0"/>
        <w:adjustRightInd/>
        <w:snapToGrid/>
        <w:spacing w:line="360" w:lineRule="auto"/>
        <w:ind w:left="0" w:firstLine="480" w:firstLineChars="200"/>
        <w:textAlignment w:val="auto"/>
        <w:rPr>
          <w:rFonts w:hint="eastAsia" w:ascii="宋体" w:hAnsi="宋体" w:eastAsia="宋体" w:cs="宋体"/>
          <w:kern w:val="0"/>
          <w:sz w:val="24"/>
          <w:szCs w:val="24"/>
          <w:highlight w:val="none"/>
          <w:lang w:val="en-US" w:eastAsia="zh-CN" w:bidi="ar-SA"/>
        </w:rPr>
      </w:pPr>
      <w:r>
        <w:rPr>
          <w:rFonts w:hint="eastAsia" w:ascii="宋体" w:hAnsi="宋体" w:eastAsia="宋体" w:cs="宋体"/>
          <w:kern w:val="0"/>
          <w:sz w:val="24"/>
          <w:szCs w:val="24"/>
          <w:highlight w:val="none"/>
          <w:lang w:val="en-US" w:eastAsia="zh-CN" w:bidi="ar-SA"/>
        </w:rPr>
        <w:t>赔偿金额=保险金额（元）×暴雨灾害风险系数×暴雨指数等级系数</w:t>
      </w:r>
    </w:p>
    <w:p w14:paraId="4C7AFC3B">
      <w:pPr>
        <w:keepNext w:val="0"/>
        <w:keepLines w:val="0"/>
        <w:pageBreakBefore w:val="0"/>
        <w:widowControl w:val="0"/>
        <w:kinsoku/>
        <w:wordWrap/>
        <w:overflowPunct/>
        <w:topLinePunct/>
        <w:autoSpaceDE w:val="0"/>
        <w:autoSpaceDN/>
        <w:bidi w:val="0"/>
        <w:adjustRightInd/>
        <w:snapToGrid/>
        <w:spacing w:line="360" w:lineRule="auto"/>
        <w:ind w:left="0" w:firstLine="480" w:firstLineChars="200"/>
        <w:textAlignment w:val="auto"/>
        <w:rPr>
          <w:rFonts w:hint="eastAsia" w:ascii="宋体" w:hAnsi="宋体" w:eastAsia="宋体" w:cs="宋体"/>
          <w:kern w:val="0"/>
          <w:sz w:val="24"/>
          <w:szCs w:val="24"/>
          <w:highlight w:val="none"/>
          <w:lang w:val="en-US" w:eastAsia="zh-CN" w:bidi="ar-SA"/>
        </w:rPr>
      </w:pPr>
      <w:r>
        <w:rPr>
          <w:rFonts w:hint="eastAsia" w:ascii="宋体" w:hAnsi="宋体" w:eastAsia="宋体" w:cs="宋体"/>
          <w:kern w:val="0"/>
          <w:sz w:val="24"/>
          <w:szCs w:val="24"/>
          <w:highlight w:val="none"/>
          <w:lang w:val="en-US" w:eastAsia="zh-CN" w:bidi="ar-SA"/>
        </w:rPr>
        <w:t>暴雨指数认定以当地县级（含）以上气象部门出具的观测数据或气象证明为准。暴雨指数等级系数按照下表约定计算:</w:t>
      </w:r>
    </w:p>
    <w:p w14:paraId="34C738EE">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暴雨指数等级系数情况表</w:t>
      </w:r>
    </w:p>
    <w:tbl>
      <w:tblPr>
        <w:tblStyle w:val="4"/>
        <w:tblW w:w="8819" w:type="dxa"/>
        <w:jc w:val="center"/>
        <w:tblLayout w:type="fixed"/>
        <w:tblCellMar>
          <w:top w:w="0" w:type="dxa"/>
          <w:left w:w="108" w:type="dxa"/>
          <w:bottom w:w="0" w:type="dxa"/>
          <w:right w:w="108" w:type="dxa"/>
        </w:tblCellMar>
      </w:tblPr>
      <w:tblGrid>
        <w:gridCol w:w="4498"/>
        <w:gridCol w:w="1517"/>
        <w:gridCol w:w="2804"/>
      </w:tblGrid>
      <w:tr w14:paraId="7C0DFC30">
        <w:tblPrEx>
          <w:tblCellMar>
            <w:top w:w="0" w:type="dxa"/>
            <w:left w:w="108" w:type="dxa"/>
            <w:bottom w:w="0" w:type="dxa"/>
            <w:right w:w="108" w:type="dxa"/>
          </w:tblCellMar>
        </w:tblPrEx>
        <w:trPr>
          <w:trHeight w:val="337" w:hRule="atLeast"/>
          <w:jc w:val="center"/>
        </w:trPr>
        <w:tc>
          <w:tcPr>
            <w:tcW w:w="4498" w:type="dxa"/>
            <w:tcBorders>
              <w:top w:val="single" w:color="auto" w:sz="4" w:space="0"/>
              <w:left w:val="single" w:color="auto" w:sz="4" w:space="0"/>
              <w:bottom w:val="single" w:color="auto" w:sz="4" w:space="0"/>
              <w:right w:val="single" w:color="auto" w:sz="4" w:space="0"/>
            </w:tcBorders>
            <w:noWrap/>
            <w:vAlign w:val="center"/>
          </w:tcPr>
          <w:p w14:paraId="4D2D275C">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暴雨指数</w:t>
            </w:r>
          </w:p>
        </w:tc>
        <w:tc>
          <w:tcPr>
            <w:tcW w:w="1517" w:type="dxa"/>
            <w:tcBorders>
              <w:top w:val="single" w:color="auto" w:sz="4" w:space="0"/>
              <w:left w:val="nil"/>
              <w:bottom w:val="single" w:color="auto" w:sz="4" w:space="0"/>
              <w:right w:val="single" w:color="auto" w:sz="4" w:space="0"/>
            </w:tcBorders>
            <w:noWrap/>
            <w:vAlign w:val="center"/>
          </w:tcPr>
          <w:p w14:paraId="14D8A981">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灾害等级</w:t>
            </w:r>
          </w:p>
        </w:tc>
        <w:tc>
          <w:tcPr>
            <w:tcW w:w="2804" w:type="dxa"/>
            <w:tcBorders>
              <w:top w:val="single" w:color="auto" w:sz="4" w:space="0"/>
              <w:left w:val="nil"/>
              <w:bottom w:val="single" w:color="auto" w:sz="4" w:space="0"/>
              <w:right w:val="single" w:color="auto" w:sz="4" w:space="0"/>
            </w:tcBorders>
            <w:noWrap/>
            <w:vAlign w:val="center"/>
          </w:tcPr>
          <w:p w14:paraId="3F5B9C52">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暴雨指数</w:t>
            </w:r>
            <w:r>
              <w:rPr>
                <w:rFonts w:hint="eastAsia" w:ascii="宋体" w:hAnsi="宋体" w:eastAsia="宋体" w:cs="宋体"/>
                <w:color w:val="auto"/>
                <w:kern w:val="0"/>
                <w:sz w:val="24"/>
                <w:szCs w:val="24"/>
                <w:highlight w:val="none"/>
                <w:lang w:eastAsia="zh-CN"/>
              </w:rPr>
              <w:t>等级系数</w:t>
            </w:r>
          </w:p>
        </w:tc>
      </w:tr>
      <w:tr w14:paraId="15DC5265">
        <w:tblPrEx>
          <w:tblCellMar>
            <w:top w:w="0" w:type="dxa"/>
            <w:left w:w="108" w:type="dxa"/>
            <w:bottom w:w="0" w:type="dxa"/>
            <w:right w:w="108" w:type="dxa"/>
          </w:tblCellMar>
        </w:tblPrEx>
        <w:trPr>
          <w:trHeight w:val="337" w:hRule="atLeast"/>
          <w:jc w:val="center"/>
        </w:trPr>
        <w:tc>
          <w:tcPr>
            <w:tcW w:w="4498" w:type="dxa"/>
            <w:tcBorders>
              <w:top w:val="nil"/>
              <w:left w:val="single" w:color="auto" w:sz="4" w:space="0"/>
              <w:bottom w:val="single" w:color="auto" w:sz="4" w:space="0"/>
              <w:right w:val="single" w:color="auto" w:sz="4" w:space="0"/>
            </w:tcBorders>
            <w:noWrap/>
            <w:vAlign w:val="center"/>
          </w:tcPr>
          <w:p w14:paraId="2D54D5F9">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spacing w:val="-1"/>
                <w:sz w:val="24"/>
                <w:szCs w:val="24"/>
                <w:highlight w:val="none"/>
                <w:lang w:val="en-US" w:eastAsia="zh-CN"/>
              </w:rPr>
              <w:t>65</w:t>
            </w:r>
            <w:r>
              <w:rPr>
                <w:rFonts w:hint="eastAsia" w:ascii="宋体" w:hAnsi="宋体" w:eastAsia="宋体" w:cs="宋体"/>
                <w:spacing w:val="-1"/>
                <w:sz w:val="24"/>
                <w:szCs w:val="24"/>
                <w:highlight w:val="none"/>
                <w:lang w:eastAsia="zh-CN"/>
              </w:rPr>
              <w:t>mm≤日降水量＜</w:t>
            </w:r>
            <w:r>
              <w:rPr>
                <w:rFonts w:hint="eastAsia" w:ascii="宋体" w:hAnsi="宋体" w:eastAsia="宋体" w:cs="宋体"/>
                <w:spacing w:val="-1"/>
                <w:sz w:val="24"/>
                <w:szCs w:val="24"/>
                <w:highlight w:val="none"/>
                <w:lang w:val="en-US" w:eastAsia="zh-CN"/>
              </w:rPr>
              <w:t>80</w:t>
            </w:r>
            <w:r>
              <w:rPr>
                <w:rFonts w:hint="eastAsia" w:ascii="宋体" w:hAnsi="宋体" w:eastAsia="宋体" w:cs="宋体"/>
                <w:spacing w:val="-1"/>
                <w:sz w:val="24"/>
                <w:szCs w:val="24"/>
                <w:highlight w:val="none"/>
                <w:lang w:eastAsia="zh-CN"/>
              </w:rPr>
              <w:t>mm或连续2天（含）以上日降水量≥50mm</w:t>
            </w:r>
          </w:p>
        </w:tc>
        <w:tc>
          <w:tcPr>
            <w:tcW w:w="1517" w:type="dxa"/>
            <w:tcBorders>
              <w:top w:val="nil"/>
              <w:left w:val="nil"/>
              <w:bottom w:val="single" w:color="auto" w:sz="4" w:space="0"/>
              <w:right w:val="single" w:color="auto" w:sz="4" w:space="0"/>
            </w:tcBorders>
            <w:shd w:val="clear" w:color="auto" w:fill="auto"/>
            <w:noWrap/>
            <w:vAlign w:val="center"/>
          </w:tcPr>
          <w:p w14:paraId="0ECA55F5">
            <w:pPr>
              <w:pStyle w:val="8"/>
              <w:spacing w:before="173" w:line="360" w:lineRule="auto"/>
              <w:jc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pacing w:val="-8"/>
                <w:sz w:val="24"/>
                <w:szCs w:val="24"/>
                <w:highlight w:val="none"/>
                <w:lang w:val="en-US" w:eastAsia="zh-CN"/>
              </w:rPr>
              <w:t>Ⅳ</w:t>
            </w:r>
          </w:p>
        </w:tc>
        <w:tc>
          <w:tcPr>
            <w:tcW w:w="2804" w:type="dxa"/>
            <w:tcBorders>
              <w:top w:val="nil"/>
              <w:left w:val="nil"/>
              <w:bottom w:val="single" w:color="auto" w:sz="4" w:space="0"/>
              <w:right w:val="single" w:color="auto" w:sz="4" w:space="0"/>
            </w:tcBorders>
            <w:noWrap/>
            <w:vAlign w:val="center"/>
          </w:tcPr>
          <w:p w14:paraId="441E469F">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0.25</w:t>
            </w:r>
          </w:p>
        </w:tc>
      </w:tr>
      <w:tr w14:paraId="7FC12332">
        <w:tblPrEx>
          <w:tblCellMar>
            <w:top w:w="0" w:type="dxa"/>
            <w:left w:w="108" w:type="dxa"/>
            <w:bottom w:w="0" w:type="dxa"/>
            <w:right w:w="108" w:type="dxa"/>
          </w:tblCellMar>
        </w:tblPrEx>
        <w:trPr>
          <w:trHeight w:val="337" w:hRule="atLeast"/>
          <w:jc w:val="center"/>
        </w:trPr>
        <w:tc>
          <w:tcPr>
            <w:tcW w:w="4498" w:type="dxa"/>
            <w:tcBorders>
              <w:top w:val="nil"/>
              <w:left w:val="single" w:color="auto" w:sz="4" w:space="0"/>
              <w:bottom w:val="single" w:color="auto" w:sz="4" w:space="0"/>
              <w:right w:val="single" w:color="auto" w:sz="4" w:space="0"/>
            </w:tcBorders>
            <w:noWrap/>
            <w:vAlign w:val="center"/>
          </w:tcPr>
          <w:p w14:paraId="2814B0E6">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spacing w:val="-2"/>
                <w:sz w:val="24"/>
                <w:szCs w:val="24"/>
                <w:highlight w:val="none"/>
                <w:lang w:val="en-US" w:eastAsia="zh-CN"/>
              </w:rPr>
              <w:t>80</w:t>
            </w:r>
            <w:r>
              <w:rPr>
                <w:rFonts w:hint="eastAsia" w:ascii="宋体" w:hAnsi="宋体" w:eastAsia="宋体" w:cs="宋体"/>
                <w:spacing w:val="-2"/>
                <w:sz w:val="24"/>
                <w:szCs w:val="24"/>
                <w:highlight w:val="none"/>
                <w:lang w:eastAsia="zh-CN"/>
              </w:rPr>
              <w:t>mm≤日降水量＜</w:t>
            </w:r>
            <w:r>
              <w:rPr>
                <w:rFonts w:hint="eastAsia" w:ascii="宋体" w:hAnsi="宋体" w:eastAsia="宋体" w:cs="宋体"/>
                <w:spacing w:val="-2"/>
                <w:sz w:val="24"/>
                <w:szCs w:val="24"/>
                <w:highlight w:val="none"/>
                <w:lang w:val="en-US" w:eastAsia="zh-CN"/>
              </w:rPr>
              <w:t>130</w:t>
            </w:r>
            <w:r>
              <w:rPr>
                <w:rFonts w:hint="eastAsia" w:ascii="宋体" w:hAnsi="宋体" w:eastAsia="宋体" w:cs="宋体"/>
                <w:spacing w:val="-2"/>
                <w:sz w:val="24"/>
                <w:szCs w:val="24"/>
                <w:highlight w:val="none"/>
                <w:lang w:eastAsia="zh-CN"/>
              </w:rPr>
              <w:t>mm</w:t>
            </w:r>
          </w:p>
        </w:tc>
        <w:tc>
          <w:tcPr>
            <w:tcW w:w="1517" w:type="dxa"/>
            <w:tcBorders>
              <w:top w:val="nil"/>
              <w:left w:val="nil"/>
              <w:bottom w:val="single" w:color="auto" w:sz="4" w:space="0"/>
              <w:right w:val="single" w:color="auto" w:sz="4" w:space="0"/>
            </w:tcBorders>
            <w:shd w:val="clear" w:color="auto" w:fill="auto"/>
            <w:noWrap/>
            <w:vAlign w:val="center"/>
          </w:tcPr>
          <w:p w14:paraId="317D4489">
            <w:pPr>
              <w:pStyle w:val="8"/>
              <w:spacing w:before="173" w:line="360" w:lineRule="auto"/>
              <w:jc w:val="center"/>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color w:val="auto"/>
                <w:spacing w:val="-12"/>
                <w:sz w:val="24"/>
                <w:szCs w:val="24"/>
                <w:highlight w:val="none"/>
                <w:lang w:val="en-US" w:eastAsia="zh-CN"/>
              </w:rPr>
              <w:t>Ⅲ</w:t>
            </w:r>
          </w:p>
        </w:tc>
        <w:tc>
          <w:tcPr>
            <w:tcW w:w="2804" w:type="dxa"/>
            <w:tcBorders>
              <w:top w:val="nil"/>
              <w:left w:val="nil"/>
              <w:bottom w:val="single" w:color="auto" w:sz="4" w:space="0"/>
              <w:right w:val="single" w:color="auto" w:sz="4" w:space="0"/>
            </w:tcBorders>
            <w:noWrap/>
            <w:vAlign w:val="center"/>
          </w:tcPr>
          <w:p w14:paraId="4C19DFC2">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0.35</w:t>
            </w:r>
          </w:p>
        </w:tc>
      </w:tr>
      <w:tr w14:paraId="25A8A1F9">
        <w:tblPrEx>
          <w:tblCellMar>
            <w:top w:w="0" w:type="dxa"/>
            <w:left w:w="108" w:type="dxa"/>
            <w:bottom w:w="0" w:type="dxa"/>
            <w:right w:w="108" w:type="dxa"/>
          </w:tblCellMar>
        </w:tblPrEx>
        <w:trPr>
          <w:trHeight w:val="337" w:hRule="atLeast"/>
          <w:jc w:val="center"/>
        </w:trPr>
        <w:tc>
          <w:tcPr>
            <w:tcW w:w="4498" w:type="dxa"/>
            <w:tcBorders>
              <w:top w:val="nil"/>
              <w:left w:val="single" w:color="auto" w:sz="4" w:space="0"/>
              <w:bottom w:val="single" w:color="auto" w:sz="4" w:space="0"/>
              <w:right w:val="single" w:color="auto" w:sz="4" w:space="0"/>
            </w:tcBorders>
            <w:noWrap/>
            <w:vAlign w:val="center"/>
          </w:tcPr>
          <w:p w14:paraId="73BF5F55">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spacing w:val="-2"/>
                <w:sz w:val="24"/>
                <w:szCs w:val="24"/>
                <w:highlight w:val="none"/>
                <w:lang w:val="en-US" w:eastAsia="zh-CN"/>
              </w:rPr>
            </w:pPr>
            <w:r>
              <w:rPr>
                <w:rFonts w:hint="eastAsia" w:ascii="宋体" w:hAnsi="宋体" w:eastAsia="宋体" w:cs="宋体"/>
                <w:spacing w:val="-2"/>
                <w:sz w:val="24"/>
                <w:szCs w:val="24"/>
                <w:highlight w:val="none"/>
                <w:lang w:val="en-US" w:eastAsia="zh-CN"/>
              </w:rPr>
              <w:t>130</w:t>
            </w:r>
            <w:r>
              <w:rPr>
                <w:rFonts w:hint="eastAsia" w:ascii="宋体" w:hAnsi="宋体" w:eastAsia="宋体" w:cs="宋体"/>
                <w:spacing w:val="-2"/>
                <w:sz w:val="24"/>
                <w:szCs w:val="24"/>
                <w:highlight w:val="none"/>
                <w:lang w:eastAsia="zh-CN"/>
              </w:rPr>
              <w:t>mm≤日降水量＜</w:t>
            </w:r>
            <w:r>
              <w:rPr>
                <w:rFonts w:hint="eastAsia" w:ascii="宋体" w:hAnsi="宋体" w:eastAsia="宋体" w:cs="宋体"/>
                <w:spacing w:val="-2"/>
                <w:sz w:val="24"/>
                <w:szCs w:val="24"/>
                <w:highlight w:val="none"/>
                <w:lang w:val="en-US" w:eastAsia="zh-CN"/>
              </w:rPr>
              <w:t>200</w:t>
            </w:r>
            <w:r>
              <w:rPr>
                <w:rFonts w:hint="eastAsia" w:ascii="宋体" w:hAnsi="宋体" w:eastAsia="宋体" w:cs="宋体"/>
                <w:spacing w:val="-2"/>
                <w:sz w:val="24"/>
                <w:szCs w:val="24"/>
                <w:highlight w:val="none"/>
                <w:lang w:eastAsia="zh-CN"/>
              </w:rPr>
              <w:t>mm</w:t>
            </w:r>
          </w:p>
        </w:tc>
        <w:tc>
          <w:tcPr>
            <w:tcW w:w="1517" w:type="dxa"/>
            <w:tcBorders>
              <w:top w:val="nil"/>
              <w:left w:val="nil"/>
              <w:bottom w:val="single" w:color="auto" w:sz="4" w:space="0"/>
              <w:right w:val="single" w:color="auto" w:sz="4" w:space="0"/>
            </w:tcBorders>
            <w:shd w:val="clear" w:color="auto" w:fill="auto"/>
            <w:noWrap/>
            <w:vAlign w:val="center"/>
          </w:tcPr>
          <w:p w14:paraId="219374EE">
            <w:pPr>
              <w:pStyle w:val="8"/>
              <w:spacing w:before="173" w:line="360" w:lineRule="auto"/>
              <w:jc w:val="center"/>
              <w:rPr>
                <w:rFonts w:hint="eastAsia" w:ascii="宋体" w:hAnsi="宋体" w:eastAsia="宋体" w:cs="宋体"/>
                <w:color w:val="auto"/>
                <w:spacing w:val="-12"/>
                <w:sz w:val="24"/>
                <w:szCs w:val="24"/>
                <w:highlight w:val="none"/>
                <w:lang w:val="en-US" w:eastAsia="zh-CN"/>
              </w:rPr>
            </w:pPr>
            <w:r>
              <w:rPr>
                <w:rFonts w:hint="eastAsia" w:ascii="宋体" w:hAnsi="宋体" w:eastAsia="宋体" w:cs="宋体"/>
                <w:color w:val="auto"/>
                <w:spacing w:val="-12"/>
                <w:sz w:val="24"/>
                <w:szCs w:val="24"/>
                <w:highlight w:val="none"/>
                <w:lang w:val="en-US" w:eastAsia="zh-CN"/>
              </w:rPr>
              <w:t>Ⅱ</w:t>
            </w:r>
          </w:p>
        </w:tc>
        <w:tc>
          <w:tcPr>
            <w:tcW w:w="2804" w:type="dxa"/>
            <w:tcBorders>
              <w:top w:val="nil"/>
              <w:left w:val="nil"/>
              <w:bottom w:val="single" w:color="auto" w:sz="4" w:space="0"/>
              <w:right w:val="single" w:color="auto" w:sz="4" w:space="0"/>
            </w:tcBorders>
            <w:noWrap/>
            <w:vAlign w:val="center"/>
          </w:tcPr>
          <w:p w14:paraId="4C97B096">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0.45</w:t>
            </w:r>
          </w:p>
        </w:tc>
      </w:tr>
      <w:tr w14:paraId="4DCE7E1E">
        <w:tblPrEx>
          <w:tblCellMar>
            <w:top w:w="0" w:type="dxa"/>
            <w:left w:w="108" w:type="dxa"/>
            <w:bottom w:w="0" w:type="dxa"/>
            <w:right w:w="108" w:type="dxa"/>
          </w:tblCellMar>
        </w:tblPrEx>
        <w:trPr>
          <w:trHeight w:val="337" w:hRule="atLeast"/>
          <w:jc w:val="center"/>
        </w:trPr>
        <w:tc>
          <w:tcPr>
            <w:tcW w:w="4498" w:type="dxa"/>
            <w:tcBorders>
              <w:top w:val="nil"/>
              <w:left w:val="single" w:color="auto" w:sz="4" w:space="0"/>
              <w:bottom w:val="single" w:color="auto" w:sz="4" w:space="0"/>
              <w:right w:val="single" w:color="auto" w:sz="4" w:space="0"/>
            </w:tcBorders>
            <w:noWrap/>
            <w:vAlign w:val="center"/>
          </w:tcPr>
          <w:p w14:paraId="798C62B9">
            <w:pPr>
              <w:pStyle w:val="8"/>
              <w:spacing w:before="0" w:line="360" w:lineRule="auto"/>
              <w:jc w:val="center"/>
              <w:rPr>
                <w:rFonts w:hint="eastAsia" w:ascii="宋体" w:hAnsi="宋体" w:eastAsia="宋体" w:cs="宋体"/>
                <w:sz w:val="24"/>
                <w:szCs w:val="24"/>
                <w:highlight w:val="none"/>
                <w:lang w:eastAsia="zh-CN"/>
              </w:rPr>
            </w:pPr>
            <w:r>
              <w:rPr>
                <w:rFonts w:hint="eastAsia" w:ascii="宋体" w:hAnsi="宋体" w:eastAsia="宋体" w:cs="宋体"/>
                <w:spacing w:val="-1"/>
                <w:position w:val="13"/>
                <w:sz w:val="24"/>
                <w:szCs w:val="24"/>
                <w:highlight w:val="none"/>
                <w:lang w:eastAsia="zh-CN"/>
              </w:rPr>
              <w:t>连续2天（含）以上日降水量≥50mm</w:t>
            </w:r>
          </w:p>
          <w:p w14:paraId="54624A18">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spacing w:val="-1"/>
                <w:sz w:val="24"/>
                <w:szCs w:val="24"/>
                <w:highlight w:val="none"/>
                <w:lang w:eastAsia="zh-CN"/>
              </w:rPr>
              <w:t>且最大日降水量≥150mm</w:t>
            </w:r>
          </w:p>
        </w:tc>
        <w:tc>
          <w:tcPr>
            <w:tcW w:w="1517" w:type="dxa"/>
            <w:tcBorders>
              <w:top w:val="nil"/>
              <w:left w:val="nil"/>
              <w:bottom w:val="single" w:color="auto" w:sz="4" w:space="0"/>
              <w:right w:val="single" w:color="auto" w:sz="4" w:space="0"/>
            </w:tcBorders>
            <w:shd w:val="clear" w:color="auto" w:fill="auto"/>
            <w:noWrap/>
            <w:vAlign w:val="center"/>
          </w:tcPr>
          <w:p w14:paraId="5B8A5351">
            <w:pPr>
              <w:pStyle w:val="8"/>
              <w:spacing w:before="174" w:line="360" w:lineRule="auto"/>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z w:val="24"/>
                <w:szCs w:val="24"/>
                <w:highlight w:val="none"/>
              </w:rPr>
              <w:t>I</w:t>
            </w:r>
          </w:p>
        </w:tc>
        <w:tc>
          <w:tcPr>
            <w:tcW w:w="2804" w:type="dxa"/>
            <w:tcBorders>
              <w:top w:val="nil"/>
              <w:left w:val="nil"/>
              <w:bottom w:val="single" w:color="auto" w:sz="4" w:space="0"/>
              <w:right w:val="single" w:color="auto" w:sz="4" w:space="0"/>
            </w:tcBorders>
            <w:noWrap/>
            <w:vAlign w:val="center"/>
          </w:tcPr>
          <w:p w14:paraId="3C9B3B96">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0.6</w:t>
            </w:r>
          </w:p>
        </w:tc>
      </w:tr>
    </w:tbl>
    <w:p w14:paraId="2FBB2100">
      <w:pPr>
        <w:keepNext w:val="0"/>
        <w:keepLines w:val="0"/>
        <w:pageBreakBefore w:val="0"/>
        <w:wordWrap/>
        <w:overflowPunct/>
        <w:topLinePunct/>
        <w:autoSpaceDE w:val="0"/>
        <w:bidi w:val="0"/>
        <w:adjustRightInd w:val="0"/>
        <w:snapToGrid w:val="0"/>
        <w:spacing w:line="360" w:lineRule="auto"/>
        <w:ind w:firstLine="482" w:firstLineChars="200"/>
        <w:jc w:val="both"/>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同一区域内不同时段发生暴雨灾害的，</w:t>
      </w:r>
      <w:r>
        <w:rPr>
          <w:rFonts w:hint="eastAsia" w:ascii="宋体" w:hAnsi="宋体" w:eastAsia="宋体" w:cs="宋体"/>
          <w:b/>
          <w:bCs/>
          <w:color w:val="auto"/>
          <w:kern w:val="0"/>
          <w:sz w:val="24"/>
          <w:szCs w:val="24"/>
          <w:highlight w:val="none"/>
          <w:lang w:val="en-US" w:eastAsia="zh-CN"/>
        </w:rPr>
        <w:t>视为不同事故，</w:t>
      </w:r>
      <w:r>
        <w:rPr>
          <w:rFonts w:hint="eastAsia" w:ascii="宋体" w:hAnsi="宋体" w:eastAsia="宋体" w:cs="宋体"/>
          <w:b/>
          <w:bCs/>
          <w:color w:val="auto"/>
          <w:kern w:val="0"/>
          <w:sz w:val="24"/>
          <w:szCs w:val="24"/>
          <w:highlight w:val="none"/>
        </w:rPr>
        <w:t>可以累加赔付。承保区域内出现日降水量≥</w:t>
      </w:r>
      <w:r>
        <w:rPr>
          <w:rFonts w:hint="eastAsia" w:ascii="宋体" w:hAnsi="宋体" w:eastAsia="宋体" w:cs="宋体"/>
          <w:b/>
          <w:bCs/>
          <w:color w:val="auto"/>
          <w:kern w:val="0"/>
          <w:sz w:val="24"/>
          <w:szCs w:val="24"/>
          <w:highlight w:val="none"/>
          <w:lang w:val="en-US" w:eastAsia="zh-CN"/>
        </w:rPr>
        <w:t>65</w:t>
      </w:r>
      <w:r>
        <w:rPr>
          <w:rFonts w:hint="eastAsia" w:ascii="宋体" w:hAnsi="宋体" w:eastAsia="宋体" w:cs="宋体"/>
          <w:b/>
          <w:bCs/>
          <w:color w:val="auto"/>
          <w:kern w:val="0"/>
          <w:sz w:val="24"/>
          <w:szCs w:val="24"/>
          <w:highlight w:val="none"/>
        </w:rPr>
        <w:t>mm或连续2天（含）</w:t>
      </w:r>
      <w:r>
        <w:rPr>
          <w:rFonts w:hint="eastAsia" w:ascii="宋体" w:hAnsi="宋体" w:eastAsia="宋体" w:cs="宋体"/>
          <w:b/>
          <w:bCs/>
          <w:color w:val="000000" w:themeColor="text1"/>
          <w:kern w:val="0"/>
          <w:sz w:val="24"/>
          <w:szCs w:val="24"/>
          <w:highlight w:val="none"/>
          <w:lang w:val="en-US" w:eastAsia="zh-CN"/>
          <w14:textFill>
            <w14:solidFill>
              <w14:schemeClr w14:val="tx1"/>
            </w14:solidFill>
          </w14:textFill>
        </w:rPr>
        <w:t>以上</w:t>
      </w:r>
      <w:r>
        <w:rPr>
          <w:rFonts w:hint="eastAsia" w:ascii="宋体" w:hAnsi="宋体" w:eastAsia="宋体" w:cs="宋体"/>
          <w:b/>
          <w:bCs/>
          <w:color w:val="auto"/>
          <w:kern w:val="0"/>
          <w:sz w:val="24"/>
          <w:szCs w:val="24"/>
          <w:highlight w:val="none"/>
        </w:rPr>
        <w:t>日降水量≥50mm时起，至该区域出现日降水量＜50mm时止，视为同一次事故，不累加赔付，取发生的最高级别暴雨灾害等级标准进行赔付。保险期限内，暴雨指数</w:t>
      </w:r>
      <w:r>
        <w:rPr>
          <w:rFonts w:hint="eastAsia" w:ascii="宋体" w:hAnsi="宋体" w:eastAsia="宋体" w:cs="宋体"/>
          <w:b/>
          <w:bCs/>
          <w:color w:val="auto"/>
          <w:kern w:val="0"/>
          <w:sz w:val="24"/>
          <w:szCs w:val="24"/>
          <w:highlight w:val="none"/>
          <w:lang w:eastAsia="zh-CN"/>
        </w:rPr>
        <w:t>累计赔偿金额</w:t>
      </w:r>
      <w:r>
        <w:rPr>
          <w:rFonts w:hint="eastAsia" w:ascii="宋体" w:hAnsi="宋体" w:eastAsia="宋体" w:cs="宋体"/>
          <w:b/>
          <w:bCs/>
          <w:color w:val="auto"/>
          <w:kern w:val="0"/>
          <w:sz w:val="24"/>
          <w:szCs w:val="24"/>
          <w:highlight w:val="none"/>
        </w:rPr>
        <w:t>不超过暴雨指数子项赔偿限额。</w:t>
      </w:r>
    </w:p>
    <w:p w14:paraId="64EA1181">
      <w:pPr>
        <w:topLinePunct/>
        <w:autoSpaceDE w:val="0"/>
        <w:spacing w:line="360" w:lineRule="auto"/>
        <w:jc w:val="center"/>
        <w:outlineLvl w:val="9"/>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暴雨指数子项赔偿限额=保险金额（元）×暴雨风险系数</w:t>
      </w:r>
    </w:p>
    <w:p w14:paraId="20DBCFB3">
      <w:pPr>
        <w:topLinePunct/>
        <w:autoSpaceDE w:val="0"/>
        <w:spacing w:line="360" w:lineRule="auto"/>
        <w:ind w:firstLine="482" w:firstLineChars="200"/>
        <w:rPr>
          <w:rFonts w:hint="eastAsia" w:ascii="宋体" w:hAnsi="宋体" w:eastAsia="宋体" w:cs="宋体"/>
          <w:color w:val="auto"/>
          <w:sz w:val="24"/>
          <w:szCs w:val="24"/>
          <w:highlight w:val="none"/>
          <w:lang w:bidi="ar"/>
        </w:rPr>
      </w:pPr>
      <w:r>
        <w:rPr>
          <w:rFonts w:hint="eastAsia" w:ascii="宋体" w:hAnsi="宋体" w:eastAsia="宋体" w:cs="宋体"/>
          <w:b/>
          <w:kern w:val="0"/>
          <w:sz w:val="24"/>
          <w:szCs w:val="24"/>
          <w:highlight w:val="none"/>
          <w:lang w:val="en-US" w:eastAsia="zh-CN"/>
        </w:rPr>
        <w:t>低温冻害指数：</w:t>
      </w:r>
      <w:r>
        <w:rPr>
          <w:rFonts w:hint="eastAsia" w:ascii="宋体" w:hAnsi="宋体" w:eastAsia="宋体" w:cs="宋体"/>
          <w:color w:val="auto"/>
          <w:sz w:val="24"/>
          <w:szCs w:val="24"/>
          <w:highlight w:val="none"/>
          <w:lang w:bidi="ar"/>
        </w:rPr>
        <w:t>保险区域范围内约定的</w:t>
      </w:r>
      <w:r>
        <w:rPr>
          <w:rFonts w:hint="eastAsia" w:ascii="宋体" w:hAnsi="宋体" w:eastAsia="宋体" w:cs="宋体"/>
          <w:color w:val="auto"/>
          <w:sz w:val="24"/>
          <w:szCs w:val="24"/>
          <w:highlight w:val="none"/>
          <w:lang w:eastAsia="zh-CN" w:bidi="ar"/>
        </w:rPr>
        <w:t>气象观测站点</w:t>
      </w:r>
      <w:r>
        <w:rPr>
          <w:rFonts w:hint="eastAsia" w:ascii="宋体" w:hAnsi="宋体" w:eastAsia="宋体" w:cs="宋体"/>
          <w:color w:val="auto"/>
          <w:sz w:val="24"/>
          <w:szCs w:val="24"/>
          <w:highlight w:val="none"/>
          <w:lang w:bidi="ar"/>
        </w:rPr>
        <w:t>观测范围发生低温冻害，达到约定的低温冻害指数触发标准（即</w:t>
      </w:r>
      <w:r>
        <w:rPr>
          <w:rFonts w:hint="eastAsia" w:ascii="宋体" w:hAnsi="宋体" w:eastAsia="宋体" w:cs="宋体"/>
          <w:sz w:val="24"/>
          <w:szCs w:val="24"/>
          <w:highlight w:val="none"/>
          <w:lang w:eastAsia="zh-CN"/>
        </w:rPr>
        <w:t>承保区域内约定的气象观测站点出现连续2天（含）以上日最低气温低于-1℃（不含）的冷空气过程</w:t>
      </w:r>
      <w:r>
        <w:rPr>
          <w:rFonts w:hint="eastAsia" w:ascii="宋体" w:hAnsi="宋体" w:eastAsia="宋体" w:cs="宋体"/>
          <w:color w:val="auto"/>
          <w:sz w:val="24"/>
          <w:szCs w:val="24"/>
          <w:highlight w:val="none"/>
          <w:lang w:bidi="ar"/>
        </w:rPr>
        <w:t>）时，视为保险事故发生，保险人按照以下方式进行赔偿。</w:t>
      </w:r>
    </w:p>
    <w:p w14:paraId="3613EC76">
      <w:pPr>
        <w:topLinePunct/>
        <w:autoSpaceDE w:val="0"/>
        <w:spacing w:line="360" w:lineRule="auto"/>
        <w:ind w:firstLine="480" w:firstLineChars="200"/>
        <w:rPr>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lang w:bidi="ar"/>
        </w:rPr>
        <w:t>赔偿金额=保险金额（元）×低温冻害风险系数×低温冻害指数等级系数</w:t>
      </w:r>
    </w:p>
    <w:p w14:paraId="7737D472">
      <w:pPr>
        <w:topLinePunct/>
        <w:autoSpaceDE w:val="0"/>
        <w:spacing w:line="360" w:lineRule="auto"/>
        <w:ind w:firstLine="480" w:firstLineChars="200"/>
        <w:rPr>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lang w:bidi="ar"/>
        </w:rPr>
        <w:t>低温冻害指数认定以当地县级（含）以上气象部门出具的观测数据或气象证明为准。低温冻害指数等级系数按照下表约定计算:</w:t>
      </w:r>
    </w:p>
    <w:p w14:paraId="6A7E886C">
      <w:pPr>
        <w:spacing w:line="360" w:lineRule="auto"/>
        <w:jc w:val="center"/>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低温冻害指数等级系数情况表</w:t>
      </w:r>
    </w:p>
    <w:tbl>
      <w:tblPr>
        <w:tblStyle w:val="7"/>
        <w:tblW w:w="9393"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573"/>
        <w:gridCol w:w="2610"/>
        <w:gridCol w:w="3210"/>
      </w:tblGrid>
      <w:tr w14:paraId="44546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8" w:hRule="atLeast"/>
        </w:trPr>
        <w:tc>
          <w:tcPr>
            <w:tcW w:w="3573" w:type="dxa"/>
          </w:tcPr>
          <w:p w14:paraId="6B04FDCA">
            <w:pPr>
              <w:pStyle w:val="8"/>
              <w:spacing w:before="135"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2"/>
                <w:sz w:val="24"/>
                <w:szCs w:val="24"/>
                <w:highlight w:val="none"/>
              </w:rPr>
              <w:t>低温冻害灾害指数</w:t>
            </w:r>
          </w:p>
        </w:tc>
        <w:tc>
          <w:tcPr>
            <w:tcW w:w="2610" w:type="dxa"/>
          </w:tcPr>
          <w:p w14:paraId="038457D1">
            <w:pPr>
              <w:pStyle w:val="8"/>
              <w:spacing w:before="135"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2"/>
                <w:sz w:val="24"/>
                <w:szCs w:val="24"/>
                <w:highlight w:val="none"/>
              </w:rPr>
              <w:t>低温冻害灾害等级</w:t>
            </w:r>
          </w:p>
        </w:tc>
        <w:tc>
          <w:tcPr>
            <w:tcW w:w="3210" w:type="dxa"/>
          </w:tcPr>
          <w:p w14:paraId="74EE5BC2">
            <w:pPr>
              <w:pStyle w:val="8"/>
              <w:spacing w:before="135" w:line="360" w:lineRule="auto"/>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低温冻害指数等级系数</w:t>
            </w:r>
          </w:p>
        </w:tc>
      </w:tr>
      <w:tr w14:paraId="5FA0F3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5" w:hRule="atLeast"/>
        </w:trPr>
        <w:tc>
          <w:tcPr>
            <w:tcW w:w="3573" w:type="dxa"/>
          </w:tcPr>
          <w:p w14:paraId="6ABB5FB0">
            <w:pPr>
              <w:pStyle w:val="8"/>
              <w:spacing w:before="134"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9"/>
                <w:sz w:val="24"/>
                <w:szCs w:val="24"/>
                <w:highlight w:val="none"/>
                <w:lang w:eastAsia="zh-CN"/>
              </w:rPr>
              <w:t>-</w:t>
            </w:r>
            <w:r>
              <w:rPr>
                <w:rFonts w:hint="eastAsia" w:ascii="宋体" w:hAnsi="宋体" w:eastAsia="宋体" w:cs="宋体"/>
                <w:color w:val="auto"/>
                <w:spacing w:val="9"/>
                <w:sz w:val="24"/>
                <w:szCs w:val="24"/>
                <w:highlight w:val="none"/>
                <w:lang w:val="en-US" w:eastAsia="zh-CN"/>
              </w:rPr>
              <w:t>1</w:t>
            </w:r>
            <w:r>
              <w:rPr>
                <w:rFonts w:hint="eastAsia" w:ascii="宋体" w:hAnsi="宋体" w:eastAsia="宋体" w:cs="宋体"/>
                <w:color w:val="auto"/>
                <w:spacing w:val="9"/>
                <w:sz w:val="24"/>
                <w:szCs w:val="24"/>
                <w:highlight w:val="none"/>
                <w:lang w:eastAsia="zh-CN"/>
              </w:rPr>
              <w:t>℃&gt;连续2天（含）以上日最低气温≥-</w:t>
            </w:r>
            <w:r>
              <w:rPr>
                <w:rFonts w:hint="eastAsia" w:ascii="宋体" w:hAnsi="宋体" w:eastAsia="宋体" w:cs="宋体"/>
                <w:color w:val="auto"/>
                <w:spacing w:val="9"/>
                <w:sz w:val="24"/>
                <w:szCs w:val="24"/>
                <w:highlight w:val="none"/>
                <w:lang w:val="en-US" w:eastAsia="zh-CN"/>
              </w:rPr>
              <w:t>2</w:t>
            </w:r>
            <w:r>
              <w:rPr>
                <w:rFonts w:hint="eastAsia" w:ascii="宋体" w:hAnsi="宋体" w:eastAsia="宋体" w:cs="宋体"/>
                <w:color w:val="auto"/>
                <w:spacing w:val="9"/>
                <w:sz w:val="24"/>
                <w:szCs w:val="24"/>
                <w:highlight w:val="none"/>
                <w:lang w:eastAsia="zh-CN"/>
              </w:rPr>
              <w:t>℃</w:t>
            </w:r>
          </w:p>
        </w:tc>
        <w:tc>
          <w:tcPr>
            <w:tcW w:w="2610" w:type="dxa"/>
            <w:vAlign w:val="center"/>
          </w:tcPr>
          <w:p w14:paraId="54651A47">
            <w:pPr>
              <w:pStyle w:val="8"/>
              <w:spacing w:before="173"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III</w:t>
            </w:r>
          </w:p>
        </w:tc>
        <w:tc>
          <w:tcPr>
            <w:tcW w:w="3210" w:type="dxa"/>
            <w:vAlign w:val="center"/>
          </w:tcPr>
          <w:p w14:paraId="6954FC3D">
            <w:pPr>
              <w:pStyle w:val="8"/>
              <w:spacing w:before="172"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3"/>
                <w:sz w:val="24"/>
                <w:szCs w:val="24"/>
                <w:highlight w:val="none"/>
                <w:lang w:val="en-US" w:eastAsia="zh-CN"/>
              </w:rPr>
              <w:t>0.2</w:t>
            </w:r>
          </w:p>
        </w:tc>
      </w:tr>
      <w:tr w14:paraId="033618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3573" w:type="dxa"/>
          </w:tcPr>
          <w:p w14:paraId="59F73C12">
            <w:pPr>
              <w:pStyle w:val="8"/>
              <w:spacing w:before="134"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9"/>
                <w:sz w:val="24"/>
                <w:szCs w:val="24"/>
                <w:highlight w:val="none"/>
                <w:lang w:eastAsia="zh-CN"/>
              </w:rPr>
              <w:t>-</w:t>
            </w:r>
            <w:r>
              <w:rPr>
                <w:rFonts w:hint="eastAsia" w:ascii="宋体" w:hAnsi="宋体" w:eastAsia="宋体" w:cs="宋体"/>
                <w:color w:val="auto"/>
                <w:spacing w:val="9"/>
                <w:sz w:val="24"/>
                <w:szCs w:val="24"/>
                <w:highlight w:val="none"/>
                <w:lang w:val="en-US" w:eastAsia="zh-CN"/>
              </w:rPr>
              <w:t>2</w:t>
            </w:r>
            <w:r>
              <w:rPr>
                <w:rFonts w:hint="eastAsia" w:ascii="宋体" w:hAnsi="宋体" w:eastAsia="宋体" w:cs="宋体"/>
                <w:color w:val="auto"/>
                <w:spacing w:val="9"/>
                <w:sz w:val="24"/>
                <w:szCs w:val="24"/>
                <w:highlight w:val="none"/>
                <w:lang w:eastAsia="zh-CN"/>
              </w:rPr>
              <w:t>℃&gt;连续2天（含）以上日最低气温≥-</w:t>
            </w:r>
            <w:r>
              <w:rPr>
                <w:rFonts w:hint="eastAsia" w:ascii="宋体" w:hAnsi="宋体" w:eastAsia="宋体" w:cs="宋体"/>
                <w:color w:val="auto"/>
                <w:spacing w:val="9"/>
                <w:sz w:val="24"/>
                <w:szCs w:val="24"/>
                <w:highlight w:val="none"/>
                <w:lang w:val="en-US" w:eastAsia="zh-CN"/>
              </w:rPr>
              <w:t>3</w:t>
            </w:r>
            <w:r>
              <w:rPr>
                <w:rFonts w:hint="eastAsia" w:ascii="宋体" w:hAnsi="宋体" w:eastAsia="宋体" w:cs="宋体"/>
                <w:color w:val="auto"/>
                <w:spacing w:val="9"/>
                <w:sz w:val="24"/>
                <w:szCs w:val="24"/>
                <w:highlight w:val="none"/>
                <w:lang w:eastAsia="zh-CN"/>
              </w:rPr>
              <w:t>℃</w:t>
            </w:r>
          </w:p>
        </w:tc>
        <w:tc>
          <w:tcPr>
            <w:tcW w:w="2610" w:type="dxa"/>
            <w:vAlign w:val="center"/>
          </w:tcPr>
          <w:p w14:paraId="13007524">
            <w:pPr>
              <w:pStyle w:val="8"/>
              <w:spacing w:before="173"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rPr>
              <w:t>II</w:t>
            </w:r>
          </w:p>
        </w:tc>
        <w:tc>
          <w:tcPr>
            <w:tcW w:w="3210" w:type="dxa"/>
            <w:vAlign w:val="center"/>
          </w:tcPr>
          <w:p w14:paraId="409BC24A">
            <w:pPr>
              <w:pStyle w:val="8"/>
              <w:spacing w:before="172"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3"/>
                <w:sz w:val="24"/>
                <w:szCs w:val="24"/>
                <w:highlight w:val="none"/>
              </w:rPr>
              <w:t>0.</w:t>
            </w:r>
            <w:r>
              <w:rPr>
                <w:rFonts w:hint="eastAsia" w:ascii="宋体" w:hAnsi="宋体" w:eastAsia="宋体" w:cs="宋体"/>
                <w:color w:val="auto"/>
                <w:spacing w:val="-3"/>
                <w:sz w:val="24"/>
                <w:szCs w:val="24"/>
                <w:highlight w:val="none"/>
                <w:lang w:val="en-US" w:eastAsia="zh-CN"/>
              </w:rPr>
              <w:t>3</w:t>
            </w:r>
          </w:p>
        </w:tc>
      </w:tr>
      <w:tr w14:paraId="141B40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3573" w:type="dxa"/>
          </w:tcPr>
          <w:p w14:paraId="1F70B1D9">
            <w:pPr>
              <w:pStyle w:val="8"/>
              <w:spacing w:before="135"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3</w:t>
            </w:r>
            <w:r>
              <w:rPr>
                <w:rFonts w:hint="eastAsia" w:ascii="宋体" w:hAnsi="宋体" w:eastAsia="宋体" w:cs="宋体"/>
                <w:color w:val="auto"/>
                <w:spacing w:val="14"/>
                <w:sz w:val="24"/>
                <w:szCs w:val="24"/>
                <w:highlight w:val="none"/>
                <w:lang w:eastAsia="zh-CN"/>
              </w:rPr>
              <w:t>℃&gt;连续2天（含）以上日最低气温</w:t>
            </w:r>
          </w:p>
        </w:tc>
        <w:tc>
          <w:tcPr>
            <w:tcW w:w="2610" w:type="dxa"/>
            <w:vAlign w:val="center"/>
          </w:tcPr>
          <w:p w14:paraId="0D6AD1C3">
            <w:pPr>
              <w:pStyle w:val="8"/>
              <w:spacing w:before="174"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w:t>
            </w:r>
          </w:p>
        </w:tc>
        <w:tc>
          <w:tcPr>
            <w:tcW w:w="3210" w:type="dxa"/>
            <w:vAlign w:val="center"/>
          </w:tcPr>
          <w:p w14:paraId="2FC1E2B2">
            <w:pPr>
              <w:pStyle w:val="8"/>
              <w:spacing w:before="173"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4"/>
                <w:sz w:val="24"/>
                <w:szCs w:val="24"/>
                <w:highlight w:val="none"/>
              </w:rPr>
              <w:t>0.</w:t>
            </w:r>
            <w:r>
              <w:rPr>
                <w:rFonts w:hint="eastAsia" w:ascii="宋体" w:hAnsi="宋体" w:eastAsia="宋体" w:cs="宋体"/>
                <w:color w:val="auto"/>
                <w:spacing w:val="-4"/>
                <w:sz w:val="24"/>
                <w:szCs w:val="24"/>
                <w:highlight w:val="none"/>
                <w:lang w:val="en-US" w:eastAsia="zh-CN"/>
              </w:rPr>
              <w:t>4</w:t>
            </w:r>
          </w:p>
        </w:tc>
      </w:tr>
    </w:tbl>
    <w:p w14:paraId="62F8E2B3">
      <w:pPr>
        <w:keepNext w:val="0"/>
        <w:keepLines w:val="0"/>
        <w:pageBreakBefore w:val="0"/>
        <w:wordWrap/>
        <w:overflowPunct/>
        <w:topLinePunct/>
        <w:autoSpaceDE w:val="0"/>
        <w:bidi w:val="0"/>
        <w:adjustRightInd w:val="0"/>
        <w:snapToGrid w:val="0"/>
        <w:spacing w:line="360" w:lineRule="auto"/>
        <w:ind w:firstLine="482" w:firstLineChars="200"/>
        <w:jc w:val="both"/>
        <w:rPr>
          <w:rFonts w:hint="eastAsia" w:ascii="宋体" w:hAnsi="宋体" w:eastAsia="宋体" w:cs="宋体"/>
          <w:b/>
          <w:bCs/>
          <w:color w:val="auto"/>
          <w:sz w:val="24"/>
          <w:szCs w:val="24"/>
          <w:highlight w:val="none"/>
          <w:lang w:bidi="ar"/>
        </w:rPr>
      </w:pPr>
      <w:r>
        <w:rPr>
          <w:rFonts w:hint="eastAsia" w:ascii="宋体" w:hAnsi="宋体" w:eastAsia="宋体" w:cs="宋体"/>
          <w:b/>
          <w:bCs/>
          <w:color w:val="auto"/>
          <w:sz w:val="24"/>
          <w:szCs w:val="24"/>
          <w:highlight w:val="none"/>
          <w:lang w:bidi="ar"/>
        </w:rPr>
        <w:t>同一区域内不同时段发生冻害的，</w:t>
      </w:r>
      <w:r>
        <w:rPr>
          <w:rFonts w:hint="eastAsia" w:ascii="宋体" w:hAnsi="宋体" w:eastAsia="宋体" w:cs="宋体"/>
          <w:b/>
          <w:bCs/>
          <w:color w:val="auto"/>
          <w:kern w:val="0"/>
          <w:sz w:val="24"/>
          <w:szCs w:val="24"/>
          <w:highlight w:val="none"/>
          <w:lang w:val="en-US" w:eastAsia="zh-CN"/>
        </w:rPr>
        <w:t>视为不同事故，</w:t>
      </w:r>
      <w:r>
        <w:rPr>
          <w:rFonts w:hint="eastAsia" w:ascii="宋体" w:hAnsi="宋体" w:eastAsia="宋体" w:cs="宋体"/>
          <w:b/>
          <w:bCs/>
          <w:color w:val="auto"/>
          <w:sz w:val="24"/>
          <w:szCs w:val="24"/>
          <w:highlight w:val="none"/>
          <w:lang w:bidi="ar"/>
        </w:rPr>
        <w:t>可以累加赔付。承保区域内出现连续2天（含）日最低气温低于-</w:t>
      </w:r>
      <w:r>
        <w:rPr>
          <w:rFonts w:hint="eastAsia" w:ascii="宋体" w:hAnsi="宋体" w:eastAsia="宋体" w:cs="宋体"/>
          <w:b/>
          <w:bCs/>
          <w:color w:val="auto"/>
          <w:sz w:val="24"/>
          <w:szCs w:val="24"/>
          <w:highlight w:val="none"/>
          <w:lang w:val="en-US" w:eastAsia="zh-CN" w:bidi="ar"/>
        </w:rPr>
        <w:t>1</w:t>
      </w:r>
      <w:r>
        <w:rPr>
          <w:rFonts w:hint="eastAsia" w:ascii="宋体" w:hAnsi="宋体" w:eastAsia="宋体" w:cs="宋体"/>
          <w:b/>
          <w:bCs/>
          <w:color w:val="auto"/>
          <w:sz w:val="24"/>
          <w:szCs w:val="24"/>
          <w:highlight w:val="none"/>
          <w:lang w:bidi="ar"/>
        </w:rPr>
        <w:t>℃（不含）时起，至该区域出现日最低气温≥-</w:t>
      </w:r>
      <w:r>
        <w:rPr>
          <w:rFonts w:hint="eastAsia" w:ascii="宋体" w:hAnsi="宋体" w:eastAsia="宋体" w:cs="宋体"/>
          <w:b/>
          <w:bCs/>
          <w:color w:val="auto"/>
          <w:sz w:val="24"/>
          <w:szCs w:val="24"/>
          <w:highlight w:val="none"/>
          <w:lang w:val="en-US" w:eastAsia="zh-CN" w:bidi="ar"/>
        </w:rPr>
        <w:t>1</w:t>
      </w:r>
      <w:r>
        <w:rPr>
          <w:rFonts w:hint="eastAsia" w:ascii="宋体" w:hAnsi="宋体" w:eastAsia="宋体" w:cs="宋体"/>
          <w:b/>
          <w:bCs/>
          <w:color w:val="auto"/>
          <w:sz w:val="24"/>
          <w:szCs w:val="24"/>
          <w:highlight w:val="none"/>
          <w:lang w:bidi="ar"/>
        </w:rPr>
        <w:t>℃时止，视为同一次事故，不累加赔付，取发生的最高级别低温冻害灾害等级标准进行赔付。保险期限内，低温冻害指数</w:t>
      </w:r>
      <w:r>
        <w:rPr>
          <w:rFonts w:hint="eastAsia" w:ascii="宋体" w:hAnsi="宋体" w:eastAsia="宋体" w:cs="宋体"/>
          <w:b/>
          <w:bCs/>
          <w:color w:val="auto"/>
          <w:sz w:val="24"/>
          <w:szCs w:val="24"/>
          <w:highlight w:val="none"/>
          <w:lang w:eastAsia="zh-CN" w:bidi="ar"/>
        </w:rPr>
        <w:t>累计赔偿金额</w:t>
      </w:r>
      <w:r>
        <w:rPr>
          <w:rFonts w:hint="eastAsia" w:ascii="宋体" w:hAnsi="宋体" w:eastAsia="宋体" w:cs="宋体"/>
          <w:b/>
          <w:bCs/>
          <w:color w:val="auto"/>
          <w:sz w:val="24"/>
          <w:szCs w:val="24"/>
          <w:highlight w:val="none"/>
          <w:lang w:bidi="ar"/>
        </w:rPr>
        <w:t>不超过冻害指数子项赔偿限额。</w:t>
      </w:r>
    </w:p>
    <w:p w14:paraId="00EF75AA">
      <w:pPr>
        <w:keepNext w:val="0"/>
        <w:keepLines w:val="0"/>
        <w:pageBreakBefore w:val="0"/>
        <w:wordWrap/>
        <w:overflowPunct/>
        <w:topLinePunct/>
        <w:autoSpaceDE w:val="0"/>
        <w:bidi w:val="0"/>
        <w:adjustRightInd w:val="0"/>
        <w:snapToGrid w:val="0"/>
        <w:spacing w:line="360" w:lineRule="auto"/>
        <w:jc w:val="center"/>
        <w:rPr>
          <w:rFonts w:hint="eastAsia" w:ascii="宋体" w:hAnsi="宋体" w:eastAsia="宋体" w:cs="宋体"/>
          <w:b/>
          <w:bCs/>
          <w:color w:val="auto"/>
          <w:sz w:val="24"/>
          <w:szCs w:val="24"/>
          <w:highlight w:val="none"/>
          <w:lang w:bidi="ar"/>
        </w:rPr>
      </w:pPr>
      <w:r>
        <w:rPr>
          <w:rFonts w:hint="eastAsia" w:ascii="宋体" w:hAnsi="宋体" w:eastAsia="宋体" w:cs="宋体"/>
          <w:b/>
          <w:bCs/>
          <w:color w:val="auto"/>
          <w:sz w:val="24"/>
          <w:szCs w:val="24"/>
          <w:highlight w:val="none"/>
          <w:lang w:bidi="ar"/>
        </w:rPr>
        <w:t>低温冻害指数子项赔偿限额=保险金额（元）×低温冻害风险系数</w:t>
      </w:r>
    </w:p>
    <w:p w14:paraId="3AC5AC8B">
      <w:pPr>
        <w:spacing w:line="360" w:lineRule="auto"/>
        <w:ind w:firstLine="482" w:firstLineChars="200"/>
        <w:rPr>
          <w:rFonts w:hint="eastAsia" w:ascii="宋体" w:hAnsi="宋体" w:eastAsia="宋体" w:cs="宋体"/>
          <w:color w:val="auto"/>
          <w:sz w:val="24"/>
          <w:szCs w:val="24"/>
          <w:highlight w:val="none"/>
          <w:lang w:bidi="ar"/>
        </w:rPr>
      </w:pPr>
      <w:r>
        <w:rPr>
          <w:rFonts w:hint="eastAsia" w:ascii="宋体" w:hAnsi="宋体" w:eastAsia="宋体" w:cs="宋体"/>
          <w:b/>
          <w:bCs/>
          <w:color w:val="auto"/>
          <w:sz w:val="24"/>
          <w:szCs w:val="24"/>
          <w:highlight w:val="none"/>
          <w:lang w:val="en-US" w:eastAsia="zh-CN" w:bidi="ar"/>
        </w:rPr>
        <w:t>冰雹指数：</w:t>
      </w:r>
      <w:r>
        <w:rPr>
          <w:rFonts w:hint="eastAsia" w:ascii="宋体" w:hAnsi="宋体" w:eastAsia="宋体" w:cs="宋体"/>
          <w:color w:val="auto"/>
          <w:sz w:val="24"/>
          <w:szCs w:val="24"/>
          <w:highlight w:val="none"/>
          <w:lang w:bidi="ar"/>
        </w:rPr>
        <w:t>保险区域范围内约定的</w:t>
      </w:r>
      <w:r>
        <w:rPr>
          <w:rFonts w:hint="eastAsia" w:ascii="宋体" w:hAnsi="宋体" w:eastAsia="宋体" w:cs="宋体"/>
          <w:color w:val="auto"/>
          <w:sz w:val="24"/>
          <w:szCs w:val="24"/>
          <w:highlight w:val="none"/>
          <w:lang w:eastAsia="zh-CN"/>
        </w:rPr>
        <w:t>气象观测站点</w:t>
      </w:r>
      <w:r>
        <w:rPr>
          <w:rFonts w:hint="eastAsia" w:ascii="宋体" w:hAnsi="宋体" w:eastAsia="宋体" w:cs="宋体"/>
          <w:color w:val="auto"/>
          <w:sz w:val="24"/>
          <w:szCs w:val="24"/>
          <w:highlight w:val="none"/>
          <w:lang w:bidi="ar"/>
        </w:rPr>
        <w:t>观测范围发生冰雹灾害，达到约定的冰雹指数触发标准（即承保区域内约定的气象站点出现直径达</w:t>
      </w:r>
      <w:r>
        <w:rPr>
          <w:rFonts w:hint="eastAsia" w:ascii="宋体" w:hAnsi="宋体" w:eastAsia="宋体" w:cs="宋体"/>
          <w:color w:val="auto"/>
          <w:sz w:val="24"/>
          <w:szCs w:val="24"/>
          <w:highlight w:val="none"/>
          <w:lang w:val="en-US" w:eastAsia="zh-CN" w:bidi="ar"/>
        </w:rPr>
        <w:t>5</w:t>
      </w:r>
      <w:r>
        <w:rPr>
          <w:rFonts w:hint="eastAsia" w:ascii="宋体" w:hAnsi="宋体" w:eastAsia="宋体" w:cs="宋体"/>
          <w:color w:val="auto"/>
          <w:sz w:val="24"/>
          <w:szCs w:val="24"/>
          <w:highlight w:val="none"/>
          <w:lang w:bidi="ar"/>
        </w:rPr>
        <w:t>毫米（含）以上冰雹</w:t>
      </w:r>
      <w:r>
        <w:rPr>
          <w:rFonts w:hint="eastAsia" w:ascii="宋体" w:hAnsi="宋体" w:eastAsia="宋体" w:cs="宋体"/>
          <w:color w:val="auto"/>
          <w:sz w:val="24"/>
          <w:szCs w:val="24"/>
          <w:highlight w:val="none"/>
          <w:lang w:eastAsia="zh-CN" w:bidi="ar"/>
        </w:rPr>
        <w:t>）</w:t>
      </w:r>
      <w:r>
        <w:rPr>
          <w:rFonts w:hint="eastAsia" w:ascii="宋体" w:hAnsi="宋体" w:eastAsia="宋体" w:cs="宋体"/>
          <w:color w:val="auto"/>
          <w:sz w:val="24"/>
          <w:szCs w:val="24"/>
          <w:highlight w:val="none"/>
          <w:lang w:bidi="ar"/>
        </w:rPr>
        <w:t>时，视为保险事故发生，保险人按照以下方式进行赔偿。</w:t>
      </w:r>
    </w:p>
    <w:p w14:paraId="63DF16D5">
      <w:pPr>
        <w:topLinePunct/>
        <w:autoSpaceDE w:val="0"/>
        <w:spacing w:line="360" w:lineRule="auto"/>
        <w:ind w:firstLine="480" w:firstLineChars="200"/>
        <w:jc w:val="left"/>
        <w:rPr>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lang w:bidi="ar"/>
        </w:rPr>
        <w:t>赔偿金额=保险金额（元）×冰雹风险系数×冰雹指数等级系数</w:t>
      </w:r>
    </w:p>
    <w:p w14:paraId="1BCF6B15">
      <w:pPr>
        <w:spacing w:line="360" w:lineRule="auto"/>
        <w:jc w:val="left"/>
        <w:outlineLvl w:val="9"/>
        <w:rPr>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lang w:bidi="ar"/>
        </w:rPr>
        <w:t>冰雹指数认定以当地县级</w:t>
      </w:r>
      <w:r>
        <w:rPr>
          <w:rFonts w:hint="eastAsia" w:ascii="宋体" w:hAnsi="宋体" w:eastAsia="宋体" w:cs="宋体"/>
          <w:color w:val="auto"/>
          <w:sz w:val="24"/>
          <w:szCs w:val="24"/>
          <w:highlight w:val="none"/>
          <w:lang w:eastAsia="zh-CN" w:bidi="ar"/>
        </w:rPr>
        <w:t>（</w:t>
      </w:r>
      <w:r>
        <w:rPr>
          <w:rFonts w:hint="eastAsia" w:ascii="宋体" w:hAnsi="宋体" w:eastAsia="宋体" w:cs="宋体"/>
          <w:color w:val="auto"/>
          <w:sz w:val="24"/>
          <w:szCs w:val="24"/>
          <w:highlight w:val="none"/>
          <w:lang w:bidi="ar"/>
        </w:rPr>
        <w:t>含</w:t>
      </w:r>
      <w:r>
        <w:rPr>
          <w:rFonts w:hint="eastAsia" w:ascii="宋体" w:hAnsi="宋体" w:eastAsia="宋体" w:cs="宋体"/>
          <w:color w:val="auto"/>
          <w:sz w:val="24"/>
          <w:szCs w:val="24"/>
          <w:highlight w:val="none"/>
          <w:lang w:eastAsia="zh-CN" w:bidi="ar"/>
        </w:rPr>
        <w:t>）</w:t>
      </w:r>
      <w:r>
        <w:rPr>
          <w:rFonts w:hint="eastAsia" w:ascii="宋体" w:hAnsi="宋体" w:eastAsia="宋体" w:cs="宋体"/>
          <w:color w:val="auto"/>
          <w:sz w:val="24"/>
          <w:szCs w:val="24"/>
          <w:highlight w:val="none"/>
          <w:lang w:bidi="ar"/>
        </w:rPr>
        <w:t>以上气象部门出具的观测数据或气象证明为准。冰雹指数等级系数按照下表约定计算:</w:t>
      </w:r>
    </w:p>
    <w:p w14:paraId="135680E2">
      <w:pPr>
        <w:spacing w:line="360" w:lineRule="auto"/>
        <w:jc w:val="center"/>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冰雹指数等级系数情况表</w:t>
      </w:r>
    </w:p>
    <w:tbl>
      <w:tblPr>
        <w:tblStyle w:val="7"/>
        <w:tblW w:w="896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971"/>
        <w:gridCol w:w="2205"/>
        <w:gridCol w:w="2789"/>
      </w:tblGrid>
      <w:tr w14:paraId="13DC29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9" w:hRule="atLeast"/>
          <w:jc w:val="center"/>
        </w:trPr>
        <w:tc>
          <w:tcPr>
            <w:tcW w:w="3971" w:type="dxa"/>
          </w:tcPr>
          <w:p w14:paraId="5F6915BF">
            <w:pPr>
              <w:pStyle w:val="8"/>
              <w:spacing w:before="136"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2"/>
                <w:sz w:val="24"/>
                <w:szCs w:val="24"/>
                <w:highlight w:val="none"/>
              </w:rPr>
              <w:t>冰雹灾害指数</w:t>
            </w:r>
          </w:p>
        </w:tc>
        <w:tc>
          <w:tcPr>
            <w:tcW w:w="2205" w:type="dxa"/>
          </w:tcPr>
          <w:p w14:paraId="7640EACD">
            <w:pPr>
              <w:pStyle w:val="8"/>
              <w:spacing w:before="136"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2"/>
                <w:sz w:val="24"/>
                <w:szCs w:val="24"/>
                <w:highlight w:val="none"/>
              </w:rPr>
              <w:t>冰雹灾害等级</w:t>
            </w:r>
          </w:p>
        </w:tc>
        <w:tc>
          <w:tcPr>
            <w:tcW w:w="2789" w:type="dxa"/>
          </w:tcPr>
          <w:p w14:paraId="3054C8BD">
            <w:pPr>
              <w:pStyle w:val="8"/>
              <w:spacing w:before="136"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3"/>
                <w:sz w:val="24"/>
                <w:szCs w:val="24"/>
                <w:highlight w:val="none"/>
                <w:lang w:eastAsia="zh-CN"/>
              </w:rPr>
              <w:t>冰雹指数等级</w:t>
            </w:r>
            <w:r>
              <w:rPr>
                <w:rFonts w:hint="eastAsia" w:ascii="宋体" w:hAnsi="宋体" w:eastAsia="宋体" w:cs="宋体"/>
                <w:b/>
                <w:bCs/>
                <w:color w:val="auto"/>
                <w:spacing w:val="-3"/>
                <w:sz w:val="24"/>
                <w:szCs w:val="24"/>
                <w:highlight w:val="none"/>
              </w:rPr>
              <w:t>系数</w:t>
            </w:r>
          </w:p>
        </w:tc>
      </w:tr>
      <w:tr w14:paraId="56AD7A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jc w:val="center"/>
        </w:trPr>
        <w:tc>
          <w:tcPr>
            <w:tcW w:w="3971" w:type="dxa"/>
          </w:tcPr>
          <w:p w14:paraId="72FD44B1">
            <w:pPr>
              <w:pStyle w:val="8"/>
              <w:spacing w:before="133"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5mm≤冰雹直径＜20mm</w:t>
            </w:r>
          </w:p>
        </w:tc>
        <w:tc>
          <w:tcPr>
            <w:tcW w:w="2205" w:type="dxa"/>
          </w:tcPr>
          <w:p w14:paraId="49A91EEB">
            <w:pPr>
              <w:pStyle w:val="8"/>
              <w:spacing w:before="172"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III</w:t>
            </w:r>
          </w:p>
        </w:tc>
        <w:tc>
          <w:tcPr>
            <w:tcW w:w="2789" w:type="dxa"/>
          </w:tcPr>
          <w:p w14:paraId="0A9B5F84">
            <w:pPr>
              <w:pStyle w:val="8"/>
              <w:spacing w:before="171"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3"/>
                <w:sz w:val="24"/>
                <w:szCs w:val="24"/>
                <w:highlight w:val="none"/>
              </w:rPr>
              <w:t>0.0</w:t>
            </w:r>
            <w:r>
              <w:rPr>
                <w:rFonts w:hint="eastAsia" w:ascii="宋体" w:hAnsi="宋体" w:eastAsia="宋体" w:cs="宋体"/>
                <w:color w:val="auto"/>
                <w:spacing w:val="-3"/>
                <w:sz w:val="24"/>
                <w:szCs w:val="24"/>
                <w:highlight w:val="none"/>
                <w:lang w:val="en-US" w:eastAsia="zh-CN"/>
              </w:rPr>
              <w:t>1</w:t>
            </w:r>
          </w:p>
        </w:tc>
      </w:tr>
      <w:tr w14:paraId="24944B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jc w:val="center"/>
        </w:trPr>
        <w:tc>
          <w:tcPr>
            <w:tcW w:w="3971" w:type="dxa"/>
          </w:tcPr>
          <w:p w14:paraId="3741053C">
            <w:pPr>
              <w:pStyle w:val="8"/>
              <w:spacing w:before="134"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20mm≤冰雹直径＜50mm</w:t>
            </w:r>
          </w:p>
        </w:tc>
        <w:tc>
          <w:tcPr>
            <w:tcW w:w="2205" w:type="dxa"/>
          </w:tcPr>
          <w:p w14:paraId="796FCE4E">
            <w:pPr>
              <w:pStyle w:val="8"/>
              <w:spacing w:before="173"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rPr>
              <w:t>II</w:t>
            </w:r>
          </w:p>
        </w:tc>
        <w:tc>
          <w:tcPr>
            <w:tcW w:w="2789" w:type="dxa"/>
            <w:vAlign w:val="top"/>
          </w:tcPr>
          <w:p w14:paraId="1F116AE5">
            <w:pPr>
              <w:pStyle w:val="8"/>
              <w:spacing w:before="171" w:line="360" w:lineRule="auto"/>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pacing w:val="-3"/>
                <w:sz w:val="24"/>
                <w:szCs w:val="24"/>
                <w:highlight w:val="none"/>
              </w:rPr>
              <w:t>0.05</w:t>
            </w:r>
          </w:p>
        </w:tc>
      </w:tr>
      <w:tr w14:paraId="446245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8" w:hRule="atLeast"/>
          <w:jc w:val="center"/>
        </w:trPr>
        <w:tc>
          <w:tcPr>
            <w:tcW w:w="3971" w:type="dxa"/>
          </w:tcPr>
          <w:p w14:paraId="7963CDC0">
            <w:pPr>
              <w:pStyle w:val="8"/>
              <w:spacing w:before="134"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50mm≤冰雹直径</w:t>
            </w:r>
          </w:p>
        </w:tc>
        <w:tc>
          <w:tcPr>
            <w:tcW w:w="2205" w:type="dxa"/>
          </w:tcPr>
          <w:p w14:paraId="7A93B5A3">
            <w:pPr>
              <w:pStyle w:val="8"/>
              <w:spacing w:before="174"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w:t>
            </w:r>
          </w:p>
        </w:tc>
        <w:tc>
          <w:tcPr>
            <w:tcW w:w="2789" w:type="dxa"/>
            <w:vAlign w:val="top"/>
          </w:tcPr>
          <w:p w14:paraId="5074705F">
            <w:pPr>
              <w:pStyle w:val="8"/>
              <w:spacing w:before="172" w:line="360" w:lineRule="auto"/>
              <w:jc w:val="center"/>
              <w:rPr>
                <w:rFonts w:hint="eastAsia" w:ascii="宋体" w:hAnsi="宋体" w:eastAsia="宋体" w:cs="宋体"/>
                <w:snapToGrid w:val="0"/>
                <w:color w:val="auto"/>
                <w:kern w:val="0"/>
                <w:sz w:val="24"/>
                <w:szCs w:val="24"/>
                <w:highlight w:val="none"/>
                <w:lang w:val="en-US" w:eastAsia="en-US" w:bidi="ar-SA"/>
              </w:rPr>
            </w:pPr>
            <w:r>
              <w:rPr>
                <w:rFonts w:hint="eastAsia" w:ascii="宋体" w:hAnsi="宋体" w:eastAsia="宋体" w:cs="宋体"/>
                <w:color w:val="auto"/>
                <w:spacing w:val="-3"/>
                <w:sz w:val="24"/>
                <w:szCs w:val="24"/>
                <w:highlight w:val="none"/>
              </w:rPr>
              <w:t>0.1</w:t>
            </w:r>
          </w:p>
        </w:tc>
      </w:tr>
    </w:tbl>
    <w:p w14:paraId="2F752A43">
      <w:pPr>
        <w:keepNext w:val="0"/>
        <w:keepLines w:val="0"/>
        <w:pageBreakBefore w:val="0"/>
        <w:wordWrap/>
        <w:overflowPunct/>
        <w:topLinePunct/>
        <w:autoSpaceDE w:val="0"/>
        <w:bidi w:val="0"/>
        <w:adjustRightInd w:val="0"/>
        <w:snapToGrid w:val="0"/>
        <w:spacing w:line="360" w:lineRule="auto"/>
        <w:ind w:firstLine="482" w:firstLineChars="200"/>
        <w:jc w:val="both"/>
        <w:rPr>
          <w:rFonts w:hint="eastAsia" w:ascii="宋体" w:hAnsi="宋体" w:eastAsia="宋体" w:cs="宋体"/>
          <w:b/>
          <w:bCs/>
          <w:color w:val="auto"/>
          <w:sz w:val="24"/>
          <w:szCs w:val="24"/>
          <w:highlight w:val="none"/>
          <w:lang w:bidi="ar"/>
        </w:rPr>
      </w:pPr>
      <w:r>
        <w:rPr>
          <w:rFonts w:hint="eastAsia" w:ascii="宋体" w:hAnsi="宋体" w:eastAsia="宋体" w:cs="宋体"/>
          <w:b/>
          <w:bCs/>
          <w:color w:val="auto"/>
          <w:sz w:val="24"/>
          <w:szCs w:val="24"/>
          <w:highlight w:val="none"/>
          <w:lang w:bidi="ar"/>
        </w:rPr>
        <w:t>同一区域内不同时段发生冰雹的，</w:t>
      </w:r>
      <w:r>
        <w:rPr>
          <w:rFonts w:hint="eastAsia" w:ascii="宋体" w:hAnsi="宋体" w:eastAsia="宋体" w:cs="宋体"/>
          <w:b/>
          <w:bCs/>
          <w:color w:val="auto"/>
          <w:kern w:val="0"/>
          <w:sz w:val="24"/>
          <w:szCs w:val="24"/>
          <w:highlight w:val="none"/>
          <w:lang w:val="en-US" w:eastAsia="zh-CN"/>
        </w:rPr>
        <w:t>视为不同事故，</w:t>
      </w:r>
      <w:r>
        <w:rPr>
          <w:rFonts w:hint="eastAsia" w:ascii="宋体" w:hAnsi="宋体" w:eastAsia="宋体" w:cs="宋体"/>
          <w:b/>
          <w:bCs/>
          <w:color w:val="auto"/>
          <w:sz w:val="24"/>
          <w:szCs w:val="24"/>
          <w:highlight w:val="none"/>
          <w:lang w:bidi="ar"/>
        </w:rPr>
        <w:t>可以累加赔付。承保区域内出现直径达</w:t>
      </w:r>
      <w:r>
        <w:rPr>
          <w:rFonts w:hint="eastAsia" w:ascii="宋体" w:hAnsi="宋体" w:eastAsia="宋体" w:cs="宋体"/>
          <w:b/>
          <w:bCs/>
          <w:color w:val="auto"/>
          <w:sz w:val="24"/>
          <w:szCs w:val="24"/>
          <w:highlight w:val="none"/>
          <w:lang w:val="en-US" w:eastAsia="zh-CN" w:bidi="ar"/>
        </w:rPr>
        <w:t>5</w:t>
      </w:r>
      <w:r>
        <w:rPr>
          <w:rFonts w:hint="eastAsia" w:ascii="宋体" w:hAnsi="宋体" w:eastAsia="宋体" w:cs="宋体"/>
          <w:b/>
          <w:bCs/>
          <w:color w:val="auto"/>
          <w:sz w:val="24"/>
          <w:szCs w:val="24"/>
          <w:highlight w:val="none"/>
          <w:lang w:bidi="ar"/>
        </w:rPr>
        <w:t>毫米（含）以上冰雹时起，至该</w:t>
      </w:r>
      <w:r>
        <w:rPr>
          <w:rFonts w:hint="eastAsia" w:ascii="宋体" w:hAnsi="宋体" w:eastAsia="宋体" w:cs="宋体"/>
          <w:b/>
          <w:bCs/>
          <w:color w:val="auto"/>
          <w:sz w:val="24"/>
          <w:szCs w:val="24"/>
          <w:highlight w:val="none"/>
          <w:lang w:val="en-US" w:eastAsia="zh-CN" w:bidi="ar"/>
        </w:rPr>
        <w:t>区域</w:t>
      </w:r>
      <w:r>
        <w:rPr>
          <w:rFonts w:hint="eastAsia" w:ascii="宋体" w:hAnsi="宋体" w:eastAsia="宋体" w:cs="宋体"/>
          <w:b/>
          <w:bCs/>
          <w:color w:val="auto"/>
          <w:sz w:val="24"/>
          <w:szCs w:val="24"/>
          <w:highlight w:val="none"/>
          <w:lang w:bidi="ar"/>
        </w:rPr>
        <w:t>出现连续12小时及以上未发生冰雹天气时止，视为同一次事故，不累加赔付，取发生的最高级别冰雹灾害等级标准进行赔付。保险期限内，冰雹灾害</w:t>
      </w:r>
      <w:r>
        <w:rPr>
          <w:rFonts w:hint="eastAsia" w:ascii="宋体" w:hAnsi="宋体" w:eastAsia="宋体" w:cs="宋体"/>
          <w:b/>
          <w:bCs/>
          <w:color w:val="auto"/>
          <w:sz w:val="24"/>
          <w:szCs w:val="24"/>
          <w:highlight w:val="none"/>
          <w:lang w:eastAsia="zh-CN" w:bidi="ar"/>
        </w:rPr>
        <w:t>累计赔偿金额</w:t>
      </w:r>
      <w:r>
        <w:rPr>
          <w:rFonts w:hint="eastAsia" w:ascii="宋体" w:hAnsi="宋体" w:eastAsia="宋体" w:cs="宋体"/>
          <w:b/>
          <w:bCs/>
          <w:color w:val="auto"/>
          <w:sz w:val="24"/>
          <w:szCs w:val="24"/>
          <w:highlight w:val="none"/>
          <w:lang w:bidi="ar"/>
        </w:rPr>
        <w:t>不超过冰雹指数子项赔偿限额。</w:t>
      </w:r>
    </w:p>
    <w:p w14:paraId="6829C374">
      <w:pPr>
        <w:topLinePunct/>
        <w:autoSpaceDE w:val="0"/>
        <w:spacing w:line="360" w:lineRule="auto"/>
        <w:jc w:val="center"/>
        <w:rPr>
          <w:rFonts w:hint="eastAsia" w:ascii="宋体" w:hAnsi="宋体" w:eastAsia="宋体" w:cs="宋体"/>
          <w:color w:val="auto"/>
          <w:sz w:val="24"/>
          <w:szCs w:val="24"/>
          <w:highlight w:val="none"/>
          <w:lang w:bidi="ar"/>
        </w:rPr>
      </w:pPr>
      <w:r>
        <w:rPr>
          <w:rFonts w:hint="eastAsia" w:ascii="宋体" w:hAnsi="宋体" w:eastAsia="宋体" w:cs="宋体"/>
          <w:b/>
          <w:bCs/>
          <w:color w:val="auto"/>
          <w:sz w:val="24"/>
          <w:szCs w:val="24"/>
          <w:highlight w:val="none"/>
          <w:lang w:bidi="ar"/>
        </w:rPr>
        <w:t>冰雹指数子项赔偿限额=保险金额（元）×冰雹风险系数</w:t>
      </w:r>
    </w:p>
    <w:p w14:paraId="4267B1E9">
      <w:pPr>
        <w:topLinePunct/>
        <w:autoSpaceDE w:val="0"/>
        <w:spacing w:line="360" w:lineRule="auto"/>
        <w:ind w:firstLine="482" w:firstLineChars="200"/>
        <w:rPr>
          <w:rFonts w:hint="eastAsia" w:ascii="宋体" w:hAnsi="宋体" w:eastAsia="宋体" w:cs="宋体"/>
          <w:color w:val="auto"/>
          <w:kern w:val="0"/>
          <w:sz w:val="24"/>
          <w:szCs w:val="24"/>
          <w:highlight w:val="none"/>
          <w:lang w:bidi="ar"/>
        </w:rPr>
      </w:pPr>
      <w:r>
        <w:rPr>
          <w:rFonts w:hint="eastAsia" w:ascii="宋体" w:hAnsi="宋体" w:eastAsia="宋体" w:cs="宋体"/>
          <w:b/>
          <w:color w:val="auto"/>
          <w:kern w:val="0"/>
          <w:sz w:val="24"/>
          <w:szCs w:val="24"/>
          <w:highlight w:val="none"/>
        </w:rPr>
        <w:t>干旱指数</w:t>
      </w:r>
      <w:r>
        <w:rPr>
          <w:rFonts w:hint="eastAsia" w:ascii="宋体" w:hAnsi="宋体" w:eastAsia="宋体" w:cs="宋体"/>
          <w:b/>
          <w:color w:val="auto"/>
          <w:kern w:val="0"/>
          <w:sz w:val="24"/>
          <w:szCs w:val="24"/>
          <w:highlight w:val="none"/>
          <w:lang w:eastAsia="zh-CN"/>
        </w:rPr>
        <w:t>：</w:t>
      </w:r>
      <w:r>
        <w:rPr>
          <w:rFonts w:hint="eastAsia" w:ascii="宋体" w:hAnsi="宋体" w:eastAsia="宋体" w:cs="宋体"/>
          <w:color w:val="auto"/>
          <w:kern w:val="0"/>
          <w:sz w:val="24"/>
          <w:szCs w:val="24"/>
          <w:highlight w:val="none"/>
          <w:lang w:bidi="ar"/>
        </w:rPr>
        <w:t>保险区域范围内约定的</w:t>
      </w:r>
      <w:r>
        <w:rPr>
          <w:rFonts w:hint="eastAsia" w:ascii="宋体" w:hAnsi="宋体" w:eastAsia="宋体" w:cs="宋体"/>
          <w:color w:val="auto"/>
          <w:kern w:val="0"/>
          <w:sz w:val="24"/>
          <w:szCs w:val="24"/>
          <w:highlight w:val="none"/>
          <w:lang w:eastAsia="zh-CN" w:bidi="ar"/>
        </w:rPr>
        <w:t>气象观测站点</w:t>
      </w:r>
      <w:r>
        <w:rPr>
          <w:rFonts w:hint="eastAsia" w:ascii="宋体" w:hAnsi="宋体" w:eastAsia="宋体" w:cs="宋体"/>
          <w:color w:val="auto"/>
          <w:kern w:val="0"/>
          <w:sz w:val="24"/>
          <w:szCs w:val="24"/>
          <w:highlight w:val="none"/>
          <w:lang w:bidi="ar"/>
        </w:rPr>
        <w:t>观测范围发生干旱灾害时，达到约定的干旱指数触发标准（即承保区域内约定的</w:t>
      </w:r>
      <w:r>
        <w:rPr>
          <w:rFonts w:hint="eastAsia" w:ascii="宋体" w:hAnsi="宋体" w:eastAsia="宋体" w:cs="宋体"/>
          <w:color w:val="auto"/>
          <w:kern w:val="0"/>
          <w:sz w:val="24"/>
          <w:szCs w:val="24"/>
          <w:highlight w:val="none"/>
          <w:lang w:eastAsia="zh-CN" w:bidi="ar"/>
        </w:rPr>
        <w:t>气象观测站点</w:t>
      </w:r>
      <w:r>
        <w:rPr>
          <w:rFonts w:hint="eastAsia" w:ascii="宋体" w:hAnsi="宋体" w:eastAsia="宋体" w:cs="宋体"/>
          <w:color w:val="auto"/>
          <w:kern w:val="0"/>
          <w:sz w:val="24"/>
          <w:szCs w:val="24"/>
          <w:highlight w:val="none"/>
          <w:lang w:bidi="ar"/>
        </w:rPr>
        <w:t>出现连续无有效降水日数（日降水量＜2mm）大于等于2</w:t>
      </w:r>
      <w:r>
        <w:rPr>
          <w:rFonts w:hint="eastAsia" w:ascii="宋体" w:hAnsi="宋体" w:eastAsia="宋体" w:cs="宋体"/>
          <w:color w:val="auto"/>
          <w:kern w:val="0"/>
          <w:sz w:val="24"/>
          <w:szCs w:val="24"/>
          <w:highlight w:val="none"/>
          <w:lang w:val="en-US" w:eastAsia="zh-CN" w:bidi="ar"/>
        </w:rPr>
        <w:t>0</w:t>
      </w:r>
      <w:r>
        <w:rPr>
          <w:rFonts w:hint="eastAsia" w:ascii="宋体" w:hAnsi="宋体" w:eastAsia="宋体" w:cs="宋体"/>
          <w:color w:val="auto"/>
          <w:kern w:val="0"/>
          <w:sz w:val="24"/>
          <w:szCs w:val="24"/>
          <w:highlight w:val="none"/>
          <w:lang w:bidi="ar"/>
        </w:rPr>
        <w:t>天）时，视为保险事故发生，保险人按照以下方式进行赔偿。</w:t>
      </w:r>
    </w:p>
    <w:p w14:paraId="215EEBD1">
      <w:pPr>
        <w:topLinePunct/>
        <w:autoSpaceDE w:val="0"/>
        <w:spacing w:line="360" w:lineRule="auto"/>
        <w:ind w:firstLine="480" w:firstLineChars="200"/>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赔偿金额=保险金额（元）×干旱风险系数×干旱指数等级系数</w:t>
      </w:r>
    </w:p>
    <w:p w14:paraId="3597DCFC">
      <w:pPr>
        <w:keepNext w:val="0"/>
        <w:keepLines w:val="0"/>
        <w:pageBreakBefore w:val="0"/>
        <w:widowControl w:val="0"/>
        <w:kinsoku/>
        <w:wordWrap/>
        <w:overflowPunct/>
        <w:topLinePunct/>
        <w:autoSpaceDE w:val="0"/>
        <w:autoSpaceDN/>
        <w:bidi w:val="0"/>
        <w:adjustRightInd/>
        <w:snapToGrid/>
        <w:spacing w:line="360" w:lineRule="auto"/>
        <w:ind w:left="0" w:firstLine="480" w:firstLineChars="200"/>
        <w:textAlignment w:val="auto"/>
        <w:rPr>
          <w:rFonts w:hint="eastAsia" w:ascii="宋体" w:hAnsi="宋体" w:eastAsia="宋体" w:cs="宋体"/>
          <w:color w:val="auto"/>
          <w:kern w:val="0"/>
          <w:sz w:val="24"/>
          <w:szCs w:val="24"/>
          <w:highlight w:val="none"/>
          <w:lang w:bidi="ar"/>
        </w:rPr>
      </w:pPr>
      <w:r>
        <w:rPr>
          <w:rFonts w:hint="eastAsia" w:ascii="宋体" w:hAnsi="宋体" w:eastAsia="宋体" w:cs="宋体"/>
          <w:color w:val="auto"/>
          <w:kern w:val="0"/>
          <w:sz w:val="24"/>
          <w:szCs w:val="24"/>
          <w:highlight w:val="none"/>
          <w:lang w:bidi="ar"/>
        </w:rPr>
        <w:t>干旱指数认定以当地县级</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含</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以上气象部门出具的观测数据或气象证明为准。干旱指数等级系数按照下表约定计算:</w:t>
      </w:r>
    </w:p>
    <w:p w14:paraId="5FA2AF45">
      <w:pPr>
        <w:keepNext w:val="0"/>
        <w:keepLines w:val="0"/>
        <w:pageBreakBefore w:val="0"/>
        <w:widowControl w:val="0"/>
        <w:kinsoku/>
        <w:wordWrap/>
        <w:overflowPunct/>
        <w:topLinePunct/>
        <w:autoSpaceDE w:val="0"/>
        <w:autoSpaceDN/>
        <w:bidi w:val="0"/>
        <w:adjustRightInd/>
        <w:snapToGrid/>
        <w:spacing w:line="360" w:lineRule="auto"/>
        <w:ind w:firstLine="0" w:firstLineChars="0"/>
        <w:jc w:val="center"/>
        <w:textAlignment w:val="auto"/>
        <w:rPr>
          <w:rFonts w:hint="eastAsia" w:ascii="宋体" w:hAnsi="宋体" w:eastAsia="宋体" w:cs="宋体"/>
          <w:b/>
          <w:bCs/>
          <w:color w:val="auto"/>
          <w:sz w:val="24"/>
          <w:szCs w:val="24"/>
          <w:highlight w:val="none"/>
          <w:lang w:val="en-US" w:eastAsia="zh-CN" w:bidi="ar"/>
        </w:rPr>
      </w:pPr>
      <w:r>
        <w:rPr>
          <w:rFonts w:hint="eastAsia" w:ascii="宋体" w:hAnsi="宋体" w:eastAsia="宋体" w:cs="宋体"/>
          <w:b/>
          <w:bCs/>
          <w:color w:val="auto"/>
          <w:sz w:val="24"/>
          <w:szCs w:val="24"/>
          <w:highlight w:val="none"/>
          <w:lang w:val="en-US" w:eastAsia="zh-CN" w:bidi="ar"/>
        </w:rPr>
        <w:t>干旱指数等级</w:t>
      </w:r>
      <w:r>
        <w:rPr>
          <w:rFonts w:hint="eastAsia" w:ascii="宋体" w:hAnsi="宋体" w:eastAsia="宋体" w:cs="宋体"/>
          <w:b/>
          <w:bCs/>
          <w:sz w:val="24"/>
          <w:szCs w:val="24"/>
          <w:highlight w:val="none"/>
          <w:lang w:val="en-US" w:eastAsia="zh-CN" w:bidi="ar"/>
        </w:rPr>
        <w:t>系数情况</w:t>
      </w:r>
      <w:r>
        <w:rPr>
          <w:rFonts w:hint="eastAsia" w:ascii="宋体" w:hAnsi="宋体" w:eastAsia="宋体" w:cs="宋体"/>
          <w:b/>
          <w:bCs/>
          <w:color w:val="auto"/>
          <w:sz w:val="24"/>
          <w:szCs w:val="24"/>
          <w:highlight w:val="none"/>
          <w:lang w:val="en-US" w:eastAsia="zh-CN" w:bidi="ar"/>
        </w:rPr>
        <w:t>表</w:t>
      </w:r>
    </w:p>
    <w:tbl>
      <w:tblPr>
        <w:tblStyle w:val="4"/>
        <w:tblW w:w="9635" w:type="dxa"/>
        <w:jc w:val="center"/>
        <w:tblLayout w:type="fixed"/>
        <w:tblCellMar>
          <w:top w:w="0" w:type="dxa"/>
          <w:left w:w="108" w:type="dxa"/>
          <w:bottom w:w="0" w:type="dxa"/>
          <w:right w:w="108" w:type="dxa"/>
        </w:tblCellMar>
      </w:tblPr>
      <w:tblGrid>
        <w:gridCol w:w="5065"/>
        <w:gridCol w:w="1713"/>
        <w:gridCol w:w="2857"/>
      </w:tblGrid>
      <w:tr w14:paraId="7139F6C8">
        <w:tblPrEx>
          <w:tblCellMar>
            <w:top w:w="0" w:type="dxa"/>
            <w:left w:w="108" w:type="dxa"/>
            <w:bottom w:w="0" w:type="dxa"/>
            <w:right w:w="108" w:type="dxa"/>
          </w:tblCellMar>
        </w:tblPrEx>
        <w:trPr>
          <w:trHeight w:val="345" w:hRule="atLeast"/>
          <w:jc w:val="center"/>
        </w:trPr>
        <w:tc>
          <w:tcPr>
            <w:tcW w:w="5065" w:type="dxa"/>
            <w:tcBorders>
              <w:top w:val="single" w:color="auto" w:sz="4" w:space="0"/>
              <w:left w:val="single" w:color="auto" w:sz="4" w:space="0"/>
              <w:bottom w:val="single" w:color="auto" w:sz="4" w:space="0"/>
              <w:right w:val="single" w:color="auto" w:sz="4" w:space="0"/>
            </w:tcBorders>
            <w:noWrap/>
            <w:vAlign w:val="center"/>
          </w:tcPr>
          <w:p w14:paraId="53843845">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rPr>
              <w:t>干旱指数</w:t>
            </w:r>
          </w:p>
        </w:tc>
        <w:tc>
          <w:tcPr>
            <w:tcW w:w="1713" w:type="dxa"/>
            <w:tcBorders>
              <w:top w:val="single" w:color="auto" w:sz="4" w:space="0"/>
              <w:left w:val="nil"/>
              <w:bottom w:val="single" w:color="auto" w:sz="4" w:space="0"/>
              <w:right w:val="single" w:color="auto" w:sz="4" w:space="0"/>
            </w:tcBorders>
            <w:noWrap/>
            <w:vAlign w:val="center"/>
          </w:tcPr>
          <w:p w14:paraId="3163FE49">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灾害等级</w:t>
            </w:r>
          </w:p>
        </w:tc>
        <w:tc>
          <w:tcPr>
            <w:tcW w:w="2857" w:type="dxa"/>
            <w:tcBorders>
              <w:top w:val="single" w:color="auto" w:sz="4" w:space="0"/>
              <w:left w:val="nil"/>
              <w:bottom w:val="single" w:color="auto" w:sz="4" w:space="0"/>
              <w:right w:val="single" w:color="auto" w:sz="4" w:space="0"/>
            </w:tcBorders>
            <w:noWrap/>
            <w:vAlign w:val="center"/>
          </w:tcPr>
          <w:p w14:paraId="1794EE08">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eastAsia="zh-CN"/>
              </w:rPr>
            </w:pPr>
            <w:r>
              <w:rPr>
                <w:rFonts w:hint="eastAsia" w:ascii="宋体" w:hAnsi="宋体" w:eastAsia="宋体" w:cs="宋体"/>
                <w:color w:val="auto"/>
                <w:kern w:val="0"/>
                <w:sz w:val="24"/>
                <w:szCs w:val="24"/>
                <w:highlight w:val="none"/>
                <w:lang w:val="en-US" w:eastAsia="zh-CN"/>
              </w:rPr>
              <w:t>干旱指数</w:t>
            </w:r>
            <w:r>
              <w:rPr>
                <w:rFonts w:hint="eastAsia" w:ascii="宋体" w:hAnsi="宋体" w:eastAsia="宋体" w:cs="宋体"/>
                <w:color w:val="auto"/>
                <w:kern w:val="0"/>
                <w:sz w:val="24"/>
                <w:szCs w:val="24"/>
                <w:highlight w:val="none"/>
                <w:lang w:eastAsia="zh-CN"/>
              </w:rPr>
              <w:t>等级系数</w:t>
            </w:r>
          </w:p>
        </w:tc>
      </w:tr>
      <w:tr w14:paraId="396AA8A3">
        <w:tblPrEx>
          <w:tblCellMar>
            <w:top w:w="0" w:type="dxa"/>
            <w:left w:w="108" w:type="dxa"/>
            <w:bottom w:w="0" w:type="dxa"/>
            <w:right w:w="108" w:type="dxa"/>
          </w:tblCellMar>
        </w:tblPrEx>
        <w:trPr>
          <w:trHeight w:val="345" w:hRule="atLeast"/>
          <w:jc w:val="center"/>
        </w:trPr>
        <w:tc>
          <w:tcPr>
            <w:tcW w:w="5065" w:type="dxa"/>
            <w:tcBorders>
              <w:top w:val="nil"/>
              <w:left w:val="single" w:color="auto" w:sz="4" w:space="0"/>
              <w:bottom w:val="single" w:color="auto" w:sz="4" w:space="0"/>
              <w:right w:val="single" w:color="auto" w:sz="4" w:space="0"/>
            </w:tcBorders>
            <w:noWrap/>
            <w:vAlign w:val="center"/>
          </w:tcPr>
          <w:p w14:paraId="0B4B3DEB">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20</w:t>
            </w:r>
            <w:r>
              <w:rPr>
                <w:rFonts w:hint="eastAsia" w:ascii="宋体" w:hAnsi="宋体" w:eastAsia="宋体" w:cs="宋体"/>
                <w:color w:val="auto"/>
                <w:kern w:val="0"/>
                <w:sz w:val="24"/>
                <w:szCs w:val="24"/>
                <w:highlight w:val="none"/>
                <w:lang w:val="en-US" w:eastAsia="zh-CN"/>
              </w:rPr>
              <w:t>天</w:t>
            </w:r>
            <w:r>
              <w:rPr>
                <w:rFonts w:hint="eastAsia" w:ascii="宋体" w:hAnsi="宋体" w:eastAsia="宋体" w:cs="宋体"/>
                <w:color w:val="auto"/>
                <w:kern w:val="0"/>
                <w:sz w:val="24"/>
                <w:szCs w:val="24"/>
                <w:highlight w:val="none"/>
              </w:rPr>
              <w:t>≤</w:t>
            </w:r>
            <w:r>
              <w:rPr>
                <w:rFonts w:hint="eastAsia" w:ascii="宋体" w:hAnsi="宋体" w:eastAsia="宋体" w:cs="宋体"/>
                <w:color w:val="auto"/>
                <w:spacing w:val="-1"/>
                <w:sz w:val="24"/>
                <w:szCs w:val="24"/>
                <w:highlight w:val="none"/>
                <w:lang w:eastAsia="zh-CN"/>
              </w:rPr>
              <w:t>连续无有效降水日数</w:t>
            </w:r>
            <w:r>
              <w:rPr>
                <w:rFonts w:hint="eastAsia" w:ascii="宋体" w:hAnsi="宋体" w:eastAsia="宋体" w:cs="宋体"/>
                <w:color w:val="auto"/>
                <w:kern w:val="0"/>
                <w:sz w:val="24"/>
                <w:szCs w:val="24"/>
                <w:highlight w:val="none"/>
              </w:rPr>
              <w:t>&lt;35</w:t>
            </w:r>
            <w:r>
              <w:rPr>
                <w:rFonts w:hint="eastAsia" w:ascii="宋体" w:hAnsi="宋体" w:eastAsia="宋体" w:cs="宋体"/>
                <w:color w:val="auto"/>
                <w:kern w:val="0"/>
                <w:sz w:val="24"/>
                <w:szCs w:val="24"/>
                <w:highlight w:val="none"/>
                <w:lang w:val="en-US" w:eastAsia="zh-CN"/>
              </w:rPr>
              <w:t>天</w:t>
            </w:r>
          </w:p>
        </w:tc>
        <w:tc>
          <w:tcPr>
            <w:tcW w:w="1713" w:type="dxa"/>
            <w:tcBorders>
              <w:top w:val="nil"/>
              <w:left w:val="nil"/>
              <w:bottom w:val="single" w:color="auto" w:sz="4" w:space="0"/>
              <w:right w:val="single" w:color="auto" w:sz="4" w:space="0"/>
            </w:tcBorders>
            <w:noWrap/>
            <w:vAlign w:val="top"/>
          </w:tcPr>
          <w:p w14:paraId="476A40CB">
            <w:pPr>
              <w:pStyle w:val="8"/>
              <w:spacing w:before="263"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spacing w:val="-8"/>
                <w:sz w:val="24"/>
                <w:szCs w:val="24"/>
                <w:highlight w:val="none"/>
              </w:rPr>
              <w:t>III</w:t>
            </w:r>
          </w:p>
        </w:tc>
        <w:tc>
          <w:tcPr>
            <w:tcW w:w="2857" w:type="dxa"/>
            <w:tcBorders>
              <w:top w:val="nil"/>
              <w:left w:val="nil"/>
              <w:bottom w:val="single" w:color="auto" w:sz="4" w:space="0"/>
              <w:right w:val="single" w:color="auto" w:sz="4" w:space="0"/>
            </w:tcBorders>
            <w:noWrap/>
            <w:vAlign w:val="center"/>
          </w:tcPr>
          <w:p w14:paraId="5226D1DB">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0.2</w:t>
            </w:r>
          </w:p>
        </w:tc>
      </w:tr>
      <w:tr w14:paraId="629273CB">
        <w:tblPrEx>
          <w:tblCellMar>
            <w:top w:w="0" w:type="dxa"/>
            <w:left w:w="108" w:type="dxa"/>
            <w:bottom w:w="0" w:type="dxa"/>
            <w:right w:w="108" w:type="dxa"/>
          </w:tblCellMar>
        </w:tblPrEx>
        <w:trPr>
          <w:trHeight w:val="345" w:hRule="atLeast"/>
          <w:jc w:val="center"/>
        </w:trPr>
        <w:tc>
          <w:tcPr>
            <w:tcW w:w="5065" w:type="dxa"/>
            <w:tcBorders>
              <w:top w:val="nil"/>
              <w:left w:val="single" w:color="auto" w:sz="4" w:space="0"/>
              <w:bottom w:val="single" w:color="auto" w:sz="4" w:space="0"/>
              <w:right w:val="single" w:color="auto" w:sz="4" w:space="0"/>
            </w:tcBorders>
            <w:noWrap/>
            <w:vAlign w:val="center"/>
          </w:tcPr>
          <w:p w14:paraId="6F35A19C">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35</w:t>
            </w:r>
            <w:r>
              <w:rPr>
                <w:rFonts w:hint="eastAsia" w:ascii="宋体" w:hAnsi="宋体" w:eastAsia="宋体" w:cs="宋体"/>
                <w:color w:val="auto"/>
                <w:kern w:val="0"/>
                <w:sz w:val="24"/>
                <w:szCs w:val="24"/>
                <w:highlight w:val="none"/>
                <w:lang w:val="en-US" w:eastAsia="zh-CN"/>
              </w:rPr>
              <w:t>天</w:t>
            </w:r>
            <w:r>
              <w:rPr>
                <w:rFonts w:hint="eastAsia" w:ascii="宋体" w:hAnsi="宋体" w:eastAsia="宋体" w:cs="宋体"/>
                <w:color w:val="auto"/>
                <w:kern w:val="0"/>
                <w:sz w:val="24"/>
                <w:szCs w:val="24"/>
                <w:highlight w:val="none"/>
              </w:rPr>
              <w:t>≤</w:t>
            </w:r>
            <w:r>
              <w:rPr>
                <w:rFonts w:hint="eastAsia" w:ascii="宋体" w:hAnsi="宋体" w:eastAsia="宋体" w:cs="宋体"/>
                <w:color w:val="auto"/>
                <w:spacing w:val="-1"/>
                <w:sz w:val="24"/>
                <w:szCs w:val="24"/>
                <w:highlight w:val="none"/>
                <w:lang w:eastAsia="zh-CN"/>
              </w:rPr>
              <w:t>连续无有效降水日数</w:t>
            </w:r>
            <w:r>
              <w:rPr>
                <w:rFonts w:hint="eastAsia" w:ascii="宋体" w:hAnsi="宋体" w:eastAsia="宋体" w:cs="宋体"/>
                <w:color w:val="auto"/>
                <w:kern w:val="0"/>
                <w:sz w:val="24"/>
                <w:szCs w:val="24"/>
                <w:highlight w:val="none"/>
              </w:rPr>
              <w:t>&lt;</w:t>
            </w:r>
            <w:r>
              <w:rPr>
                <w:rFonts w:hint="eastAsia" w:ascii="宋体" w:hAnsi="宋体" w:eastAsia="宋体" w:cs="宋体"/>
                <w:color w:val="auto"/>
                <w:kern w:val="0"/>
                <w:sz w:val="24"/>
                <w:szCs w:val="24"/>
                <w:highlight w:val="none"/>
                <w:lang w:val="en-US" w:eastAsia="zh-CN"/>
              </w:rPr>
              <w:t>55天</w:t>
            </w:r>
          </w:p>
        </w:tc>
        <w:tc>
          <w:tcPr>
            <w:tcW w:w="1713" w:type="dxa"/>
            <w:tcBorders>
              <w:top w:val="nil"/>
              <w:left w:val="nil"/>
              <w:bottom w:val="single" w:color="auto" w:sz="4" w:space="0"/>
              <w:right w:val="single" w:color="auto" w:sz="4" w:space="0"/>
            </w:tcBorders>
            <w:noWrap/>
            <w:vAlign w:val="top"/>
          </w:tcPr>
          <w:p w14:paraId="52608EDF">
            <w:pPr>
              <w:pStyle w:val="8"/>
              <w:spacing w:before="264"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spacing w:val="-12"/>
                <w:sz w:val="24"/>
                <w:szCs w:val="24"/>
                <w:highlight w:val="none"/>
              </w:rPr>
              <w:t>II</w:t>
            </w:r>
          </w:p>
        </w:tc>
        <w:tc>
          <w:tcPr>
            <w:tcW w:w="2857" w:type="dxa"/>
            <w:tcBorders>
              <w:top w:val="nil"/>
              <w:left w:val="nil"/>
              <w:bottom w:val="single" w:color="auto" w:sz="4" w:space="0"/>
              <w:right w:val="single" w:color="auto" w:sz="4" w:space="0"/>
            </w:tcBorders>
            <w:noWrap/>
            <w:vAlign w:val="center"/>
          </w:tcPr>
          <w:p w14:paraId="3203C243">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0.5</w:t>
            </w:r>
          </w:p>
        </w:tc>
      </w:tr>
      <w:tr w14:paraId="3E876AC6">
        <w:tblPrEx>
          <w:tblCellMar>
            <w:top w:w="0" w:type="dxa"/>
            <w:left w:w="108" w:type="dxa"/>
            <w:bottom w:w="0" w:type="dxa"/>
            <w:right w:w="108" w:type="dxa"/>
          </w:tblCellMar>
        </w:tblPrEx>
        <w:trPr>
          <w:trHeight w:val="345" w:hRule="atLeast"/>
          <w:jc w:val="center"/>
        </w:trPr>
        <w:tc>
          <w:tcPr>
            <w:tcW w:w="5065" w:type="dxa"/>
            <w:tcBorders>
              <w:top w:val="nil"/>
              <w:left w:val="single" w:color="auto" w:sz="4" w:space="0"/>
              <w:bottom w:val="single" w:color="auto" w:sz="4" w:space="0"/>
              <w:right w:val="single" w:color="auto" w:sz="4" w:space="0"/>
            </w:tcBorders>
            <w:noWrap/>
            <w:vAlign w:val="center"/>
          </w:tcPr>
          <w:p w14:paraId="47561F78">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5</w:t>
            </w:r>
            <w:r>
              <w:rPr>
                <w:rFonts w:hint="eastAsia" w:ascii="宋体" w:hAnsi="宋体" w:eastAsia="宋体" w:cs="宋体"/>
                <w:color w:val="auto"/>
                <w:kern w:val="0"/>
                <w:sz w:val="24"/>
                <w:szCs w:val="24"/>
                <w:highlight w:val="none"/>
                <w:lang w:val="en-US" w:eastAsia="zh-CN"/>
              </w:rPr>
              <w:t>5天</w:t>
            </w:r>
            <w:r>
              <w:rPr>
                <w:rFonts w:hint="eastAsia" w:ascii="宋体" w:hAnsi="宋体" w:eastAsia="宋体" w:cs="宋体"/>
                <w:color w:val="auto"/>
                <w:kern w:val="0"/>
                <w:sz w:val="24"/>
                <w:szCs w:val="24"/>
                <w:highlight w:val="none"/>
              </w:rPr>
              <w:t>≤</w:t>
            </w:r>
            <w:r>
              <w:rPr>
                <w:rFonts w:hint="eastAsia" w:ascii="宋体" w:hAnsi="宋体" w:eastAsia="宋体" w:cs="宋体"/>
                <w:color w:val="auto"/>
                <w:spacing w:val="-1"/>
                <w:sz w:val="24"/>
                <w:szCs w:val="24"/>
                <w:highlight w:val="none"/>
                <w:lang w:eastAsia="zh-CN"/>
              </w:rPr>
              <w:t>连续无有效降水日数</w:t>
            </w:r>
          </w:p>
        </w:tc>
        <w:tc>
          <w:tcPr>
            <w:tcW w:w="1713" w:type="dxa"/>
            <w:tcBorders>
              <w:top w:val="nil"/>
              <w:left w:val="nil"/>
              <w:bottom w:val="single" w:color="auto" w:sz="4" w:space="0"/>
              <w:right w:val="single" w:color="auto" w:sz="4" w:space="0"/>
            </w:tcBorders>
            <w:noWrap/>
            <w:vAlign w:val="top"/>
          </w:tcPr>
          <w:p w14:paraId="06BF46CB">
            <w:pPr>
              <w:pStyle w:val="8"/>
              <w:spacing w:before="274" w:line="360" w:lineRule="auto"/>
              <w:jc w:val="center"/>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I</w:t>
            </w:r>
          </w:p>
        </w:tc>
        <w:tc>
          <w:tcPr>
            <w:tcW w:w="2857" w:type="dxa"/>
            <w:tcBorders>
              <w:top w:val="nil"/>
              <w:left w:val="nil"/>
              <w:bottom w:val="single" w:color="auto" w:sz="4" w:space="0"/>
              <w:right w:val="single" w:color="auto" w:sz="4" w:space="0"/>
            </w:tcBorders>
            <w:noWrap/>
            <w:vAlign w:val="center"/>
          </w:tcPr>
          <w:p w14:paraId="73D29D2C">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0.8</w:t>
            </w:r>
          </w:p>
        </w:tc>
      </w:tr>
    </w:tbl>
    <w:p w14:paraId="6CBE37AC">
      <w:pPr>
        <w:keepNext w:val="0"/>
        <w:keepLines w:val="0"/>
        <w:pageBreakBefore w:val="0"/>
        <w:wordWrap/>
        <w:overflowPunct/>
        <w:topLinePunct/>
        <w:autoSpaceDE w:val="0"/>
        <w:bidi w:val="0"/>
        <w:adjustRightInd w:val="0"/>
        <w:snapToGrid w:val="0"/>
        <w:spacing w:line="360" w:lineRule="auto"/>
        <w:ind w:firstLine="482" w:firstLineChars="200"/>
        <w:jc w:val="both"/>
        <w:rPr>
          <w:rFonts w:hint="eastAsia" w:ascii="宋体" w:hAnsi="宋体" w:eastAsia="宋体" w:cs="宋体"/>
          <w:b/>
          <w:bCs/>
          <w:color w:val="auto"/>
          <w:kern w:val="0"/>
          <w:sz w:val="24"/>
          <w:szCs w:val="24"/>
          <w:highlight w:val="none"/>
          <w:lang w:bidi="ar"/>
        </w:rPr>
      </w:pPr>
      <w:r>
        <w:rPr>
          <w:rFonts w:hint="eastAsia" w:ascii="宋体" w:hAnsi="宋体" w:eastAsia="宋体" w:cs="宋体"/>
          <w:b/>
          <w:bCs/>
          <w:color w:val="auto"/>
          <w:kern w:val="0"/>
          <w:sz w:val="24"/>
          <w:szCs w:val="24"/>
          <w:highlight w:val="none"/>
          <w:lang w:bidi="ar"/>
        </w:rPr>
        <w:t>同一区域内不同时段发生干旱指数的，</w:t>
      </w:r>
      <w:r>
        <w:rPr>
          <w:rFonts w:hint="eastAsia" w:ascii="宋体" w:hAnsi="宋体" w:eastAsia="宋体" w:cs="宋体"/>
          <w:b/>
          <w:bCs/>
          <w:color w:val="auto"/>
          <w:kern w:val="0"/>
          <w:sz w:val="24"/>
          <w:szCs w:val="24"/>
          <w:highlight w:val="none"/>
          <w:lang w:val="en-US" w:eastAsia="zh-CN"/>
        </w:rPr>
        <w:t>视为不同事故，</w:t>
      </w:r>
      <w:r>
        <w:rPr>
          <w:rFonts w:hint="eastAsia" w:ascii="宋体" w:hAnsi="宋体" w:eastAsia="宋体" w:cs="宋体"/>
          <w:b/>
          <w:bCs/>
          <w:color w:val="auto"/>
          <w:kern w:val="0"/>
          <w:sz w:val="24"/>
          <w:szCs w:val="24"/>
          <w:highlight w:val="none"/>
          <w:lang w:bidi="ar"/>
        </w:rPr>
        <w:t>可以累加赔付。承保区域内出现连续2</w:t>
      </w:r>
      <w:r>
        <w:rPr>
          <w:rFonts w:hint="eastAsia" w:ascii="宋体" w:hAnsi="宋体" w:eastAsia="宋体" w:cs="宋体"/>
          <w:b/>
          <w:bCs/>
          <w:color w:val="auto"/>
          <w:kern w:val="0"/>
          <w:sz w:val="24"/>
          <w:szCs w:val="24"/>
          <w:highlight w:val="none"/>
          <w:lang w:val="en-US" w:eastAsia="zh-CN" w:bidi="ar"/>
        </w:rPr>
        <w:t>0</w:t>
      </w:r>
      <w:r>
        <w:rPr>
          <w:rFonts w:hint="eastAsia" w:ascii="宋体" w:hAnsi="宋体" w:eastAsia="宋体" w:cs="宋体"/>
          <w:b/>
          <w:bCs/>
          <w:color w:val="auto"/>
          <w:kern w:val="0"/>
          <w:sz w:val="24"/>
          <w:szCs w:val="24"/>
          <w:highlight w:val="none"/>
          <w:lang w:bidi="ar"/>
        </w:rPr>
        <w:t>天（含）日降水量＜2mm时起，至该区域出现日降水量≥2mm时止，视为同一次事故，不累加赔付，取发生的最高级别干旱灾害等级标准进行赔付。保险期限内，干旱指数</w:t>
      </w:r>
      <w:r>
        <w:rPr>
          <w:rFonts w:hint="eastAsia" w:ascii="宋体" w:hAnsi="宋体" w:eastAsia="宋体" w:cs="宋体"/>
          <w:b/>
          <w:bCs/>
          <w:color w:val="auto"/>
          <w:kern w:val="0"/>
          <w:sz w:val="24"/>
          <w:szCs w:val="24"/>
          <w:highlight w:val="none"/>
          <w:lang w:eastAsia="zh-CN" w:bidi="ar"/>
        </w:rPr>
        <w:t>累计赔偿金额</w:t>
      </w:r>
      <w:r>
        <w:rPr>
          <w:rFonts w:hint="eastAsia" w:ascii="宋体" w:hAnsi="宋体" w:eastAsia="宋体" w:cs="宋体"/>
          <w:b/>
          <w:bCs/>
          <w:color w:val="auto"/>
          <w:kern w:val="0"/>
          <w:sz w:val="24"/>
          <w:szCs w:val="24"/>
          <w:highlight w:val="none"/>
          <w:lang w:bidi="ar"/>
        </w:rPr>
        <w:t>不超过干旱指数子项赔偿限额。</w:t>
      </w:r>
    </w:p>
    <w:p w14:paraId="3DE3509B">
      <w:pPr>
        <w:pStyle w:val="2"/>
        <w:spacing w:line="360" w:lineRule="auto"/>
        <w:ind w:left="0" w:leftChars="0" w:firstLine="0" w:firstLineChars="0"/>
        <w:jc w:val="center"/>
        <w:rPr>
          <w:rFonts w:hint="eastAsia" w:ascii="宋体" w:hAnsi="宋体" w:eastAsia="宋体" w:cs="宋体"/>
          <w:sz w:val="24"/>
          <w:szCs w:val="24"/>
          <w:highlight w:val="none"/>
        </w:rPr>
      </w:pPr>
      <w:r>
        <w:rPr>
          <w:rFonts w:hint="eastAsia" w:ascii="宋体" w:hAnsi="宋体" w:eastAsia="宋体" w:cs="宋体"/>
          <w:b/>
          <w:bCs/>
          <w:color w:val="auto"/>
          <w:kern w:val="0"/>
          <w:sz w:val="24"/>
          <w:szCs w:val="24"/>
          <w:highlight w:val="none"/>
          <w:lang w:bidi="ar"/>
        </w:rPr>
        <w:t>干旱指数子项赔偿限额=保险金额（元）×干旱风险系数</w:t>
      </w:r>
    </w:p>
    <w:p w14:paraId="5031DE94">
      <w:pPr>
        <w:topLinePunct/>
        <w:autoSpaceDE w:val="0"/>
        <w:spacing w:line="360" w:lineRule="auto"/>
        <w:ind w:firstLine="482" w:firstLineChars="200"/>
        <w:jc w:val="left"/>
        <w:rPr>
          <w:rFonts w:hint="eastAsia" w:ascii="宋体" w:hAnsi="宋体" w:eastAsia="宋体" w:cs="宋体"/>
          <w:color w:val="auto"/>
          <w:sz w:val="24"/>
          <w:szCs w:val="24"/>
          <w:highlight w:val="none"/>
          <w:lang w:bidi="ar"/>
        </w:rPr>
      </w:pPr>
      <w:r>
        <w:rPr>
          <w:rFonts w:hint="eastAsia" w:ascii="宋体" w:hAnsi="宋体" w:eastAsia="宋体" w:cs="宋体"/>
          <w:b/>
          <w:kern w:val="0"/>
          <w:sz w:val="24"/>
          <w:szCs w:val="24"/>
          <w:highlight w:val="none"/>
          <w:lang w:val="en-US" w:eastAsia="zh-CN"/>
        </w:rPr>
        <w:t>风灾指数：</w:t>
      </w:r>
      <w:r>
        <w:rPr>
          <w:rFonts w:hint="eastAsia" w:ascii="宋体" w:hAnsi="宋体" w:eastAsia="宋体" w:cs="宋体"/>
          <w:color w:val="auto"/>
          <w:sz w:val="24"/>
          <w:szCs w:val="24"/>
          <w:highlight w:val="none"/>
          <w:lang w:bidi="ar"/>
        </w:rPr>
        <w:t>保险区域范围内约定的</w:t>
      </w:r>
      <w:r>
        <w:rPr>
          <w:rFonts w:hint="eastAsia" w:ascii="宋体" w:hAnsi="宋体" w:eastAsia="宋体" w:cs="宋体"/>
          <w:color w:val="auto"/>
          <w:sz w:val="24"/>
          <w:szCs w:val="24"/>
          <w:highlight w:val="none"/>
          <w:lang w:eastAsia="zh-CN" w:bidi="ar"/>
        </w:rPr>
        <w:t>气象观测站点</w:t>
      </w:r>
      <w:r>
        <w:rPr>
          <w:rFonts w:hint="eastAsia" w:ascii="宋体" w:hAnsi="宋体" w:eastAsia="宋体" w:cs="宋体"/>
          <w:color w:val="auto"/>
          <w:sz w:val="24"/>
          <w:szCs w:val="24"/>
          <w:highlight w:val="none"/>
          <w:lang w:bidi="ar"/>
        </w:rPr>
        <w:t>观测范围发生风灾时，达到约定的风灾指数触发标准（即承保区域内约定的</w:t>
      </w:r>
      <w:r>
        <w:rPr>
          <w:rFonts w:hint="eastAsia" w:ascii="宋体" w:hAnsi="宋体" w:eastAsia="宋体" w:cs="宋体"/>
          <w:color w:val="auto"/>
          <w:sz w:val="24"/>
          <w:szCs w:val="24"/>
          <w:highlight w:val="none"/>
          <w:lang w:eastAsia="zh-CN" w:bidi="ar"/>
        </w:rPr>
        <w:t>气象观测站点</w:t>
      </w:r>
      <w:r>
        <w:rPr>
          <w:rFonts w:hint="eastAsia" w:ascii="宋体" w:hAnsi="宋体" w:eastAsia="宋体" w:cs="宋体"/>
          <w:color w:val="auto"/>
          <w:sz w:val="24"/>
          <w:szCs w:val="24"/>
          <w:highlight w:val="none"/>
          <w:lang w:bidi="ar"/>
        </w:rPr>
        <w:t>出现风速达到</w:t>
      </w:r>
      <w:r>
        <w:rPr>
          <w:rFonts w:hint="eastAsia" w:ascii="宋体" w:hAnsi="宋体" w:eastAsia="宋体" w:cs="宋体"/>
          <w:color w:val="auto"/>
          <w:sz w:val="24"/>
          <w:szCs w:val="24"/>
          <w:highlight w:val="none"/>
          <w:lang w:val="en-US" w:eastAsia="zh-CN" w:bidi="ar"/>
        </w:rPr>
        <w:t>17.2</w:t>
      </w:r>
      <w:r>
        <w:rPr>
          <w:rFonts w:hint="eastAsia" w:ascii="宋体" w:hAnsi="宋体" w:eastAsia="宋体" w:cs="宋体"/>
          <w:color w:val="auto"/>
          <w:sz w:val="24"/>
          <w:szCs w:val="24"/>
          <w:highlight w:val="none"/>
          <w:lang w:bidi="ar"/>
        </w:rPr>
        <w:t>米/秒</w:t>
      </w:r>
      <w:r>
        <w:rPr>
          <w:rFonts w:hint="eastAsia" w:ascii="宋体" w:hAnsi="宋体" w:eastAsia="宋体" w:cs="宋体"/>
          <w:color w:val="auto"/>
          <w:sz w:val="24"/>
          <w:szCs w:val="24"/>
          <w:highlight w:val="none"/>
          <w:lang w:eastAsia="zh-CN" w:bidi="ar"/>
        </w:rPr>
        <w:t>（</w:t>
      </w:r>
      <w:r>
        <w:rPr>
          <w:rFonts w:hint="eastAsia" w:ascii="宋体" w:hAnsi="宋体" w:eastAsia="宋体" w:cs="宋体"/>
          <w:color w:val="auto"/>
          <w:sz w:val="24"/>
          <w:szCs w:val="24"/>
          <w:highlight w:val="none"/>
          <w:lang w:bidi="ar"/>
        </w:rPr>
        <w:t>含）以上的自然风）时，视为保险事故发生，保险人按照以下方式进行赔偿。</w:t>
      </w:r>
    </w:p>
    <w:p w14:paraId="29334047">
      <w:pPr>
        <w:topLinePunct/>
        <w:autoSpaceDE w:val="0"/>
        <w:spacing w:line="360" w:lineRule="auto"/>
        <w:ind w:firstLine="480" w:firstLineChars="200"/>
        <w:jc w:val="left"/>
        <w:rPr>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lang w:bidi="ar"/>
        </w:rPr>
        <w:t>赔偿金额=保险金额（元）×风灾风险系数×风灾指数等级系数</w:t>
      </w:r>
    </w:p>
    <w:p w14:paraId="33E8906D">
      <w:pPr>
        <w:topLinePunct/>
        <w:autoSpaceDE w:val="0"/>
        <w:spacing w:line="360" w:lineRule="auto"/>
        <w:ind w:firstLine="480" w:firstLineChars="200"/>
        <w:jc w:val="left"/>
        <w:rPr>
          <w:rFonts w:hint="eastAsia" w:ascii="宋体" w:hAnsi="宋体" w:eastAsia="宋体" w:cs="宋体"/>
          <w:color w:val="auto"/>
          <w:sz w:val="24"/>
          <w:szCs w:val="24"/>
          <w:highlight w:val="none"/>
          <w:lang w:bidi="ar"/>
        </w:rPr>
      </w:pPr>
      <w:r>
        <w:rPr>
          <w:rFonts w:hint="eastAsia" w:ascii="宋体" w:hAnsi="宋体" w:eastAsia="宋体" w:cs="宋体"/>
          <w:color w:val="auto"/>
          <w:sz w:val="24"/>
          <w:szCs w:val="24"/>
          <w:highlight w:val="none"/>
          <w:lang w:bidi="ar"/>
        </w:rPr>
        <w:t>风灾指数认定以当地县级</w:t>
      </w:r>
      <w:r>
        <w:rPr>
          <w:rFonts w:hint="eastAsia" w:ascii="宋体" w:hAnsi="宋体" w:eastAsia="宋体" w:cs="宋体"/>
          <w:color w:val="auto"/>
          <w:sz w:val="24"/>
          <w:szCs w:val="24"/>
          <w:highlight w:val="none"/>
          <w:lang w:eastAsia="zh-CN" w:bidi="ar"/>
        </w:rPr>
        <w:t>（</w:t>
      </w:r>
      <w:r>
        <w:rPr>
          <w:rFonts w:hint="eastAsia" w:ascii="宋体" w:hAnsi="宋体" w:eastAsia="宋体" w:cs="宋体"/>
          <w:color w:val="auto"/>
          <w:sz w:val="24"/>
          <w:szCs w:val="24"/>
          <w:highlight w:val="none"/>
          <w:lang w:bidi="ar"/>
        </w:rPr>
        <w:t>含</w:t>
      </w:r>
      <w:r>
        <w:rPr>
          <w:rFonts w:hint="eastAsia" w:ascii="宋体" w:hAnsi="宋体" w:eastAsia="宋体" w:cs="宋体"/>
          <w:color w:val="auto"/>
          <w:sz w:val="24"/>
          <w:szCs w:val="24"/>
          <w:highlight w:val="none"/>
          <w:lang w:eastAsia="zh-CN" w:bidi="ar"/>
        </w:rPr>
        <w:t>）</w:t>
      </w:r>
      <w:r>
        <w:rPr>
          <w:rFonts w:hint="eastAsia" w:ascii="宋体" w:hAnsi="宋体" w:eastAsia="宋体" w:cs="宋体"/>
          <w:color w:val="auto"/>
          <w:sz w:val="24"/>
          <w:szCs w:val="24"/>
          <w:highlight w:val="none"/>
          <w:lang w:bidi="ar"/>
        </w:rPr>
        <w:t>以上气象部门出具的观测数据或气象证明为准。风灾指数等级系数按照下表约定计算:</w:t>
      </w:r>
    </w:p>
    <w:p w14:paraId="70E22E8B">
      <w:pPr>
        <w:spacing w:line="360" w:lineRule="auto"/>
        <w:jc w:val="center"/>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风灾指数等级系数情况表</w:t>
      </w:r>
    </w:p>
    <w:tbl>
      <w:tblPr>
        <w:tblStyle w:val="4"/>
        <w:tblW w:w="9051" w:type="dxa"/>
        <w:jc w:val="center"/>
        <w:tblLayout w:type="autofit"/>
        <w:tblCellMar>
          <w:top w:w="0" w:type="dxa"/>
          <w:left w:w="108" w:type="dxa"/>
          <w:bottom w:w="0" w:type="dxa"/>
          <w:right w:w="108" w:type="dxa"/>
        </w:tblCellMar>
      </w:tblPr>
      <w:tblGrid>
        <w:gridCol w:w="4453"/>
        <w:gridCol w:w="1658"/>
        <w:gridCol w:w="2940"/>
      </w:tblGrid>
      <w:tr w14:paraId="0D71D991">
        <w:tblPrEx>
          <w:tblCellMar>
            <w:top w:w="0" w:type="dxa"/>
            <w:left w:w="108" w:type="dxa"/>
            <w:bottom w:w="0" w:type="dxa"/>
            <w:right w:w="108" w:type="dxa"/>
          </w:tblCellMar>
        </w:tblPrEx>
        <w:trPr>
          <w:trHeight w:val="375" w:hRule="atLeast"/>
          <w:jc w:val="center"/>
        </w:trPr>
        <w:tc>
          <w:tcPr>
            <w:tcW w:w="4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C3843">
            <w:pPr>
              <w:pStyle w:val="8"/>
              <w:spacing w:before="203" w:line="360" w:lineRule="auto"/>
              <w:jc w:val="center"/>
              <w:rPr>
                <w:rFonts w:hint="eastAsia" w:ascii="宋体" w:hAnsi="宋体" w:eastAsia="宋体" w:cs="宋体"/>
                <w:b/>
                <w:bCs/>
                <w:color w:val="auto"/>
                <w:spacing w:val="-2"/>
                <w:sz w:val="24"/>
                <w:szCs w:val="24"/>
                <w:highlight w:val="none"/>
              </w:rPr>
            </w:pPr>
            <w:r>
              <w:rPr>
                <w:rFonts w:hint="eastAsia" w:ascii="宋体" w:hAnsi="宋体" w:eastAsia="宋体" w:cs="宋体"/>
                <w:b/>
                <w:bCs/>
                <w:color w:val="auto"/>
                <w:spacing w:val="-2"/>
                <w:sz w:val="24"/>
                <w:szCs w:val="24"/>
                <w:highlight w:val="none"/>
              </w:rPr>
              <w:t>风速</w:t>
            </w:r>
          </w:p>
        </w:tc>
        <w:tc>
          <w:tcPr>
            <w:tcW w:w="1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0FC67">
            <w:pPr>
              <w:pStyle w:val="8"/>
              <w:spacing w:before="203" w:line="360" w:lineRule="auto"/>
              <w:jc w:val="center"/>
              <w:rPr>
                <w:rFonts w:hint="eastAsia" w:ascii="宋体" w:hAnsi="宋体" w:eastAsia="宋体" w:cs="宋体"/>
                <w:b/>
                <w:bCs/>
                <w:color w:val="auto"/>
                <w:spacing w:val="-2"/>
                <w:sz w:val="24"/>
                <w:szCs w:val="24"/>
                <w:highlight w:val="none"/>
              </w:rPr>
            </w:pPr>
            <w:r>
              <w:rPr>
                <w:rFonts w:hint="eastAsia" w:ascii="宋体" w:hAnsi="宋体" w:eastAsia="宋体" w:cs="宋体"/>
                <w:b/>
                <w:bCs/>
                <w:color w:val="auto"/>
                <w:spacing w:val="-2"/>
                <w:sz w:val="24"/>
                <w:szCs w:val="24"/>
                <w:highlight w:val="none"/>
              </w:rPr>
              <w:t>风灾等级</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C4C3A">
            <w:pPr>
              <w:pStyle w:val="8"/>
              <w:spacing w:before="203" w:line="360" w:lineRule="auto"/>
              <w:jc w:val="center"/>
              <w:rPr>
                <w:rFonts w:hint="eastAsia" w:ascii="宋体" w:hAnsi="宋体" w:eastAsia="宋体" w:cs="宋体"/>
                <w:b/>
                <w:bCs/>
                <w:color w:val="auto"/>
                <w:spacing w:val="-2"/>
                <w:sz w:val="24"/>
                <w:szCs w:val="24"/>
                <w:highlight w:val="none"/>
              </w:rPr>
            </w:pPr>
            <w:r>
              <w:rPr>
                <w:rFonts w:hint="eastAsia" w:ascii="宋体" w:hAnsi="宋体" w:eastAsia="宋体" w:cs="宋体"/>
                <w:b/>
                <w:bCs/>
                <w:color w:val="auto"/>
                <w:spacing w:val="-2"/>
                <w:sz w:val="24"/>
                <w:szCs w:val="24"/>
                <w:highlight w:val="none"/>
              </w:rPr>
              <w:t>风灾指数等级系数</w:t>
            </w:r>
          </w:p>
        </w:tc>
      </w:tr>
      <w:tr w14:paraId="42EB7C1B">
        <w:tblPrEx>
          <w:tblCellMar>
            <w:top w:w="0" w:type="dxa"/>
            <w:left w:w="108" w:type="dxa"/>
            <w:bottom w:w="0" w:type="dxa"/>
            <w:right w:w="108" w:type="dxa"/>
          </w:tblCellMar>
        </w:tblPrEx>
        <w:trPr>
          <w:trHeight w:val="375" w:hRule="atLeast"/>
          <w:jc w:val="center"/>
        </w:trPr>
        <w:tc>
          <w:tcPr>
            <w:tcW w:w="4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FA910">
            <w:pPr>
              <w:pStyle w:val="8"/>
              <w:spacing w:before="148"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17.2米/秒≤风速＜20.8米/秒</w:t>
            </w:r>
          </w:p>
        </w:tc>
        <w:tc>
          <w:tcPr>
            <w:tcW w:w="1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B9195">
            <w:pPr>
              <w:pStyle w:val="8"/>
              <w:spacing w:before="199"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III</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ECA65">
            <w:pPr>
              <w:pStyle w:val="8"/>
              <w:spacing w:before="184"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rPr>
              <w:t>0</w:t>
            </w:r>
            <w:r>
              <w:rPr>
                <w:rFonts w:hint="eastAsia" w:ascii="宋体" w:hAnsi="宋体" w:eastAsia="宋体" w:cs="宋体"/>
                <w:color w:val="auto"/>
                <w:spacing w:val="-4"/>
                <w:sz w:val="24"/>
                <w:szCs w:val="24"/>
                <w:highlight w:val="none"/>
                <w:lang w:val="en-US" w:eastAsia="zh-CN"/>
              </w:rPr>
              <w:t>.3</w:t>
            </w:r>
          </w:p>
        </w:tc>
      </w:tr>
      <w:tr w14:paraId="135886D2">
        <w:tblPrEx>
          <w:tblCellMar>
            <w:top w:w="0" w:type="dxa"/>
            <w:left w:w="108" w:type="dxa"/>
            <w:bottom w:w="0" w:type="dxa"/>
            <w:right w:w="108" w:type="dxa"/>
          </w:tblCellMar>
        </w:tblPrEx>
        <w:trPr>
          <w:trHeight w:val="375" w:hRule="atLeast"/>
          <w:jc w:val="center"/>
        </w:trPr>
        <w:tc>
          <w:tcPr>
            <w:tcW w:w="4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E8545">
            <w:pPr>
              <w:pStyle w:val="8"/>
              <w:spacing w:before="159"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20.8米/秒≤风速＜24.5米/秒</w:t>
            </w:r>
          </w:p>
        </w:tc>
        <w:tc>
          <w:tcPr>
            <w:tcW w:w="1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BA9D2">
            <w:pPr>
              <w:pStyle w:val="8"/>
              <w:spacing w:before="201"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rPr>
              <w:t>II</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26017">
            <w:pPr>
              <w:pStyle w:val="8"/>
              <w:spacing w:before="197"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4"/>
                <w:sz w:val="24"/>
                <w:szCs w:val="24"/>
                <w:highlight w:val="none"/>
              </w:rPr>
              <w:t>0.</w:t>
            </w:r>
            <w:r>
              <w:rPr>
                <w:rFonts w:hint="eastAsia" w:ascii="宋体" w:hAnsi="宋体" w:eastAsia="宋体" w:cs="宋体"/>
                <w:color w:val="auto"/>
                <w:spacing w:val="-4"/>
                <w:sz w:val="24"/>
                <w:szCs w:val="24"/>
                <w:highlight w:val="none"/>
                <w:lang w:val="en-US" w:eastAsia="zh-CN"/>
              </w:rPr>
              <w:t>35</w:t>
            </w:r>
          </w:p>
        </w:tc>
      </w:tr>
      <w:tr w14:paraId="27F89AEE">
        <w:tblPrEx>
          <w:tblCellMar>
            <w:top w:w="0" w:type="dxa"/>
            <w:left w:w="108" w:type="dxa"/>
            <w:bottom w:w="0" w:type="dxa"/>
            <w:right w:w="108" w:type="dxa"/>
          </w:tblCellMar>
        </w:tblPrEx>
        <w:trPr>
          <w:trHeight w:val="375" w:hRule="atLeast"/>
          <w:jc w:val="center"/>
        </w:trPr>
        <w:tc>
          <w:tcPr>
            <w:tcW w:w="4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89836">
            <w:pPr>
              <w:pStyle w:val="8"/>
              <w:spacing w:before="162"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24.5米/秒≤风速</w:t>
            </w:r>
          </w:p>
        </w:tc>
        <w:tc>
          <w:tcPr>
            <w:tcW w:w="1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4CEF9">
            <w:pPr>
              <w:pStyle w:val="8"/>
              <w:spacing w:before="230"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12563">
            <w:pPr>
              <w:pStyle w:val="8"/>
              <w:spacing w:before="200"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4"/>
                <w:sz w:val="24"/>
                <w:szCs w:val="24"/>
                <w:highlight w:val="none"/>
              </w:rPr>
              <w:t>0.</w:t>
            </w:r>
            <w:r>
              <w:rPr>
                <w:rFonts w:hint="eastAsia" w:ascii="宋体" w:hAnsi="宋体" w:eastAsia="宋体" w:cs="宋体"/>
                <w:color w:val="auto"/>
                <w:spacing w:val="-4"/>
                <w:sz w:val="24"/>
                <w:szCs w:val="24"/>
                <w:highlight w:val="none"/>
                <w:lang w:val="en-US" w:eastAsia="zh-CN"/>
              </w:rPr>
              <w:t>4</w:t>
            </w:r>
          </w:p>
        </w:tc>
      </w:tr>
    </w:tbl>
    <w:p w14:paraId="7A2D79D5">
      <w:pPr>
        <w:keepNext w:val="0"/>
        <w:keepLines w:val="0"/>
        <w:pageBreakBefore w:val="0"/>
        <w:wordWrap/>
        <w:overflowPunct/>
        <w:topLinePunct/>
        <w:autoSpaceDE w:val="0"/>
        <w:bidi w:val="0"/>
        <w:adjustRightInd w:val="0"/>
        <w:snapToGrid w:val="0"/>
        <w:spacing w:line="360" w:lineRule="auto"/>
        <w:ind w:firstLine="482" w:firstLineChars="200"/>
        <w:jc w:val="both"/>
        <w:rPr>
          <w:rFonts w:hint="eastAsia" w:ascii="宋体" w:hAnsi="宋体" w:eastAsia="宋体" w:cs="宋体"/>
          <w:b/>
          <w:bCs/>
          <w:color w:val="auto"/>
          <w:sz w:val="24"/>
          <w:szCs w:val="24"/>
          <w:highlight w:val="none"/>
          <w:lang w:bidi="ar"/>
        </w:rPr>
      </w:pPr>
      <w:r>
        <w:rPr>
          <w:rFonts w:hint="eastAsia" w:ascii="宋体" w:hAnsi="宋体" w:eastAsia="宋体" w:cs="宋体"/>
          <w:b/>
          <w:bCs/>
          <w:color w:val="auto"/>
          <w:sz w:val="24"/>
          <w:szCs w:val="24"/>
          <w:highlight w:val="none"/>
          <w:lang w:bidi="ar"/>
        </w:rPr>
        <w:t>同一区域内不同时段发生风灾的，</w:t>
      </w:r>
      <w:r>
        <w:rPr>
          <w:rFonts w:hint="eastAsia" w:ascii="宋体" w:hAnsi="宋体" w:eastAsia="宋体" w:cs="宋体"/>
          <w:b/>
          <w:bCs/>
          <w:color w:val="auto"/>
          <w:kern w:val="0"/>
          <w:sz w:val="24"/>
          <w:szCs w:val="24"/>
          <w:highlight w:val="none"/>
          <w:lang w:val="en-US" w:eastAsia="zh-CN"/>
        </w:rPr>
        <w:t>视为不同事故，</w:t>
      </w:r>
      <w:r>
        <w:rPr>
          <w:rFonts w:hint="eastAsia" w:ascii="宋体" w:hAnsi="宋体" w:eastAsia="宋体" w:cs="宋体"/>
          <w:b/>
          <w:bCs/>
          <w:color w:val="auto"/>
          <w:sz w:val="24"/>
          <w:szCs w:val="24"/>
          <w:highlight w:val="none"/>
          <w:lang w:bidi="ar"/>
        </w:rPr>
        <w:t>可以累加赔付。承保区域内在同一自然日出现一次及以上风速达到</w:t>
      </w:r>
      <w:r>
        <w:rPr>
          <w:rFonts w:hint="eastAsia" w:ascii="宋体" w:hAnsi="宋体" w:eastAsia="宋体" w:cs="宋体"/>
          <w:b/>
          <w:bCs/>
          <w:color w:val="auto"/>
          <w:sz w:val="24"/>
          <w:szCs w:val="24"/>
          <w:highlight w:val="none"/>
          <w:lang w:val="en-US" w:eastAsia="zh-CN" w:bidi="ar"/>
        </w:rPr>
        <w:t>17.2</w:t>
      </w:r>
      <w:r>
        <w:rPr>
          <w:rFonts w:hint="eastAsia" w:ascii="宋体" w:hAnsi="宋体" w:eastAsia="宋体" w:cs="宋体"/>
          <w:b/>
          <w:bCs/>
          <w:color w:val="auto"/>
          <w:sz w:val="24"/>
          <w:szCs w:val="24"/>
          <w:highlight w:val="none"/>
          <w:lang w:bidi="ar"/>
        </w:rPr>
        <w:t>米/秒（含）以上的自然风，视为同一次保险事故，不累加赔付，取发生的最高级别风灾等级标准进行赔付。保险期限内，风灾指数</w:t>
      </w:r>
      <w:r>
        <w:rPr>
          <w:rFonts w:hint="eastAsia" w:ascii="宋体" w:hAnsi="宋体" w:eastAsia="宋体" w:cs="宋体"/>
          <w:b/>
          <w:bCs/>
          <w:color w:val="auto"/>
          <w:sz w:val="24"/>
          <w:szCs w:val="24"/>
          <w:highlight w:val="none"/>
          <w:lang w:eastAsia="zh-CN" w:bidi="ar"/>
        </w:rPr>
        <w:t>累计赔偿金额</w:t>
      </w:r>
      <w:r>
        <w:rPr>
          <w:rFonts w:hint="eastAsia" w:ascii="宋体" w:hAnsi="宋体" w:eastAsia="宋体" w:cs="宋体"/>
          <w:b/>
          <w:bCs/>
          <w:color w:val="auto"/>
          <w:sz w:val="24"/>
          <w:szCs w:val="24"/>
          <w:highlight w:val="none"/>
          <w:lang w:bidi="ar"/>
        </w:rPr>
        <w:t>不超过风灾指数子项赔偿限额。</w:t>
      </w:r>
    </w:p>
    <w:p w14:paraId="51925652">
      <w:pPr>
        <w:pStyle w:val="2"/>
        <w:spacing w:line="360" w:lineRule="auto"/>
        <w:ind w:left="0" w:leftChars="0" w:firstLine="0" w:firstLineChars="0"/>
        <w:jc w:val="center"/>
        <w:rPr>
          <w:rFonts w:hint="eastAsia" w:ascii="宋体" w:hAnsi="宋体" w:eastAsia="宋体" w:cs="宋体"/>
          <w:sz w:val="24"/>
          <w:szCs w:val="24"/>
          <w:highlight w:val="none"/>
        </w:rPr>
      </w:pPr>
      <w:r>
        <w:rPr>
          <w:rFonts w:hint="eastAsia" w:ascii="宋体" w:hAnsi="宋体" w:eastAsia="宋体" w:cs="宋体"/>
          <w:b/>
          <w:bCs/>
          <w:color w:val="auto"/>
          <w:sz w:val="24"/>
          <w:szCs w:val="24"/>
          <w:highlight w:val="none"/>
          <w:lang w:bidi="ar"/>
        </w:rPr>
        <w:t>风灾指数子项赔偿限额=保险金额（元）×风灾风险系数</w:t>
      </w:r>
    </w:p>
    <w:p w14:paraId="70E0FAFC">
      <w:pPr>
        <w:spacing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b/>
          <w:kern w:val="0"/>
          <w:sz w:val="24"/>
          <w:szCs w:val="24"/>
          <w:highlight w:val="none"/>
          <w:lang w:val="en-US" w:eastAsia="zh-CN"/>
        </w:rPr>
        <w:t>雪灾</w:t>
      </w:r>
      <w:r>
        <w:rPr>
          <w:rFonts w:hint="eastAsia" w:ascii="宋体" w:hAnsi="宋体" w:eastAsia="宋体" w:cs="宋体"/>
          <w:b/>
          <w:kern w:val="0"/>
          <w:sz w:val="24"/>
          <w:szCs w:val="24"/>
          <w:highlight w:val="none"/>
        </w:rPr>
        <w:t>指数</w:t>
      </w:r>
      <w:r>
        <w:rPr>
          <w:rFonts w:hint="eastAsia" w:ascii="宋体" w:hAnsi="宋体" w:eastAsia="宋体" w:cs="宋体"/>
          <w:b/>
          <w:kern w:val="0"/>
          <w:sz w:val="24"/>
          <w:szCs w:val="24"/>
          <w:highlight w:val="none"/>
          <w:lang w:eastAsia="zh-CN"/>
        </w:rPr>
        <w:t>：</w:t>
      </w:r>
      <w:r>
        <w:rPr>
          <w:rFonts w:hint="eastAsia" w:ascii="宋体" w:hAnsi="宋体" w:eastAsia="宋体" w:cs="宋体"/>
          <w:color w:val="auto"/>
          <w:sz w:val="24"/>
          <w:szCs w:val="24"/>
          <w:highlight w:val="none"/>
        </w:rPr>
        <w:t>保险区域范围内约定的</w:t>
      </w:r>
      <w:r>
        <w:rPr>
          <w:rFonts w:hint="eastAsia" w:ascii="宋体" w:hAnsi="宋体" w:eastAsia="宋体" w:cs="宋体"/>
          <w:color w:val="auto"/>
          <w:sz w:val="24"/>
          <w:szCs w:val="24"/>
          <w:highlight w:val="none"/>
          <w:lang w:eastAsia="zh-CN"/>
        </w:rPr>
        <w:t>气象观测站点</w:t>
      </w:r>
      <w:r>
        <w:rPr>
          <w:rFonts w:hint="eastAsia" w:ascii="宋体" w:hAnsi="宋体" w:eastAsia="宋体" w:cs="宋体"/>
          <w:color w:val="auto"/>
          <w:sz w:val="24"/>
          <w:szCs w:val="24"/>
          <w:highlight w:val="none"/>
        </w:rPr>
        <w:t>观测范围发生雪灾，且达到约定的雪灾指数触发标准（即承保区域内约定的</w:t>
      </w:r>
      <w:r>
        <w:rPr>
          <w:rFonts w:hint="eastAsia" w:ascii="宋体" w:hAnsi="宋体" w:eastAsia="宋体" w:cs="宋体"/>
          <w:color w:val="auto"/>
          <w:sz w:val="24"/>
          <w:szCs w:val="24"/>
          <w:highlight w:val="none"/>
          <w:lang w:eastAsia="zh-CN"/>
        </w:rPr>
        <w:t>气象观测站点</w:t>
      </w:r>
      <w:r>
        <w:rPr>
          <w:rFonts w:hint="eastAsia" w:ascii="宋体" w:hAnsi="宋体" w:eastAsia="宋体" w:cs="宋体"/>
          <w:color w:val="auto"/>
          <w:sz w:val="24"/>
          <w:szCs w:val="24"/>
          <w:highlight w:val="none"/>
        </w:rPr>
        <w:t>出现24小时内积雪深度达</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cm（含）以上）时，视为保险事故发生，保险人按照以下方式进行赔偿。</w:t>
      </w:r>
    </w:p>
    <w:p w14:paraId="3DAC69FC">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赔偿金额=保险金额（元）×雪灾风险系数×雪灾指数等级系数</w:t>
      </w:r>
    </w:p>
    <w:p w14:paraId="5C6E636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雪灾指数认定以当地县级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含</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以上气象部门出具的观测数据或气象证明为准。雪灾指数等级系数按照下表约定计算:</w:t>
      </w:r>
    </w:p>
    <w:p w14:paraId="0B8D6320">
      <w:pPr>
        <w:spacing w:line="360" w:lineRule="auto"/>
        <w:jc w:val="center"/>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雪灾指数等级系数情况表</w:t>
      </w:r>
    </w:p>
    <w:tbl>
      <w:tblPr>
        <w:tblStyle w:val="4"/>
        <w:tblW w:w="9428" w:type="dxa"/>
        <w:jc w:val="center"/>
        <w:tblLayout w:type="autofit"/>
        <w:tblCellMar>
          <w:top w:w="0" w:type="dxa"/>
          <w:left w:w="108" w:type="dxa"/>
          <w:bottom w:w="0" w:type="dxa"/>
          <w:right w:w="108" w:type="dxa"/>
        </w:tblCellMar>
      </w:tblPr>
      <w:tblGrid>
        <w:gridCol w:w="4480"/>
        <w:gridCol w:w="2162"/>
        <w:gridCol w:w="2786"/>
      </w:tblGrid>
      <w:tr w14:paraId="31E89B6B">
        <w:tblPrEx>
          <w:tblCellMar>
            <w:top w:w="0" w:type="dxa"/>
            <w:left w:w="108" w:type="dxa"/>
            <w:bottom w:w="0" w:type="dxa"/>
            <w:right w:w="108" w:type="dxa"/>
          </w:tblCellMar>
        </w:tblPrEx>
        <w:trPr>
          <w:trHeight w:val="405" w:hRule="atLeast"/>
          <w:jc w:val="center"/>
        </w:trPr>
        <w:tc>
          <w:tcPr>
            <w:tcW w:w="4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0A9D2">
            <w:pPr>
              <w:pStyle w:val="8"/>
              <w:spacing w:before="78"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3"/>
                <w:sz w:val="24"/>
                <w:szCs w:val="24"/>
                <w:highlight w:val="none"/>
              </w:rPr>
              <w:t>雪灾灾害指数</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B174F">
            <w:pPr>
              <w:pStyle w:val="8"/>
              <w:spacing w:before="78"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3"/>
                <w:sz w:val="24"/>
                <w:szCs w:val="24"/>
                <w:highlight w:val="none"/>
              </w:rPr>
              <w:t>雪灾灾害等级</w:t>
            </w:r>
          </w:p>
        </w:tc>
        <w:tc>
          <w:tcPr>
            <w:tcW w:w="27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3F5EF">
            <w:pPr>
              <w:pStyle w:val="8"/>
              <w:spacing w:before="78"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3"/>
                <w:sz w:val="24"/>
                <w:szCs w:val="24"/>
                <w:highlight w:val="none"/>
                <w:lang w:eastAsia="zh-CN"/>
              </w:rPr>
              <w:t>雪灾指数等级</w:t>
            </w:r>
            <w:r>
              <w:rPr>
                <w:rFonts w:hint="eastAsia" w:ascii="宋体" w:hAnsi="宋体" w:eastAsia="宋体" w:cs="宋体"/>
                <w:b/>
                <w:bCs/>
                <w:color w:val="auto"/>
                <w:spacing w:val="-3"/>
                <w:sz w:val="24"/>
                <w:szCs w:val="24"/>
                <w:highlight w:val="none"/>
              </w:rPr>
              <w:t>系数</w:t>
            </w:r>
          </w:p>
        </w:tc>
      </w:tr>
      <w:tr w14:paraId="779CC243">
        <w:tblPrEx>
          <w:tblCellMar>
            <w:top w:w="0" w:type="dxa"/>
            <w:left w:w="108" w:type="dxa"/>
            <w:bottom w:w="0" w:type="dxa"/>
            <w:right w:w="108" w:type="dxa"/>
          </w:tblCellMar>
        </w:tblPrEx>
        <w:trPr>
          <w:trHeight w:val="405" w:hRule="atLeast"/>
          <w:jc w:val="center"/>
        </w:trPr>
        <w:tc>
          <w:tcPr>
            <w:tcW w:w="4480" w:type="dxa"/>
            <w:tcBorders>
              <w:top w:val="single" w:color="000000" w:sz="4" w:space="0"/>
              <w:left w:val="single" w:color="000000" w:sz="4" w:space="0"/>
              <w:bottom w:val="single" w:color="000000" w:sz="4" w:space="0"/>
              <w:right w:val="single" w:color="000000" w:sz="4" w:space="0"/>
            </w:tcBorders>
            <w:shd w:val="clear" w:color="auto" w:fill="auto"/>
            <w:noWrap/>
          </w:tcPr>
          <w:p w14:paraId="28A88E9A">
            <w:pPr>
              <w:pStyle w:val="8"/>
              <w:spacing w:before="148"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2</w:t>
            </w:r>
            <w:r>
              <w:rPr>
                <w:rFonts w:hint="eastAsia" w:ascii="宋体" w:hAnsi="宋体" w:eastAsia="宋体" w:cs="宋体"/>
                <w:color w:val="auto"/>
                <w:spacing w:val="-1"/>
                <w:sz w:val="24"/>
                <w:szCs w:val="24"/>
                <w:highlight w:val="none"/>
                <w:lang w:eastAsia="zh-CN"/>
              </w:rPr>
              <w:t>cm≤24小时内积雪深度＜</w:t>
            </w:r>
            <w:r>
              <w:rPr>
                <w:rFonts w:hint="eastAsia" w:ascii="宋体" w:hAnsi="宋体" w:eastAsia="宋体" w:cs="宋体"/>
                <w:color w:val="auto"/>
                <w:spacing w:val="-1"/>
                <w:sz w:val="24"/>
                <w:szCs w:val="24"/>
                <w:highlight w:val="none"/>
                <w:lang w:val="en-US" w:eastAsia="zh-CN"/>
              </w:rPr>
              <w:t>8</w:t>
            </w:r>
            <w:r>
              <w:rPr>
                <w:rFonts w:hint="eastAsia" w:ascii="宋体" w:hAnsi="宋体" w:eastAsia="宋体" w:cs="宋体"/>
                <w:color w:val="auto"/>
                <w:spacing w:val="-1"/>
                <w:sz w:val="24"/>
                <w:szCs w:val="24"/>
                <w:highlight w:val="none"/>
                <w:lang w:eastAsia="zh-CN"/>
              </w:rPr>
              <w:t>cm</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A7027">
            <w:pPr>
              <w:pStyle w:val="8"/>
              <w:spacing w:before="188"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III</w:t>
            </w:r>
          </w:p>
        </w:tc>
        <w:tc>
          <w:tcPr>
            <w:tcW w:w="27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17CD1">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val="0"/>
                <w:snapToGrid w:val="0"/>
                <w:color w:val="auto"/>
                <w:spacing w:val="-1"/>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0.25</w:t>
            </w:r>
          </w:p>
        </w:tc>
      </w:tr>
      <w:tr w14:paraId="16207CA2">
        <w:tblPrEx>
          <w:tblCellMar>
            <w:top w:w="0" w:type="dxa"/>
            <w:left w:w="108" w:type="dxa"/>
            <w:bottom w:w="0" w:type="dxa"/>
            <w:right w:w="108" w:type="dxa"/>
          </w:tblCellMar>
        </w:tblPrEx>
        <w:trPr>
          <w:trHeight w:val="405" w:hRule="atLeast"/>
          <w:jc w:val="center"/>
        </w:trPr>
        <w:tc>
          <w:tcPr>
            <w:tcW w:w="4480" w:type="dxa"/>
            <w:tcBorders>
              <w:top w:val="single" w:color="000000" w:sz="4" w:space="0"/>
              <w:left w:val="single" w:color="000000" w:sz="4" w:space="0"/>
              <w:bottom w:val="single" w:color="000000" w:sz="4" w:space="0"/>
              <w:right w:val="single" w:color="000000" w:sz="4" w:space="0"/>
            </w:tcBorders>
            <w:shd w:val="clear" w:color="auto" w:fill="auto"/>
            <w:noWrap/>
          </w:tcPr>
          <w:p w14:paraId="50F7B553">
            <w:pPr>
              <w:pStyle w:val="8"/>
              <w:spacing w:before="160"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val="en-US" w:eastAsia="zh-CN"/>
              </w:rPr>
              <w:t>8</w:t>
            </w:r>
            <w:r>
              <w:rPr>
                <w:rFonts w:hint="eastAsia" w:ascii="宋体" w:hAnsi="宋体" w:eastAsia="宋体" w:cs="宋体"/>
                <w:color w:val="auto"/>
                <w:spacing w:val="-2"/>
                <w:sz w:val="24"/>
                <w:szCs w:val="24"/>
                <w:highlight w:val="none"/>
                <w:lang w:eastAsia="zh-CN"/>
              </w:rPr>
              <w:t>cm≤24小时内积雪深度＜1</w:t>
            </w:r>
            <w:r>
              <w:rPr>
                <w:rFonts w:hint="eastAsia" w:ascii="宋体" w:hAnsi="宋体" w:eastAsia="宋体" w:cs="宋体"/>
                <w:color w:val="auto"/>
                <w:spacing w:val="-2"/>
                <w:sz w:val="24"/>
                <w:szCs w:val="24"/>
                <w:highlight w:val="none"/>
                <w:lang w:val="en-US" w:eastAsia="zh-CN"/>
              </w:rPr>
              <w:t>4</w:t>
            </w:r>
            <w:r>
              <w:rPr>
                <w:rFonts w:hint="eastAsia" w:ascii="宋体" w:hAnsi="宋体" w:eastAsia="宋体" w:cs="宋体"/>
                <w:color w:val="auto"/>
                <w:spacing w:val="-2"/>
                <w:sz w:val="24"/>
                <w:szCs w:val="24"/>
                <w:highlight w:val="none"/>
                <w:lang w:eastAsia="zh-CN"/>
              </w:rPr>
              <w:t>cm</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994E1">
            <w:pPr>
              <w:pStyle w:val="8"/>
              <w:spacing w:before="199"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rPr>
              <w:t>II</w:t>
            </w:r>
          </w:p>
        </w:tc>
        <w:tc>
          <w:tcPr>
            <w:tcW w:w="27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2A7A6">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val="0"/>
                <w:snapToGrid w:val="0"/>
                <w:color w:val="auto"/>
                <w:spacing w:val="-1"/>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0.5</w:t>
            </w:r>
          </w:p>
        </w:tc>
      </w:tr>
      <w:tr w14:paraId="4FA10CD7">
        <w:tblPrEx>
          <w:tblCellMar>
            <w:top w:w="0" w:type="dxa"/>
            <w:left w:w="108" w:type="dxa"/>
            <w:bottom w:w="0" w:type="dxa"/>
            <w:right w:w="108" w:type="dxa"/>
          </w:tblCellMar>
        </w:tblPrEx>
        <w:trPr>
          <w:trHeight w:val="405" w:hRule="atLeast"/>
          <w:jc w:val="center"/>
        </w:trPr>
        <w:tc>
          <w:tcPr>
            <w:tcW w:w="4480" w:type="dxa"/>
            <w:tcBorders>
              <w:top w:val="single" w:color="000000" w:sz="4" w:space="0"/>
              <w:left w:val="single" w:color="000000" w:sz="4" w:space="0"/>
              <w:bottom w:val="single" w:color="000000" w:sz="4" w:space="0"/>
              <w:right w:val="single" w:color="000000" w:sz="4" w:space="0"/>
            </w:tcBorders>
            <w:shd w:val="clear" w:color="auto" w:fill="auto"/>
            <w:noWrap/>
          </w:tcPr>
          <w:p w14:paraId="313FE9CA">
            <w:pPr>
              <w:pStyle w:val="8"/>
              <w:spacing w:before="165"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1</w:t>
            </w:r>
            <w:r>
              <w:rPr>
                <w:rFonts w:hint="eastAsia" w:ascii="宋体" w:hAnsi="宋体" w:eastAsia="宋体" w:cs="宋体"/>
                <w:color w:val="auto"/>
                <w:spacing w:val="-3"/>
                <w:sz w:val="24"/>
                <w:szCs w:val="24"/>
                <w:highlight w:val="none"/>
                <w:lang w:val="en-US" w:eastAsia="zh-CN"/>
              </w:rPr>
              <w:t>4</w:t>
            </w:r>
            <w:r>
              <w:rPr>
                <w:rFonts w:hint="eastAsia" w:ascii="宋体" w:hAnsi="宋体" w:eastAsia="宋体" w:cs="宋体"/>
                <w:color w:val="auto"/>
                <w:spacing w:val="-3"/>
                <w:sz w:val="24"/>
                <w:szCs w:val="24"/>
                <w:highlight w:val="none"/>
                <w:lang w:eastAsia="zh-CN"/>
              </w:rPr>
              <w:t>cm≤24小时内积雪深度</w:t>
            </w:r>
          </w:p>
        </w:tc>
        <w:tc>
          <w:tcPr>
            <w:tcW w:w="21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8AA23">
            <w:pPr>
              <w:pStyle w:val="8"/>
              <w:spacing w:before="205"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I</w:t>
            </w:r>
          </w:p>
        </w:tc>
        <w:tc>
          <w:tcPr>
            <w:tcW w:w="27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5804A">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val="0"/>
                <w:snapToGrid w:val="0"/>
                <w:color w:val="auto"/>
                <w:spacing w:val="-1"/>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rPr>
              <w:t>0.8</w:t>
            </w:r>
          </w:p>
        </w:tc>
      </w:tr>
    </w:tbl>
    <w:p w14:paraId="179B3C53">
      <w:pPr>
        <w:keepNext w:val="0"/>
        <w:keepLines w:val="0"/>
        <w:pageBreakBefore w:val="0"/>
        <w:wordWrap/>
        <w:overflowPunct/>
        <w:bidi w:val="0"/>
        <w:adjustRightInd w:val="0"/>
        <w:snapToGrid w:val="0"/>
        <w:spacing w:line="360" w:lineRule="auto"/>
        <w:ind w:firstLine="482" w:firstLineChars="200"/>
        <w:jc w:val="both"/>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同一区域内不同时段发生雪灾的，</w:t>
      </w:r>
      <w:r>
        <w:rPr>
          <w:rFonts w:hint="eastAsia" w:ascii="宋体" w:hAnsi="宋体" w:eastAsia="宋体" w:cs="宋体"/>
          <w:b/>
          <w:bCs/>
          <w:color w:val="auto"/>
          <w:kern w:val="0"/>
          <w:sz w:val="24"/>
          <w:szCs w:val="24"/>
          <w:highlight w:val="none"/>
          <w:lang w:val="en-US" w:eastAsia="zh-CN"/>
        </w:rPr>
        <w:t>视为不同事故，</w:t>
      </w:r>
      <w:r>
        <w:rPr>
          <w:rFonts w:hint="eastAsia" w:ascii="宋体" w:hAnsi="宋体" w:eastAsia="宋体" w:cs="宋体"/>
          <w:b/>
          <w:bCs/>
          <w:color w:val="auto"/>
          <w:sz w:val="24"/>
          <w:szCs w:val="24"/>
          <w:highlight w:val="none"/>
        </w:rPr>
        <w:t>可以累加赔付。承保区域内出现24小时内积雪深度达</w:t>
      </w:r>
      <w:r>
        <w:rPr>
          <w:rFonts w:hint="eastAsia" w:ascii="宋体" w:hAnsi="宋体" w:eastAsia="宋体" w:cs="宋体"/>
          <w:b/>
          <w:bCs/>
          <w:color w:val="auto"/>
          <w:sz w:val="24"/>
          <w:szCs w:val="24"/>
          <w:highlight w:val="none"/>
          <w:lang w:val="en-US" w:eastAsia="zh-CN"/>
        </w:rPr>
        <w:t>2</w:t>
      </w:r>
      <w:r>
        <w:rPr>
          <w:rFonts w:hint="eastAsia" w:ascii="宋体" w:hAnsi="宋体" w:eastAsia="宋体" w:cs="宋体"/>
          <w:b/>
          <w:bCs/>
          <w:color w:val="auto"/>
          <w:sz w:val="24"/>
          <w:szCs w:val="24"/>
          <w:highlight w:val="none"/>
        </w:rPr>
        <w:t>cm及以上时起，至该区域未发生降雪天气时止，视为同一次事故，不累加赔付，取发生的最高级别雪灾灾害等级标准进行赔付。保险期限内，雪灾指数</w:t>
      </w:r>
      <w:r>
        <w:rPr>
          <w:rFonts w:hint="eastAsia" w:ascii="宋体" w:hAnsi="宋体" w:eastAsia="宋体" w:cs="宋体"/>
          <w:b/>
          <w:bCs/>
          <w:color w:val="auto"/>
          <w:sz w:val="24"/>
          <w:szCs w:val="24"/>
          <w:highlight w:val="none"/>
          <w:lang w:eastAsia="zh-CN"/>
        </w:rPr>
        <w:t>累计赔偿金额</w:t>
      </w:r>
      <w:r>
        <w:rPr>
          <w:rFonts w:hint="eastAsia" w:ascii="宋体" w:hAnsi="宋体" w:eastAsia="宋体" w:cs="宋体"/>
          <w:b/>
          <w:bCs/>
          <w:color w:val="auto"/>
          <w:sz w:val="24"/>
          <w:szCs w:val="24"/>
          <w:highlight w:val="none"/>
        </w:rPr>
        <w:t>不超过雪灾指数子项赔偿限额。</w:t>
      </w:r>
    </w:p>
    <w:p w14:paraId="71EB6840">
      <w:pPr>
        <w:pStyle w:val="2"/>
        <w:spacing w:line="360" w:lineRule="auto"/>
        <w:ind w:left="0" w:leftChars="0" w:firstLine="0" w:firstLineChars="0"/>
        <w:jc w:val="center"/>
        <w:rPr>
          <w:rFonts w:hint="eastAsia" w:ascii="宋体" w:hAnsi="宋体" w:eastAsia="宋体" w:cs="宋体"/>
          <w:sz w:val="24"/>
          <w:szCs w:val="24"/>
          <w:highlight w:val="none"/>
        </w:rPr>
      </w:pPr>
      <w:r>
        <w:rPr>
          <w:rFonts w:hint="eastAsia" w:ascii="宋体" w:hAnsi="宋体" w:eastAsia="宋体" w:cs="宋体"/>
          <w:b/>
          <w:bCs/>
          <w:color w:val="auto"/>
          <w:sz w:val="24"/>
          <w:szCs w:val="24"/>
          <w:highlight w:val="none"/>
        </w:rPr>
        <w:t>雪灾指数子项赔偿限额=保险金额（元）×雪灾风险系数</w:t>
      </w:r>
    </w:p>
    <w:p w14:paraId="3784D7E4">
      <w:pPr>
        <w:spacing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b/>
          <w:color w:val="auto"/>
          <w:kern w:val="0"/>
          <w:sz w:val="24"/>
          <w:szCs w:val="24"/>
          <w:highlight w:val="none"/>
        </w:rPr>
        <w:t>地震/余震</w:t>
      </w:r>
      <w:r>
        <w:rPr>
          <w:rStyle w:val="6"/>
          <w:rFonts w:hint="eastAsia" w:ascii="宋体" w:hAnsi="宋体" w:eastAsia="宋体" w:cs="宋体"/>
          <w:color w:val="auto"/>
          <w:sz w:val="24"/>
          <w:szCs w:val="24"/>
          <w:highlight w:val="none"/>
        </w:rPr>
        <w:t>指数</w:t>
      </w:r>
      <w:r>
        <w:rPr>
          <w:rStyle w:val="6"/>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保险区域范围内发生地震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含余震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灾害，达到约定的地震/余震指数触发标准（即承保区域内发生震级</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级（含）以上的地震或余震，且震源（经纬度）位于保险区域范围内）时，保险人按照以下方式计算赔偿:</w:t>
      </w:r>
    </w:p>
    <w:p w14:paraId="005FB29F">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赔偿金额=保险金额（元）×地震/余震风险系数×地震/余震指数等级系数</w:t>
      </w:r>
    </w:p>
    <w:p w14:paraId="08AB9830">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含余震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级别、发生时间、震源经纬度等数据认定以中国地震台网发布数据为准。地震/余震指数等级系数按照下表约定计算:</w:t>
      </w:r>
    </w:p>
    <w:p w14:paraId="0AF8537F">
      <w:pPr>
        <w:spacing w:line="360" w:lineRule="auto"/>
        <w:jc w:val="center"/>
        <w:outlineLvl w:val="9"/>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地震/余震指数等级系数情况表</w:t>
      </w:r>
    </w:p>
    <w:tbl>
      <w:tblPr>
        <w:tblStyle w:val="4"/>
        <w:tblW w:w="7002" w:type="dxa"/>
        <w:jc w:val="center"/>
        <w:tblLayout w:type="autofit"/>
        <w:tblCellMar>
          <w:top w:w="0" w:type="dxa"/>
          <w:left w:w="108" w:type="dxa"/>
          <w:bottom w:w="0" w:type="dxa"/>
          <w:right w:w="108" w:type="dxa"/>
        </w:tblCellMar>
      </w:tblPr>
      <w:tblGrid>
        <w:gridCol w:w="3046"/>
        <w:gridCol w:w="3956"/>
      </w:tblGrid>
      <w:tr w14:paraId="00144754">
        <w:tblPrEx>
          <w:tblCellMar>
            <w:top w:w="0" w:type="dxa"/>
            <w:left w:w="108" w:type="dxa"/>
            <w:bottom w:w="0" w:type="dxa"/>
            <w:right w:w="108" w:type="dxa"/>
          </w:tblCellMar>
        </w:tblPrEx>
        <w:trPr>
          <w:trHeight w:val="375" w:hRule="atLeast"/>
          <w:jc w:val="center"/>
        </w:trPr>
        <w:tc>
          <w:tcPr>
            <w:tcW w:w="3046" w:type="dxa"/>
            <w:tcBorders>
              <w:top w:val="single" w:color="000000" w:sz="4" w:space="0"/>
              <w:left w:val="single" w:color="000000" w:sz="4" w:space="0"/>
              <w:bottom w:val="single" w:color="000000" w:sz="4" w:space="0"/>
              <w:right w:val="single" w:color="000000" w:sz="4" w:space="0"/>
            </w:tcBorders>
            <w:shd w:val="clear" w:color="auto" w:fill="auto"/>
            <w:noWrap/>
          </w:tcPr>
          <w:p w14:paraId="23961814">
            <w:pPr>
              <w:pStyle w:val="8"/>
              <w:spacing w:before="171"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pacing w:val="-2"/>
                <w:sz w:val="24"/>
                <w:szCs w:val="24"/>
                <w:highlight w:val="none"/>
              </w:rPr>
              <w:t>地震级别（F）</w:t>
            </w:r>
          </w:p>
        </w:tc>
        <w:tc>
          <w:tcPr>
            <w:tcW w:w="3956" w:type="dxa"/>
            <w:tcBorders>
              <w:top w:val="single" w:color="000000" w:sz="4" w:space="0"/>
              <w:left w:val="single" w:color="000000" w:sz="4" w:space="0"/>
              <w:bottom w:val="single" w:color="000000" w:sz="4" w:space="0"/>
              <w:right w:val="single" w:color="000000" w:sz="4" w:space="0"/>
            </w:tcBorders>
            <w:shd w:val="clear" w:color="auto" w:fill="auto"/>
            <w:noWrap/>
          </w:tcPr>
          <w:p w14:paraId="41B0B510">
            <w:pPr>
              <w:pStyle w:val="8"/>
              <w:spacing w:before="171" w:line="360" w:lineRule="auto"/>
              <w:jc w:val="center"/>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2"/>
                <w:sz w:val="24"/>
                <w:szCs w:val="24"/>
                <w:highlight w:val="none"/>
                <w:lang w:eastAsia="zh-CN"/>
              </w:rPr>
              <w:t>地震/余震指数等级系数</w:t>
            </w:r>
          </w:p>
        </w:tc>
      </w:tr>
      <w:tr w14:paraId="19ED771B">
        <w:tblPrEx>
          <w:tblCellMar>
            <w:top w:w="0" w:type="dxa"/>
            <w:left w:w="108" w:type="dxa"/>
            <w:bottom w:w="0" w:type="dxa"/>
            <w:right w:w="108" w:type="dxa"/>
          </w:tblCellMar>
        </w:tblPrEx>
        <w:trPr>
          <w:trHeight w:val="375" w:hRule="atLeast"/>
          <w:jc w:val="center"/>
        </w:trPr>
        <w:tc>
          <w:tcPr>
            <w:tcW w:w="3046" w:type="dxa"/>
            <w:tcBorders>
              <w:top w:val="single" w:color="000000" w:sz="4" w:space="0"/>
              <w:left w:val="single" w:color="000000" w:sz="4" w:space="0"/>
              <w:bottom w:val="single" w:color="000000" w:sz="4" w:space="0"/>
              <w:right w:val="single" w:color="000000" w:sz="4" w:space="0"/>
            </w:tcBorders>
            <w:shd w:val="clear" w:color="auto" w:fill="auto"/>
            <w:noWrap/>
          </w:tcPr>
          <w:p w14:paraId="0D7D8838">
            <w:pPr>
              <w:pStyle w:val="8"/>
              <w:spacing w:before="133"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rPr>
              <w:t>6</w:t>
            </w:r>
            <w:r>
              <w:rPr>
                <w:rFonts w:hint="eastAsia" w:ascii="宋体" w:hAnsi="宋体" w:eastAsia="宋体" w:cs="宋体"/>
                <w:color w:val="auto"/>
                <w:spacing w:val="-2"/>
                <w:sz w:val="24"/>
                <w:szCs w:val="24"/>
                <w:highlight w:val="none"/>
              </w:rPr>
              <w:t>级≤F＜</w:t>
            </w:r>
            <w:r>
              <w:rPr>
                <w:rFonts w:hint="eastAsia" w:ascii="宋体" w:hAnsi="宋体" w:eastAsia="宋体" w:cs="宋体"/>
                <w:color w:val="auto"/>
                <w:spacing w:val="-2"/>
                <w:sz w:val="24"/>
                <w:szCs w:val="24"/>
                <w:highlight w:val="none"/>
                <w:lang w:val="en-US" w:eastAsia="zh-CN"/>
              </w:rPr>
              <w:t>7</w:t>
            </w:r>
            <w:r>
              <w:rPr>
                <w:rFonts w:hint="eastAsia" w:ascii="宋体" w:hAnsi="宋体" w:eastAsia="宋体" w:cs="宋体"/>
                <w:color w:val="auto"/>
                <w:spacing w:val="-2"/>
                <w:sz w:val="24"/>
                <w:szCs w:val="24"/>
                <w:highlight w:val="none"/>
              </w:rPr>
              <w:t>级</w:t>
            </w:r>
          </w:p>
        </w:tc>
        <w:tc>
          <w:tcPr>
            <w:tcW w:w="3956" w:type="dxa"/>
            <w:tcBorders>
              <w:top w:val="single" w:color="000000" w:sz="4" w:space="0"/>
              <w:left w:val="single" w:color="000000" w:sz="4" w:space="0"/>
              <w:bottom w:val="single" w:color="000000" w:sz="4" w:space="0"/>
              <w:right w:val="single" w:color="000000" w:sz="4" w:space="0"/>
            </w:tcBorders>
            <w:shd w:val="clear" w:color="auto" w:fill="auto"/>
            <w:noWrap/>
          </w:tcPr>
          <w:p w14:paraId="5E4A5A71">
            <w:pPr>
              <w:pStyle w:val="8"/>
              <w:spacing w:before="171"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rPr>
              <w:t>0.</w:t>
            </w:r>
            <w:r>
              <w:rPr>
                <w:rFonts w:hint="eastAsia" w:ascii="宋体" w:hAnsi="宋体" w:eastAsia="宋体" w:cs="宋体"/>
                <w:color w:val="auto"/>
                <w:spacing w:val="-4"/>
                <w:sz w:val="24"/>
                <w:szCs w:val="24"/>
                <w:highlight w:val="none"/>
                <w:lang w:val="en-US" w:eastAsia="zh-CN"/>
              </w:rPr>
              <w:t>5</w:t>
            </w:r>
          </w:p>
        </w:tc>
      </w:tr>
      <w:tr w14:paraId="7948BB65">
        <w:tblPrEx>
          <w:tblCellMar>
            <w:top w:w="0" w:type="dxa"/>
            <w:left w:w="108" w:type="dxa"/>
            <w:bottom w:w="0" w:type="dxa"/>
            <w:right w:w="108" w:type="dxa"/>
          </w:tblCellMar>
        </w:tblPrEx>
        <w:trPr>
          <w:trHeight w:val="375" w:hRule="atLeast"/>
          <w:jc w:val="center"/>
        </w:trPr>
        <w:tc>
          <w:tcPr>
            <w:tcW w:w="3046" w:type="dxa"/>
            <w:tcBorders>
              <w:top w:val="single" w:color="000000" w:sz="4" w:space="0"/>
              <w:left w:val="single" w:color="000000" w:sz="4" w:space="0"/>
              <w:bottom w:val="single" w:color="000000" w:sz="4" w:space="0"/>
              <w:right w:val="single" w:color="000000" w:sz="4" w:space="0"/>
            </w:tcBorders>
            <w:shd w:val="clear" w:color="auto" w:fill="auto"/>
            <w:noWrap/>
          </w:tcPr>
          <w:p w14:paraId="53F47CB3">
            <w:pPr>
              <w:pStyle w:val="8"/>
              <w:spacing w:before="133"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lang w:val="en-US" w:eastAsia="zh-CN"/>
              </w:rPr>
              <w:t>7</w:t>
            </w:r>
            <w:r>
              <w:rPr>
                <w:rFonts w:hint="eastAsia" w:ascii="宋体" w:hAnsi="宋体" w:eastAsia="宋体" w:cs="宋体"/>
                <w:color w:val="auto"/>
                <w:spacing w:val="-3"/>
                <w:sz w:val="24"/>
                <w:szCs w:val="24"/>
                <w:highlight w:val="none"/>
              </w:rPr>
              <w:t>级≤F＜</w:t>
            </w:r>
            <w:r>
              <w:rPr>
                <w:rFonts w:hint="eastAsia" w:ascii="宋体" w:hAnsi="宋体" w:eastAsia="宋体" w:cs="宋体"/>
                <w:color w:val="auto"/>
                <w:spacing w:val="-3"/>
                <w:sz w:val="24"/>
                <w:szCs w:val="24"/>
                <w:highlight w:val="none"/>
                <w:lang w:val="en-US" w:eastAsia="zh-CN"/>
              </w:rPr>
              <w:t>8</w:t>
            </w:r>
            <w:r>
              <w:rPr>
                <w:rFonts w:hint="eastAsia" w:ascii="宋体" w:hAnsi="宋体" w:eastAsia="宋体" w:cs="宋体"/>
                <w:color w:val="auto"/>
                <w:spacing w:val="-3"/>
                <w:sz w:val="24"/>
                <w:szCs w:val="24"/>
                <w:highlight w:val="none"/>
              </w:rPr>
              <w:t>级</w:t>
            </w:r>
          </w:p>
        </w:tc>
        <w:tc>
          <w:tcPr>
            <w:tcW w:w="3956" w:type="dxa"/>
            <w:tcBorders>
              <w:top w:val="single" w:color="000000" w:sz="4" w:space="0"/>
              <w:left w:val="single" w:color="000000" w:sz="4" w:space="0"/>
              <w:bottom w:val="single" w:color="000000" w:sz="4" w:space="0"/>
              <w:right w:val="single" w:color="000000" w:sz="4" w:space="0"/>
            </w:tcBorders>
            <w:shd w:val="clear" w:color="auto" w:fill="auto"/>
            <w:noWrap/>
          </w:tcPr>
          <w:p w14:paraId="788E41DB">
            <w:pPr>
              <w:pStyle w:val="8"/>
              <w:spacing w:before="171"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4"/>
                <w:sz w:val="24"/>
                <w:szCs w:val="24"/>
                <w:highlight w:val="none"/>
              </w:rPr>
              <w:t>0.</w:t>
            </w:r>
            <w:r>
              <w:rPr>
                <w:rFonts w:hint="eastAsia" w:ascii="宋体" w:hAnsi="宋体" w:eastAsia="宋体" w:cs="宋体"/>
                <w:color w:val="auto"/>
                <w:spacing w:val="-4"/>
                <w:sz w:val="24"/>
                <w:szCs w:val="24"/>
                <w:highlight w:val="none"/>
                <w:lang w:val="en-US" w:eastAsia="zh-CN"/>
              </w:rPr>
              <w:t>8</w:t>
            </w:r>
          </w:p>
        </w:tc>
      </w:tr>
      <w:tr w14:paraId="31CB1593">
        <w:tblPrEx>
          <w:tblCellMar>
            <w:top w:w="0" w:type="dxa"/>
            <w:left w:w="108" w:type="dxa"/>
            <w:bottom w:w="0" w:type="dxa"/>
            <w:right w:w="108" w:type="dxa"/>
          </w:tblCellMar>
        </w:tblPrEx>
        <w:trPr>
          <w:trHeight w:val="375" w:hRule="atLeast"/>
          <w:jc w:val="center"/>
        </w:trPr>
        <w:tc>
          <w:tcPr>
            <w:tcW w:w="3046" w:type="dxa"/>
            <w:tcBorders>
              <w:top w:val="single" w:color="000000" w:sz="4" w:space="0"/>
              <w:left w:val="single" w:color="000000" w:sz="4" w:space="0"/>
              <w:bottom w:val="single" w:color="000000" w:sz="4" w:space="0"/>
              <w:right w:val="single" w:color="000000" w:sz="4" w:space="0"/>
            </w:tcBorders>
            <w:shd w:val="clear" w:color="auto" w:fill="auto"/>
            <w:noWrap/>
          </w:tcPr>
          <w:p w14:paraId="04FCA877">
            <w:pPr>
              <w:pStyle w:val="8"/>
              <w:spacing w:before="136"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F≥</w:t>
            </w:r>
            <w:r>
              <w:rPr>
                <w:rFonts w:hint="eastAsia" w:ascii="宋体" w:hAnsi="宋体" w:eastAsia="宋体" w:cs="宋体"/>
                <w:color w:val="auto"/>
                <w:spacing w:val="-2"/>
                <w:sz w:val="24"/>
                <w:szCs w:val="24"/>
                <w:highlight w:val="none"/>
                <w:lang w:val="en-US" w:eastAsia="zh-CN"/>
              </w:rPr>
              <w:t>8</w:t>
            </w:r>
            <w:r>
              <w:rPr>
                <w:rFonts w:hint="eastAsia" w:ascii="宋体" w:hAnsi="宋体" w:eastAsia="宋体" w:cs="宋体"/>
                <w:color w:val="auto"/>
                <w:spacing w:val="-2"/>
                <w:sz w:val="24"/>
                <w:szCs w:val="24"/>
                <w:highlight w:val="none"/>
              </w:rPr>
              <w:t>级</w:t>
            </w:r>
          </w:p>
        </w:tc>
        <w:tc>
          <w:tcPr>
            <w:tcW w:w="3956" w:type="dxa"/>
            <w:tcBorders>
              <w:top w:val="single" w:color="000000" w:sz="4" w:space="0"/>
              <w:left w:val="single" w:color="000000" w:sz="4" w:space="0"/>
              <w:bottom w:val="single" w:color="000000" w:sz="4" w:space="0"/>
              <w:right w:val="single" w:color="000000" w:sz="4" w:space="0"/>
            </w:tcBorders>
            <w:shd w:val="clear" w:color="auto" w:fill="auto"/>
            <w:noWrap/>
          </w:tcPr>
          <w:p w14:paraId="0FCB0F19">
            <w:pPr>
              <w:pStyle w:val="8"/>
              <w:spacing w:before="171"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1</w:t>
            </w:r>
          </w:p>
        </w:tc>
      </w:tr>
    </w:tbl>
    <w:p w14:paraId="2B78A32E">
      <w:pPr>
        <w:spacing w:before="132" w:line="360" w:lineRule="auto"/>
        <w:ind w:left="626"/>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注：F为地震级别，地震/余震级别、发生时间、震源经纬度等数据认定以中国地震台网发布数据为准</w:t>
      </w:r>
    </w:p>
    <w:p w14:paraId="523F4DEB">
      <w:pPr>
        <w:keepNext w:val="0"/>
        <w:keepLines w:val="0"/>
        <w:pageBreakBefore w:val="0"/>
        <w:wordWrap/>
        <w:overflowPunct/>
        <w:bidi w:val="0"/>
        <w:adjustRightInd w:val="0"/>
        <w:snapToGrid w:val="0"/>
        <w:spacing w:line="360" w:lineRule="auto"/>
        <w:ind w:firstLine="482" w:firstLineChars="200"/>
        <w:jc w:val="both"/>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同一区域内发生多次地震(含余震)的，按照发生的最高级别地震理赔标准计算赔款。保险期限内，地震/余震指数</w:t>
      </w:r>
      <w:r>
        <w:rPr>
          <w:rFonts w:hint="eastAsia" w:ascii="宋体" w:hAnsi="宋体" w:eastAsia="宋体" w:cs="宋体"/>
          <w:b/>
          <w:bCs/>
          <w:color w:val="auto"/>
          <w:sz w:val="24"/>
          <w:szCs w:val="24"/>
          <w:highlight w:val="none"/>
          <w:lang w:eastAsia="zh-CN"/>
        </w:rPr>
        <w:t>累计赔偿金额</w:t>
      </w:r>
      <w:r>
        <w:rPr>
          <w:rFonts w:hint="eastAsia" w:ascii="宋体" w:hAnsi="宋体" w:eastAsia="宋体" w:cs="宋体"/>
          <w:b/>
          <w:bCs/>
          <w:color w:val="auto"/>
          <w:sz w:val="24"/>
          <w:szCs w:val="24"/>
          <w:highlight w:val="none"/>
        </w:rPr>
        <w:t>不超过地震/余震指数子项赔偿限额。</w:t>
      </w:r>
    </w:p>
    <w:p w14:paraId="31D80136">
      <w:pPr>
        <w:keepNext w:val="0"/>
        <w:keepLines w:val="0"/>
        <w:pageBreakBefore w:val="0"/>
        <w:wordWrap/>
        <w:overflowPunct/>
        <w:bidi w:val="0"/>
        <w:adjustRightInd w:val="0"/>
        <w:snapToGrid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地震/余震指数子项赔偿限额=保险金额（元）×地震/余震风险系数</w:t>
      </w:r>
    </w:p>
    <w:p w14:paraId="58E051A2">
      <w:pPr>
        <w:spacing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b/>
          <w:color w:val="auto"/>
          <w:kern w:val="0"/>
          <w:sz w:val="24"/>
          <w:szCs w:val="24"/>
          <w:highlight w:val="none"/>
        </w:rPr>
        <w:t>救灾应急响应</w:t>
      </w:r>
      <w:r>
        <w:rPr>
          <w:rFonts w:hint="eastAsia" w:ascii="宋体" w:hAnsi="宋体" w:eastAsia="宋体" w:cs="宋体"/>
          <w:b/>
          <w:color w:val="auto"/>
          <w:kern w:val="0"/>
          <w:sz w:val="24"/>
          <w:szCs w:val="24"/>
          <w:highlight w:val="none"/>
          <w:lang w:eastAsia="zh-CN"/>
        </w:rPr>
        <w:t>：</w:t>
      </w:r>
      <w:r>
        <w:rPr>
          <w:rFonts w:hint="eastAsia" w:ascii="宋体" w:hAnsi="宋体" w:eastAsia="宋体" w:cs="宋体"/>
          <w:color w:val="auto"/>
          <w:sz w:val="24"/>
          <w:szCs w:val="24"/>
          <w:highlight w:val="none"/>
        </w:rPr>
        <w:t>保险期限内，发生保险合同约定的救灾应急响应，达到约定的救灾应急响应等级标准（即承保区域内区县级（含）以上减灾委或应急管理局发布的IV级（含）以上救灾应急响应）时，视为保险事故发生，保险人按照以下方式进行赔偿。</w:t>
      </w:r>
    </w:p>
    <w:p w14:paraId="0DCA2EBA">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赔偿金额=保险金额（元）×救灾应急响应风险系数×救灾应急响应等级系数</w:t>
      </w:r>
    </w:p>
    <w:p w14:paraId="5FCA8003">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救灾应急响应等级以区县级（含）以上减灾委或应急管理局官方网站发布数据为准。救灾应急响应等级系数按照下表约定计算：</w:t>
      </w:r>
    </w:p>
    <w:p w14:paraId="06E8FAF4">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center"/>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救灾应急响应等级系数情况表</w:t>
      </w:r>
    </w:p>
    <w:tbl>
      <w:tblPr>
        <w:tblStyle w:val="4"/>
        <w:tblW w:w="783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86"/>
        <w:gridCol w:w="3849"/>
      </w:tblGrid>
      <w:tr w14:paraId="51C2D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jc w:val="center"/>
        </w:trPr>
        <w:tc>
          <w:tcPr>
            <w:tcW w:w="3986" w:type="dxa"/>
            <w:noWrap w:val="0"/>
            <w:vAlign w:val="center"/>
          </w:tcPr>
          <w:p w14:paraId="7CB8107D">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救灾应急响应等级</w:t>
            </w:r>
          </w:p>
        </w:tc>
        <w:tc>
          <w:tcPr>
            <w:tcW w:w="3849" w:type="dxa"/>
            <w:noWrap w:val="0"/>
            <w:vAlign w:val="center"/>
          </w:tcPr>
          <w:p w14:paraId="42D794EA">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救灾应急响应</w:t>
            </w:r>
            <w:r>
              <w:rPr>
                <w:rFonts w:hint="eastAsia" w:ascii="宋体" w:hAnsi="宋体" w:eastAsia="宋体" w:cs="宋体"/>
                <w:color w:val="auto"/>
                <w:kern w:val="0"/>
                <w:sz w:val="24"/>
                <w:szCs w:val="24"/>
                <w:highlight w:val="none"/>
                <w:lang w:val="en-US" w:eastAsia="zh-CN"/>
              </w:rPr>
              <w:t>等级</w:t>
            </w:r>
            <w:r>
              <w:rPr>
                <w:rFonts w:hint="eastAsia" w:ascii="宋体" w:hAnsi="宋体" w:eastAsia="宋体" w:cs="宋体"/>
                <w:color w:val="auto"/>
                <w:kern w:val="0"/>
                <w:sz w:val="24"/>
                <w:szCs w:val="24"/>
                <w:highlight w:val="none"/>
                <w:lang w:eastAsia="zh-CN"/>
              </w:rPr>
              <w:t>系数</w:t>
            </w:r>
          </w:p>
        </w:tc>
      </w:tr>
      <w:tr w14:paraId="763D8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jc w:val="center"/>
        </w:trPr>
        <w:tc>
          <w:tcPr>
            <w:tcW w:w="3986" w:type="dxa"/>
            <w:noWrap w:val="0"/>
            <w:vAlign w:val="center"/>
          </w:tcPr>
          <w:p w14:paraId="47BBFFEC">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IV级救灾应急响应</w:t>
            </w:r>
          </w:p>
        </w:tc>
        <w:tc>
          <w:tcPr>
            <w:tcW w:w="3849" w:type="dxa"/>
            <w:noWrap w:val="0"/>
            <w:vAlign w:val="center"/>
          </w:tcPr>
          <w:p w14:paraId="6AB0FA19">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0.1</w:t>
            </w:r>
          </w:p>
        </w:tc>
      </w:tr>
      <w:tr w14:paraId="16B4F1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jc w:val="center"/>
        </w:trPr>
        <w:tc>
          <w:tcPr>
            <w:tcW w:w="3986" w:type="dxa"/>
            <w:noWrap w:val="0"/>
            <w:vAlign w:val="center"/>
          </w:tcPr>
          <w:p w14:paraId="4944A9D0">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Ⅲ级救灾应急响应</w:t>
            </w:r>
          </w:p>
        </w:tc>
        <w:tc>
          <w:tcPr>
            <w:tcW w:w="3849" w:type="dxa"/>
            <w:noWrap w:val="0"/>
            <w:vAlign w:val="center"/>
          </w:tcPr>
          <w:p w14:paraId="624805EB">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0.2</w:t>
            </w:r>
          </w:p>
        </w:tc>
      </w:tr>
      <w:tr w14:paraId="3EC899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jc w:val="center"/>
        </w:trPr>
        <w:tc>
          <w:tcPr>
            <w:tcW w:w="3986" w:type="dxa"/>
            <w:noWrap w:val="0"/>
            <w:vAlign w:val="center"/>
          </w:tcPr>
          <w:p w14:paraId="39829C96">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Ⅱ级救灾应急响应</w:t>
            </w:r>
          </w:p>
        </w:tc>
        <w:tc>
          <w:tcPr>
            <w:tcW w:w="3849" w:type="dxa"/>
            <w:noWrap w:val="0"/>
            <w:vAlign w:val="center"/>
          </w:tcPr>
          <w:p w14:paraId="4838727B">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0.4</w:t>
            </w:r>
          </w:p>
        </w:tc>
      </w:tr>
      <w:tr w14:paraId="5BAFD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jc w:val="center"/>
        </w:trPr>
        <w:tc>
          <w:tcPr>
            <w:tcW w:w="3986" w:type="dxa"/>
            <w:noWrap w:val="0"/>
            <w:vAlign w:val="center"/>
          </w:tcPr>
          <w:p w14:paraId="7507851B">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I级救灾应急响应</w:t>
            </w:r>
          </w:p>
        </w:tc>
        <w:tc>
          <w:tcPr>
            <w:tcW w:w="3849" w:type="dxa"/>
            <w:noWrap w:val="0"/>
            <w:vAlign w:val="center"/>
          </w:tcPr>
          <w:p w14:paraId="25ECC21E">
            <w:pPr>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0.8</w:t>
            </w:r>
          </w:p>
        </w:tc>
      </w:tr>
    </w:tbl>
    <w:p w14:paraId="34CEBF76">
      <w:pPr>
        <w:keepNext w:val="0"/>
        <w:keepLines w:val="0"/>
        <w:pageBreakBefore w:val="0"/>
        <w:wordWrap/>
        <w:overflowPunct/>
        <w:bidi w:val="0"/>
        <w:adjustRightInd w:val="0"/>
        <w:snapToGrid w:val="0"/>
        <w:spacing w:line="360" w:lineRule="auto"/>
        <w:ind w:firstLine="482" w:firstLineChars="200"/>
        <w:jc w:val="both"/>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同一次救灾应急响应涉及多个区域的，</w:t>
      </w:r>
      <w:r>
        <w:rPr>
          <w:rFonts w:hint="eastAsia" w:ascii="宋体" w:hAnsi="宋体" w:eastAsia="宋体" w:cs="宋体"/>
          <w:b/>
          <w:bCs/>
          <w:color w:val="auto"/>
          <w:kern w:val="0"/>
          <w:sz w:val="24"/>
          <w:szCs w:val="24"/>
          <w:highlight w:val="none"/>
          <w:lang w:val="en-US" w:eastAsia="zh-CN"/>
        </w:rPr>
        <w:t>视为不同事故，</w:t>
      </w:r>
      <w:r>
        <w:rPr>
          <w:rFonts w:hint="eastAsia" w:ascii="宋体" w:hAnsi="宋体" w:eastAsia="宋体" w:cs="宋体"/>
          <w:b/>
          <w:bCs/>
          <w:color w:val="auto"/>
          <w:sz w:val="24"/>
          <w:szCs w:val="24"/>
          <w:highlight w:val="none"/>
        </w:rPr>
        <w:t>不同区域可累加赔付；同一区域内因不同次灾害发布救灾应急响应的，可以累加赔付；同一区域内先后因同一次灾害调整救灾应急响应级别的，不累加赔付，取高档等级标准赔付。保险期限内，救灾应急响应累计赔付金额不超过救灾应急响应子项赔偿限额。</w:t>
      </w:r>
    </w:p>
    <w:p w14:paraId="0164F066">
      <w:pPr>
        <w:keepNext w:val="0"/>
        <w:keepLines w:val="0"/>
        <w:pageBreakBefore w:val="0"/>
        <w:wordWrap/>
        <w:overflowPunct/>
        <w:bidi w:val="0"/>
        <w:adjustRightInd w:val="0"/>
        <w:snapToGrid w:val="0"/>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救灾应急响应子项赔偿限额=保险金额（元）×救灾应急响应风险系数</w:t>
      </w:r>
    </w:p>
    <w:p w14:paraId="6780A055">
      <w:pPr>
        <w:pStyle w:val="2"/>
        <w:spacing w:line="360" w:lineRule="auto"/>
        <w:ind w:left="0" w:leftChars="0" w:firstLine="482"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上述暴雨风险系数、低温冻害风险系数</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rPr>
        <w:t>冰雹风险系数、干旱风险系数、风灾风险系数、雪灾风险系数</w:t>
      </w:r>
      <w:r>
        <w:rPr>
          <w:rFonts w:hint="eastAsia" w:ascii="宋体" w:hAnsi="宋体" w:eastAsia="宋体" w:cs="宋体"/>
          <w:b/>
          <w:bCs/>
          <w:color w:val="auto"/>
          <w:sz w:val="24"/>
          <w:szCs w:val="24"/>
          <w:highlight w:val="none"/>
          <w:lang w:val="en-US" w:eastAsia="zh-CN"/>
        </w:rPr>
        <w:t>和</w:t>
      </w:r>
      <w:r>
        <w:rPr>
          <w:rFonts w:hint="eastAsia" w:ascii="宋体" w:hAnsi="宋体" w:eastAsia="宋体" w:cs="宋体"/>
          <w:b/>
          <w:bCs/>
          <w:color w:val="auto"/>
          <w:sz w:val="24"/>
          <w:szCs w:val="24"/>
          <w:highlight w:val="none"/>
        </w:rPr>
        <w:t>地震/余震风险系数由保险双方协商确定，并在保险单中载明，且各项风险系数累加值等于1。</w:t>
      </w:r>
    </w:p>
    <w:p w14:paraId="3E3F8280">
      <w:pPr>
        <w:spacing w:line="256" w:lineRule="auto"/>
        <w:rPr>
          <w:rFonts w:ascii="Arial"/>
          <w:sz w:val="21"/>
          <w:highlight w:val="none"/>
        </w:rPr>
      </w:pPr>
    </w:p>
    <w:p w14:paraId="091863FC">
      <w:pPr>
        <w:spacing w:line="257" w:lineRule="auto"/>
        <w:rPr>
          <w:rFonts w:ascii="Arial"/>
          <w:sz w:val="21"/>
          <w:highlight w:val="none"/>
        </w:rPr>
      </w:pPr>
    </w:p>
    <w:p w14:paraId="36A44133">
      <w:pPr>
        <w:pStyle w:val="3"/>
        <w:spacing w:before="78" w:line="220" w:lineRule="auto"/>
        <w:ind w:left="4"/>
        <w:outlineLvl w:val="1"/>
        <w:rPr>
          <w:highlight w:val="none"/>
        </w:rPr>
      </w:pPr>
      <w:r>
        <w:rPr>
          <w:b/>
          <w:bCs/>
          <w:spacing w:val="-4"/>
          <w:highlight w:val="none"/>
        </w:rPr>
        <w:t>二、商务需求</w:t>
      </w:r>
    </w:p>
    <w:p w14:paraId="5C67D2DA">
      <w:pPr>
        <w:spacing w:line="281" w:lineRule="auto"/>
        <w:rPr>
          <w:rFonts w:ascii="Arial"/>
          <w:sz w:val="21"/>
          <w:highlight w:val="none"/>
        </w:rPr>
      </w:pPr>
    </w:p>
    <w:p w14:paraId="580191CA">
      <w:pPr>
        <w:pStyle w:val="3"/>
        <w:spacing w:before="78" w:line="220" w:lineRule="auto"/>
        <w:ind w:left="492"/>
        <w:rPr>
          <w:highlight w:val="none"/>
        </w:rPr>
      </w:pPr>
      <w:r>
        <w:rPr>
          <w:spacing w:val="-5"/>
          <w:highlight w:val="none"/>
        </w:rPr>
        <w:t>1、服务期：合同签订后服务期1年。</w:t>
      </w:r>
    </w:p>
    <w:p w14:paraId="0DF10C35">
      <w:pPr>
        <w:pStyle w:val="3"/>
        <w:spacing w:before="207" w:line="220" w:lineRule="auto"/>
        <w:ind w:left="475"/>
        <w:rPr>
          <w:highlight w:val="none"/>
        </w:rPr>
      </w:pPr>
      <w:r>
        <w:rPr>
          <w:spacing w:val="-5"/>
          <w:highlight w:val="none"/>
        </w:rPr>
        <w:t>2、服务地点：上栗县全县范围。</w:t>
      </w:r>
    </w:p>
    <w:p w14:paraId="2B7F296A">
      <w:pPr>
        <w:pStyle w:val="3"/>
        <w:spacing w:before="181" w:line="219" w:lineRule="auto"/>
        <w:ind w:right="20"/>
        <w:jc w:val="right"/>
        <w:rPr>
          <w:highlight w:val="none"/>
        </w:rPr>
        <w:sectPr>
          <w:headerReference r:id="rId7" w:type="default"/>
          <w:footerReference r:id="rId8" w:type="default"/>
          <w:pgSz w:w="11907" w:h="16840"/>
          <w:pgMar w:top="400" w:right="1416" w:bottom="937" w:left="1312" w:header="0" w:footer="691" w:gutter="0"/>
          <w:cols w:space="720" w:num="1"/>
        </w:sectPr>
      </w:pPr>
      <w:r>
        <w:rPr>
          <w:spacing w:val="-2"/>
          <w:highlight w:val="none"/>
        </w:rPr>
        <w:t>3、付款方式：上栗县农业农村局与承保机构协商确定付</w:t>
      </w:r>
      <w:r>
        <w:rPr>
          <w:spacing w:val="-3"/>
          <w:highlight w:val="none"/>
        </w:rPr>
        <w:t>款方式，签订合同后按照合</w:t>
      </w:r>
    </w:p>
    <w:p w14:paraId="21D628C1">
      <w:pPr>
        <w:spacing w:line="272" w:lineRule="auto"/>
        <w:rPr>
          <w:rFonts w:ascii="Arial"/>
          <w:sz w:val="21"/>
          <w:highlight w:val="none"/>
        </w:rPr>
      </w:pPr>
    </w:p>
    <w:p w14:paraId="627CEBCF">
      <w:pPr>
        <w:pStyle w:val="3"/>
        <w:spacing w:before="78" w:line="359" w:lineRule="auto"/>
        <w:ind w:left="10" w:firstLine="13"/>
        <w:jc w:val="both"/>
        <w:rPr>
          <w:highlight w:val="none"/>
        </w:rPr>
      </w:pPr>
      <w:r>
        <w:rPr>
          <w:spacing w:val="-3"/>
          <w:highlight w:val="none"/>
        </w:rPr>
        <w:t>同约定，按程序使用财政资金将保费拨付给承保公司。自然灾害发生后，承保机构将赔付</w:t>
      </w:r>
      <w:r>
        <w:rPr>
          <w:spacing w:val="-2"/>
          <w:highlight w:val="none"/>
        </w:rPr>
        <w:t>资金支付给上栗县农业农村局，用于全县救灾</w:t>
      </w:r>
      <w:r>
        <w:rPr>
          <w:spacing w:val="-3"/>
          <w:highlight w:val="none"/>
        </w:rPr>
        <w:t>及灾后恢复生产资金补充。承保机构对农业</w:t>
      </w:r>
      <w:r>
        <w:rPr>
          <w:spacing w:val="-4"/>
          <w:highlight w:val="none"/>
        </w:rPr>
        <w:t>巨灾保险单独核算，一年一清。</w:t>
      </w:r>
    </w:p>
    <w:p w14:paraId="721B48C9">
      <w:pPr>
        <w:pStyle w:val="3"/>
        <w:spacing w:before="3" w:line="363" w:lineRule="auto"/>
        <w:ind w:left="2" w:right="135" w:firstLine="472"/>
        <w:jc w:val="both"/>
        <w:rPr>
          <w:highlight w:val="none"/>
        </w:rPr>
      </w:pPr>
      <w:r>
        <w:rPr>
          <w:spacing w:val="-3"/>
          <w:highlight w:val="none"/>
        </w:rPr>
        <w:t>4、服务真实性：供应商在响应过程中必须提供真实数据、证明文件和材料。对恶意</w:t>
      </w:r>
      <w:r>
        <w:rPr>
          <w:spacing w:val="-2"/>
          <w:highlight w:val="none"/>
        </w:rPr>
        <w:t>竞标和弄虚作假的，一经发现直接取消其经营资质；构成犯</w:t>
      </w:r>
      <w:r>
        <w:rPr>
          <w:spacing w:val="-3"/>
          <w:highlight w:val="none"/>
        </w:rPr>
        <w:t>罪的，移送司法机关严肃处</w:t>
      </w:r>
      <w:r>
        <w:rPr>
          <w:spacing w:val="-7"/>
          <w:highlight w:val="none"/>
        </w:rPr>
        <w:t>理。</w:t>
      </w:r>
    </w:p>
    <w:p w14:paraId="0D40F860">
      <w:pPr>
        <w:pStyle w:val="3"/>
        <w:spacing w:before="315" w:line="220" w:lineRule="auto"/>
        <w:rPr>
          <w:highlight w:val="none"/>
        </w:rPr>
      </w:pPr>
      <w:r>
        <w:rPr>
          <w:b/>
          <w:bCs/>
          <w:spacing w:val="-6"/>
          <w:highlight w:val="none"/>
        </w:rPr>
        <w:t>注：以上商务要求必须完全响应，不响应作无效投标处理。</w:t>
      </w:r>
    </w:p>
    <w:p w14:paraId="09FEB8CE">
      <w:pPr>
        <w:spacing w:line="220" w:lineRule="auto"/>
        <w:rPr>
          <w:highlight w:val="none"/>
        </w:rPr>
      </w:pPr>
    </w:p>
    <w:p w14:paraId="670D4A84">
      <w:pPr>
        <w:pStyle w:val="2"/>
        <w:rPr>
          <w:highlight w:val="none"/>
        </w:rPr>
      </w:pPr>
    </w:p>
    <w:p w14:paraId="7E8F2276">
      <w:pPr>
        <w:pStyle w:val="2"/>
        <w:rPr>
          <w:highlight w:val="none"/>
        </w:rPr>
      </w:pPr>
    </w:p>
    <w:p w14:paraId="08DCD340">
      <w:pPr>
        <w:pStyle w:val="2"/>
        <w:rPr>
          <w:highlight w:val="none"/>
        </w:rPr>
      </w:pPr>
    </w:p>
    <w:p w14:paraId="3070FDC1">
      <w:pPr>
        <w:pStyle w:val="2"/>
        <w:rPr>
          <w:highlight w:val="none"/>
        </w:rPr>
      </w:pPr>
    </w:p>
    <w:p w14:paraId="719AC016">
      <w:pPr>
        <w:pStyle w:val="2"/>
        <w:rPr>
          <w:highlight w:val="none"/>
        </w:rPr>
      </w:pPr>
    </w:p>
    <w:p w14:paraId="768FFFAF">
      <w:pPr>
        <w:pStyle w:val="2"/>
        <w:rPr>
          <w:highlight w:val="none"/>
        </w:rPr>
      </w:pPr>
    </w:p>
    <w:p w14:paraId="6343954B">
      <w:pPr>
        <w:pStyle w:val="2"/>
        <w:rPr>
          <w:highlight w:val="none"/>
        </w:rPr>
      </w:pPr>
    </w:p>
    <w:p w14:paraId="1EAE1864">
      <w:pPr>
        <w:pStyle w:val="2"/>
        <w:rPr>
          <w:highlight w:val="none"/>
        </w:rPr>
      </w:pPr>
    </w:p>
    <w:p w14:paraId="04AC40B8">
      <w:pPr>
        <w:pStyle w:val="2"/>
        <w:rPr>
          <w:highlight w:val="none"/>
        </w:rPr>
      </w:pPr>
    </w:p>
    <w:p w14:paraId="1A131FBA">
      <w:pPr>
        <w:pStyle w:val="2"/>
        <w:rPr>
          <w:highlight w:val="none"/>
        </w:rPr>
      </w:pPr>
    </w:p>
    <w:p w14:paraId="78BFA3F8">
      <w:pPr>
        <w:pStyle w:val="2"/>
        <w:rPr>
          <w:highlight w:val="none"/>
        </w:rPr>
      </w:pPr>
    </w:p>
    <w:p w14:paraId="2AA0FA8F">
      <w:pPr>
        <w:pStyle w:val="2"/>
        <w:rPr>
          <w:highlight w:val="none"/>
        </w:rPr>
      </w:pPr>
    </w:p>
    <w:p w14:paraId="2321C050">
      <w:pPr>
        <w:pStyle w:val="2"/>
        <w:rPr>
          <w:highlight w:val="none"/>
        </w:rPr>
      </w:pPr>
    </w:p>
    <w:p w14:paraId="1EA72525">
      <w:pPr>
        <w:pStyle w:val="2"/>
        <w:rPr>
          <w:highlight w:val="none"/>
        </w:rPr>
      </w:pPr>
    </w:p>
    <w:p w14:paraId="54527273">
      <w:pPr>
        <w:pStyle w:val="2"/>
        <w:rPr>
          <w:highlight w:val="none"/>
        </w:rPr>
      </w:pPr>
    </w:p>
    <w:p w14:paraId="58F6D4A3">
      <w:pPr>
        <w:pStyle w:val="2"/>
        <w:rPr>
          <w:highlight w:val="none"/>
        </w:rPr>
      </w:pPr>
    </w:p>
    <w:p w14:paraId="6FD2E6D0">
      <w:pPr>
        <w:pStyle w:val="2"/>
        <w:rPr>
          <w:highlight w:val="none"/>
        </w:rPr>
      </w:pPr>
    </w:p>
    <w:p w14:paraId="6DB77A9A">
      <w:pPr>
        <w:pStyle w:val="2"/>
        <w:rPr>
          <w:highlight w:val="none"/>
        </w:rPr>
      </w:pPr>
    </w:p>
    <w:p w14:paraId="2779DA92">
      <w:pPr>
        <w:pStyle w:val="2"/>
        <w:rPr>
          <w:highlight w:val="none"/>
        </w:rPr>
      </w:pPr>
    </w:p>
    <w:p w14:paraId="4A5E3F50">
      <w:pPr>
        <w:pStyle w:val="2"/>
        <w:rPr>
          <w:highlight w:val="none"/>
        </w:rPr>
      </w:pPr>
    </w:p>
    <w:p w14:paraId="7439C718">
      <w:pPr>
        <w:pStyle w:val="2"/>
        <w:rPr>
          <w:highlight w:val="none"/>
        </w:rPr>
      </w:pPr>
    </w:p>
    <w:p w14:paraId="2CA84BEF">
      <w:pPr>
        <w:pStyle w:val="2"/>
        <w:rPr>
          <w:highlight w:val="none"/>
        </w:rPr>
      </w:pPr>
    </w:p>
    <w:p w14:paraId="348F6C77">
      <w:pPr>
        <w:pStyle w:val="2"/>
        <w:rPr>
          <w:highlight w:val="none"/>
        </w:rPr>
      </w:pPr>
    </w:p>
    <w:p w14:paraId="3BB0AF0B">
      <w:pPr>
        <w:pStyle w:val="2"/>
        <w:rPr>
          <w:highlight w:val="none"/>
        </w:rPr>
      </w:pPr>
    </w:p>
    <w:sectPr>
      <w:footerReference r:id="rId9" w:type="default"/>
      <w:pgSz w:w="11906" w:h="16840"/>
      <w:pgMar w:top="400" w:right="606" w:bottom="1214" w:left="1312" w:header="0" w:footer="96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DE8258">
    <w:pPr>
      <w:spacing w:line="235" w:lineRule="exact"/>
      <w:ind w:left="4383"/>
      <w:rPr>
        <w:rFonts w:ascii="Arial" w:hAnsi="Arial" w:eastAsia="Arial" w:cs="Arial"/>
        <w:sz w:val="18"/>
        <w:szCs w:val="18"/>
      </w:rPr>
    </w:pPr>
    <w:r>
      <w:rPr>
        <w:rFonts w:ascii="Arial" w:hAnsi="Arial" w:eastAsia="Arial" w:cs="Arial"/>
        <w:spacing w:val="-2"/>
        <w:position w:val="1"/>
        <w:sz w:val="18"/>
        <w:szCs w:val="18"/>
      </w:rPr>
      <w:t>58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DD3B1A">
    <w:pPr>
      <w:spacing w:line="235" w:lineRule="exact"/>
      <w:ind w:left="4547"/>
      <w:rPr>
        <w:rFonts w:ascii="Arial" w:hAnsi="Arial" w:eastAsia="Arial" w:cs="Arial"/>
        <w:sz w:val="18"/>
        <w:szCs w:val="18"/>
      </w:rPr>
    </w:pPr>
    <w:r>
      <w:rPr>
        <w:rFonts w:ascii="Arial" w:hAnsi="Arial" w:eastAsia="Arial" w:cs="Arial"/>
        <w:spacing w:val="-2"/>
        <w:position w:val="1"/>
        <w:sz w:val="18"/>
        <w:szCs w:val="18"/>
      </w:rPr>
      <w:t>65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E08F41">
    <w:pPr>
      <w:spacing w:line="235" w:lineRule="exact"/>
      <w:ind w:left="4549"/>
      <w:rPr>
        <w:rFonts w:ascii="Arial" w:hAnsi="Arial" w:eastAsia="Arial" w:cs="Arial"/>
        <w:sz w:val="18"/>
        <w:szCs w:val="18"/>
      </w:rPr>
    </w:pPr>
    <w:r>
      <w:rPr>
        <w:rFonts w:ascii="Arial" w:hAnsi="Arial" w:eastAsia="Arial" w:cs="Arial"/>
        <w:spacing w:val="-2"/>
        <w:position w:val="1"/>
        <w:sz w:val="18"/>
        <w:szCs w:val="18"/>
      </w:rPr>
      <w:t>69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DDE1F9">
    <w:pPr>
      <w:spacing w:line="14" w:lineRule="auto"/>
      <w:rPr>
        <w:rFonts w:ascii="Arial"/>
        <w:sz w:val="2"/>
      </w:rPr>
    </w:pPr>
    <w:r>
      <w:pict>
        <v:shape id="WordPictureWatermark2" o:spid="_x0000_s4097" o:spt="75" type="#_x0000_t75" style="position:absolute;left:0pt;margin-left:74.65pt;margin-top:132.7pt;height:117pt;width:142.15pt;mso-position-horizontal-relative:page;mso-position-vertical-relative:page;z-index:-251657216;mso-width-relative:page;mso-height-relative:page;" filled="f" stroked="f" coordsize="21600,21600" o:allowincell="f">
          <v:path/>
          <v:fill on="f" focussize="0,0"/>
          <v:stroke on="f"/>
          <v:imagedata r:id="rId1" o:title=""/>
          <o:lock v:ext="edit" aspectratio="t"/>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357ED">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hdrShapeDefaults>
    <o:shapelayout v:ext="edit">
      <o:idmap v:ext="edit" data="3,4"/>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B115B44"/>
    <w:rsid w:val="1D8C6350"/>
    <w:rsid w:val="2646425B"/>
    <w:rsid w:val="3AFA39E4"/>
    <w:rsid w:val="51BE7660"/>
    <w:rsid w:val="52E37F64"/>
    <w:rsid w:val="590561E6"/>
    <w:rsid w:val="6028345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qFormat/>
    <w:uiPriority w:val="99"/>
    <w:pPr>
      <w:spacing w:line="480" w:lineRule="exact"/>
      <w:ind w:firstLine="480" w:firstLineChars="200"/>
    </w:pPr>
  </w:style>
  <w:style w:type="paragraph" w:styleId="3">
    <w:name w:val="Body Text"/>
    <w:basedOn w:val="1"/>
    <w:semiHidden/>
    <w:qFormat/>
    <w:uiPriority w:val="0"/>
    <w:rPr>
      <w:rFonts w:ascii="宋体" w:hAnsi="宋体" w:eastAsia="宋体" w:cs="宋体"/>
      <w:sz w:val="24"/>
      <w:szCs w:val="24"/>
      <w:lang w:val="en-US" w:eastAsia="en-US" w:bidi="ar-SA"/>
    </w:rPr>
  </w:style>
  <w:style w:type="character" w:styleId="6">
    <w:name w:val="Strong"/>
    <w:basedOn w:val="5"/>
    <w:qFormat/>
    <w:uiPriority w:val="22"/>
    <w:rPr>
      <w:rFonts w:cs="Times New Roman"/>
      <w:b/>
      <w:bCs/>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Calibri" w:hAnsi="Calibri" w:eastAsia="Calibri" w:cs="Calibri"/>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Pages>
  <Words>5574</Words>
  <Characters>5791</Characters>
  <TotalTime>10</TotalTime>
  <ScaleCrop>false</ScaleCrop>
  <LinksUpToDate>false</LinksUpToDate>
  <CharactersWithSpaces>5798</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2026-05-25T01:10:00Z</dcterms:created>
  <dc:creator>Administrator</dc:creator>
  <cp:lastModifiedBy>Administrator</cp:lastModifiedBy>
  <dcterms:modified xsi:type="dcterms:W3CDTF">2026-05-28T11:58:18Z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2026-05-25T09:04:33Z</vt:filetime>
  </property>
  <property fmtid="{D5CDD505-2E9C-101B-9397-08002B2CF9AE}" pid="4" name="KSOProductBuildVer">
    <vt:lpwstr>2052-12.1.0.26375</vt:lpwstr>
  </property>
  <property fmtid="{D5CDD505-2E9C-101B-9397-08002B2CF9AE}" pid="5" name="ICV">
    <vt:lpwstr>29003C7FCB9C4B5EA7CF3EFD2145DD06</vt:lpwstr>
  </property>
  <property fmtid="{D5CDD505-2E9C-101B-9397-08002B2CF9AE}" pid="6" name="KSOTemplateDocerSaveRecord">
    <vt:lpwstr>eyJoZGlkIjoiY2IxNTI0YzZiYTg0ZDk4OWE3OTk5MWNiZjYyYmZmNDYiLCJ1c2VySWQiOiIzMzYzMzU0NTgifQ==</vt:lpwstr>
  </property>
</Properties>
</file>