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F09CCD">
      <w:pPr>
        <w:widowControl w:val="0"/>
        <w:spacing w:line="309" w:lineRule="auto"/>
        <w:rPr>
          <w:color w:val="auto"/>
          <w:highlight w:val="none"/>
          <w:lang w:eastAsia="zh-CN"/>
        </w:rPr>
      </w:pPr>
    </w:p>
    <w:p w14:paraId="276D162A">
      <w:pPr>
        <w:widowControl w:val="0"/>
        <w:spacing w:before="78" w:line="220" w:lineRule="auto"/>
        <w:jc w:val="center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bookmarkStart w:id="0" w:name="_Toc226675947"/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</w:p>
    <w:p w14:paraId="7EC03FE6">
      <w:pPr>
        <w:widowControl w:val="0"/>
        <w:spacing w:before="64"/>
        <w:rPr>
          <w:color w:val="auto"/>
          <w:highlight w:val="none"/>
          <w:lang w:eastAsia="zh-CN"/>
        </w:rPr>
      </w:pPr>
    </w:p>
    <w:tbl>
      <w:tblPr>
        <w:tblStyle w:val="4"/>
        <w:tblW w:w="91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740"/>
        <w:gridCol w:w="6355"/>
      </w:tblGrid>
      <w:tr w14:paraId="0F983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  <w:jc w:val="center"/>
        </w:trPr>
        <w:tc>
          <w:tcPr>
            <w:tcW w:w="2048" w:type="dxa"/>
          </w:tcPr>
          <w:p w14:paraId="26A9B8BD">
            <w:pPr>
              <w:widowControl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bookmarkStart w:id="1" w:name="_GoBack"/>
            <w:r>
              <w:rPr>
                <w:color w:val="auto"/>
                <w:highlight w:val="none"/>
                <w:lang w:eastAsia="zh-CN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762760" cy="1468120"/>
                  <wp:effectExtent l="0" t="0" r="8890" b="1778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2760" cy="1468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1"/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0A559758">
            <w:pPr>
              <w:pStyle w:val="5"/>
              <w:widowControl w:val="0"/>
              <w:spacing w:line="245" w:lineRule="auto"/>
              <w:rPr>
                <w:color w:val="auto"/>
                <w:highlight w:val="none"/>
              </w:rPr>
            </w:pPr>
          </w:p>
          <w:p w14:paraId="53E31F58">
            <w:pPr>
              <w:pStyle w:val="5"/>
              <w:widowControl w:val="0"/>
              <w:spacing w:line="246" w:lineRule="auto"/>
              <w:rPr>
                <w:color w:val="auto"/>
                <w:highlight w:val="none"/>
              </w:rPr>
            </w:pPr>
          </w:p>
          <w:p w14:paraId="440CE245">
            <w:pPr>
              <w:widowControl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1883575D">
            <w:pPr>
              <w:pStyle w:val="5"/>
              <w:widowControl w:val="0"/>
              <w:spacing w:line="338" w:lineRule="auto"/>
              <w:rPr>
                <w:color w:val="auto"/>
                <w:highlight w:val="none"/>
              </w:rPr>
            </w:pPr>
          </w:p>
          <w:p w14:paraId="7D329727">
            <w:pPr>
              <w:widowControl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740" w:type="dxa"/>
          </w:tcPr>
          <w:p w14:paraId="365D8BC5">
            <w:pPr>
              <w:pStyle w:val="5"/>
              <w:widowControl w:val="0"/>
              <w:spacing w:line="263" w:lineRule="auto"/>
              <w:rPr>
                <w:color w:val="auto"/>
                <w:highlight w:val="none"/>
              </w:rPr>
            </w:pPr>
          </w:p>
          <w:p w14:paraId="62D4E3EC">
            <w:pPr>
              <w:pStyle w:val="5"/>
              <w:widowControl w:val="0"/>
              <w:spacing w:line="263" w:lineRule="auto"/>
              <w:rPr>
                <w:color w:val="auto"/>
                <w:highlight w:val="none"/>
              </w:rPr>
            </w:pPr>
          </w:p>
          <w:p w14:paraId="5FFF86A6">
            <w:pPr>
              <w:pStyle w:val="5"/>
              <w:widowControl w:val="0"/>
              <w:spacing w:line="264" w:lineRule="auto"/>
              <w:rPr>
                <w:color w:val="auto"/>
                <w:highlight w:val="none"/>
              </w:rPr>
            </w:pPr>
          </w:p>
          <w:p w14:paraId="7621CB26">
            <w:pPr>
              <w:widowControl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355" w:type="dxa"/>
            <w:vAlign w:val="center"/>
          </w:tcPr>
          <w:p w14:paraId="20E750C2">
            <w:pPr>
              <w:pStyle w:val="5"/>
              <w:widowControl w:val="0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吉安市地质灾害自动化监测预警点运行维护服务项目</w:t>
            </w:r>
          </w:p>
          <w:p w14:paraId="1E234F29">
            <w:pPr>
              <w:pStyle w:val="5"/>
              <w:widowControl w:val="0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（2026-2028年度）</w:t>
            </w:r>
          </w:p>
        </w:tc>
      </w:tr>
      <w:tr w14:paraId="394733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788" w:type="dxa"/>
            <w:gridSpan w:val="2"/>
          </w:tcPr>
          <w:p w14:paraId="6B96AD08">
            <w:pPr>
              <w:widowControl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355" w:type="dxa"/>
            <w:vAlign w:val="center"/>
          </w:tcPr>
          <w:p w14:paraId="3B419EBF">
            <w:pPr>
              <w:pStyle w:val="5"/>
              <w:widowControl w:val="0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1项</w:t>
            </w:r>
          </w:p>
        </w:tc>
      </w:tr>
      <w:tr w14:paraId="213F6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788" w:type="dxa"/>
            <w:gridSpan w:val="2"/>
          </w:tcPr>
          <w:p w14:paraId="17B3E747">
            <w:pPr>
              <w:widowControl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355" w:type="dxa"/>
            <w:vAlign w:val="center"/>
          </w:tcPr>
          <w:p w14:paraId="57DD697E">
            <w:pPr>
              <w:pStyle w:val="5"/>
              <w:widowControl w:val="0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自合同签订日起三年</w:t>
            </w:r>
          </w:p>
        </w:tc>
      </w:tr>
      <w:tr w14:paraId="13F26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788" w:type="dxa"/>
            <w:gridSpan w:val="2"/>
            <w:vAlign w:val="center"/>
          </w:tcPr>
          <w:p w14:paraId="0CF70B43">
            <w:pPr>
              <w:pStyle w:val="5"/>
              <w:widowControl w:val="0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服务地点</w:t>
            </w:r>
          </w:p>
        </w:tc>
        <w:tc>
          <w:tcPr>
            <w:tcW w:w="6355" w:type="dxa"/>
            <w:vAlign w:val="center"/>
          </w:tcPr>
          <w:p w14:paraId="6734E7B0">
            <w:pPr>
              <w:pStyle w:val="5"/>
              <w:widowControl w:val="0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采购人指定地点，青原区、吉安县、井冈山市，新干、吉水、泰和、万安、安福、永新、遂川县等设立了监测预警设备的区域。</w:t>
            </w:r>
          </w:p>
        </w:tc>
      </w:tr>
      <w:tr w14:paraId="60296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  <w:jc w:val="center"/>
        </w:trPr>
        <w:tc>
          <w:tcPr>
            <w:tcW w:w="2788" w:type="dxa"/>
            <w:gridSpan w:val="2"/>
            <w:vAlign w:val="center"/>
          </w:tcPr>
          <w:p w14:paraId="169C0AA3">
            <w:pPr>
              <w:pStyle w:val="5"/>
              <w:widowControl w:val="0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备注</w:t>
            </w:r>
          </w:p>
        </w:tc>
        <w:tc>
          <w:tcPr>
            <w:tcW w:w="6355" w:type="dxa"/>
            <w:vAlign w:val="center"/>
          </w:tcPr>
          <w:p w14:paraId="11821272">
            <w:pPr>
              <w:pStyle w:val="5"/>
              <w:widowControl w:val="0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/</w:t>
            </w:r>
          </w:p>
        </w:tc>
      </w:tr>
    </w:tbl>
    <w:p w14:paraId="5DF81E7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4E63BE"/>
    <w:rsid w:val="6F4E6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2026-05-28T10:45:00Z</dcterms:created>
  <dc:creator>浮生</dc:creator>
  <cp:lastModifiedBy>浮生</cp:lastModifiedBy>
  <dcterms:modified xsi:type="dcterms:W3CDTF">2026-05-28T10:45:46Z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8880CEBF5F924E3E881231DDB5B7DB60_11</vt:lpwstr>
  </property>
  <property fmtid="{D5CDD505-2E9C-101B-9397-08002B2CF9AE}" pid="4" name="KSOTemplateDocerSaveRecord">
    <vt:lpwstr>eyJoZGlkIjoiMDVkNzE4NDJhNDk1OTExMWE4ODY2MTFiYzljOTUwMzkiLCJ1c2VySWQiOiIyMDM2NzA0NDIifQ==</vt:lpwstr>
  </property>
</Properties>
</file>