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851449">
      <w:pPr>
        <w:pStyle w:val="2"/>
        <w:spacing w:before="91" w:line="240" w:lineRule="auto"/>
        <w:ind w:left="779"/>
        <w:jc w:val="center"/>
        <w:outlineLvl w:val="1"/>
        <w:rPr>
          <w:rFonts w:hint="eastAsia" w:ascii="仿宋" w:hAnsi="仿宋" w:eastAsia="仿宋" w:cs="仿宋"/>
          <w:color w:val="auto"/>
          <w:sz w:val="28"/>
          <w:szCs w:val="28"/>
        </w:rPr>
      </w:pPr>
      <w:bookmarkStart w:id="0" w:name="_Toc314"/>
      <w:r>
        <w:rPr>
          <w:rFonts w:hint="eastAsia" w:ascii="仿宋" w:hAnsi="仿宋" w:eastAsia="仿宋" w:cs="仿宋"/>
          <w:b/>
          <w:bCs/>
          <w:color w:val="auto"/>
          <w:spacing w:val="-5"/>
          <w:sz w:val="28"/>
          <w:szCs w:val="28"/>
        </w:rPr>
        <w:t>一、技术要求</w:t>
      </w:r>
      <w:bookmarkEnd w:id="0"/>
    </w:p>
    <w:p w14:paraId="66DF23D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20" w:leftChars="200"/>
        <w:textAlignment w:val="baseline"/>
        <w:rPr>
          <w:rFonts w:hint="eastAsia" w:ascii="仿宋" w:hAnsi="仿宋" w:eastAsia="仿宋" w:cs="仿宋"/>
          <w:color w:val="auto"/>
          <w:sz w:val="22"/>
          <w:szCs w:val="22"/>
          <w:highlight w:val="none"/>
        </w:rPr>
      </w:pPr>
      <w:r>
        <w:rPr>
          <w:rFonts w:hint="eastAsia" w:ascii="仿宋" w:hAnsi="仿宋" w:eastAsia="仿宋" w:cs="仿宋"/>
          <w:b/>
          <w:bCs/>
          <w:color w:val="auto"/>
          <w:spacing w:val="-6"/>
          <w:sz w:val="22"/>
          <w:szCs w:val="22"/>
          <w:highlight w:val="none"/>
        </w:rPr>
        <w:t>1</w:t>
      </w:r>
      <w:r>
        <w:rPr>
          <w:rFonts w:hint="eastAsia" w:ascii="仿宋" w:hAnsi="仿宋" w:eastAsia="仿宋" w:cs="仿宋"/>
          <w:b/>
          <w:bCs/>
          <w:color w:val="auto"/>
          <w:spacing w:val="-6"/>
          <w:sz w:val="22"/>
          <w:szCs w:val="22"/>
          <w:highlight w:val="none"/>
          <w:lang w:eastAsia="zh-CN"/>
        </w:rPr>
        <w:t>、</w:t>
      </w:r>
      <w:r>
        <w:rPr>
          <w:rFonts w:hint="eastAsia" w:ascii="仿宋" w:hAnsi="仿宋" w:eastAsia="仿宋" w:cs="仿宋"/>
          <w:b/>
          <w:color w:val="auto"/>
          <w:sz w:val="24"/>
          <w:szCs w:val="24"/>
          <w:highlight w:val="none"/>
          <w:lang w:eastAsia="zh-CN"/>
        </w:rPr>
        <w:t>项目概况</w:t>
      </w:r>
    </w:p>
    <w:p w14:paraId="6852CD77">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firstLine="480" w:firstLineChars="200"/>
        <w:textAlignment w:val="baseline"/>
        <w:rPr>
          <w:rFonts w:hint="eastAsia" w:ascii="仿宋" w:hAnsi="仿宋" w:eastAsia="仿宋" w:cs="仿宋"/>
          <w:color w:val="auto"/>
          <w:sz w:val="22"/>
          <w:szCs w:val="22"/>
          <w:highlight w:val="none"/>
        </w:rPr>
      </w:pPr>
      <w:r>
        <w:rPr>
          <w:rFonts w:hint="eastAsia" w:ascii="仿宋" w:hAnsi="仿宋" w:eastAsia="仿宋" w:cs="仿宋"/>
          <w:snapToGrid w:val="0"/>
          <w:color w:val="auto"/>
          <w:kern w:val="0"/>
          <w:sz w:val="24"/>
          <w:szCs w:val="24"/>
          <w:highlight w:val="none"/>
          <w:u w:val="none"/>
          <w:lang w:val="en-US" w:eastAsia="zh-CN" w:bidi="ar-SA"/>
        </w:rPr>
        <w:t>鹰潭市信江新区棚户区改造（娄家城中村）工程审计项目，</w:t>
      </w:r>
      <w:r>
        <w:rPr>
          <w:rFonts w:hint="eastAsia" w:ascii="仿宋" w:hAnsi="仿宋" w:eastAsia="仿宋" w:cs="仿宋"/>
          <w:snapToGrid w:val="0"/>
          <w:color w:val="auto"/>
          <w:kern w:val="0"/>
          <w:sz w:val="24"/>
          <w:szCs w:val="24"/>
          <w:highlight w:val="none"/>
          <w:lang w:val="en-US" w:eastAsia="zh-CN" w:bidi="ar-SA"/>
        </w:rPr>
        <w:t>该项目包含房屋建筑、园林绿化、安装等工程，房屋建筑31栋，建筑面积289972.8㎡，初步设计批复总投资102088万元，其中工程费用85479万元。经市财政结算审核金额81613.58万元。</w:t>
      </w:r>
    </w:p>
    <w:p w14:paraId="141F55E6">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textAlignment w:val="baseline"/>
        <w:rPr>
          <w:rFonts w:hint="eastAsia" w:ascii="仿宋" w:hAnsi="仿宋" w:eastAsia="仿宋" w:cs="仿宋"/>
          <w:b/>
          <w:bCs/>
          <w:snapToGrid w:val="0"/>
          <w:color w:val="auto"/>
          <w:kern w:val="0"/>
          <w:sz w:val="24"/>
          <w:szCs w:val="24"/>
          <w:highlight w:val="none"/>
          <w:lang w:val="en-US" w:eastAsia="zh-CN" w:bidi="ar-SA"/>
        </w:rPr>
      </w:pPr>
      <w:r>
        <w:rPr>
          <w:rFonts w:hint="eastAsia" w:ascii="仿宋" w:hAnsi="仿宋" w:eastAsia="仿宋" w:cs="仿宋"/>
          <w:b/>
          <w:bCs/>
          <w:snapToGrid w:val="0"/>
          <w:color w:val="auto"/>
          <w:kern w:val="0"/>
          <w:sz w:val="24"/>
          <w:szCs w:val="24"/>
          <w:highlight w:val="none"/>
          <w:lang w:val="en-US" w:eastAsia="zh-CN" w:bidi="ar-SA"/>
        </w:rPr>
        <w:t>2、服务范围</w:t>
      </w:r>
    </w:p>
    <w:p w14:paraId="2E5E8B28">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right="107" w:firstLine="480" w:firstLineChars="200"/>
        <w:textAlignment w:val="baseline"/>
        <w:rPr>
          <w:rFonts w:hint="eastAsia" w:ascii="仿宋" w:hAnsi="仿宋" w:eastAsia="仿宋" w:cs="仿宋"/>
          <w:snapToGrid w:val="0"/>
          <w:color w:val="auto"/>
          <w:kern w:val="0"/>
          <w:sz w:val="24"/>
          <w:szCs w:val="24"/>
          <w:highlight w:val="none"/>
          <w:lang w:val="en-US" w:eastAsia="zh-CN" w:bidi="ar-SA"/>
        </w:rPr>
      </w:pPr>
      <w:r>
        <w:rPr>
          <w:rFonts w:hint="eastAsia" w:ascii="仿宋" w:hAnsi="仿宋" w:eastAsia="仿宋" w:cs="仿宋"/>
          <w:snapToGrid w:val="0"/>
          <w:color w:val="auto"/>
          <w:kern w:val="0"/>
          <w:sz w:val="24"/>
          <w:szCs w:val="24"/>
          <w:highlight w:val="none"/>
          <w:lang w:val="en-US" w:eastAsia="zh-CN" w:bidi="ar-SA"/>
        </w:rPr>
        <w:t>审计内容包括但不限于：对建设程序执行情况、招标投标情况、合同管理情况、勘察设计情况、施工管理情况、资金支付与结算情况、投资绩效目标完成情况等进行审查评价。</w:t>
      </w:r>
    </w:p>
    <w:p w14:paraId="275F0988">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textAlignment w:val="baseline"/>
        <w:rPr>
          <w:rFonts w:hint="eastAsia" w:ascii="仿宋" w:hAnsi="仿宋" w:eastAsia="仿宋" w:cs="仿宋"/>
          <w:b/>
          <w:bCs/>
          <w:snapToGrid w:val="0"/>
          <w:color w:val="auto"/>
          <w:kern w:val="0"/>
          <w:sz w:val="24"/>
          <w:szCs w:val="24"/>
          <w:highlight w:val="none"/>
          <w:lang w:val="en-US" w:eastAsia="zh-CN" w:bidi="ar-SA"/>
        </w:rPr>
      </w:pPr>
      <w:r>
        <w:rPr>
          <w:rFonts w:hint="eastAsia" w:ascii="仿宋" w:hAnsi="仿宋" w:eastAsia="仿宋" w:cs="仿宋"/>
          <w:b/>
          <w:bCs/>
          <w:snapToGrid w:val="0"/>
          <w:color w:val="auto"/>
          <w:kern w:val="0"/>
          <w:sz w:val="24"/>
          <w:szCs w:val="24"/>
          <w:highlight w:val="none"/>
          <w:lang w:val="en-US" w:eastAsia="zh-CN" w:bidi="ar-SA"/>
        </w:rPr>
        <w:t>3、服务要求</w:t>
      </w:r>
    </w:p>
    <w:p w14:paraId="52AA8F9B">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firstLine="480" w:firstLineChars="200"/>
        <w:textAlignment w:val="baseline"/>
        <w:rPr>
          <w:rFonts w:hint="eastAsia" w:ascii="仿宋" w:hAnsi="仿宋" w:eastAsia="仿宋" w:cs="仿宋"/>
          <w:snapToGrid w:val="0"/>
          <w:color w:val="auto"/>
          <w:kern w:val="0"/>
          <w:sz w:val="24"/>
          <w:szCs w:val="24"/>
          <w:highlight w:val="none"/>
          <w:lang w:val="en-US" w:eastAsia="zh-CN" w:bidi="ar-SA"/>
        </w:rPr>
      </w:pPr>
      <w:r>
        <w:rPr>
          <w:rFonts w:hint="eastAsia" w:ascii="仿宋" w:hAnsi="仿宋" w:eastAsia="仿宋" w:cs="仿宋"/>
          <w:snapToGrid w:val="0"/>
          <w:color w:val="auto"/>
          <w:kern w:val="0"/>
          <w:sz w:val="24"/>
          <w:szCs w:val="24"/>
          <w:highlight w:val="none"/>
          <w:lang w:val="en-US" w:eastAsia="zh-CN" w:bidi="ar-SA"/>
        </w:rPr>
        <w:t>3.1 审计报告客观公正，内容真实、完整、准确，格式符合采购人要求；</w:t>
      </w:r>
    </w:p>
    <w:p w14:paraId="6C9C769D">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firstLine="480" w:firstLineChars="200"/>
        <w:textAlignment w:val="baseline"/>
        <w:rPr>
          <w:rFonts w:hint="eastAsia" w:ascii="仿宋" w:hAnsi="仿宋" w:eastAsia="仿宋" w:cs="仿宋"/>
          <w:snapToGrid w:val="0"/>
          <w:color w:val="auto"/>
          <w:kern w:val="0"/>
          <w:sz w:val="24"/>
          <w:szCs w:val="24"/>
          <w:highlight w:val="none"/>
          <w:lang w:val="en-US" w:eastAsia="zh-CN" w:bidi="ar-SA"/>
        </w:rPr>
      </w:pPr>
      <w:r>
        <w:rPr>
          <w:rFonts w:hint="eastAsia" w:ascii="仿宋" w:hAnsi="仿宋" w:eastAsia="仿宋" w:cs="仿宋"/>
          <w:snapToGrid w:val="0"/>
          <w:color w:val="auto"/>
          <w:kern w:val="0"/>
          <w:sz w:val="24"/>
          <w:szCs w:val="24"/>
          <w:highlight w:val="none"/>
          <w:lang w:val="en-US" w:eastAsia="zh-CN" w:bidi="ar-SA"/>
        </w:rPr>
        <w:t>3.2 审计程序合法、合规；</w:t>
      </w:r>
    </w:p>
    <w:p w14:paraId="6B2ADCE1">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firstLine="480" w:firstLineChars="200"/>
        <w:textAlignment w:val="baseline"/>
        <w:rPr>
          <w:rFonts w:hint="eastAsia" w:ascii="仿宋" w:hAnsi="仿宋" w:eastAsia="仿宋" w:cs="仿宋"/>
          <w:snapToGrid w:val="0"/>
          <w:color w:val="auto"/>
          <w:kern w:val="0"/>
          <w:sz w:val="24"/>
          <w:szCs w:val="24"/>
          <w:highlight w:val="none"/>
          <w:lang w:val="en-US" w:eastAsia="zh-CN" w:bidi="ar-SA"/>
        </w:rPr>
      </w:pPr>
      <w:r>
        <w:rPr>
          <w:rFonts w:hint="eastAsia" w:ascii="仿宋" w:hAnsi="仿宋" w:eastAsia="仿宋" w:cs="仿宋"/>
          <w:snapToGrid w:val="0"/>
          <w:color w:val="auto"/>
          <w:kern w:val="0"/>
          <w:sz w:val="24"/>
          <w:szCs w:val="24"/>
          <w:highlight w:val="none"/>
          <w:lang w:val="en-US" w:eastAsia="zh-CN" w:bidi="ar-SA"/>
        </w:rPr>
        <w:t>3.3 工作底稿完整准确，取证单规范及时，并经相关专业审计人员签字确认；审计发现问题全面真实、定性准确、证据充分，审计建议恰当，对法律法规引用适当；</w:t>
      </w:r>
    </w:p>
    <w:p w14:paraId="4361A6B6">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firstLine="480" w:firstLineChars="200"/>
        <w:textAlignment w:val="baseline"/>
        <w:rPr>
          <w:rFonts w:hint="eastAsia" w:ascii="仿宋" w:hAnsi="仿宋" w:eastAsia="仿宋" w:cs="仿宋"/>
          <w:snapToGrid w:val="0"/>
          <w:color w:val="auto"/>
          <w:kern w:val="0"/>
          <w:sz w:val="24"/>
          <w:szCs w:val="24"/>
          <w:highlight w:val="none"/>
          <w:lang w:val="en-US" w:eastAsia="zh-CN" w:bidi="ar-SA"/>
        </w:rPr>
      </w:pPr>
      <w:r>
        <w:rPr>
          <w:rFonts w:hint="eastAsia" w:ascii="仿宋" w:hAnsi="仿宋" w:eastAsia="仿宋" w:cs="仿宋"/>
          <w:snapToGrid w:val="0"/>
          <w:color w:val="auto"/>
          <w:kern w:val="0"/>
          <w:sz w:val="24"/>
          <w:szCs w:val="24"/>
          <w:highlight w:val="none"/>
          <w:lang w:val="en-US" w:eastAsia="zh-CN" w:bidi="ar-SA"/>
        </w:rPr>
        <w:t>3.4 对审计工作实施中遇到的重大问题、重大事项和重要情况应及时向采购人报告；</w:t>
      </w:r>
    </w:p>
    <w:p w14:paraId="04FA2E42">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firstLine="480" w:firstLineChars="200"/>
        <w:textAlignment w:val="baseline"/>
        <w:rPr>
          <w:rFonts w:hint="eastAsia" w:ascii="仿宋" w:hAnsi="仿宋" w:eastAsia="仿宋" w:cs="仿宋"/>
          <w:snapToGrid w:val="0"/>
          <w:color w:val="auto"/>
          <w:kern w:val="0"/>
          <w:sz w:val="24"/>
          <w:szCs w:val="24"/>
          <w:highlight w:val="none"/>
          <w:lang w:val="en-US" w:eastAsia="zh-CN" w:bidi="ar-SA"/>
        </w:rPr>
      </w:pPr>
      <w:r>
        <w:rPr>
          <w:rFonts w:hint="eastAsia" w:ascii="仿宋" w:hAnsi="仿宋" w:eastAsia="仿宋" w:cs="仿宋"/>
          <w:snapToGrid w:val="0"/>
          <w:color w:val="auto"/>
          <w:kern w:val="0"/>
          <w:sz w:val="24"/>
          <w:szCs w:val="24"/>
          <w:highlight w:val="none"/>
          <w:lang w:val="en-US" w:eastAsia="zh-CN" w:bidi="ar-SA"/>
        </w:rPr>
        <w:t>3.5 建立健全对审计报告的内部复核机制；</w:t>
      </w:r>
    </w:p>
    <w:p w14:paraId="23BE08AA">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firstLine="480" w:firstLineChars="200"/>
        <w:textAlignment w:val="baseline"/>
        <w:rPr>
          <w:rFonts w:hint="eastAsia" w:ascii="仿宋" w:hAnsi="仿宋" w:eastAsia="仿宋" w:cs="仿宋"/>
          <w:snapToGrid w:val="0"/>
          <w:color w:val="auto"/>
          <w:kern w:val="0"/>
          <w:sz w:val="24"/>
          <w:szCs w:val="24"/>
          <w:highlight w:val="none"/>
          <w:lang w:val="en-US" w:eastAsia="zh-CN" w:bidi="ar-SA"/>
        </w:rPr>
      </w:pPr>
      <w:r>
        <w:rPr>
          <w:rFonts w:hint="eastAsia" w:ascii="仿宋" w:hAnsi="仿宋" w:eastAsia="仿宋" w:cs="仿宋"/>
          <w:snapToGrid w:val="0"/>
          <w:color w:val="auto"/>
          <w:kern w:val="0"/>
          <w:sz w:val="24"/>
          <w:szCs w:val="24"/>
          <w:highlight w:val="none"/>
          <w:lang w:val="en-US" w:eastAsia="zh-CN" w:bidi="ar-SA"/>
        </w:rPr>
        <w:t>3.6 成果编制的时间应能满足采购人的要求；</w:t>
      </w:r>
    </w:p>
    <w:p w14:paraId="6141F5E6">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firstLine="480" w:firstLineChars="200"/>
        <w:textAlignment w:val="baseline"/>
        <w:rPr>
          <w:rFonts w:hint="eastAsia" w:ascii="仿宋" w:hAnsi="仿宋" w:eastAsia="仿宋" w:cs="仿宋"/>
          <w:snapToGrid w:val="0"/>
          <w:color w:val="auto"/>
          <w:kern w:val="0"/>
          <w:sz w:val="24"/>
          <w:szCs w:val="24"/>
          <w:highlight w:val="none"/>
          <w:lang w:val="en-US" w:eastAsia="zh-CN" w:bidi="ar-SA"/>
        </w:rPr>
      </w:pPr>
      <w:r>
        <w:rPr>
          <w:rFonts w:hint="eastAsia" w:ascii="仿宋" w:hAnsi="仿宋" w:eastAsia="仿宋" w:cs="仿宋"/>
          <w:snapToGrid w:val="0"/>
          <w:color w:val="auto"/>
          <w:kern w:val="0"/>
          <w:sz w:val="24"/>
          <w:szCs w:val="24"/>
          <w:highlight w:val="none"/>
          <w:lang w:val="en-US" w:eastAsia="zh-CN" w:bidi="ar-SA"/>
        </w:rPr>
        <w:t>3.7 对完成的所有成果进行编制整理，并提供全部审计成果的电子版；</w:t>
      </w:r>
    </w:p>
    <w:p w14:paraId="30BB0AEF">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firstLine="480" w:firstLineChars="200"/>
        <w:textAlignment w:val="baseline"/>
        <w:rPr>
          <w:rFonts w:hint="eastAsia" w:ascii="仿宋" w:hAnsi="仿宋" w:eastAsia="仿宋" w:cs="仿宋"/>
          <w:snapToGrid w:val="0"/>
          <w:color w:val="auto"/>
          <w:kern w:val="0"/>
          <w:sz w:val="24"/>
          <w:szCs w:val="24"/>
          <w:highlight w:val="none"/>
          <w:lang w:val="en-US" w:eastAsia="zh-CN" w:bidi="ar-SA"/>
        </w:rPr>
      </w:pPr>
      <w:r>
        <w:rPr>
          <w:rFonts w:hint="eastAsia" w:ascii="仿宋" w:hAnsi="仿宋" w:eastAsia="仿宋" w:cs="仿宋"/>
          <w:snapToGrid w:val="0"/>
          <w:color w:val="auto"/>
          <w:kern w:val="0"/>
          <w:sz w:val="24"/>
          <w:szCs w:val="24"/>
          <w:highlight w:val="none"/>
          <w:lang w:val="en-US" w:eastAsia="zh-CN" w:bidi="ar-SA"/>
        </w:rPr>
        <w:t>3.8 对因严重过失或故意提供不实或内容虚假的审计报告承担相应法律责任；</w:t>
      </w:r>
    </w:p>
    <w:p w14:paraId="26581102">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firstLine="480" w:firstLineChars="200"/>
        <w:textAlignment w:val="baseline"/>
        <w:rPr>
          <w:rFonts w:hint="eastAsia" w:ascii="仿宋" w:hAnsi="仿宋" w:eastAsia="仿宋" w:cs="仿宋"/>
          <w:snapToGrid w:val="0"/>
          <w:color w:val="auto"/>
          <w:kern w:val="0"/>
          <w:sz w:val="24"/>
          <w:szCs w:val="24"/>
          <w:highlight w:val="none"/>
          <w:lang w:val="en-US" w:eastAsia="zh-CN" w:bidi="ar-SA"/>
        </w:rPr>
      </w:pPr>
      <w:r>
        <w:rPr>
          <w:rFonts w:hint="eastAsia" w:ascii="仿宋" w:hAnsi="仿宋" w:eastAsia="仿宋" w:cs="仿宋"/>
          <w:snapToGrid w:val="0"/>
          <w:color w:val="auto"/>
          <w:kern w:val="0"/>
          <w:sz w:val="24"/>
          <w:szCs w:val="24"/>
          <w:highlight w:val="none"/>
          <w:lang w:val="en-US" w:eastAsia="zh-CN" w:bidi="ar-SA"/>
        </w:rPr>
        <w:t>3.9 中标人及审计人员严守保密义务，不得对外透露审计过程及结果；审计人员完成项目时纸质版资料及电子版资料全部移交采购人，不得留有备份资料。</w:t>
      </w:r>
    </w:p>
    <w:p w14:paraId="27C2B9CD">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firstLine="480" w:firstLineChars="200"/>
        <w:textAlignment w:val="baseline"/>
        <w:rPr>
          <w:rFonts w:hint="eastAsia" w:ascii="仿宋" w:hAnsi="仿宋" w:eastAsia="仿宋" w:cs="仿宋"/>
          <w:snapToGrid w:val="0"/>
          <w:color w:val="auto"/>
          <w:kern w:val="0"/>
          <w:sz w:val="24"/>
          <w:szCs w:val="24"/>
          <w:highlight w:val="none"/>
          <w:lang w:val="en-US" w:eastAsia="zh-CN" w:bidi="ar-SA"/>
        </w:rPr>
      </w:pPr>
      <w:r>
        <w:rPr>
          <w:rFonts w:hint="eastAsia" w:ascii="仿宋" w:hAnsi="仿宋" w:eastAsia="仿宋" w:cs="仿宋"/>
          <w:snapToGrid w:val="0"/>
          <w:color w:val="auto"/>
          <w:kern w:val="0"/>
          <w:sz w:val="24"/>
          <w:szCs w:val="24"/>
          <w:highlight w:val="none"/>
          <w:lang w:val="en-US" w:eastAsia="zh-CN" w:bidi="ar-SA"/>
        </w:rPr>
        <w:t>3.10 中标人须提供审计报告初稿及电子版1份，审计报告定稿数量须按招标人要求数量提供。</w:t>
      </w:r>
    </w:p>
    <w:p w14:paraId="4518C0DF">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textAlignment w:val="baseline"/>
        <w:rPr>
          <w:rFonts w:hint="eastAsia" w:ascii="仿宋" w:hAnsi="仿宋" w:eastAsia="仿宋" w:cs="仿宋"/>
          <w:b/>
          <w:bCs/>
          <w:snapToGrid w:val="0"/>
          <w:color w:val="auto"/>
          <w:kern w:val="0"/>
          <w:sz w:val="24"/>
          <w:szCs w:val="24"/>
          <w:highlight w:val="none"/>
          <w:lang w:val="en-US" w:eastAsia="zh-CN" w:bidi="ar-SA"/>
        </w:rPr>
      </w:pPr>
      <w:r>
        <w:rPr>
          <w:rFonts w:hint="eastAsia" w:ascii="仿宋" w:hAnsi="仿宋" w:eastAsia="仿宋" w:cs="仿宋"/>
          <w:b/>
          <w:bCs/>
          <w:snapToGrid w:val="0"/>
          <w:color w:val="auto"/>
          <w:kern w:val="0"/>
          <w:sz w:val="24"/>
          <w:szCs w:val="24"/>
          <w:highlight w:val="none"/>
          <w:lang w:val="en-US" w:eastAsia="zh-CN" w:bidi="ar-SA"/>
        </w:rPr>
        <w:t>4、审计服务人员要求：</w:t>
      </w:r>
    </w:p>
    <w:p w14:paraId="5C626B0C">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firstLine="482" w:firstLineChars="200"/>
        <w:textAlignment w:val="baseline"/>
        <w:rPr>
          <w:rFonts w:hint="eastAsia" w:ascii="仿宋" w:hAnsi="仿宋" w:eastAsia="仿宋" w:cs="仿宋"/>
          <w:b/>
          <w:bCs/>
          <w:snapToGrid w:val="0"/>
          <w:color w:val="auto"/>
          <w:kern w:val="0"/>
          <w:sz w:val="24"/>
          <w:szCs w:val="24"/>
          <w:highlight w:val="none"/>
          <w:lang w:val="en-US" w:eastAsia="zh-CN" w:bidi="ar-SA"/>
        </w:rPr>
      </w:pPr>
      <w:r>
        <w:rPr>
          <w:rFonts w:hint="eastAsia" w:ascii="仿宋" w:hAnsi="仿宋" w:eastAsia="仿宋" w:cs="仿宋"/>
          <w:b/>
          <w:bCs/>
          <w:snapToGrid w:val="0"/>
          <w:color w:val="auto"/>
          <w:kern w:val="0"/>
          <w:sz w:val="24"/>
          <w:szCs w:val="24"/>
          <w:highlight w:val="none"/>
          <w:lang w:val="en-US" w:eastAsia="zh-CN" w:bidi="ar-SA"/>
        </w:rPr>
        <w:t>4.1 因本项目具有工期紧张、任务量大、质量标准严苛的特点，为保障项目实施质效，投标人拟派项目团队全体人员须于初稿出具前全程驻场服务；项目负责人及团队各成员应坚守现场全职办公，未经采购人书面批准不得擅自更换，确因特殊情况需更换人员的，投标人须提前 15 个工作日提交书面申请，并附新派人员资质证明文件，且新派人员资质等级不得低于原派驻人员，经招标人同意后更换；针对采购人提出的各类疑问及修改需求，拟派驻场人员须在接收需求后按照要求响应并提交符合要求的返稿；驻场团队应建立周度汇报机制，每周向采购人开展审核结果专项汇报，并同步提交书面汇报材料；项目初稿编制完成后，由工程类团队成员（不低于中级工程师或一级造价师资格）及一名财务负责人专职驻场，负责后续审核深化、问题整改、成果完善及与采购人的日常对接协调等相关工作，至采购人同意撤场。</w:t>
      </w:r>
    </w:p>
    <w:p w14:paraId="2E95E414">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firstLine="480" w:firstLineChars="200"/>
        <w:textAlignment w:val="baseline"/>
        <w:rPr>
          <w:rFonts w:hint="eastAsia" w:ascii="仿宋" w:hAnsi="仿宋" w:eastAsia="仿宋" w:cs="仿宋"/>
          <w:snapToGrid w:val="0"/>
          <w:color w:val="auto"/>
          <w:kern w:val="0"/>
          <w:sz w:val="24"/>
          <w:szCs w:val="24"/>
          <w:highlight w:val="none"/>
          <w:lang w:val="en-US" w:eastAsia="zh-CN" w:bidi="ar-SA"/>
        </w:rPr>
      </w:pPr>
      <w:r>
        <w:rPr>
          <w:rFonts w:hint="eastAsia" w:ascii="仿宋" w:hAnsi="仿宋" w:eastAsia="仿宋" w:cs="仿宋"/>
          <w:snapToGrid w:val="0"/>
          <w:color w:val="auto"/>
          <w:kern w:val="0"/>
          <w:sz w:val="24"/>
          <w:szCs w:val="24"/>
          <w:highlight w:val="none"/>
          <w:lang w:val="en-US" w:eastAsia="zh-CN" w:bidi="ar-SA"/>
        </w:rPr>
        <w:t>4.2 现场审计结束后，项目团队根据采购人项目进展情况或采购人要求适时返场服务。</w:t>
      </w:r>
    </w:p>
    <w:p w14:paraId="365BB563">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firstLine="480" w:firstLineChars="200"/>
        <w:textAlignment w:val="baseline"/>
        <w:rPr>
          <w:rFonts w:hint="eastAsia" w:ascii="仿宋" w:hAnsi="仿宋" w:eastAsia="仿宋" w:cs="仿宋"/>
          <w:snapToGrid w:val="0"/>
          <w:color w:val="auto"/>
          <w:kern w:val="0"/>
          <w:sz w:val="24"/>
          <w:szCs w:val="24"/>
          <w:highlight w:val="none"/>
          <w:lang w:val="en-US" w:eastAsia="zh-CN" w:bidi="ar-SA"/>
        </w:rPr>
      </w:pPr>
      <w:r>
        <w:rPr>
          <w:rFonts w:hint="eastAsia" w:ascii="仿宋" w:hAnsi="仿宋" w:eastAsia="仿宋" w:cs="仿宋"/>
          <w:snapToGrid w:val="0"/>
          <w:color w:val="auto"/>
          <w:kern w:val="0"/>
          <w:sz w:val="24"/>
          <w:szCs w:val="24"/>
          <w:highlight w:val="none"/>
          <w:lang w:val="en-US" w:eastAsia="zh-CN" w:bidi="ar-SA"/>
        </w:rPr>
        <w:t>4.3 按照项目进度需求，拟派人员应服从采购人的工作安排，中标人应根据采购人需要，适当增加人员。</w:t>
      </w:r>
    </w:p>
    <w:p w14:paraId="4B3A744C">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firstLine="480" w:firstLineChars="200"/>
        <w:textAlignment w:val="baseline"/>
        <w:rPr>
          <w:rFonts w:hint="eastAsia" w:ascii="仿宋" w:hAnsi="仿宋" w:eastAsia="仿宋" w:cs="仿宋"/>
          <w:snapToGrid w:val="0"/>
          <w:color w:val="auto"/>
          <w:kern w:val="0"/>
          <w:sz w:val="24"/>
          <w:szCs w:val="24"/>
          <w:highlight w:val="none"/>
          <w:lang w:val="en-US" w:eastAsia="zh-CN" w:bidi="ar-SA"/>
        </w:rPr>
      </w:pPr>
      <w:r>
        <w:rPr>
          <w:rFonts w:hint="eastAsia" w:ascii="仿宋" w:hAnsi="仿宋" w:eastAsia="仿宋" w:cs="仿宋"/>
          <w:snapToGrid w:val="0"/>
          <w:color w:val="auto"/>
          <w:kern w:val="0"/>
          <w:sz w:val="24"/>
          <w:szCs w:val="24"/>
          <w:highlight w:val="none"/>
          <w:lang w:val="en-US" w:eastAsia="zh-CN" w:bidi="ar-SA"/>
        </w:rPr>
        <w:t>4.4 人员配置（以下为最低配置要求）</w:t>
      </w:r>
    </w:p>
    <w:p w14:paraId="6C18F07F">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firstLine="482" w:firstLineChars="200"/>
        <w:textAlignment w:val="baseline"/>
        <w:rPr>
          <w:rFonts w:hint="eastAsia" w:ascii="仿宋" w:hAnsi="仿宋" w:eastAsia="仿宋" w:cs="仿宋"/>
          <w:b/>
          <w:bCs/>
          <w:snapToGrid w:val="0"/>
          <w:color w:val="auto"/>
          <w:kern w:val="0"/>
          <w:sz w:val="24"/>
          <w:szCs w:val="24"/>
          <w:highlight w:val="none"/>
          <w:lang w:val="en-US" w:eastAsia="zh-CN" w:bidi="ar-SA"/>
        </w:rPr>
      </w:pPr>
      <w:r>
        <w:rPr>
          <w:rFonts w:hint="eastAsia" w:ascii="仿宋" w:hAnsi="仿宋" w:eastAsia="仿宋" w:cs="仿宋"/>
          <w:b/>
          <w:bCs/>
          <w:snapToGrid w:val="0"/>
          <w:color w:val="auto"/>
          <w:kern w:val="0"/>
          <w:sz w:val="24"/>
          <w:szCs w:val="24"/>
          <w:highlight w:val="none"/>
          <w:lang w:val="en-US" w:eastAsia="zh-CN" w:bidi="ar-SA"/>
        </w:rPr>
        <w:t>拟派团队人员要求：项目组至少配备 4 位人员（含项目负责人 1 人、财务协审人员 1 人），因服务过程中需要查看现场等，所有人员年龄要求须不超过 65 周岁。</w:t>
      </w:r>
    </w:p>
    <w:p w14:paraId="0DE43747">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firstLine="480" w:firstLineChars="200"/>
        <w:textAlignment w:val="baseline"/>
        <w:rPr>
          <w:rFonts w:hint="eastAsia" w:ascii="仿宋" w:hAnsi="仿宋" w:eastAsia="仿宋" w:cs="仿宋"/>
          <w:snapToGrid w:val="0"/>
          <w:color w:val="auto"/>
          <w:kern w:val="0"/>
          <w:sz w:val="24"/>
          <w:szCs w:val="24"/>
          <w:highlight w:val="none"/>
          <w:lang w:val="en-US" w:eastAsia="zh-CN" w:bidi="ar-SA"/>
        </w:rPr>
      </w:pPr>
      <w:r>
        <w:rPr>
          <w:rFonts w:hint="eastAsia" w:ascii="仿宋" w:hAnsi="仿宋" w:eastAsia="仿宋" w:cs="仿宋"/>
          <w:snapToGrid w:val="0"/>
          <w:color w:val="auto"/>
          <w:kern w:val="0"/>
          <w:sz w:val="24"/>
          <w:szCs w:val="24"/>
          <w:highlight w:val="none"/>
          <w:lang w:val="en-US" w:eastAsia="zh-CN" w:bidi="ar-SA"/>
        </w:rPr>
        <w:t>4.5 若招标人在对中标人监督管理过程中发现，中标人派驻的人员无法完成该项目的审核，或者审核效果达不到招标人的要求，招标人有权要求更换拟派驻的人员参与项目的审核，或者增加审核人员，直至满意为止。</w:t>
      </w:r>
    </w:p>
    <w:p w14:paraId="02963EB3">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5、在岗时间要求</w:t>
      </w:r>
    </w:p>
    <w:p w14:paraId="3F0AEEE9">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应驻场的项目负责人每月在岗时间不得少于22个工作日，项目团队其他成员每月在岗时间不得少于20个工作日。</w:t>
      </w:r>
    </w:p>
    <w:p w14:paraId="44EFA653">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对于未达到在岗时间要求的人员，实行累计警告管理，警告上限为3次；累计达到警告上限的，将按规定启动人员更换流程。</w:t>
      </w:r>
    </w:p>
    <w:p w14:paraId="4A29F3B3">
      <w:pPr>
        <w:keepNext w:val="0"/>
        <w:keepLines w:val="0"/>
        <w:pageBreakBefore w:val="0"/>
        <w:widowControl/>
        <w:kinsoku w:val="0"/>
        <w:wordWrap/>
        <w:overflowPunct/>
        <w:topLinePunct w:val="0"/>
        <w:autoSpaceDE w:val="0"/>
        <w:autoSpaceDN w:val="0"/>
        <w:bidi w:val="0"/>
        <w:adjustRightInd w:val="0"/>
        <w:snapToGrid w:val="0"/>
        <w:spacing w:line="360" w:lineRule="auto"/>
        <w:ind w:firstLine="281" w:firstLineChars="100"/>
        <w:textAlignment w:val="baseline"/>
        <w:rPr>
          <w:rFonts w:hint="default"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第5点</w:t>
      </w:r>
      <w:r>
        <w:rPr>
          <w:rFonts w:hint="eastAsia" w:ascii="仿宋" w:hAnsi="仿宋" w:eastAsia="仿宋" w:cs="仿宋"/>
          <w:b/>
          <w:bCs/>
          <w:color w:val="auto"/>
          <w:sz w:val="28"/>
          <w:szCs w:val="28"/>
          <w:highlight w:val="none"/>
          <w:lang w:eastAsia="zh-CN"/>
        </w:rPr>
        <w:t>评审</w:t>
      </w:r>
      <w:r>
        <w:rPr>
          <w:rFonts w:hint="eastAsia" w:ascii="仿宋" w:hAnsi="仿宋" w:eastAsia="仿宋" w:cs="仿宋"/>
          <w:b/>
          <w:bCs/>
          <w:snapToGrid w:val="0"/>
          <w:color w:val="auto"/>
          <w:kern w:val="0"/>
          <w:sz w:val="28"/>
          <w:szCs w:val="28"/>
          <w:highlight w:val="none"/>
          <w:lang w:val="en-US" w:eastAsia="zh-CN" w:bidi="ar-SA"/>
        </w:rPr>
        <w:t>依据</w:t>
      </w:r>
      <w:r>
        <w:rPr>
          <w:rFonts w:hint="eastAsia" w:ascii="仿宋" w:hAnsi="仿宋" w:eastAsia="仿宋" w:cs="仿宋"/>
          <w:b/>
          <w:bCs/>
          <w:color w:val="auto"/>
          <w:sz w:val="28"/>
          <w:szCs w:val="28"/>
          <w:highlight w:val="none"/>
          <w:lang w:eastAsia="zh-CN"/>
        </w:rPr>
        <w:t>：供应商需提供满足以上要求的承诺函，未提供上述材料的，视为不满足本项条款要求（格式自拟），</w:t>
      </w:r>
      <w:r>
        <w:rPr>
          <w:rFonts w:hint="eastAsia" w:ascii="仿宋" w:hAnsi="仿宋" w:eastAsia="仿宋" w:cs="仿宋"/>
          <w:b/>
          <w:bCs/>
          <w:color w:val="auto"/>
          <w:spacing w:val="-7"/>
          <w:sz w:val="28"/>
          <w:szCs w:val="28"/>
          <w:lang w:val="en-US" w:eastAsia="zh-CN"/>
        </w:rPr>
        <w:t>注：联合体参与投标的，联合体双方均需加盖公章。</w:t>
      </w:r>
    </w:p>
    <w:p w14:paraId="066AE72E">
      <w:pPr>
        <w:pStyle w:val="2"/>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6、应急响应到场要求</w:t>
      </w:r>
    </w:p>
    <w:p w14:paraId="71686617">
      <w:pPr>
        <w:pStyle w:val="2"/>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服务团队需保持通讯畅通，在接到采购人通知后，须在0.5小时内完成响应，并在2小时内抵达指定现场开展相关工作。</w:t>
      </w:r>
    </w:p>
    <w:p w14:paraId="076048DD">
      <w:pPr>
        <w:keepNext w:val="0"/>
        <w:keepLines w:val="0"/>
        <w:pageBreakBefore w:val="0"/>
        <w:widowControl/>
        <w:kinsoku w:val="0"/>
        <w:wordWrap/>
        <w:overflowPunct/>
        <w:topLinePunct w:val="0"/>
        <w:autoSpaceDE w:val="0"/>
        <w:autoSpaceDN w:val="0"/>
        <w:bidi w:val="0"/>
        <w:adjustRightInd w:val="0"/>
        <w:snapToGrid w:val="0"/>
        <w:spacing w:line="360" w:lineRule="auto"/>
        <w:ind w:firstLine="281" w:firstLineChars="100"/>
        <w:textAlignment w:val="baseline"/>
        <w:rPr>
          <w:rFonts w:hint="eastAsia" w:ascii="仿宋" w:hAnsi="仿宋" w:eastAsia="仿宋" w:cs="仿宋"/>
          <w:b/>
          <w:bCs/>
          <w:color w:val="auto"/>
          <w:spacing w:val="-7"/>
          <w:sz w:val="28"/>
          <w:szCs w:val="28"/>
          <w:lang w:val="en-US" w:eastAsia="zh-CN"/>
        </w:rPr>
      </w:pPr>
      <w:r>
        <w:rPr>
          <w:rFonts w:hint="eastAsia" w:ascii="仿宋" w:hAnsi="仿宋" w:eastAsia="仿宋" w:cs="仿宋"/>
          <w:b/>
          <w:bCs/>
          <w:color w:val="auto"/>
          <w:sz w:val="28"/>
          <w:szCs w:val="28"/>
          <w:highlight w:val="none"/>
          <w:lang w:val="en-US" w:eastAsia="zh-CN"/>
        </w:rPr>
        <w:t>第6点</w:t>
      </w:r>
      <w:r>
        <w:rPr>
          <w:rFonts w:hint="eastAsia" w:ascii="仿宋" w:hAnsi="仿宋" w:eastAsia="仿宋" w:cs="仿宋"/>
          <w:b/>
          <w:bCs/>
          <w:color w:val="auto"/>
          <w:sz w:val="28"/>
          <w:szCs w:val="28"/>
          <w:highlight w:val="none"/>
          <w:lang w:eastAsia="zh-CN"/>
        </w:rPr>
        <w:t>评审依据：供应商需提供满足以上要求的承诺函，未提供上述材料的，视为不满足本项条款要求（格式自拟）</w:t>
      </w:r>
      <w:r>
        <w:rPr>
          <w:rFonts w:hint="eastAsia" w:ascii="仿宋" w:hAnsi="仿宋" w:eastAsia="仿宋" w:cs="仿宋"/>
          <w:b/>
          <w:bCs/>
          <w:color w:val="auto"/>
          <w:spacing w:val="-7"/>
          <w:sz w:val="28"/>
          <w:szCs w:val="28"/>
          <w:lang w:val="en-US" w:eastAsia="zh-CN"/>
        </w:rPr>
        <w:t>，注：联合体参与投标的，联合体双方均需加盖公章。</w:t>
      </w:r>
    </w:p>
    <w:p w14:paraId="28846980">
      <w:bookmarkStart w:id="1" w:name="_GoBack"/>
      <w:bookmarkEnd w:id="1"/>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6F16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35"/>
      <w:szCs w:val="35"/>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2026-05-28T03:24:47Z</dcterms:created>
  <dc:creator>PC</dc:creator>
  <cp:lastModifiedBy>PC</cp:lastModifiedBy>
  <dcterms:modified xsi:type="dcterms:W3CDTF">2026-05-28T03:24:53Z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eyJoZGlkIjoiNGRlNDllNjY1OGE3NTJjM2JmMjc5OThmMzdkM2NjYWYiLCJ1c2VySWQiOiIyNzIyNzYxNzMifQ==</vt:lpwstr>
  </property>
  <property fmtid="{D5CDD505-2E9C-101B-9397-08002B2CF9AE}" pid="4" name="ICV">
    <vt:lpwstr>A476A194F75F4E78A0BA37718BAE9BAE_12</vt:lpwstr>
  </property>
</Properties>
</file>