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00D6E72B">
      <w:pPr>
        <w:pageBreakBefore w:val="0"/>
        <w:widowControl w:val="0"/>
        <w:wordWrap/>
        <w:overflowPunct/>
        <w:topLinePunct w:val="0"/>
        <w:bidi w:val="0"/>
        <w:spacing w:before="64"/>
        <w:rPr>
          <w:color w:val="auto"/>
          <w:highlight w:val="none"/>
        </w:rPr>
      </w:pPr>
    </w:p>
    <w:tbl>
      <w:tblPr>
        <w:tblStyle w:val="7"/>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576"/>
        <w:gridCol w:w="6391"/>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bookmarkStart w:id="2" w:name="_GoBack"/>
            <w:r>
              <w:rPr>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673225" cy="1447800"/>
                  <wp:effectExtent l="0" t="0" r="3175"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673225" cy="1447800"/>
                          </a:xfrm>
                          <a:prstGeom prst="rect">
                            <a:avLst/>
                          </a:prstGeom>
                        </pic:spPr>
                      </pic:pic>
                    </a:graphicData>
                  </a:graphic>
                </wp:anchor>
              </w:drawing>
            </w:r>
            <w:bookmarkEnd w:id="2"/>
            <w:r>
              <w:rPr>
                <w:rFonts w:ascii="宋体" w:hAnsi="宋体" w:eastAsia="宋体" w:cs="宋体"/>
                <w:color w:val="auto"/>
                <w:sz w:val="24"/>
                <w:szCs w:val="24"/>
                <w:highlight w:val="none"/>
              </w:rPr>
              <w:t>名</w:t>
            </w:r>
          </w:p>
          <w:p w14:paraId="6C82F925">
            <w:pPr>
              <w:pStyle w:val="8"/>
              <w:pageBreakBefore w:val="0"/>
              <w:widowControl w:val="0"/>
              <w:wordWrap/>
              <w:overflowPunct/>
              <w:topLinePunct w:val="0"/>
              <w:bidi w:val="0"/>
              <w:spacing w:line="245" w:lineRule="auto"/>
              <w:rPr>
                <w:color w:val="auto"/>
                <w:highlight w:val="none"/>
              </w:rPr>
            </w:pPr>
          </w:p>
          <w:p w14:paraId="40F7ED8D">
            <w:pPr>
              <w:pStyle w:val="8"/>
              <w:pageBreakBefore w:val="0"/>
              <w:widowControl w:val="0"/>
              <w:wordWrap/>
              <w:overflowPunct/>
              <w:topLinePunct w:val="0"/>
              <w:bidi w:val="0"/>
              <w:spacing w:line="246" w:lineRule="auto"/>
              <w:rPr>
                <w:color w:val="auto"/>
                <w:highlight w:val="none"/>
              </w:rPr>
            </w:pPr>
          </w:p>
          <w:p w14:paraId="22D0E8F0">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CCD6524">
            <w:pPr>
              <w:pStyle w:val="8"/>
              <w:pageBreakBefore w:val="0"/>
              <w:widowControl w:val="0"/>
              <w:wordWrap/>
              <w:overflowPunct/>
              <w:topLinePunct w:val="0"/>
              <w:bidi w:val="0"/>
              <w:spacing w:line="338" w:lineRule="auto"/>
              <w:rPr>
                <w:color w:val="auto"/>
                <w:highlight w:val="none"/>
              </w:rPr>
            </w:pPr>
          </w:p>
          <w:p w14:paraId="56739E74">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576" w:type="dxa"/>
            <w:tcBorders>
              <w:left w:val="nil"/>
            </w:tcBorders>
          </w:tcPr>
          <w:p w14:paraId="12B26195">
            <w:pPr>
              <w:pStyle w:val="8"/>
              <w:pageBreakBefore w:val="0"/>
              <w:widowControl w:val="0"/>
              <w:wordWrap/>
              <w:overflowPunct/>
              <w:topLinePunct w:val="0"/>
              <w:bidi w:val="0"/>
              <w:spacing w:line="263" w:lineRule="auto"/>
              <w:rPr>
                <w:color w:val="auto"/>
                <w:highlight w:val="none"/>
              </w:rPr>
            </w:pPr>
          </w:p>
          <w:p w14:paraId="0743B18A">
            <w:pPr>
              <w:pStyle w:val="8"/>
              <w:pageBreakBefore w:val="0"/>
              <w:widowControl w:val="0"/>
              <w:wordWrap/>
              <w:overflowPunct/>
              <w:topLinePunct w:val="0"/>
              <w:bidi w:val="0"/>
              <w:spacing w:line="263" w:lineRule="auto"/>
              <w:rPr>
                <w:color w:val="auto"/>
                <w:highlight w:val="none"/>
              </w:rPr>
            </w:pPr>
          </w:p>
          <w:p w14:paraId="144BF3D0">
            <w:pPr>
              <w:pStyle w:val="8"/>
              <w:pageBreakBefore w:val="0"/>
              <w:widowControl w:val="0"/>
              <w:wordWrap/>
              <w:overflowPunct/>
              <w:topLinePunct w:val="0"/>
              <w:bidi w:val="0"/>
              <w:spacing w:line="264" w:lineRule="auto"/>
              <w:rPr>
                <w:color w:val="auto"/>
                <w:highlight w:val="none"/>
              </w:rPr>
            </w:pPr>
          </w:p>
          <w:p w14:paraId="537402C6">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391" w:type="dxa"/>
            <w:vAlign w:val="center"/>
          </w:tcPr>
          <w:p w14:paraId="5CE03B28">
            <w:pPr>
              <w:pStyle w:val="8"/>
              <w:pageBreakBefore w:val="0"/>
              <w:widowControl w:val="0"/>
              <w:wordWrap/>
              <w:overflowPunct/>
              <w:topLinePunct w:val="0"/>
              <w:bidi w:val="0"/>
              <w:jc w:val="center"/>
              <w:rPr>
                <w:color w:val="auto"/>
                <w:highlight w:val="none"/>
                <w:lang w:eastAsia="zh-CN"/>
              </w:rPr>
            </w:pPr>
            <w:r>
              <w:rPr>
                <w:rFonts w:hint="eastAsia"/>
                <w:color w:val="auto"/>
                <w:highlight w:val="none"/>
                <w:lang w:eastAsia="zh-CN"/>
              </w:rPr>
              <w:t>鹰潭市人民医院信江新院及市精神病院造价咨询审核机构</w:t>
            </w:r>
            <w:r>
              <w:rPr>
                <w:color w:val="auto"/>
                <w:highlight w:val="none"/>
                <w:lang w:eastAsia="zh-CN"/>
              </w:rPr>
              <w:t>项目</w:t>
            </w:r>
          </w:p>
          <w:p w14:paraId="08CE9823">
            <w:pPr>
              <w:pStyle w:val="8"/>
              <w:pageBreakBefore w:val="0"/>
              <w:widowControl w:val="0"/>
              <w:wordWrap/>
              <w:overflowPunct/>
              <w:topLinePunct w:val="0"/>
              <w:bidi w:val="0"/>
              <w:jc w:val="center"/>
              <w:rPr>
                <w:rFonts w:hint="default"/>
                <w:color w:val="auto"/>
                <w:highlight w:val="none"/>
                <w:lang w:val="en-US"/>
              </w:rPr>
            </w:pPr>
            <w:r>
              <w:rPr>
                <w:rFonts w:hint="eastAsia"/>
                <w:color w:val="auto"/>
                <w:highlight w:val="none"/>
                <w:lang w:eastAsia="zh-CN"/>
              </w:rPr>
              <w:t>（</w:t>
            </w:r>
            <w:r>
              <w:rPr>
                <w:rFonts w:hint="eastAsia"/>
                <w:color w:val="auto"/>
                <w:highlight w:val="none"/>
                <w:lang w:val="en-US" w:eastAsia="zh-CN"/>
              </w:rPr>
              <w:t>第二次）</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624" w:type="dxa"/>
            <w:gridSpan w:val="2"/>
          </w:tcPr>
          <w:p w14:paraId="4F837650">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391" w:type="dxa"/>
            <w:vAlign w:val="center"/>
          </w:tcPr>
          <w:p w14:paraId="0E4CD573">
            <w:pPr>
              <w:pStyle w:val="8"/>
              <w:pageBreakBefore w:val="0"/>
              <w:widowControl w:val="0"/>
              <w:wordWrap/>
              <w:overflowPunct/>
              <w:topLinePunct w:val="0"/>
              <w:bidi w:val="0"/>
              <w:jc w:val="center"/>
              <w:rPr>
                <w:color w:val="auto"/>
                <w:highlight w:val="none"/>
              </w:rPr>
            </w:pPr>
            <w:r>
              <w:rPr>
                <w:rFonts w:hint="eastAsia" w:ascii="宋体" w:hAnsi="宋体" w:eastAsia="宋体" w:cs="宋体"/>
                <w:color w:val="auto"/>
                <w:sz w:val="24"/>
                <w:szCs w:val="24"/>
                <w:highlight w:val="none"/>
                <w:lang w:eastAsia="zh-CN"/>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624" w:type="dxa"/>
            <w:gridSpan w:val="2"/>
          </w:tcPr>
          <w:p w14:paraId="74E7714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391" w:type="dxa"/>
            <w:vAlign w:val="center"/>
          </w:tcPr>
          <w:p w14:paraId="2856DFA6">
            <w:pPr>
              <w:pStyle w:val="8"/>
              <w:pageBreakBefore w:val="0"/>
              <w:widowControl w:val="0"/>
              <w:wordWrap/>
              <w:overflowPunct/>
              <w:topLinePunct w:val="0"/>
              <w:bidi w:val="0"/>
              <w:jc w:val="center"/>
              <w:rPr>
                <w:color w:val="auto"/>
                <w:highlight w:val="none"/>
              </w:rPr>
            </w:pPr>
            <w:r>
              <w:rPr>
                <w:rFonts w:hint="eastAsia" w:eastAsia="宋体" w:cs="宋体"/>
                <w:b w:val="0"/>
                <w:bCs/>
                <w:color w:val="auto"/>
                <w:highlight w:val="none"/>
                <w:lang w:eastAsia="zh-CN"/>
              </w:rPr>
              <w:t>合同签订生效之日起，招标人提交工程结算审核资料齐全后</w:t>
            </w:r>
            <w:r>
              <w:rPr>
                <w:rFonts w:hint="eastAsia" w:eastAsia="宋体" w:cs="宋体"/>
                <w:b w:val="0"/>
                <w:bCs/>
                <w:color w:val="auto"/>
                <w:highlight w:val="none"/>
                <w:lang w:val="en-US" w:eastAsia="zh-CN"/>
              </w:rPr>
              <w:t>3</w:t>
            </w:r>
            <w:r>
              <w:rPr>
                <w:rFonts w:hint="eastAsia" w:eastAsia="宋体" w:cs="宋体"/>
                <w:b w:val="0"/>
                <w:bCs/>
                <w:color w:val="auto"/>
                <w:highlight w:val="none"/>
                <w:lang w:eastAsia="zh-CN"/>
              </w:rPr>
              <w:t>0天内完成建模成果返稿，</w:t>
            </w:r>
            <w:r>
              <w:rPr>
                <w:rFonts w:hint="eastAsia" w:eastAsia="宋体" w:cs="宋体"/>
                <w:b w:val="0"/>
                <w:bCs/>
                <w:color w:val="auto"/>
                <w:highlight w:val="none"/>
                <w:lang w:val="en-US" w:eastAsia="zh-CN"/>
              </w:rPr>
              <w:t>4</w:t>
            </w:r>
            <w:r>
              <w:rPr>
                <w:rFonts w:hint="eastAsia" w:eastAsia="宋体" w:cs="宋体"/>
                <w:b w:val="0"/>
                <w:bCs/>
                <w:color w:val="auto"/>
                <w:highlight w:val="none"/>
                <w:lang w:eastAsia="zh-CN"/>
              </w:rPr>
              <w:t>0天内完成审核初稿，后期根据采购人项目进展情况或采购人要求适时返场服务。合同约定的内容应在工程审核过程中同步进行，在工程审计报告完成后10天内提交总体审计报告。</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624" w:type="dxa"/>
            <w:gridSpan w:val="2"/>
          </w:tcPr>
          <w:p w14:paraId="69591CCF">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391" w:type="dxa"/>
            <w:vAlign w:val="center"/>
          </w:tcPr>
          <w:p w14:paraId="4BB6DCE7">
            <w:pPr>
              <w:pStyle w:val="8"/>
              <w:pageBreakBefore w:val="0"/>
              <w:widowControl w:val="0"/>
              <w:wordWrap/>
              <w:overflowPunct/>
              <w:topLinePunct w:val="0"/>
              <w:bidi w:val="0"/>
              <w:jc w:val="center"/>
              <w:rPr>
                <w:color w:val="auto"/>
                <w:highlight w:val="none"/>
              </w:rPr>
            </w:pPr>
            <w:r>
              <w:rPr>
                <w:rFonts w:hint="eastAsia" w:ascii="宋体" w:hAnsi="宋体" w:eastAsia="宋体" w:cs="宋体"/>
                <w:color w:val="auto"/>
                <w:sz w:val="24"/>
                <w:szCs w:val="24"/>
                <w:highlight w:val="none"/>
                <w:lang w:eastAsia="zh-CN"/>
              </w:rPr>
              <w:t>鹰潭市审计局</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624" w:type="dxa"/>
            <w:gridSpan w:val="2"/>
          </w:tcPr>
          <w:p w14:paraId="62C91BD2">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391" w:type="dxa"/>
          </w:tcPr>
          <w:p w14:paraId="350793D5">
            <w:pPr>
              <w:pStyle w:val="8"/>
              <w:pageBreakBefore w:val="0"/>
              <w:widowControl w:val="0"/>
              <w:wordWrap/>
              <w:overflowPunct/>
              <w:topLinePunct w:val="0"/>
              <w:bidi w:val="0"/>
              <w:rPr>
                <w:color w:val="auto"/>
                <w:highlight w:val="none"/>
              </w:rPr>
            </w:pPr>
          </w:p>
        </w:tc>
      </w:tr>
    </w:tbl>
    <w:p w14:paraId="4F86D054">
      <w:pPr>
        <w:pageBreakBefore w:val="0"/>
        <w:widowControl w:val="0"/>
        <w:wordWrap/>
        <w:overflowPunct/>
        <w:topLinePunct w:val="0"/>
        <w:bidi w:val="0"/>
        <w:rPr>
          <w:color w:val="auto"/>
          <w:highlight w:val="none"/>
        </w:rPr>
      </w:pPr>
    </w:p>
    <w:p w14:paraId="2DE792FD">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3637D5AA">
      <w:pPr>
        <w:pageBreakBefore w:val="0"/>
        <w:widowControl w:val="0"/>
        <w:wordWrap/>
        <w:overflowPunct/>
        <w:topLinePunct w:val="0"/>
        <w:bidi w:val="0"/>
        <w:spacing w:before="183" w:line="360" w:lineRule="auto"/>
        <w:ind w:firstLine="236" w:firstLineChars="100"/>
        <w:rPr>
          <w:rFonts w:hint="eastAsia" w:ascii="宋体" w:hAnsi="宋体" w:eastAsia="宋体" w:cs="宋体"/>
          <w:color w:val="auto"/>
          <w:spacing w:val="-2"/>
          <w:sz w:val="24"/>
          <w:szCs w:val="24"/>
          <w:highlight w:val="none"/>
          <w:lang w:eastAsia="zh-CN"/>
        </w:rPr>
      </w:pPr>
      <w:bookmarkStart w:id="1" w:name="bookmark82"/>
      <w:bookmarkEnd w:id="1"/>
      <w:r>
        <w:rPr>
          <w:rFonts w:hint="eastAsia" w:ascii="宋体" w:hAnsi="宋体" w:eastAsia="宋体" w:cs="宋体"/>
          <w:color w:val="auto"/>
          <w:spacing w:val="-2"/>
          <w:sz w:val="24"/>
          <w:szCs w:val="24"/>
          <w:highlight w:val="none"/>
          <w:lang w:eastAsia="zh-CN"/>
        </w:rPr>
        <w:t>一、技术要求</w:t>
      </w:r>
    </w:p>
    <w:p w14:paraId="2519E5B3">
      <w:pPr>
        <w:pageBreakBefore w:val="0"/>
        <w:widowControl w:val="0"/>
        <w:wordWrap/>
        <w:overflowPunct/>
        <w:topLinePunct w:val="0"/>
        <w:bidi w:val="0"/>
        <w:spacing w:before="183" w:line="360" w:lineRule="auto"/>
        <w:ind w:firstLine="237" w:firstLineChars="1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1、项目概况</w:t>
      </w:r>
    </w:p>
    <w:p w14:paraId="441D40C1">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项目名称：鹰潭市人民医院信江新院及市精神病院造价咨询审核机构项目（第二次）</w:t>
      </w:r>
    </w:p>
    <w:p w14:paraId="1CE18EBB">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项目地点：鹰潭市审计局</w:t>
      </w:r>
    </w:p>
    <w:p w14:paraId="5516890A">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项目规模：鹰潭市人民医院信江新院及市精神病院造价咨询审核</w:t>
      </w:r>
    </w:p>
    <w:p w14:paraId="6B6E447D">
      <w:pPr>
        <w:pageBreakBefore w:val="0"/>
        <w:widowControl w:val="0"/>
        <w:wordWrap/>
        <w:overflowPunct/>
        <w:topLinePunct w:val="0"/>
        <w:bidi w:val="0"/>
        <w:spacing w:before="183" w:line="360" w:lineRule="auto"/>
        <w:ind w:firstLine="237" w:firstLineChars="1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2、服务范围</w:t>
      </w:r>
    </w:p>
    <w:p w14:paraId="761C9649">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审计内容包括但不限于：对建设程序执行情况、招标投标情况、合同管理情况、勘察设计情况、施工管理情况、资金支付与结算情况、投资绩效目标完成情况等进行审查评价。</w:t>
      </w:r>
    </w:p>
    <w:p w14:paraId="43B846AA">
      <w:pPr>
        <w:pageBreakBefore w:val="0"/>
        <w:widowControl w:val="0"/>
        <w:wordWrap/>
        <w:overflowPunct/>
        <w:topLinePunct w:val="0"/>
        <w:bidi w:val="0"/>
        <w:spacing w:before="183" w:line="360" w:lineRule="auto"/>
        <w:ind w:firstLine="237" w:firstLineChars="1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★3、服务要求</w:t>
      </w:r>
    </w:p>
    <w:p w14:paraId="1CFF79C8">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3.1 审计报告客观公正，内容真实、完整、准确，格式符合采购人要求；</w:t>
      </w:r>
    </w:p>
    <w:p w14:paraId="7B1C839A">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3.2 审计程序合法、合规；</w:t>
      </w:r>
    </w:p>
    <w:p w14:paraId="7968B579">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3.3 工作底稿完整准确，取证单规范及时，并经相关专业审计人员签字确认；审计发现问题全面真实、定性准确、证据充分，审计建议恰当，对法律法规引用适当；</w:t>
      </w:r>
    </w:p>
    <w:p w14:paraId="333B0E1B">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3.4 对审计工作实施中遇到的重大问题、重大事项和重要情况应及时向采购人报告；</w:t>
      </w:r>
    </w:p>
    <w:p w14:paraId="01EA1366">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3.5 建立健全对审计报告的内部复核机制；</w:t>
      </w:r>
    </w:p>
    <w:p w14:paraId="19677C02">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3.6 成果编制的时间应能满足采购人的要求；</w:t>
      </w:r>
    </w:p>
    <w:p w14:paraId="2B08CAA6">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3.7 对完成的所有成果进行编制整理，并提供全部审计成果的电子版；</w:t>
      </w:r>
    </w:p>
    <w:p w14:paraId="15862A26">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3.8 对因严重过失或故意提供不实或内容虚假的审计报告承担相应法律责任；</w:t>
      </w:r>
    </w:p>
    <w:p w14:paraId="3BB132F3">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3.9 中标人及审计人员严守保密义务，不得对外透露审计过程及结果；审计人员完成项目时纸质版资料及电子版资料全部移交采购人，不得留有备份资料。</w:t>
      </w:r>
    </w:p>
    <w:p w14:paraId="45083D10">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3.10 中标人须提供审计报告初稿及电子版1份，审计报告定稿数量须按招标人要求数量提供。</w:t>
      </w:r>
    </w:p>
    <w:p w14:paraId="7E4605A9">
      <w:pPr>
        <w:pageBreakBefore w:val="0"/>
        <w:widowControl w:val="0"/>
        <w:wordWrap/>
        <w:overflowPunct/>
        <w:topLinePunct w:val="0"/>
        <w:bidi w:val="0"/>
        <w:spacing w:before="183" w:line="360" w:lineRule="auto"/>
        <w:ind w:firstLine="237" w:firstLineChars="1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4、审计服务人员要求：</w:t>
      </w:r>
    </w:p>
    <w:p w14:paraId="7BC4E061">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4.1 因本项目具有工期紧张、任务量大、质量标准严苛的特点，为保障项目实施质效，投标人拟派项目团队全体人员须于初稿出具前全程驻场服务；项目负责人及团队各成员应坚守现场全职办公，未经采购人书面批准不得擅自更换，确因特殊情况需更换人员的，投标人须提前 15 个工作日提交书面申请，并附新派人员资质证明文件，且新派人员资质等级不得低于原派驻人员，经招标人同意后更换；针对采购人提出的各类疑问及修改需求，拟派驻场人员须在接收需求后按照要求响应并提交符合要求的返稿；驻场团队应建立周度汇报机制，每周向采购人开展审核结果专项汇报，并同步提交书面汇报材料。</w:t>
      </w:r>
    </w:p>
    <w:p w14:paraId="4AD8533C">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4.2 现场审计结束后，项目团队根据采购人项目进展情况或采购人要求适时返场服务。</w:t>
      </w:r>
    </w:p>
    <w:p w14:paraId="2F6EF131">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4.3 按照项目进度需求，拟派人员应服从采购人的工作安排，中标人应根据采购人需要，适当增加人员。</w:t>
      </w:r>
    </w:p>
    <w:p w14:paraId="5B15C926">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4.4 人员配置（以下为最低配置要求）</w:t>
      </w:r>
    </w:p>
    <w:p w14:paraId="3BA5974F">
      <w:pPr>
        <w:pageBreakBefore w:val="0"/>
        <w:widowControl w:val="0"/>
        <w:wordWrap/>
        <w:overflowPunct/>
        <w:topLinePunct w:val="0"/>
        <w:bidi w:val="0"/>
        <w:spacing w:before="183" w:line="360" w:lineRule="auto"/>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 xml:space="preserve">拟派团队人员要求：项目组至少配备 </w:t>
      </w:r>
      <w:r>
        <w:rPr>
          <w:rFonts w:hint="eastAsia" w:ascii="宋体" w:hAnsi="宋体" w:eastAsia="宋体" w:cs="宋体"/>
          <w:color w:val="auto"/>
          <w:spacing w:val="-2"/>
          <w:sz w:val="24"/>
          <w:szCs w:val="24"/>
          <w:highlight w:val="none"/>
          <w:lang w:val="en-US" w:eastAsia="zh-CN"/>
        </w:rPr>
        <w:t>2</w:t>
      </w:r>
      <w:r>
        <w:rPr>
          <w:rFonts w:hint="eastAsia" w:ascii="宋体" w:hAnsi="宋体" w:eastAsia="宋体" w:cs="宋体"/>
          <w:color w:val="auto"/>
          <w:spacing w:val="-2"/>
          <w:sz w:val="24"/>
          <w:szCs w:val="24"/>
          <w:highlight w:val="none"/>
          <w:lang w:eastAsia="zh-CN"/>
        </w:rPr>
        <w:t xml:space="preserve"> 位人员（含项目负责人 1 人），因服务过程中需要查看现场等，所有人员年龄要求须不超过 65 周岁。</w:t>
      </w:r>
    </w:p>
    <w:p w14:paraId="2B41BE61">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4.5 若招标人在对中标人监督管理过程中发现，中标人派驻的人员无法完成该项目的审核，或者审核效果达不到招标人的要求，招标人有权要求更换拟派驻的人员参与项目的审核，或者增加审核人员，直至满意为止。</w:t>
      </w:r>
    </w:p>
    <w:p w14:paraId="145F882A">
      <w:pPr>
        <w:pageBreakBefore w:val="0"/>
        <w:widowControl w:val="0"/>
        <w:wordWrap/>
        <w:overflowPunct/>
        <w:topLinePunct w:val="0"/>
        <w:bidi w:val="0"/>
        <w:spacing w:before="183" w:line="360" w:lineRule="auto"/>
        <w:ind w:firstLine="474" w:firstLineChars="2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5、在岗时间要求</w:t>
      </w:r>
    </w:p>
    <w:p w14:paraId="4CBCFCA7">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应驻场的项目项目负责人每月在岗时间不得少于22个工作日，项目团队其他成员每月在岗时间不得少于20个工作日。</w:t>
      </w:r>
    </w:p>
    <w:p w14:paraId="35929B2D">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对于未达到在岗时间要求的人员，实行累计警告管理，警告上限为3次；累计达到警告上限的，将按规定启动人员更换流程。</w:t>
      </w:r>
    </w:p>
    <w:p w14:paraId="1B8DD603">
      <w:pPr>
        <w:pageBreakBefore w:val="0"/>
        <w:widowControl w:val="0"/>
        <w:wordWrap/>
        <w:overflowPunct/>
        <w:topLinePunct w:val="0"/>
        <w:bidi w:val="0"/>
        <w:spacing w:before="183" w:line="360" w:lineRule="auto"/>
        <w:ind w:firstLine="474" w:firstLineChars="2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第5点评审依据：供应商需提供满足以上要求的承诺函，未提供上述材料的，视为不满足本项条款要求（格式自拟）。</w:t>
      </w:r>
    </w:p>
    <w:p w14:paraId="754D7307">
      <w:pPr>
        <w:pageBreakBefore w:val="0"/>
        <w:widowControl w:val="0"/>
        <w:wordWrap/>
        <w:overflowPunct/>
        <w:topLinePunct w:val="0"/>
        <w:bidi w:val="0"/>
        <w:spacing w:before="183" w:line="360" w:lineRule="auto"/>
        <w:ind w:firstLine="474" w:firstLineChars="2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6、应急响应到场要求</w:t>
      </w:r>
    </w:p>
    <w:p w14:paraId="769CD129">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服务团队需保持通讯畅通，在接到采购人通知后，须在0.5小时内完成响应，并在2小时内抵达指定现场开展相关工作。</w:t>
      </w:r>
    </w:p>
    <w:p w14:paraId="6EF21ED6">
      <w:pPr>
        <w:pageBreakBefore w:val="0"/>
        <w:widowControl w:val="0"/>
        <w:wordWrap/>
        <w:overflowPunct/>
        <w:topLinePunct w:val="0"/>
        <w:bidi w:val="0"/>
        <w:spacing w:before="183" w:line="360" w:lineRule="auto"/>
        <w:ind w:firstLine="474"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第6点评审依据：供应商需提供满足以上要求的承诺函，未提供上述材料的，视为不满足本项条款要求（格式自拟）。</w:t>
      </w:r>
    </w:p>
    <w:p w14:paraId="6B38C767">
      <w:pPr>
        <w:pageBreakBefore w:val="0"/>
        <w:widowControl w:val="0"/>
        <w:wordWrap/>
        <w:overflowPunct/>
        <w:topLinePunct w:val="0"/>
        <w:bidi w:val="0"/>
        <w:spacing w:before="183" w:line="360" w:lineRule="auto"/>
        <w:ind w:firstLine="474" w:firstLineChars="2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★三、商务条件</w:t>
      </w:r>
    </w:p>
    <w:p w14:paraId="74DBCA2F">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1、服务期：合同签订生效之日起，招标人提交工程结算审核资料齐全后</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eastAsia="zh-CN"/>
        </w:rPr>
        <w:t>0天内完成建模成果返稿，</w:t>
      </w:r>
      <w:r>
        <w:rPr>
          <w:rFonts w:hint="eastAsia" w:ascii="宋体" w:hAnsi="宋体" w:eastAsia="宋体" w:cs="宋体"/>
          <w:color w:val="auto"/>
          <w:spacing w:val="-2"/>
          <w:sz w:val="24"/>
          <w:szCs w:val="24"/>
          <w:highlight w:val="none"/>
          <w:lang w:val="en-US" w:eastAsia="zh-CN"/>
        </w:rPr>
        <w:t>4</w:t>
      </w:r>
      <w:r>
        <w:rPr>
          <w:rFonts w:hint="eastAsia" w:ascii="宋体" w:hAnsi="宋体" w:eastAsia="宋体" w:cs="宋体"/>
          <w:color w:val="auto"/>
          <w:spacing w:val="-2"/>
          <w:sz w:val="24"/>
          <w:szCs w:val="24"/>
          <w:highlight w:val="none"/>
          <w:lang w:eastAsia="zh-CN"/>
        </w:rPr>
        <w:t>0天内完成审核初稿，后期根据采购人项目进展情况或采购人要求适时返场服务。合同约定的内容应在工程审核过程中同步进行，在工程审计报告完成后10天内提交总体审计报告。</w:t>
      </w:r>
    </w:p>
    <w:p w14:paraId="485E4854">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2、审核费用：本项目中标金额只作为估算，实际服务费用按下列标准采用差额定率累进法计算计取，</w:t>
      </w:r>
    </w:p>
    <w:p w14:paraId="1C0C9A56">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付费标准：按工程决(结)算核减金额的相应比例分档累进计费支付审计费用，费用据实结算，最终结算金额不得超过采购预算金额。</w:t>
      </w:r>
    </w:p>
    <w:p w14:paraId="73323895">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付费标准详见附表：</w:t>
      </w:r>
    </w:p>
    <w:p w14:paraId="2076CC8C">
      <w:pPr>
        <w:pageBreakBefore w:val="0"/>
        <w:widowControl w:val="0"/>
        <w:wordWrap/>
        <w:overflowPunct/>
        <w:topLinePunct w:val="0"/>
        <w:bidi w:val="0"/>
        <w:spacing w:before="183" w:line="360" w:lineRule="auto"/>
        <w:ind w:firstLine="708" w:firstLineChars="3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建设工程项目协审付费标准表</w:t>
      </w:r>
    </w:p>
    <w:p w14:paraId="1FCB03E9">
      <w:pPr>
        <w:pageBreakBefore w:val="0"/>
        <w:widowControl w:val="0"/>
        <w:wordWrap/>
        <w:overflowPunct/>
        <w:topLinePunct w:val="0"/>
        <w:bidi w:val="0"/>
        <w:spacing w:before="183" w:line="360" w:lineRule="auto"/>
        <w:ind w:firstLine="708" w:firstLineChars="3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计费基数</w:t>
      </w:r>
      <w:r>
        <w:rPr>
          <w:rFonts w:hint="eastAsia" w:ascii="宋体" w:hAnsi="宋体" w:eastAsia="宋体" w:cs="宋体"/>
          <w:color w:val="auto"/>
          <w:spacing w:val="-2"/>
          <w:sz w:val="24"/>
          <w:szCs w:val="24"/>
          <w:highlight w:val="none"/>
          <w:lang w:eastAsia="zh-CN"/>
        </w:rPr>
        <w:tab/>
      </w:r>
      <w:r>
        <w:rPr>
          <w:rFonts w:hint="eastAsia" w:ascii="宋体" w:hAnsi="宋体" w:eastAsia="宋体" w:cs="宋体"/>
          <w:color w:val="auto"/>
          <w:spacing w:val="-2"/>
          <w:sz w:val="24"/>
          <w:szCs w:val="24"/>
          <w:highlight w:val="none"/>
          <w:lang w:eastAsia="zh-CN"/>
        </w:rPr>
        <w:t>计费金额</w:t>
      </w:r>
    </w:p>
    <w:p w14:paraId="2F35A233">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核减金额 50万元以内部分</w:t>
      </w:r>
      <w:r>
        <w:rPr>
          <w:rFonts w:hint="eastAsia" w:ascii="宋体" w:hAnsi="宋体" w:eastAsia="宋体" w:cs="宋体"/>
          <w:color w:val="auto"/>
          <w:spacing w:val="-2"/>
          <w:sz w:val="24"/>
          <w:szCs w:val="24"/>
          <w:highlight w:val="none"/>
          <w:lang w:eastAsia="zh-CN"/>
        </w:rPr>
        <w:tab/>
      </w:r>
      <w:r>
        <w:rPr>
          <w:rFonts w:hint="eastAsia" w:ascii="宋体" w:hAnsi="宋体" w:eastAsia="宋体" w:cs="宋体"/>
          <w:color w:val="auto"/>
          <w:spacing w:val="-2"/>
          <w:sz w:val="24"/>
          <w:szCs w:val="24"/>
          <w:highlight w:val="none"/>
          <w:lang w:eastAsia="zh-CN"/>
        </w:rPr>
        <w:t>按 4%计费</w:t>
      </w:r>
    </w:p>
    <w:p w14:paraId="30B7255E">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核减金额 50万元—100万元部分</w:t>
      </w:r>
      <w:r>
        <w:rPr>
          <w:rFonts w:hint="eastAsia" w:ascii="宋体" w:hAnsi="宋体" w:eastAsia="宋体" w:cs="宋体"/>
          <w:color w:val="auto"/>
          <w:spacing w:val="-2"/>
          <w:sz w:val="24"/>
          <w:szCs w:val="24"/>
          <w:highlight w:val="none"/>
          <w:lang w:eastAsia="zh-CN"/>
        </w:rPr>
        <w:tab/>
      </w:r>
      <w:r>
        <w:rPr>
          <w:rFonts w:hint="eastAsia" w:ascii="宋体" w:hAnsi="宋体" w:eastAsia="宋体" w:cs="宋体"/>
          <w:color w:val="auto"/>
          <w:spacing w:val="-2"/>
          <w:sz w:val="24"/>
          <w:szCs w:val="24"/>
          <w:highlight w:val="none"/>
          <w:lang w:eastAsia="zh-CN"/>
        </w:rPr>
        <w:t>按 3.5%计费</w:t>
      </w:r>
    </w:p>
    <w:p w14:paraId="3F95BC94">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核减金额 100万元—250万元部分</w:t>
      </w:r>
      <w:r>
        <w:rPr>
          <w:rFonts w:hint="eastAsia" w:ascii="宋体" w:hAnsi="宋体" w:eastAsia="宋体" w:cs="宋体"/>
          <w:color w:val="auto"/>
          <w:spacing w:val="-2"/>
          <w:sz w:val="24"/>
          <w:szCs w:val="24"/>
          <w:highlight w:val="none"/>
          <w:lang w:eastAsia="zh-CN"/>
        </w:rPr>
        <w:tab/>
      </w:r>
      <w:r>
        <w:rPr>
          <w:rFonts w:hint="eastAsia" w:ascii="宋体" w:hAnsi="宋体" w:eastAsia="宋体" w:cs="宋体"/>
          <w:color w:val="auto"/>
          <w:spacing w:val="-2"/>
          <w:sz w:val="24"/>
          <w:szCs w:val="24"/>
          <w:highlight w:val="none"/>
          <w:lang w:eastAsia="zh-CN"/>
        </w:rPr>
        <w:t>按 3.3%计费</w:t>
      </w:r>
    </w:p>
    <w:p w14:paraId="4EA4492C">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核减金额 250万元—500万元部分</w:t>
      </w:r>
      <w:r>
        <w:rPr>
          <w:rFonts w:hint="eastAsia" w:ascii="宋体" w:hAnsi="宋体" w:eastAsia="宋体" w:cs="宋体"/>
          <w:color w:val="auto"/>
          <w:spacing w:val="-2"/>
          <w:sz w:val="24"/>
          <w:szCs w:val="24"/>
          <w:highlight w:val="none"/>
          <w:lang w:eastAsia="zh-CN"/>
        </w:rPr>
        <w:tab/>
      </w:r>
      <w:r>
        <w:rPr>
          <w:rFonts w:hint="eastAsia" w:ascii="宋体" w:hAnsi="宋体" w:eastAsia="宋体" w:cs="宋体"/>
          <w:color w:val="auto"/>
          <w:spacing w:val="-2"/>
          <w:sz w:val="24"/>
          <w:szCs w:val="24"/>
          <w:highlight w:val="none"/>
          <w:lang w:eastAsia="zh-CN"/>
        </w:rPr>
        <w:t>按 3.0%计费</w:t>
      </w:r>
    </w:p>
    <w:p w14:paraId="0A2E264D">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核减金额 500万元—1000万元部分</w:t>
      </w:r>
      <w:r>
        <w:rPr>
          <w:rFonts w:hint="eastAsia" w:ascii="宋体" w:hAnsi="宋体" w:eastAsia="宋体" w:cs="宋体"/>
          <w:color w:val="auto"/>
          <w:spacing w:val="-2"/>
          <w:sz w:val="24"/>
          <w:szCs w:val="24"/>
          <w:highlight w:val="none"/>
          <w:lang w:eastAsia="zh-CN"/>
        </w:rPr>
        <w:tab/>
      </w:r>
      <w:r>
        <w:rPr>
          <w:rFonts w:hint="eastAsia" w:ascii="宋体" w:hAnsi="宋体" w:eastAsia="宋体" w:cs="宋体"/>
          <w:color w:val="auto"/>
          <w:spacing w:val="-2"/>
          <w:sz w:val="24"/>
          <w:szCs w:val="24"/>
          <w:highlight w:val="none"/>
          <w:lang w:eastAsia="zh-CN"/>
        </w:rPr>
        <w:t>按 2.7%计费</w:t>
      </w:r>
    </w:p>
    <w:p w14:paraId="564849A8">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核减金额在 1000万元以上部分</w:t>
      </w:r>
      <w:r>
        <w:rPr>
          <w:rFonts w:hint="eastAsia" w:ascii="宋体" w:hAnsi="宋体" w:eastAsia="宋体" w:cs="宋体"/>
          <w:color w:val="auto"/>
          <w:spacing w:val="-2"/>
          <w:sz w:val="24"/>
          <w:szCs w:val="24"/>
          <w:highlight w:val="none"/>
          <w:lang w:eastAsia="zh-CN"/>
        </w:rPr>
        <w:tab/>
      </w:r>
      <w:r>
        <w:rPr>
          <w:rFonts w:hint="eastAsia" w:ascii="宋体" w:hAnsi="宋体" w:eastAsia="宋体" w:cs="宋体"/>
          <w:color w:val="auto"/>
          <w:spacing w:val="-2"/>
          <w:sz w:val="24"/>
          <w:szCs w:val="24"/>
          <w:highlight w:val="none"/>
          <w:lang w:eastAsia="zh-CN"/>
        </w:rPr>
        <w:t>按 2.5%计费</w:t>
      </w:r>
    </w:p>
    <w:p w14:paraId="196CF026">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3、付款方式：中标人提供完整的审计报告且采购人审定后支付给中标人。中标人在采购人支付审计费用时提供等额的发票。</w:t>
      </w:r>
    </w:p>
    <w:p w14:paraId="65DCCFD2">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4、采购合同的签订：在中标通知书发出之日起30个</w:t>
      </w:r>
      <w:r>
        <w:rPr>
          <w:rFonts w:hint="eastAsia" w:ascii="宋体" w:hAnsi="宋体" w:eastAsia="宋体" w:cs="宋体"/>
          <w:color w:val="auto"/>
          <w:spacing w:val="-2"/>
          <w:sz w:val="24"/>
          <w:szCs w:val="24"/>
          <w:highlight w:val="none"/>
          <w:lang w:val="en-US" w:eastAsia="zh-CN"/>
        </w:rPr>
        <w:t>日历日</w:t>
      </w:r>
      <w:r>
        <w:rPr>
          <w:rFonts w:hint="eastAsia" w:ascii="宋体" w:hAnsi="宋体" w:eastAsia="宋体" w:cs="宋体"/>
          <w:color w:val="auto"/>
          <w:spacing w:val="-2"/>
          <w:sz w:val="24"/>
          <w:szCs w:val="24"/>
          <w:highlight w:val="none"/>
          <w:lang w:eastAsia="zh-CN"/>
        </w:rPr>
        <w:t>内与招标人签订采购合同，逾期按自动放弃中标资格处理。</w:t>
      </w:r>
    </w:p>
    <w:p w14:paraId="03652B73">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5、项目成果要求：工程造价咨询成果文件应符合：《建设工程工程量清单计价规范》、《江西省建设工程计价办法》、《江西省建设工程定额》、《建设工程造价咨询成果文件质量标准》等国家及地方、行业等相关法律法规的要求。对所委托的审计项目应保证审计质量，如因工作失职、或有意出具含有虚假、高估冒算、带有偏见、误导性审计报告，造成经济损失的，应承担相应赔偿责任，退回该项目的协审费用，追究相关机构和人员责任。甲方对委托的审计项目进行抽审复核，如发现应审减未审的，甲方按发现金额的4%扣减其协审费用。如总体复核率超过 5%（含 5%）的，不予支付扣减审计费用，并给予严重警告，移送相关部门处理。同时，中标人须提交纸质审核过程稿2份、审核成果文件7份。</w:t>
      </w:r>
    </w:p>
    <w:p w14:paraId="7292EA76">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6、廉洁要求：造价咨询人员吃、拿、卡、要，和工程承包商串通，损害招标人利益的，一经发现招标人可以解除本合同，并扣除应付造价咨询费，由此造成的一切损失由中标方承担，并同时承担连带赔偿责任和相应的法律责任。</w:t>
      </w:r>
    </w:p>
    <w:p w14:paraId="4DF31398">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7、退出机制：当中标人出现以下情况时，招标人通知中标人退场，并不支付任何审核（计）费用（已支付的追回），并移送相关职能部门处理。</w:t>
      </w:r>
    </w:p>
    <w:p w14:paraId="7093B103">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7.1 在工程审计过程中，招标人收到举报材料，经核实中标人的投标文件存在弄虚作假行为；</w:t>
      </w:r>
    </w:p>
    <w:p w14:paraId="142E8A3A">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7.2 将审计任务转包或者违法分包的；</w:t>
      </w:r>
    </w:p>
    <w:p w14:paraId="6DA22ADF">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7.3 擅自更换项目负责人和结算审计人员；</w:t>
      </w:r>
    </w:p>
    <w:p w14:paraId="69CB9F37">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7.4 发现问题隐匿不报、不服从招标人管理及其它影响审计质量的行为；</w:t>
      </w:r>
    </w:p>
    <w:p w14:paraId="5E77742D">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7.5 以分公司名义从事审计业务、出具工程造价成果文件；</w:t>
      </w:r>
    </w:p>
    <w:p w14:paraId="2F2D492B">
      <w:pPr>
        <w:pageBreakBefore w:val="0"/>
        <w:widowControl w:val="0"/>
        <w:wordWrap/>
        <w:overflowPunct/>
        <w:topLinePunct w:val="0"/>
        <w:bidi w:val="0"/>
        <w:spacing w:before="183" w:line="360" w:lineRule="auto"/>
        <w:ind w:firstLine="472" w:firstLineChars="200"/>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t>7.6 违反廉洁纪律，经查实中标人违反回避机制、在服务过程中利用执业便利等。</w:t>
      </w:r>
    </w:p>
    <w:p w14:paraId="79D2701B">
      <w:pPr>
        <w:pageBreakBefore w:val="0"/>
        <w:widowControl w:val="0"/>
        <w:wordWrap/>
        <w:overflowPunct/>
        <w:topLinePunct w:val="0"/>
        <w:bidi w:val="0"/>
        <w:spacing w:before="183" w:line="360" w:lineRule="auto"/>
        <w:ind w:firstLine="474" w:firstLineChars="2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eastAsia="zh-CN"/>
        </w:rPr>
        <w:t>8、为采购项目提供过预算编制、预算审核、结算编制、结算审核等参建、管理单位及其他与本项目有利害关系的第三方单位及其人员不得参与本项目投标。（评审依据：提供承诺函、格式自拟）；</w:t>
      </w:r>
    </w:p>
    <w:p w14:paraId="1ED61010">
      <w:pPr>
        <w:pageBreakBefore w:val="0"/>
        <w:widowControl w:val="0"/>
        <w:wordWrap/>
        <w:overflowPunct/>
        <w:topLinePunct w:val="0"/>
        <w:bidi w:val="0"/>
        <w:spacing w:before="183" w:line="360" w:lineRule="auto"/>
        <w:ind w:firstLine="474" w:firstLineChars="200"/>
        <w:rPr>
          <w:rFonts w:hint="eastAsia" w:ascii="宋体" w:hAnsi="宋体" w:eastAsia="宋体" w:cs="宋体"/>
          <w:b/>
          <w:bCs/>
          <w:color w:val="auto"/>
          <w:spacing w:val="-2"/>
          <w:sz w:val="24"/>
          <w:szCs w:val="24"/>
          <w:highlight w:val="none"/>
          <w:lang w:eastAsia="zh-CN"/>
        </w:rPr>
      </w:pPr>
      <w:r>
        <w:rPr>
          <w:rFonts w:hint="eastAsia" w:ascii="宋体" w:hAnsi="宋体" w:eastAsia="宋体" w:cs="宋体"/>
          <w:b/>
          <w:bCs/>
          <w:color w:val="auto"/>
          <w:spacing w:val="-2"/>
          <w:sz w:val="24"/>
          <w:szCs w:val="24"/>
          <w:highlight w:val="none"/>
          <w:lang w:val="en-US" w:eastAsia="zh-CN"/>
        </w:rPr>
        <w:t>9、本项目投标报价不作评审因素，采用固定报价50万元作为招标控制价。本项目为竞争性蹉商方式，投标人在所有投标报价环节中（第一次报价和第二报价）的投标报价均填写招标控制价（50万元）计0分视为响应，否则按无效投标处理。</w:t>
      </w:r>
    </w:p>
    <w:p w14:paraId="723C5DE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YyYWNmZWQ5M2YyNGU5ZWYzMmMyMWEzNGUyYjliN2EifQ=="/>
  </w:docVars>
  <w:rsids>
    <w:rsidRoot w:val="624F3F71"/>
    <w:rsid w:val="624F3F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2026-05-26T14:19:00Z</dcterms:created>
  <dc:creator>天际幽灵</dc:creator>
  <cp:lastModifiedBy>天际幽灵</cp:lastModifiedBy>
  <dcterms:modified xsi:type="dcterms:W3CDTF">2026-05-26T14:19:56Z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B52B18974EE7472EBEB517817B917AAE_11</vt:lpwstr>
  </property>
</Properties>
</file>