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8D6F97">
      <w:pPr>
        <w:widowControl w:val="0"/>
        <w:spacing w:before="78" w:line="219" w:lineRule="auto"/>
        <w:rPr>
          <w:rFonts w:hint="eastAsia" w:ascii="宋体" w:hAnsi="宋体" w:eastAsia="宋体" w:cs="宋体"/>
          <w:b/>
          <w:bCs/>
          <w:color w:val="auto"/>
          <w:sz w:val="24"/>
          <w:szCs w:val="24"/>
        </w:rPr>
      </w:pPr>
      <w:bookmarkStart w:id="1" w:name="_GoBack"/>
      <w:bookmarkEnd w:id="1"/>
      <w:r>
        <w:rPr>
          <w:rFonts w:ascii="宋体" w:hAnsi="宋体" w:eastAsia="宋体" w:cs="宋体"/>
          <w:b/>
          <w:bCs/>
          <w:color w:val="auto"/>
          <w:sz w:val="24"/>
          <w:szCs w:val="24"/>
        </w:rPr>
        <w:t xml:space="preserve">（一） </w:t>
      </w:r>
      <w:r>
        <w:rPr>
          <w:rFonts w:hint="eastAsia" w:ascii="宋体" w:hAnsi="宋体" w:eastAsia="宋体" w:cs="宋体"/>
          <w:b/>
          <w:bCs/>
          <w:color w:val="auto"/>
          <w:sz w:val="24"/>
          <w:szCs w:val="24"/>
          <w:lang w:eastAsia="zh-CN"/>
        </w:rPr>
        <w:t>服务要</w:t>
      </w:r>
      <w:r>
        <w:rPr>
          <w:rFonts w:ascii="宋体" w:hAnsi="宋体" w:eastAsia="宋体" w:cs="宋体"/>
          <w:b/>
          <w:bCs/>
          <w:color w:val="auto"/>
          <w:sz w:val="24"/>
          <w:szCs w:val="24"/>
        </w:rPr>
        <w:t>求</w:t>
      </w:r>
    </w:p>
    <w:p w14:paraId="6AFEC66D">
      <w:pPr>
        <w:widowControl w:val="0"/>
        <w:kinsoku/>
        <w:autoSpaceDE/>
        <w:autoSpaceDN/>
        <w:adjustRightInd/>
        <w:snapToGrid/>
        <w:spacing w:line="560" w:lineRule="exact"/>
        <w:ind w:firstLine="482" w:firstLineChars="200"/>
        <w:textAlignment w:val="auto"/>
        <w:rPr>
          <w:rFonts w:hint="eastAsia" w:asciiTheme="minorEastAsia" w:hAnsiTheme="minorEastAsia" w:eastAsiaTheme="minorEastAsia" w:cstheme="minorEastAsia"/>
          <w:b/>
          <w:bCs/>
          <w:sz w:val="24"/>
          <w:szCs w:val="24"/>
          <w:lang w:eastAsia="zh-CN"/>
        </w:rPr>
      </w:pPr>
      <w:r>
        <w:rPr>
          <w:rFonts w:hint="eastAsia" w:asciiTheme="minorEastAsia" w:hAnsiTheme="minorEastAsia" w:eastAsiaTheme="minorEastAsia" w:cstheme="minorEastAsia"/>
          <w:b/>
          <w:bCs/>
          <w:sz w:val="24"/>
          <w:szCs w:val="24"/>
          <w:lang w:eastAsia="zh-CN"/>
        </w:rPr>
        <w:t>一、采购清单</w:t>
      </w:r>
    </w:p>
    <w:tbl>
      <w:tblPr>
        <w:tblStyle w:val="9"/>
        <w:tblW w:w="90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5428"/>
        <w:gridCol w:w="1223"/>
        <w:gridCol w:w="854"/>
        <w:gridCol w:w="730"/>
      </w:tblGrid>
      <w:tr w14:paraId="2997A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787" w:type="dxa"/>
            <w:vAlign w:val="center"/>
          </w:tcPr>
          <w:p w14:paraId="4B0F23E1">
            <w:pPr>
              <w:widowControl w:val="0"/>
              <w:kinsoku/>
              <w:autoSpaceDE/>
              <w:autoSpaceDN/>
              <w:adjustRightInd/>
              <w:snapToGrid/>
              <w:spacing w:after="0" w:line="320" w:lineRule="exact"/>
              <w:jc w:val="center"/>
              <w:textAlignment w:val="auto"/>
              <w:rPr>
                <w:rFonts w:hint="eastAsia" w:asciiTheme="minorEastAsia" w:hAnsiTheme="minorEastAsia" w:eastAsiaTheme="minorEastAsia" w:cstheme="minorEastAsia"/>
                <w:b/>
                <w:bCs/>
                <w:sz w:val="24"/>
                <w:szCs w:val="24"/>
                <w:lang w:eastAsia="zh-CN"/>
              </w:rPr>
            </w:pPr>
            <w:r>
              <w:rPr>
                <w:rFonts w:hint="eastAsia" w:asciiTheme="minorEastAsia" w:hAnsiTheme="minorEastAsia" w:eastAsiaTheme="minorEastAsia" w:cstheme="minorEastAsia"/>
                <w:b/>
                <w:bCs/>
                <w:sz w:val="24"/>
                <w:szCs w:val="24"/>
                <w:lang w:eastAsia="zh-CN"/>
              </w:rPr>
              <w:t>序号</w:t>
            </w:r>
          </w:p>
        </w:tc>
        <w:tc>
          <w:tcPr>
            <w:tcW w:w="5428" w:type="dxa"/>
            <w:vAlign w:val="center"/>
          </w:tcPr>
          <w:p w14:paraId="1EE05851">
            <w:pPr>
              <w:widowControl w:val="0"/>
              <w:spacing w:after="0"/>
              <w:jc w:val="center"/>
              <w:rPr>
                <w:rFonts w:hint="eastAsia" w:asciiTheme="minorEastAsia" w:hAnsiTheme="minorEastAsia" w:eastAsiaTheme="minorEastAsia" w:cstheme="minorEastAsia"/>
                <w:b/>
                <w:bCs/>
                <w:sz w:val="24"/>
                <w:szCs w:val="24"/>
                <w:lang w:eastAsia="zh-CN"/>
              </w:rPr>
            </w:pPr>
            <w:r>
              <w:rPr>
                <w:rFonts w:hint="eastAsia" w:asciiTheme="minorEastAsia" w:hAnsiTheme="minorEastAsia" w:eastAsiaTheme="minorEastAsia" w:cstheme="minorEastAsia"/>
                <w:b/>
                <w:bCs/>
                <w:sz w:val="24"/>
                <w:szCs w:val="24"/>
                <w:lang w:eastAsia="zh-CN"/>
              </w:rPr>
              <w:t>培训内容</w:t>
            </w:r>
          </w:p>
        </w:tc>
        <w:tc>
          <w:tcPr>
            <w:tcW w:w="1223" w:type="dxa"/>
            <w:vAlign w:val="center"/>
          </w:tcPr>
          <w:p w14:paraId="1FA8CC48">
            <w:pPr>
              <w:widowControl w:val="0"/>
              <w:kinsoku/>
              <w:autoSpaceDE/>
              <w:autoSpaceDN/>
              <w:adjustRightInd/>
              <w:snapToGrid/>
              <w:spacing w:after="0" w:line="320" w:lineRule="exact"/>
              <w:jc w:val="center"/>
              <w:textAlignment w:val="auto"/>
              <w:rPr>
                <w:rFonts w:hint="eastAsia" w:asciiTheme="minorEastAsia" w:hAnsiTheme="minorEastAsia" w:eastAsiaTheme="minorEastAsia" w:cstheme="minorEastAsia"/>
                <w:b/>
                <w:bCs/>
                <w:sz w:val="24"/>
                <w:szCs w:val="24"/>
                <w:lang w:eastAsia="zh-CN"/>
              </w:rPr>
            </w:pPr>
            <w:r>
              <w:rPr>
                <w:rFonts w:hint="eastAsia" w:asciiTheme="minorEastAsia" w:hAnsiTheme="minorEastAsia" w:eastAsiaTheme="minorEastAsia" w:cstheme="minorEastAsia"/>
                <w:b/>
                <w:bCs/>
                <w:sz w:val="24"/>
                <w:szCs w:val="24"/>
                <w:lang w:eastAsia="zh-CN"/>
              </w:rPr>
              <w:t>计划</w:t>
            </w:r>
          </w:p>
          <w:p w14:paraId="29B1AA1E">
            <w:pPr>
              <w:widowControl w:val="0"/>
              <w:kinsoku/>
              <w:autoSpaceDE/>
              <w:autoSpaceDN/>
              <w:adjustRightInd/>
              <w:snapToGrid/>
              <w:spacing w:after="0" w:line="320" w:lineRule="exact"/>
              <w:jc w:val="center"/>
              <w:textAlignment w:val="auto"/>
              <w:rPr>
                <w:rFonts w:hint="eastAsia" w:asciiTheme="minorEastAsia" w:hAnsiTheme="minorEastAsia" w:eastAsiaTheme="minorEastAsia" w:cstheme="minorEastAsia"/>
                <w:b/>
                <w:bCs/>
                <w:sz w:val="24"/>
                <w:szCs w:val="24"/>
                <w:lang w:eastAsia="zh-CN"/>
              </w:rPr>
            </w:pPr>
            <w:r>
              <w:rPr>
                <w:rFonts w:hint="eastAsia" w:asciiTheme="minorEastAsia" w:hAnsiTheme="minorEastAsia" w:eastAsiaTheme="minorEastAsia" w:cstheme="minorEastAsia"/>
                <w:b/>
                <w:bCs/>
                <w:sz w:val="24"/>
                <w:szCs w:val="24"/>
                <w:lang w:eastAsia="zh-CN"/>
              </w:rPr>
              <w:t>培训</w:t>
            </w:r>
          </w:p>
          <w:p w14:paraId="1FD81113">
            <w:pPr>
              <w:widowControl w:val="0"/>
              <w:kinsoku/>
              <w:autoSpaceDE/>
              <w:autoSpaceDN/>
              <w:adjustRightInd/>
              <w:snapToGrid/>
              <w:spacing w:after="0" w:line="320" w:lineRule="exact"/>
              <w:jc w:val="center"/>
              <w:textAlignment w:val="auto"/>
              <w:rPr>
                <w:rFonts w:hint="eastAsia" w:asciiTheme="minorEastAsia" w:hAnsiTheme="minorEastAsia" w:eastAsiaTheme="minorEastAsia" w:cstheme="minorEastAsia"/>
                <w:b/>
                <w:bCs/>
                <w:sz w:val="24"/>
                <w:szCs w:val="24"/>
                <w:lang w:eastAsia="zh-CN"/>
              </w:rPr>
            </w:pPr>
            <w:r>
              <w:rPr>
                <w:rFonts w:hint="eastAsia" w:asciiTheme="minorEastAsia" w:hAnsiTheme="minorEastAsia" w:eastAsiaTheme="minorEastAsia" w:cstheme="minorEastAsia"/>
                <w:b/>
                <w:bCs/>
                <w:sz w:val="24"/>
                <w:szCs w:val="24"/>
                <w:lang w:eastAsia="zh-CN"/>
              </w:rPr>
              <w:t>人数</w:t>
            </w:r>
          </w:p>
        </w:tc>
        <w:tc>
          <w:tcPr>
            <w:tcW w:w="854" w:type="dxa"/>
            <w:vAlign w:val="center"/>
          </w:tcPr>
          <w:p w14:paraId="3F13C704">
            <w:pPr>
              <w:widowControl w:val="0"/>
              <w:kinsoku/>
              <w:autoSpaceDE/>
              <w:autoSpaceDN/>
              <w:adjustRightInd/>
              <w:snapToGrid/>
              <w:spacing w:after="0" w:line="320" w:lineRule="exact"/>
              <w:jc w:val="center"/>
              <w:textAlignment w:val="auto"/>
              <w:rPr>
                <w:rFonts w:hint="eastAsia" w:asciiTheme="minorEastAsia" w:hAnsiTheme="minorEastAsia" w:eastAsiaTheme="minorEastAsia" w:cstheme="minorEastAsia"/>
                <w:b/>
                <w:bCs/>
                <w:sz w:val="24"/>
                <w:szCs w:val="24"/>
                <w:lang w:eastAsia="zh-CN"/>
              </w:rPr>
            </w:pPr>
            <w:r>
              <w:rPr>
                <w:rFonts w:hint="eastAsia" w:asciiTheme="minorEastAsia" w:hAnsiTheme="minorEastAsia" w:eastAsiaTheme="minorEastAsia" w:cstheme="minorEastAsia"/>
                <w:b/>
                <w:bCs/>
                <w:sz w:val="24"/>
                <w:szCs w:val="24"/>
                <w:lang w:eastAsia="zh-CN"/>
              </w:rPr>
              <w:t>计划培训</w:t>
            </w:r>
          </w:p>
          <w:p w14:paraId="74C6B85F">
            <w:pPr>
              <w:widowControl w:val="0"/>
              <w:kinsoku/>
              <w:autoSpaceDE/>
              <w:autoSpaceDN/>
              <w:adjustRightInd/>
              <w:snapToGrid/>
              <w:spacing w:after="0" w:line="320" w:lineRule="exact"/>
              <w:jc w:val="center"/>
              <w:textAlignment w:val="auto"/>
              <w:rPr>
                <w:rFonts w:hint="eastAsia" w:asciiTheme="minorEastAsia" w:hAnsiTheme="minorEastAsia" w:eastAsiaTheme="minorEastAsia" w:cstheme="minorEastAsia"/>
                <w:b/>
                <w:bCs/>
                <w:sz w:val="24"/>
                <w:szCs w:val="24"/>
                <w:lang w:eastAsia="zh-CN"/>
              </w:rPr>
            </w:pPr>
            <w:r>
              <w:rPr>
                <w:rFonts w:hint="eastAsia" w:asciiTheme="minorEastAsia" w:hAnsiTheme="minorEastAsia" w:eastAsiaTheme="minorEastAsia" w:cstheme="minorEastAsia"/>
                <w:b/>
                <w:bCs/>
                <w:sz w:val="24"/>
                <w:szCs w:val="24"/>
                <w:lang w:eastAsia="zh-CN"/>
              </w:rPr>
              <w:t>天数</w:t>
            </w:r>
          </w:p>
        </w:tc>
        <w:tc>
          <w:tcPr>
            <w:tcW w:w="730" w:type="dxa"/>
            <w:vAlign w:val="center"/>
          </w:tcPr>
          <w:p w14:paraId="069BFF23">
            <w:pPr>
              <w:widowControl w:val="0"/>
              <w:kinsoku/>
              <w:autoSpaceDE/>
              <w:autoSpaceDN/>
              <w:adjustRightInd/>
              <w:snapToGrid/>
              <w:spacing w:after="0" w:line="320" w:lineRule="exact"/>
              <w:jc w:val="center"/>
              <w:textAlignment w:val="auto"/>
              <w:rPr>
                <w:rFonts w:hint="eastAsia" w:asciiTheme="minorEastAsia" w:hAnsiTheme="minorEastAsia" w:eastAsiaTheme="minorEastAsia" w:cstheme="minorEastAsia"/>
                <w:b/>
                <w:bCs/>
                <w:sz w:val="24"/>
                <w:szCs w:val="24"/>
                <w:lang w:eastAsia="zh-CN"/>
              </w:rPr>
            </w:pPr>
            <w:r>
              <w:rPr>
                <w:rFonts w:hint="eastAsia" w:asciiTheme="minorEastAsia" w:hAnsiTheme="minorEastAsia" w:eastAsiaTheme="minorEastAsia" w:cstheme="minorEastAsia"/>
                <w:b/>
                <w:bCs/>
                <w:sz w:val="24"/>
                <w:szCs w:val="24"/>
                <w:lang w:eastAsia="zh-CN"/>
              </w:rPr>
              <w:t>培训地点</w:t>
            </w:r>
          </w:p>
        </w:tc>
      </w:tr>
      <w:tr w14:paraId="7520C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7" w:type="dxa"/>
            <w:vAlign w:val="center"/>
          </w:tcPr>
          <w:p w14:paraId="3A00AAEB">
            <w:pPr>
              <w:widowControl w:val="0"/>
              <w:spacing w:after="0"/>
              <w:jc w:val="center"/>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1</w:t>
            </w:r>
          </w:p>
        </w:tc>
        <w:tc>
          <w:tcPr>
            <w:tcW w:w="5428" w:type="dxa"/>
            <w:vAlign w:val="center"/>
          </w:tcPr>
          <w:p w14:paraId="46A9CAAB">
            <w:pPr>
              <w:widowControl w:val="0"/>
              <w:kinsoku/>
              <w:autoSpaceDE/>
              <w:autoSpaceDN/>
              <w:adjustRightInd/>
              <w:snapToGrid/>
              <w:spacing w:after="0" w:line="460" w:lineRule="exact"/>
              <w:jc w:val="left"/>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小型无人机超视距CAAC执照考试，培训具体内容包括但不限于：小型无人机超视距CAAC执照考试全部内容（含理论和实操）。</w:t>
            </w:r>
          </w:p>
        </w:tc>
        <w:tc>
          <w:tcPr>
            <w:tcW w:w="1223" w:type="dxa"/>
            <w:vAlign w:val="center"/>
          </w:tcPr>
          <w:p w14:paraId="7AD0DF07">
            <w:pPr>
              <w:widowControl w:val="0"/>
              <w:spacing w:after="0"/>
              <w:jc w:val="center"/>
              <w:rPr>
                <w:rFonts w:hint="eastAsia" w:asciiTheme="minorEastAsia" w:hAnsiTheme="minorEastAsia" w:eastAsiaTheme="minorEastAsia" w:cstheme="minorEastAsia"/>
                <w:sz w:val="24"/>
                <w:szCs w:val="24"/>
                <w:lang w:eastAsia="zh-CN"/>
              </w:rPr>
            </w:pPr>
            <w:r>
              <w:rPr>
                <w:rFonts w:asciiTheme="minorEastAsia" w:hAnsiTheme="minorEastAsia" w:eastAsiaTheme="minorEastAsia" w:cstheme="minorEastAsia"/>
                <w:sz w:val="24"/>
                <w:szCs w:val="24"/>
                <w:lang w:eastAsia="zh-CN"/>
              </w:rPr>
              <w:t>87</w:t>
            </w:r>
            <w:r>
              <w:rPr>
                <w:rFonts w:hint="eastAsia" w:asciiTheme="minorEastAsia" w:hAnsiTheme="minorEastAsia" w:eastAsiaTheme="minorEastAsia" w:cstheme="minorEastAsia"/>
                <w:sz w:val="24"/>
                <w:szCs w:val="24"/>
                <w:lang w:eastAsia="zh-CN"/>
              </w:rPr>
              <w:t>人</w:t>
            </w:r>
          </w:p>
          <w:p w14:paraId="3A0918BD">
            <w:pPr>
              <w:pStyle w:val="5"/>
              <w:widowControl w:val="0"/>
              <w:jc w:val="both"/>
              <w:rPr>
                <w:rFonts w:hint="eastAsia"/>
                <w:sz w:val="24"/>
                <w:szCs w:val="24"/>
                <w:lang w:eastAsia="zh-CN"/>
              </w:rPr>
            </w:pPr>
            <w:r>
              <w:rPr>
                <w:rFonts w:hint="eastAsia" w:asciiTheme="minorEastAsia" w:hAnsiTheme="minorEastAsia" w:eastAsiaTheme="minorEastAsia" w:cstheme="minorEastAsia"/>
                <w:sz w:val="24"/>
                <w:szCs w:val="24"/>
                <w:lang w:eastAsia="zh-CN"/>
              </w:rPr>
              <w:t>（最终结算按实际培训人数）</w:t>
            </w:r>
          </w:p>
        </w:tc>
        <w:tc>
          <w:tcPr>
            <w:tcW w:w="854" w:type="dxa"/>
            <w:vAlign w:val="center"/>
          </w:tcPr>
          <w:p w14:paraId="0A06D49E">
            <w:pPr>
              <w:widowControl w:val="0"/>
              <w:spacing w:after="0"/>
              <w:jc w:val="center"/>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21天</w:t>
            </w:r>
          </w:p>
        </w:tc>
        <w:tc>
          <w:tcPr>
            <w:tcW w:w="730" w:type="dxa"/>
            <w:vAlign w:val="center"/>
          </w:tcPr>
          <w:p w14:paraId="43176F97">
            <w:pPr>
              <w:widowControl w:val="0"/>
              <w:spacing w:after="0"/>
              <w:jc w:val="center"/>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江西省内</w:t>
            </w:r>
          </w:p>
        </w:tc>
      </w:tr>
      <w:tr w14:paraId="09783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22" w:type="dxa"/>
            <w:gridSpan w:val="5"/>
            <w:vAlign w:val="center"/>
          </w:tcPr>
          <w:p w14:paraId="0521471E">
            <w:pPr>
              <w:widowControl w:val="0"/>
              <w:spacing w:after="0"/>
              <w:jc w:val="both"/>
              <w:rPr>
                <w:sz w:val="24"/>
                <w:szCs w:val="24"/>
                <w:lang w:eastAsia="zh-CN"/>
              </w:rPr>
            </w:pPr>
            <w:r>
              <w:rPr>
                <w:rFonts w:hint="eastAsia"/>
                <w:sz w:val="24"/>
                <w:szCs w:val="24"/>
                <w:lang w:eastAsia="zh-CN"/>
              </w:rPr>
              <w:t>说明：</w:t>
            </w:r>
          </w:p>
          <w:p w14:paraId="68B200F8">
            <w:pPr>
              <w:widowControl w:val="0"/>
              <w:spacing w:after="0"/>
              <w:jc w:val="both"/>
              <w:rPr>
                <w:sz w:val="24"/>
                <w:szCs w:val="24"/>
                <w:lang w:eastAsia="zh-CN"/>
              </w:rPr>
            </w:pPr>
            <w:r>
              <w:rPr>
                <w:rFonts w:hint="eastAsia"/>
                <w:sz w:val="24"/>
                <w:szCs w:val="24"/>
                <w:lang w:eastAsia="zh-CN"/>
              </w:rPr>
              <w:t>1.本次采购共计2个包别，按照预算金额大小由高到低的顺序依次评审，评审顺序为01包、02包，且采用同一投标人只能中标一个包方式确定各包别中标人。例如：若A公司在01包评审排序第一，则A公司参与02包作无效文件处理（即不进入后续包别的评审程序）。每个包别的合格投标人不得少于3家，否则该包别作废标处理。</w:t>
            </w:r>
          </w:p>
          <w:p w14:paraId="0FDC1758">
            <w:pPr>
              <w:widowControl w:val="0"/>
              <w:spacing w:after="0"/>
              <w:jc w:val="both"/>
              <w:rPr>
                <w:rFonts w:hint="eastAsia" w:asciiTheme="minorEastAsia" w:hAnsiTheme="minorEastAsia" w:eastAsiaTheme="minorEastAsia" w:cstheme="minorEastAsia"/>
                <w:sz w:val="24"/>
                <w:szCs w:val="24"/>
                <w:lang w:eastAsia="zh-CN"/>
              </w:rPr>
            </w:pPr>
            <w:r>
              <w:rPr>
                <w:rFonts w:hint="eastAsia"/>
                <w:sz w:val="24"/>
                <w:szCs w:val="24"/>
                <w:lang w:eastAsia="zh-CN"/>
              </w:rPr>
              <w:t>2.本项目为0</w:t>
            </w:r>
            <w:r>
              <w:rPr>
                <w:sz w:val="24"/>
                <w:szCs w:val="24"/>
                <w:lang w:val="en" w:eastAsia="zh-CN"/>
              </w:rPr>
              <w:t>2</w:t>
            </w:r>
            <w:r>
              <w:rPr>
                <w:rFonts w:hint="eastAsia"/>
                <w:sz w:val="24"/>
                <w:szCs w:val="24"/>
                <w:lang w:eastAsia="zh-CN"/>
              </w:rPr>
              <w:t>包。</w:t>
            </w:r>
          </w:p>
        </w:tc>
      </w:tr>
    </w:tbl>
    <w:p w14:paraId="64093835">
      <w:pPr>
        <w:widowControl w:val="0"/>
        <w:kinsoku/>
        <w:autoSpaceDE/>
        <w:autoSpaceDN/>
        <w:adjustRightInd/>
        <w:snapToGrid/>
        <w:spacing w:line="400" w:lineRule="exact"/>
        <w:ind w:firstLine="482" w:firstLineChars="200"/>
        <w:textAlignment w:val="auto"/>
        <w:rPr>
          <w:rFonts w:hint="eastAsia" w:asciiTheme="minorEastAsia" w:hAnsiTheme="minorEastAsia" w:eastAsiaTheme="minorEastAsia" w:cstheme="minorEastAsia"/>
          <w:b/>
          <w:bCs/>
          <w:sz w:val="24"/>
          <w:szCs w:val="24"/>
          <w:lang w:eastAsia="zh-CN"/>
        </w:rPr>
      </w:pPr>
      <w:r>
        <w:rPr>
          <w:rFonts w:hint="eastAsia" w:asciiTheme="minorEastAsia" w:hAnsiTheme="minorEastAsia" w:eastAsiaTheme="minorEastAsia" w:cstheme="minorEastAsia"/>
          <w:b/>
          <w:bCs/>
          <w:sz w:val="24"/>
          <w:szCs w:val="24"/>
          <w:lang w:eastAsia="zh-CN"/>
        </w:rPr>
        <w:t>二、技术要求</w:t>
      </w:r>
    </w:p>
    <w:p w14:paraId="50BE2BC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
          <w:bCs/>
          <w:sz w:val="24"/>
          <w:szCs w:val="24"/>
          <w:lang w:eastAsia="zh-CN"/>
        </w:rPr>
        <w:t>1.培训方案：</w:t>
      </w:r>
      <w:r>
        <w:rPr>
          <w:rFonts w:hint="eastAsia" w:asciiTheme="minorEastAsia" w:hAnsiTheme="minorEastAsia" w:eastAsiaTheme="minorEastAsia" w:cstheme="minorEastAsia"/>
          <w:sz w:val="24"/>
          <w:szCs w:val="24"/>
          <w:lang w:eastAsia="zh-CN"/>
        </w:rPr>
        <w:t>培训方案应当包含培训目标、培训内容、培训地点及时间安排、师资团队、课程设计、组织管理和食宿保障等内容。</w:t>
      </w:r>
    </w:p>
    <w:p w14:paraId="2AA29264">
      <w:pPr>
        <w:pStyle w:val="5"/>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
          <w:bCs/>
          <w:sz w:val="24"/>
          <w:szCs w:val="24"/>
          <w:lang w:eastAsia="zh-CN"/>
        </w:rPr>
        <w:t>2.培训方式：</w:t>
      </w:r>
      <w:r>
        <w:rPr>
          <w:rFonts w:hint="eastAsia" w:asciiTheme="minorEastAsia" w:hAnsiTheme="minorEastAsia" w:eastAsiaTheme="minorEastAsia" w:cstheme="minorEastAsia"/>
          <w:sz w:val="24"/>
          <w:szCs w:val="24"/>
          <w:lang w:eastAsia="zh-CN"/>
        </w:rPr>
        <w:t>计划组织开展一批次培训（培训批次和培训人数采购人可根据实际情况调整确定）。</w:t>
      </w:r>
    </w:p>
    <w:p w14:paraId="39D6CE0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
          <w:bCs/>
          <w:sz w:val="24"/>
          <w:szCs w:val="24"/>
          <w:lang w:eastAsia="zh-CN"/>
        </w:rPr>
        <w:t>3.培训师资：</w:t>
      </w:r>
      <w:r>
        <w:rPr>
          <w:rFonts w:hint="eastAsia" w:asciiTheme="minorEastAsia" w:hAnsiTheme="minorEastAsia" w:eastAsiaTheme="minorEastAsia" w:cstheme="minorEastAsia"/>
          <w:sz w:val="24"/>
          <w:szCs w:val="24"/>
          <w:lang w:eastAsia="zh-CN"/>
        </w:rPr>
        <w:t>具备中国民航局飞行标准司无人机操控员培训教练员资质的CAAC教练员数量不低于7人，实操期间每个教练员负责不超过6人的培训，拥有深厚的理论专业知识及丰富的实践操作经验。</w:t>
      </w:r>
    </w:p>
    <w:p w14:paraId="00AB0298">
      <w:pPr>
        <w:pStyle w:val="5"/>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
          <w:bCs/>
          <w:sz w:val="24"/>
          <w:szCs w:val="24"/>
          <w:lang w:eastAsia="zh-CN"/>
        </w:rPr>
        <w:t>4.培训场地：</w:t>
      </w:r>
      <w:r>
        <w:rPr>
          <w:rFonts w:hint="eastAsia" w:asciiTheme="minorEastAsia" w:hAnsiTheme="minorEastAsia" w:eastAsiaTheme="minorEastAsia" w:cstheme="minorEastAsia"/>
          <w:sz w:val="24"/>
          <w:szCs w:val="24"/>
          <w:lang w:eastAsia="zh-CN"/>
        </w:rPr>
        <w:t>需具备不低于1</w:t>
      </w:r>
      <w:r>
        <w:rPr>
          <w:rFonts w:asciiTheme="minorEastAsia" w:hAnsiTheme="minorEastAsia" w:eastAsiaTheme="minorEastAsia" w:cstheme="minorEastAsia"/>
          <w:sz w:val="24"/>
          <w:szCs w:val="24"/>
          <w:lang w:eastAsia="zh-CN"/>
        </w:rPr>
        <w:t>0</w:t>
      </w:r>
      <w:r>
        <w:rPr>
          <w:rFonts w:hint="eastAsia" w:asciiTheme="minorEastAsia" w:hAnsiTheme="minorEastAsia" w:eastAsiaTheme="minorEastAsia" w:cstheme="minorEastAsia"/>
          <w:sz w:val="24"/>
          <w:szCs w:val="24"/>
          <w:lang w:eastAsia="zh-CN"/>
        </w:rPr>
        <w:t>0人培训规模的实操场地和室内理论教学场所</w:t>
      </w:r>
      <w:r>
        <w:rPr>
          <w:rFonts w:hint="eastAsia" w:asciiTheme="minorEastAsia" w:hAnsiTheme="minorEastAsia" w:eastAsiaTheme="minorEastAsia" w:cstheme="minorEastAsia"/>
          <w:b/>
          <w:bCs/>
          <w:sz w:val="24"/>
          <w:szCs w:val="24"/>
          <w:lang w:eastAsia="zh-CN"/>
        </w:rPr>
        <w:t>（提供实操场地和室内理论教学场所标注具体地址的全景彩色照片和有效期内的场地租赁合同或产权证明，未提供视为无效响应）</w:t>
      </w:r>
      <w:r>
        <w:rPr>
          <w:rFonts w:hint="eastAsia" w:asciiTheme="minorEastAsia" w:hAnsiTheme="minorEastAsia" w:eastAsiaTheme="minorEastAsia" w:cstheme="minorEastAsia"/>
          <w:sz w:val="24"/>
          <w:szCs w:val="24"/>
          <w:lang w:eastAsia="zh-CN"/>
        </w:rPr>
        <w:t>，其中理论教学场所每间教室不超过50人。</w:t>
      </w:r>
    </w:p>
    <w:p w14:paraId="3B8F3418">
      <w:pPr>
        <w:pStyle w:val="5"/>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
          <w:bCs/>
          <w:sz w:val="24"/>
          <w:szCs w:val="24"/>
          <w:lang w:eastAsia="zh-CN"/>
        </w:rPr>
        <w:t>5.培训器材：</w:t>
      </w:r>
      <w:r>
        <w:rPr>
          <w:rFonts w:hint="eastAsia" w:asciiTheme="minorEastAsia" w:hAnsiTheme="minorEastAsia" w:eastAsiaTheme="minorEastAsia" w:cstheme="minorEastAsia"/>
          <w:sz w:val="24"/>
          <w:szCs w:val="24"/>
          <w:lang w:eastAsia="zh-CN"/>
        </w:rPr>
        <w:t>需具备不低于1</w:t>
      </w:r>
      <w:r>
        <w:rPr>
          <w:rFonts w:asciiTheme="minorEastAsia" w:hAnsiTheme="minorEastAsia" w:eastAsiaTheme="minorEastAsia" w:cstheme="minorEastAsia"/>
          <w:sz w:val="24"/>
          <w:szCs w:val="24"/>
          <w:lang w:eastAsia="zh-CN"/>
        </w:rPr>
        <w:t>0</w:t>
      </w:r>
      <w:r>
        <w:rPr>
          <w:rFonts w:hint="eastAsia" w:asciiTheme="minorEastAsia" w:hAnsiTheme="minorEastAsia" w:eastAsiaTheme="minorEastAsia" w:cstheme="minorEastAsia"/>
          <w:sz w:val="24"/>
          <w:szCs w:val="24"/>
          <w:lang w:eastAsia="zh-CN"/>
        </w:rPr>
        <w:t>0人培训规模的小型无人机、理论模拟考试计算机、培训教材等性能良好的培训器材，确保培训过程中不因器材缺少或质量原因影响培训开展。</w:t>
      </w:r>
    </w:p>
    <w:p w14:paraId="7FCE635E">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
          <w:bCs/>
          <w:sz w:val="24"/>
          <w:szCs w:val="24"/>
          <w:lang w:eastAsia="zh-CN"/>
        </w:rPr>
        <w:t>6.食宿要求：</w:t>
      </w:r>
      <w:r>
        <w:rPr>
          <w:rFonts w:hint="eastAsia" w:asciiTheme="minorEastAsia" w:hAnsiTheme="minorEastAsia" w:eastAsiaTheme="minorEastAsia" w:cstheme="minorEastAsia"/>
          <w:sz w:val="24"/>
          <w:szCs w:val="24"/>
          <w:lang w:eastAsia="zh-CN"/>
        </w:rPr>
        <w:t>需具备不少于1</w:t>
      </w:r>
      <w:r>
        <w:rPr>
          <w:rFonts w:asciiTheme="minorEastAsia" w:hAnsiTheme="minorEastAsia" w:eastAsiaTheme="minorEastAsia" w:cstheme="minorEastAsia"/>
          <w:sz w:val="24"/>
          <w:szCs w:val="24"/>
          <w:lang w:eastAsia="zh-CN"/>
        </w:rPr>
        <w:t>0</w:t>
      </w:r>
      <w:r>
        <w:rPr>
          <w:rFonts w:hint="eastAsia" w:asciiTheme="minorEastAsia" w:hAnsiTheme="minorEastAsia" w:eastAsiaTheme="minorEastAsia" w:cstheme="minorEastAsia"/>
          <w:sz w:val="24"/>
          <w:szCs w:val="24"/>
          <w:lang w:eastAsia="zh-CN"/>
        </w:rPr>
        <w:t>0人培训规模的食宿条件保障。</w:t>
      </w:r>
    </w:p>
    <w:p w14:paraId="2BC712F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1）伙食要求。采取自助餐形式。早餐：主副食种类不少于6个；中晚餐：副食包括但不限于2荤、2花荤、2蔬菜、1汤，以及主食等。要求食材新鲜、无污染，食堂和操作间干净卫生，确保不发生食物中毒事故，每餐所有食物需留样。适时开展伙食问卷调查，并根据学员意见进行调整。</w:t>
      </w:r>
    </w:p>
    <w:p w14:paraId="0F2F9DD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（2）住宿要求。具备空调、卫浴等基本生活设施。</w:t>
      </w:r>
    </w:p>
    <w:p w14:paraId="30C640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（3）食宿费用。</w:t>
      </w:r>
      <w:r>
        <w:rPr>
          <w:rFonts w:hint="eastAsia" w:asciiTheme="minorEastAsia" w:hAnsiTheme="minorEastAsia" w:eastAsiaTheme="minorEastAsia" w:cstheme="minorEastAsia"/>
          <w:b/>
          <w:bCs/>
          <w:sz w:val="24"/>
          <w:szCs w:val="24"/>
          <w:lang w:eastAsia="zh-CN"/>
        </w:rPr>
        <w:t>食宿费由送训单位承担，不包含在本项目报价之中。</w:t>
      </w:r>
      <w:r>
        <w:rPr>
          <w:rFonts w:hint="eastAsia" w:asciiTheme="minorEastAsia" w:hAnsiTheme="minorEastAsia" w:eastAsiaTheme="minorEastAsia" w:cstheme="minorEastAsia"/>
          <w:sz w:val="24"/>
          <w:szCs w:val="24"/>
          <w:lang w:eastAsia="zh-CN"/>
        </w:rPr>
        <w:t>培训住宿不超过4人/间，食宿费不超过80元/人/天，其他类型住宿条件的食宿费用由采购人与供应商友好协商确定。</w:t>
      </w:r>
    </w:p>
    <w:p w14:paraId="4095215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lang w:val="en" w:eastAsia="zh-CN"/>
        </w:rPr>
      </w:pPr>
      <w:r>
        <w:rPr>
          <w:rFonts w:hint="eastAsia" w:asciiTheme="minorEastAsia" w:hAnsiTheme="minorEastAsia" w:eastAsiaTheme="minorEastAsia" w:cstheme="minorEastAsia"/>
          <w:b/>
          <w:bCs/>
          <w:sz w:val="24"/>
          <w:szCs w:val="24"/>
          <w:lang w:eastAsia="zh-CN"/>
        </w:rPr>
        <w:t>7.组织管理：</w:t>
      </w:r>
      <w:r>
        <w:rPr>
          <w:rFonts w:asciiTheme="minorEastAsia" w:hAnsiTheme="minorEastAsia" w:eastAsiaTheme="minorEastAsia" w:cstheme="minorEastAsia"/>
          <w:sz w:val="24"/>
          <w:szCs w:val="24"/>
          <w:lang w:val="en" w:eastAsia="zh-CN"/>
        </w:rPr>
        <w:t>成立项目管理领导小组，</w:t>
      </w:r>
      <w:r>
        <w:rPr>
          <w:rFonts w:hint="eastAsia" w:asciiTheme="minorEastAsia" w:hAnsiTheme="minorEastAsia" w:eastAsiaTheme="minorEastAsia" w:cstheme="minorEastAsia"/>
          <w:sz w:val="24"/>
          <w:szCs w:val="24"/>
          <w:lang w:val="en" w:eastAsia="zh-CN"/>
        </w:rPr>
        <w:t>本项目</w:t>
      </w:r>
      <w:r>
        <w:rPr>
          <w:rFonts w:asciiTheme="minorEastAsia" w:hAnsiTheme="minorEastAsia" w:eastAsiaTheme="minorEastAsia" w:cstheme="minorEastAsia"/>
          <w:sz w:val="24"/>
          <w:szCs w:val="24"/>
          <w:lang w:val="en" w:eastAsia="zh-CN"/>
        </w:rPr>
        <w:t>培训期间</w:t>
      </w:r>
      <w:r>
        <w:rPr>
          <w:rFonts w:hint="eastAsia" w:asciiTheme="minorEastAsia" w:hAnsiTheme="minorEastAsia" w:eastAsiaTheme="minorEastAsia" w:cstheme="minorEastAsia"/>
          <w:sz w:val="24"/>
          <w:szCs w:val="24"/>
          <w:lang w:val="en" w:eastAsia="zh-CN"/>
        </w:rPr>
        <w:t>同一场所不得接受其他无人机操控员项目培训，保障项目培训独立及</w:t>
      </w:r>
      <w:r>
        <w:rPr>
          <w:rFonts w:asciiTheme="minorEastAsia" w:hAnsiTheme="minorEastAsia" w:eastAsiaTheme="minorEastAsia" w:cstheme="minorEastAsia"/>
          <w:sz w:val="24"/>
          <w:szCs w:val="24"/>
          <w:lang w:val="en" w:eastAsia="zh-CN"/>
        </w:rPr>
        <w:t>封闭式管理，保证24小时管理人员值班。</w:t>
      </w:r>
      <w:r>
        <w:rPr>
          <w:rFonts w:hint="eastAsia" w:asciiTheme="minorEastAsia" w:hAnsiTheme="minorEastAsia" w:eastAsiaTheme="minorEastAsia" w:cstheme="minorEastAsia"/>
          <w:sz w:val="24"/>
          <w:szCs w:val="24"/>
          <w:lang w:eastAsia="zh-CN"/>
        </w:rPr>
        <w:t>项目实施有明确的管理制度，有专门的管理团队，能够分工开展相关工作。</w:t>
      </w:r>
      <w:r>
        <w:rPr>
          <w:rFonts w:asciiTheme="minorEastAsia" w:hAnsiTheme="minorEastAsia" w:eastAsiaTheme="minorEastAsia" w:cstheme="minorEastAsia"/>
          <w:sz w:val="24"/>
          <w:szCs w:val="24"/>
          <w:lang w:val="en" w:eastAsia="zh-CN"/>
        </w:rPr>
        <w:t>培训地点配有医务室且与当地就近医院建立联系对接机制</w:t>
      </w:r>
      <w:r>
        <w:rPr>
          <w:rFonts w:hint="eastAsia" w:asciiTheme="minorEastAsia" w:hAnsiTheme="minorEastAsia" w:eastAsiaTheme="minorEastAsia" w:cstheme="minorEastAsia"/>
          <w:sz w:val="24"/>
          <w:szCs w:val="24"/>
          <w:lang w:val="en" w:eastAsia="zh-CN"/>
        </w:rPr>
        <w:t>。</w:t>
      </w:r>
    </w:p>
    <w:p w14:paraId="342D244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合同签订15天内，须提报两套资料交采购人，内容包括但不限于：（1）培训方案（加盖供应商实施部门公章）；（2）课程安排表（加盖供应商实施部门公章）；（3）师资团队信息表（加盖供应商实施部门公章）。</w:t>
      </w:r>
    </w:p>
    <w:p w14:paraId="42D4B20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每批次培训结束7天内，须整理两套培训资料交采购人，内容包括但不限于：（1）本批次学员名单（加盖供应商实施部门公章，并附学员亲笔签名报到表）；（2）师资团队授课及现场实操照片；（3）学员小型无人机超视距CAAC执照考试通过表及取得的相应执照证书复印件；（4）项目总结及自评报告（加盖供应商实施部门公章）。</w:t>
      </w:r>
    </w:p>
    <w:p w14:paraId="74BF476E">
      <w:pPr>
        <w:pStyle w:val="5"/>
        <w:keepNext w:val="0"/>
        <w:keepLines w:val="0"/>
        <w:pageBreakBefore w:val="0"/>
        <w:widowControl w:val="0"/>
        <w:kinsoku/>
        <w:wordWrap/>
        <w:overflowPunct/>
        <w:topLinePunct w:val="0"/>
        <w:autoSpaceDE/>
        <w:autoSpaceDN/>
        <w:bidi w:val="0"/>
        <w:snapToGrid/>
        <w:spacing w:after="0" w:line="360" w:lineRule="auto"/>
        <w:ind w:firstLine="482" w:firstLineChars="200"/>
        <w:textAlignment w:val="auto"/>
        <w:rPr>
          <w:rFonts w:hint="eastAsia" w:asciiTheme="minorEastAsia" w:hAnsiTheme="minorEastAsia" w:eastAsiaTheme="minorEastAsia" w:cstheme="minorEastAsia"/>
          <w:b/>
          <w:bCs/>
          <w:sz w:val="24"/>
          <w:szCs w:val="24"/>
          <w:lang w:eastAsia="zh-CN"/>
        </w:rPr>
      </w:pPr>
      <w:r>
        <w:rPr>
          <w:rFonts w:hint="eastAsia" w:asciiTheme="minorEastAsia" w:hAnsiTheme="minorEastAsia" w:eastAsiaTheme="minorEastAsia" w:cstheme="minorEastAsia"/>
          <w:b/>
          <w:bCs/>
          <w:sz w:val="24"/>
          <w:szCs w:val="24"/>
          <w:lang w:eastAsia="zh-CN"/>
        </w:rPr>
        <w:t>8.保密要求</w:t>
      </w:r>
    </w:p>
    <w:p w14:paraId="69243554">
      <w:pPr>
        <w:keepNext w:val="0"/>
        <w:keepLines w:val="0"/>
        <w:pageBreakBefore w:val="0"/>
        <w:widowControl w:val="0"/>
        <w:kinsoku/>
        <w:wordWrap/>
        <w:overflowPunct/>
        <w:topLinePunct w:val="0"/>
        <w:autoSpaceDE/>
        <w:autoSpaceDN/>
        <w:bidi w:val="0"/>
        <w:snapToGrid/>
        <w:spacing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（1）供应商对本项目所有业务资料、学员信息等负有保密责任，不得向第三方透露。</w:t>
      </w:r>
    </w:p>
    <w:p w14:paraId="2D1EC6C9">
      <w:pPr>
        <w:keepNext w:val="0"/>
        <w:keepLines w:val="0"/>
        <w:pageBreakBefore w:val="0"/>
        <w:widowControl w:val="0"/>
        <w:kinsoku/>
        <w:wordWrap/>
        <w:overflowPunct/>
        <w:topLinePunct w:val="0"/>
        <w:autoSpaceDE/>
        <w:autoSpaceDN/>
        <w:bidi w:val="0"/>
        <w:snapToGrid/>
        <w:spacing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（2）供应商应妥善保管项目有关的文件和资料，未经采购人许可，不得对其复制、仿造等。</w:t>
      </w:r>
    </w:p>
    <w:p w14:paraId="10BCDCBF">
      <w:pPr>
        <w:keepNext w:val="0"/>
        <w:keepLines w:val="0"/>
        <w:pageBreakBefore w:val="0"/>
        <w:widowControl w:val="0"/>
        <w:kinsoku/>
        <w:wordWrap/>
        <w:overflowPunct/>
        <w:topLinePunct w:val="0"/>
        <w:autoSpaceDE/>
        <w:autoSpaceDN/>
        <w:bidi w:val="0"/>
        <w:snapToGrid/>
        <w:spacing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（3）供应商关于培训情况不得在公开媒体报道宣传。</w:t>
      </w:r>
    </w:p>
    <w:p w14:paraId="386D490E">
      <w:pPr>
        <w:keepNext w:val="0"/>
        <w:keepLines w:val="0"/>
        <w:pageBreakBefore w:val="0"/>
        <w:widowControl w:val="0"/>
        <w:kinsoku/>
        <w:wordWrap/>
        <w:overflowPunct/>
        <w:topLinePunct w:val="0"/>
        <w:autoSpaceDE/>
        <w:autoSpaceDN/>
        <w:bidi w:val="0"/>
        <w:snapToGrid/>
        <w:spacing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（4）供应商中标后需签订保密承诺书，严格遵守保密规定。</w:t>
      </w:r>
    </w:p>
    <w:p w14:paraId="5398645E">
      <w:pPr>
        <w:keepNext w:val="0"/>
        <w:keepLines w:val="0"/>
        <w:pageBreakBefore w:val="0"/>
        <w:widowControl w:val="0"/>
        <w:kinsoku/>
        <w:wordWrap/>
        <w:overflowPunct/>
        <w:topLinePunct w:val="0"/>
        <w:autoSpaceDE/>
        <w:autoSpaceDN/>
        <w:bidi w:val="0"/>
        <w:snapToGrid/>
        <w:spacing w:line="360" w:lineRule="auto"/>
        <w:ind w:firstLine="482" w:firstLineChars="200"/>
        <w:textAlignment w:val="auto"/>
        <w:rPr>
          <w:rFonts w:hint="eastAsia" w:asciiTheme="minorEastAsia" w:hAnsiTheme="minorEastAsia" w:eastAsiaTheme="minorEastAsia" w:cstheme="minorEastAsia"/>
          <w:b/>
          <w:bCs/>
          <w:sz w:val="24"/>
          <w:szCs w:val="24"/>
          <w:lang w:eastAsia="zh-CN"/>
        </w:rPr>
      </w:pPr>
      <w:r>
        <w:rPr>
          <w:rFonts w:hint="eastAsia" w:asciiTheme="minorEastAsia" w:hAnsiTheme="minorEastAsia" w:eastAsiaTheme="minorEastAsia" w:cstheme="minorEastAsia"/>
          <w:b/>
          <w:bCs/>
          <w:sz w:val="24"/>
          <w:szCs w:val="24"/>
          <w:lang w:eastAsia="zh-CN"/>
        </w:rPr>
        <w:t>9.服务承诺</w:t>
      </w:r>
    </w:p>
    <w:p w14:paraId="184F5287">
      <w:pPr>
        <w:pStyle w:val="5"/>
        <w:keepNext w:val="0"/>
        <w:keepLines w:val="0"/>
        <w:pageBreakBefore w:val="0"/>
        <w:widowControl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1）根据双方达成的培训意向，组建培训师资团队，成立管理服务团队，原则上培训教练员应与投标时提供的教练员保持一致。如有特殊情况，确需变更培训教练员，需征得采购人同意，且更换的培训教练员不低于投标时提供的资质等相关要求。</w:t>
      </w:r>
    </w:p>
    <w:p w14:paraId="361DB97E">
      <w:pPr>
        <w:pStyle w:val="5"/>
        <w:keepNext w:val="0"/>
        <w:keepLines w:val="0"/>
        <w:pageBreakBefore w:val="0"/>
        <w:widowControl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（2）成交后按采购人要求及时提交培训方案和课程安排等。</w:t>
      </w:r>
    </w:p>
    <w:p w14:paraId="2D61F64F">
      <w:pPr>
        <w:pStyle w:val="5"/>
        <w:keepNext w:val="0"/>
        <w:keepLines w:val="0"/>
        <w:pageBreakBefore w:val="0"/>
        <w:widowControl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b/>
          <w:bCs/>
          <w:sz w:val="24"/>
          <w:szCs w:val="24"/>
          <w:lang w:eastAsia="zh-CN"/>
        </w:rPr>
      </w:pPr>
      <w:r>
        <w:rPr>
          <w:rFonts w:hint="eastAsia" w:asciiTheme="minorEastAsia" w:hAnsiTheme="minorEastAsia" w:eastAsiaTheme="minorEastAsia" w:cstheme="minorEastAsia"/>
          <w:sz w:val="24"/>
          <w:szCs w:val="24"/>
          <w:lang w:eastAsia="zh-CN"/>
        </w:rPr>
        <w:t>（3）培训报到和培训结束时，供应商需按采购人要求提供培训所在城市各车站与送训地点的车辆接送。</w:t>
      </w:r>
    </w:p>
    <w:p w14:paraId="2232FEE1">
      <w:pPr>
        <w:pStyle w:val="5"/>
        <w:keepNext w:val="0"/>
        <w:keepLines w:val="0"/>
        <w:pageBreakBefore w:val="0"/>
        <w:widowControl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（4）培训过程中，严格按照预定计划遴选师资团队，执行培训课程，保证小型无人机超视距CAAC执照考试一次性通过率达到90%及以上。针对未通过学员，供应商需免费继续组织培训补考，确保取得相应执照，最终</w:t>
      </w:r>
      <w:r>
        <w:rPr>
          <w:rFonts w:asciiTheme="minorEastAsia" w:hAnsiTheme="minorEastAsia" w:eastAsiaTheme="minorEastAsia" w:cstheme="minorEastAsia"/>
          <w:sz w:val="24"/>
          <w:szCs w:val="24"/>
          <w:lang w:val="en" w:eastAsia="zh-CN"/>
        </w:rPr>
        <w:t>通过</w:t>
      </w:r>
      <w:r>
        <w:rPr>
          <w:rFonts w:hint="eastAsia" w:asciiTheme="minorEastAsia" w:hAnsiTheme="minorEastAsia" w:eastAsiaTheme="minorEastAsia" w:cstheme="minorEastAsia"/>
          <w:sz w:val="24"/>
          <w:szCs w:val="24"/>
          <w:lang w:eastAsia="zh-CN"/>
        </w:rPr>
        <w:t>率不低于95%。</w:t>
      </w:r>
    </w:p>
    <w:p w14:paraId="1968D0D6">
      <w:pPr>
        <w:pStyle w:val="5"/>
        <w:keepNext w:val="0"/>
        <w:keepLines w:val="0"/>
        <w:pageBreakBefore w:val="0"/>
        <w:widowControl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（5）培训全过程严格管理，密切关注学员安全和纪律，如有安全隐患及时处理。</w:t>
      </w:r>
    </w:p>
    <w:p w14:paraId="65206613">
      <w:pPr>
        <w:pStyle w:val="5"/>
        <w:keepNext w:val="0"/>
        <w:keepLines w:val="0"/>
        <w:pageBreakBefore w:val="0"/>
        <w:widowControl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（6）须与采购人建立良好的沟通机制，培训期间要按采购人和送训单位要求调整培训方式、进展等，确保培训质效。</w:t>
      </w:r>
    </w:p>
    <w:p w14:paraId="26F8D9EB">
      <w:pPr>
        <w:pStyle w:val="5"/>
        <w:keepNext w:val="0"/>
        <w:keepLines w:val="0"/>
        <w:pageBreakBefore w:val="0"/>
        <w:widowControl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（7）培训结束后，按要求及时整理项目整体资料交采购人备案。</w:t>
      </w:r>
    </w:p>
    <w:p w14:paraId="33CCDF3E">
      <w:pPr>
        <w:widowControl w:val="0"/>
        <w:spacing w:line="400" w:lineRule="exact"/>
        <w:rPr>
          <w:color w:val="auto"/>
          <w:lang w:eastAsia="zh-CN"/>
        </w:rPr>
      </w:pPr>
    </w:p>
    <w:p w14:paraId="559D2351">
      <w:pPr>
        <w:pStyle w:val="7"/>
        <w:spacing w:line="400" w:lineRule="exact"/>
        <w:ind w:left="0"/>
        <w:jc w:val="both"/>
        <w:rPr>
          <w:rFonts w:hint="eastAsia" w:eastAsia="宋体"/>
          <w:color w:val="auto"/>
          <w:sz w:val="24"/>
          <w:szCs w:val="24"/>
          <w:lang w:val="en-US" w:eastAsia="zh-CN"/>
        </w:rPr>
      </w:pPr>
      <w:r>
        <w:rPr>
          <w:rFonts w:hint="eastAsia" w:eastAsia="宋体"/>
          <w:color w:val="auto"/>
          <w:sz w:val="24"/>
          <w:szCs w:val="24"/>
          <w:lang w:val="en-US" w:eastAsia="zh-CN"/>
        </w:rPr>
        <w:t>注：以上（一） 服务要求需完全满足或优于，否则视为无效投标。</w:t>
      </w:r>
    </w:p>
    <w:p w14:paraId="0860B372">
      <w:pPr>
        <w:spacing w:line="400" w:lineRule="exact"/>
        <w:rPr>
          <w:lang w:eastAsia="zh-CN"/>
        </w:rPr>
      </w:pPr>
    </w:p>
    <w:p w14:paraId="00D0C7CD">
      <w:pPr>
        <w:widowControl w:val="0"/>
        <w:spacing w:line="400" w:lineRule="exact"/>
        <w:rPr>
          <w:rFonts w:hint="eastAsia" w:ascii="宋体" w:hAnsi="宋体" w:eastAsia="宋体" w:cs="宋体"/>
          <w:b/>
          <w:bCs/>
          <w:color w:val="auto"/>
          <w:sz w:val="24"/>
          <w:szCs w:val="24"/>
          <w:lang w:eastAsia="zh-CN"/>
        </w:rPr>
      </w:pPr>
      <w:r>
        <w:rPr>
          <w:rFonts w:ascii="宋体" w:hAnsi="宋体" w:eastAsia="宋体" w:cs="宋体"/>
          <w:b/>
          <w:bCs/>
          <w:color w:val="auto"/>
          <w:sz w:val="24"/>
          <w:szCs w:val="24"/>
          <w:lang w:eastAsia="zh-CN"/>
        </w:rPr>
        <w:t>（二） 商务条件</w:t>
      </w:r>
    </w:p>
    <w:p w14:paraId="2CAA6EB3">
      <w:pPr>
        <w:keepNext w:val="0"/>
        <w:keepLines w:val="0"/>
        <w:pageBreakBefore w:val="0"/>
        <w:widowControl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sz w:val="24"/>
          <w:szCs w:val="24"/>
          <w:lang w:eastAsia="zh-CN"/>
        </w:rPr>
      </w:pPr>
      <w:bookmarkStart w:id="0" w:name="bookmark82"/>
      <w:bookmarkEnd w:id="0"/>
      <w:r>
        <w:rPr>
          <w:rFonts w:hint="eastAsia" w:asciiTheme="minorEastAsia" w:hAnsiTheme="minorEastAsia" w:eastAsiaTheme="minorEastAsia" w:cstheme="minorEastAsia"/>
          <w:sz w:val="24"/>
          <w:szCs w:val="24"/>
          <w:lang w:eastAsia="zh-CN"/>
        </w:rPr>
        <w:t>1.付款方式</w:t>
      </w:r>
    </w:p>
    <w:p w14:paraId="2165A09F">
      <w:pPr>
        <w:keepNext w:val="0"/>
        <w:keepLines w:val="0"/>
        <w:pageBreakBefore w:val="0"/>
        <w:widowControl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（1）本次采购培训报价为除食宿费</w:t>
      </w:r>
      <w:r>
        <w:rPr>
          <w:rFonts w:hint="eastAsia" w:asciiTheme="minorEastAsia" w:hAnsiTheme="minorEastAsia" w:eastAsiaTheme="minorEastAsia" w:cstheme="minorEastAsia"/>
          <w:kern w:val="2"/>
          <w:sz w:val="24"/>
          <w:szCs w:val="24"/>
          <w:lang w:eastAsia="zh-CN"/>
        </w:rPr>
        <w:t>外供应商完成所有服务的培训费50%，剩</w:t>
      </w:r>
      <w:r>
        <w:rPr>
          <w:rFonts w:hint="eastAsia" w:asciiTheme="minorEastAsia" w:hAnsiTheme="minorEastAsia" w:eastAsiaTheme="minorEastAsia" w:cstheme="minorEastAsia"/>
          <w:sz w:val="24"/>
          <w:szCs w:val="24"/>
          <w:lang w:eastAsia="zh-CN"/>
        </w:rPr>
        <w:t xml:space="preserve">余50%培训费和食宿费均由送训单位支付。  </w:t>
      </w:r>
    </w:p>
    <w:p w14:paraId="52CFB433">
      <w:pPr>
        <w:pStyle w:val="5"/>
        <w:keepNext w:val="0"/>
        <w:keepLines w:val="0"/>
        <w:pageBreakBefore w:val="0"/>
        <w:widowControl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（2）合同签订后10天内，采购人支付培训报价的30%作为预付款。待培训组织实施阶段，</w:t>
      </w:r>
      <w:r>
        <w:rPr>
          <w:rFonts w:asciiTheme="minorEastAsia" w:hAnsiTheme="minorEastAsia" w:eastAsiaTheme="minorEastAsia" w:cstheme="minorEastAsia"/>
          <w:sz w:val="24"/>
          <w:szCs w:val="24"/>
          <w:lang w:eastAsia="zh-CN"/>
        </w:rPr>
        <w:t>提交培训方案满足采购人要求的基础上，</w:t>
      </w:r>
      <w:r>
        <w:rPr>
          <w:rFonts w:hint="eastAsia" w:asciiTheme="minorEastAsia" w:hAnsiTheme="minorEastAsia" w:eastAsiaTheme="minorEastAsia" w:cstheme="minorEastAsia"/>
          <w:sz w:val="24"/>
          <w:szCs w:val="24"/>
          <w:lang w:eastAsia="zh-CN"/>
        </w:rPr>
        <w:t>首批学员培训报到后10天内，采购人支付培训报价的50%。所有批次培训结束后，采购人根据实际培训人数支付培训报价的剩余款项。</w:t>
      </w:r>
    </w:p>
    <w:p w14:paraId="0540EA76">
      <w:pPr>
        <w:keepNext w:val="0"/>
        <w:keepLines w:val="0"/>
        <w:pageBreakBefore w:val="0"/>
        <w:widowControl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kern w:val="2"/>
          <w:sz w:val="24"/>
          <w:szCs w:val="24"/>
          <w:lang w:eastAsia="zh-CN"/>
        </w:rPr>
      </w:pPr>
      <w:r>
        <w:rPr>
          <w:rFonts w:hint="eastAsia" w:asciiTheme="minorEastAsia" w:hAnsiTheme="minorEastAsia" w:eastAsiaTheme="minorEastAsia" w:cstheme="minorEastAsia"/>
          <w:sz w:val="24"/>
          <w:szCs w:val="24"/>
          <w:lang w:eastAsia="zh-CN"/>
        </w:rPr>
        <w:t>（3）</w:t>
      </w:r>
      <w:r>
        <w:rPr>
          <w:rFonts w:hint="eastAsia" w:asciiTheme="minorEastAsia" w:hAnsiTheme="minorEastAsia" w:eastAsiaTheme="minorEastAsia" w:cstheme="minorEastAsia"/>
          <w:kern w:val="2"/>
          <w:sz w:val="24"/>
          <w:szCs w:val="24"/>
          <w:lang w:eastAsia="zh-CN"/>
        </w:rPr>
        <w:t>项目</w:t>
      </w:r>
      <w:r>
        <w:rPr>
          <w:rFonts w:asciiTheme="minorEastAsia" w:hAnsiTheme="minorEastAsia" w:eastAsiaTheme="minorEastAsia" w:cstheme="minorEastAsia"/>
          <w:kern w:val="2"/>
          <w:sz w:val="24"/>
          <w:szCs w:val="24"/>
          <w:lang w:eastAsia="zh-CN"/>
        </w:rPr>
        <w:t>最终</w:t>
      </w:r>
      <w:r>
        <w:rPr>
          <w:rFonts w:hint="eastAsia" w:asciiTheme="minorEastAsia" w:hAnsiTheme="minorEastAsia" w:eastAsiaTheme="minorEastAsia" w:cstheme="minorEastAsia"/>
          <w:kern w:val="2"/>
          <w:sz w:val="24"/>
          <w:szCs w:val="24"/>
          <w:lang w:eastAsia="zh-CN"/>
        </w:rPr>
        <w:t>培训总价根据CAAC执照考试一次性通过率比例按实际培训人数进行核算支付。如果CAAC执照考试一次性通过率达到90%（含）以上，根据实际培训人数支付培训总价100%；如果CAAC执照考试一次性通过率低于90%且高于85%（含），根据实际培训人数支付培训总价95%；如果CAAC执照考试一次性通过率低于85%且高于80%（含），根据实际培训人数支付培训总价90%；如果CAAC执照考试一次性通过率低于80%，根据实际培训人数支付培训总价80%。</w:t>
      </w:r>
    </w:p>
    <w:p w14:paraId="266F73DB">
      <w:pPr>
        <w:pStyle w:val="5"/>
        <w:keepNext w:val="0"/>
        <w:keepLines w:val="0"/>
        <w:pageBreakBefore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（4）送训单位于所有批次培训结束后，支付其承担的培训费和相应的食宿费。</w:t>
      </w:r>
    </w:p>
    <w:p w14:paraId="1CBC5ADF">
      <w:pPr>
        <w:pStyle w:val="5"/>
        <w:keepNext w:val="0"/>
        <w:keepLines w:val="0"/>
        <w:pageBreakBefore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（5）以上付款均需供应商在符合付款条件下，向采购人或送训单位提交真实合法有效且符合财务要求的发票后，按照合同约定予以支付。否则采购人或送训单位有权拒绝支付任何费用且不承担任何违约责任。</w:t>
      </w:r>
    </w:p>
    <w:p w14:paraId="00F6ED57">
      <w:pPr>
        <w:pStyle w:val="5"/>
        <w:keepNext w:val="0"/>
        <w:keepLines w:val="0"/>
        <w:pageBreakBefore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（6）采购人对于除采购人承担培训费用之外的剩余培训款项</w:t>
      </w:r>
      <w:r>
        <w:rPr>
          <w:rFonts w:asciiTheme="minorEastAsia" w:hAnsiTheme="minorEastAsia" w:eastAsiaTheme="minorEastAsia" w:cstheme="minorEastAsia"/>
          <w:sz w:val="24"/>
          <w:szCs w:val="24"/>
          <w:lang w:val="en" w:eastAsia="zh-CN"/>
        </w:rPr>
        <w:t>和食宿费用</w:t>
      </w:r>
      <w:r>
        <w:rPr>
          <w:rFonts w:hint="eastAsia" w:asciiTheme="minorEastAsia" w:hAnsiTheme="minorEastAsia" w:eastAsiaTheme="minorEastAsia" w:cstheme="minorEastAsia"/>
          <w:sz w:val="24"/>
          <w:szCs w:val="24"/>
          <w:lang w:eastAsia="zh-CN"/>
        </w:rPr>
        <w:t>不承担连带责任。</w:t>
      </w:r>
    </w:p>
    <w:p w14:paraId="1BFBCB4B">
      <w:pPr>
        <w:keepNext w:val="0"/>
        <w:keepLines w:val="0"/>
        <w:pageBreakBefore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2.报价方式：以人民币报价，</w:t>
      </w:r>
      <w:r>
        <w:rPr>
          <w:rFonts w:hint="eastAsia" w:asciiTheme="minorEastAsia" w:hAnsiTheme="minorEastAsia" w:eastAsiaTheme="minorEastAsia" w:cstheme="minorEastAsia"/>
          <w:b/>
          <w:bCs/>
          <w:sz w:val="24"/>
          <w:szCs w:val="24"/>
          <w:lang w:eastAsia="zh-CN"/>
        </w:rPr>
        <w:t>按每人培训单价50%和计划培训人数的总价50%分别报价</w:t>
      </w:r>
      <w:r>
        <w:rPr>
          <w:rFonts w:hint="eastAsia" w:asciiTheme="minorEastAsia" w:hAnsiTheme="minorEastAsia" w:eastAsiaTheme="minorEastAsia" w:cstheme="minorEastAsia"/>
          <w:sz w:val="24"/>
          <w:szCs w:val="24"/>
          <w:lang w:eastAsia="zh-CN"/>
        </w:rPr>
        <w:t>，报价包括</w:t>
      </w:r>
      <w:r>
        <w:rPr>
          <w:rFonts w:hint="eastAsia" w:asciiTheme="minorEastAsia" w:hAnsiTheme="minorEastAsia" w:eastAsiaTheme="minorEastAsia" w:cstheme="minorEastAsia"/>
          <w:b/>
          <w:bCs/>
          <w:sz w:val="24"/>
          <w:szCs w:val="24"/>
          <w:lang w:eastAsia="zh-CN"/>
        </w:rPr>
        <w:t>除食宿费外</w:t>
      </w:r>
      <w:r>
        <w:rPr>
          <w:rFonts w:hint="eastAsia" w:asciiTheme="minorEastAsia" w:hAnsiTheme="minorEastAsia" w:eastAsiaTheme="minorEastAsia" w:cstheme="minorEastAsia"/>
          <w:sz w:val="24"/>
          <w:szCs w:val="24"/>
          <w:lang w:eastAsia="zh-CN"/>
        </w:rPr>
        <w:t>供应商完成服务的所有费用50%，包括且不限于：专家费、资料费、场地费、交通费、保险费、采购代理服务费及合同实施过程中不可预见费用等。</w:t>
      </w:r>
    </w:p>
    <w:p w14:paraId="25B2C7ED">
      <w:pPr>
        <w:keepNext w:val="0"/>
        <w:keepLines w:val="0"/>
        <w:pageBreakBefore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3.服务期：</w:t>
      </w:r>
      <w:r>
        <w:rPr>
          <w:rFonts w:hint="eastAsia" w:ascii="宋体" w:hAnsi="宋体" w:eastAsia="宋体" w:cs="仿宋"/>
          <w:sz w:val="24"/>
          <w:szCs w:val="24"/>
          <w:lang w:eastAsia="zh-CN"/>
        </w:rPr>
        <w:t>自合同签订之日起，至项目所有相关服务内容完成</w:t>
      </w:r>
      <w:r>
        <w:rPr>
          <w:rFonts w:hint="eastAsia" w:ascii="宋体" w:hAnsi="宋体" w:cs="仿宋"/>
          <w:sz w:val="24"/>
          <w:szCs w:val="24"/>
          <w:lang w:eastAsia="zh-CN"/>
        </w:rPr>
        <w:t>。</w:t>
      </w:r>
    </w:p>
    <w:p w14:paraId="56AC9F9B">
      <w:pPr>
        <w:keepNext w:val="0"/>
        <w:keepLines w:val="0"/>
        <w:pageBreakBefore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4.服务地点：江西省内</w:t>
      </w:r>
    </w:p>
    <w:p w14:paraId="3773F0F6">
      <w:pPr>
        <w:keepNext w:val="0"/>
        <w:keepLines w:val="0"/>
        <w:pageBreakBefore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5.验收标准及方式：培训过程中，供应商应积极配合采购人的不定期现场抽查，针对采购人提出的问题需及时处理整改。培训结束后，小型无人机超视距CAAC执照考试</w:t>
      </w:r>
      <w:r>
        <w:rPr>
          <w:rFonts w:asciiTheme="minorEastAsia" w:hAnsiTheme="minorEastAsia" w:eastAsiaTheme="minorEastAsia" w:cstheme="minorEastAsia"/>
          <w:sz w:val="24"/>
          <w:szCs w:val="24"/>
          <w:lang w:val="en" w:eastAsia="zh-CN"/>
        </w:rPr>
        <w:t>最终</w:t>
      </w:r>
      <w:r>
        <w:rPr>
          <w:rFonts w:hint="eastAsia" w:asciiTheme="minorEastAsia" w:hAnsiTheme="minorEastAsia" w:eastAsiaTheme="minorEastAsia" w:cstheme="minorEastAsia"/>
          <w:sz w:val="24"/>
          <w:szCs w:val="24"/>
          <w:lang w:eastAsia="zh-CN"/>
        </w:rPr>
        <w:t>通过率达到9</w:t>
      </w:r>
      <w:r>
        <w:rPr>
          <w:rFonts w:asciiTheme="minorEastAsia" w:hAnsiTheme="minorEastAsia" w:eastAsiaTheme="minorEastAsia" w:cstheme="minorEastAsia"/>
          <w:sz w:val="24"/>
          <w:szCs w:val="24"/>
          <w:lang w:val="en" w:eastAsia="zh-CN"/>
        </w:rPr>
        <w:t>5</w:t>
      </w:r>
      <w:r>
        <w:rPr>
          <w:rFonts w:hint="eastAsia" w:asciiTheme="minorEastAsia" w:hAnsiTheme="minorEastAsia" w:eastAsiaTheme="minorEastAsia" w:cstheme="minorEastAsia"/>
          <w:sz w:val="24"/>
          <w:szCs w:val="24"/>
          <w:lang w:eastAsia="zh-CN"/>
        </w:rPr>
        <w:t>%及以上，并经采购人和送训单位验收。</w:t>
      </w:r>
    </w:p>
    <w:p w14:paraId="75EFE1E2">
      <w:pPr>
        <w:keepNext w:val="0"/>
        <w:keepLines w:val="0"/>
        <w:pageBreakBefore w:val="0"/>
        <w:kinsoku/>
        <w:wordWrap/>
        <w:overflowPunct/>
        <w:topLinePunct w:val="0"/>
        <w:autoSpaceDE/>
        <w:autoSpaceDN/>
        <w:bidi w:val="0"/>
        <w:adjustRightInd w:val="0"/>
        <w:snapToGrid/>
        <w:spacing w:after="0" w:line="360" w:lineRule="auto"/>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6.其他说明：</w:t>
      </w:r>
      <w:r>
        <w:rPr>
          <w:rFonts w:hint="eastAsia" w:asciiTheme="minorEastAsia" w:hAnsiTheme="minorEastAsia" w:eastAsiaTheme="minorEastAsia" w:cstheme="minorEastAsia"/>
          <w:sz w:val="24"/>
          <w:szCs w:val="24"/>
          <w:lang w:val="en" w:eastAsia="zh-CN"/>
        </w:rPr>
        <w:t>本项目培训费用包含本项目预算金额和送训单位配套资金两部分，分别占比50%。例如：中标人投标报价150万元（由采购人江西省军民融合研究院支付），送训单位配套支付150万元（由各送训单位支付），实际培训费用300万元。培训期间食宿费不超过80元/人/天，由送训单位另行支付，如若超出部分由中标人自行承担。</w:t>
      </w:r>
    </w:p>
    <w:p w14:paraId="0EB9971C">
      <w:pPr>
        <w:pStyle w:val="7"/>
        <w:spacing w:line="400" w:lineRule="exact"/>
        <w:ind w:left="0"/>
        <w:jc w:val="both"/>
        <w:rPr>
          <w:rFonts w:hint="eastAsia" w:eastAsia="宋体"/>
          <w:color w:val="auto"/>
          <w:sz w:val="24"/>
          <w:szCs w:val="24"/>
          <w:lang w:val="en-US" w:eastAsia="zh-CN"/>
        </w:rPr>
      </w:pPr>
    </w:p>
    <w:p w14:paraId="00E6D854">
      <w:pPr>
        <w:pStyle w:val="7"/>
        <w:spacing w:line="400" w:lineRule="exact"/>
        <w:ind w:left="0"/>
        <w:jc w:val="both"/>
        <w:rPr>
          <w:rFonts w:hint="eastAsia" w:eastAsia="宋体"/>
          <w:color w:val="auto"/>
          <w:sz w:val="24"/>
          <w:szCs w:val="24"/>
          <w:lang w:val="en-US" w:eastAsia="zh-CN"/>
        </w:rPr>
      </w:pPr>
      <w:r>
        <w:rPr>
          <w:rFonts w:hint="eastAsia" w:eastAsia="宋体"/>
          <w:color w:val="auto"/>
          <w:sz w:val="24"/>
          <w:szCs w:val="24"/>
          <w:lang w:val="en-US" w:eastAsia="zh-CN"/>
        </w:rPr>
        <w:t>注：以上（二） 商务条件需完全满足或优于，否则视为无效投标。</w:t>
      </w:r>
    </w:p>
    <w:p w14:paraId="48C1DEE3"/>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Microsoft JhengHei">
    <w:panose1 w:val="020B0604030504040204"/>
    <w:charset w:val="88"/>
    <w:family w:val="swiss"/>
    <w:pitch w:val="default"/>
    <w:sig w:usb0="000002A7" w:usb1="28CF4400" w:usb2="00000016" w:usb3="00000000" w:csb0="00100009"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2490C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1"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after="160" w:line="278" w:lineRule="auto"/>
      <w:textAlignment w:val="baseline"/>
    </w:pPr>
    <w:rPr>
      <w:rFonts w:ascii="Arial" w:hAnsi="Arial" w:eastAsia="Arial" w:cs="Arial"/>
      <w:snapToGrid w:val="0"/>
      <w:color w:val="000000"/>
      <w:sz w:val="21"/>
      <w:szCs w:val="21"/>
      <w:lang w:val="en-US" w:eastAsia="en-US" w:bidi="ar-SA"/>
    </w:rPr>
  </w:style>
  <w:style w:type="character" w:default="1" w:styleId="10">
    <w:name w:val="Default Paragraph Font"/>
    <w:semiHidden/>
    <w:qFormat/>
    <w:uiPriority w:val="0"/>
  </w:style>
  <w:style w:type="table" w:default="1" w:styleId="8">
    <w:name w:val="Normal Table"/>
    <w:semiHidden/>
    <w:uiPriority w:val="0"/>
    <w:tblPr>
      <w:tblCellMar>
        <w:top w:w="0" w:type="dxa"/>
        <w:left w:w="108" w:type="dxa"/>
        <w:bottom w:w="0" w:type="dxa"/>
        <w:right w:w="108" w:type="dxa"/>
      </w:tblCellMar>
    </w:tblPr>
  </w:style>
  <w:style w:type="paragraph" w:styleId="2">
    <w:name w:val="Body Text First Indent 2"/>
    <w:basedOn w:val="3"/>
    <w:next w:val="1"/>
    <w:qFormat/>
    <w:uiPriority w:val="99"/>
    <w:pPr>
      <w:autoSpaceDE/>
      <w:autoSpaceDN/>
      <w:adjustRightInd/>
      <w:spacing w:line="240" w:lineRule="auto"/>
      <w:ind w:firstLine="420" w:firstLineChars="200"/>
      <w:jc w:val="both"/>
    </w:pPr>
    <w:rPr>
      <w:rFonts w:ascii="Times New Roman" w:hAnsi="Times New Roman"/>
      <w:kern w:val="2"/>
      <w:sz w:val="21"/>
    </w:rPr>
  </w:style>
  <w:style w:type="paragraph" w:styleId="3">
    <w:name w:val="Body Text Indent"/>
    <w:basedOn w:val="1"/>
    <w:next w:val="4"/>
    <w:unhideWhenUsed/>
    <w:qFormat/>
    <w:uiPriority w:val="99"/>
    <w:pPr>
      <w:spacing w:after="120"/>
      <w:ind w:left="420" w:leftChars="200"/>
    </w:pPr>
    <w:rPr>
      <w:rFonts w:eastAsia="微软雅黑"/>
      <w:sz w:val="24"/>
      <w:szCs w:val="20"/>
    </w:rPr>
  </w:style>
  <w:style w:type="paragraph" w:styleId="4">
    <w:name w:val="envelope return"/>
    <w:basedOn w:val="1"/>
    <w:qFormat/>
    <w:uiPriority w:val="99"/>
  </w:style>
  <w:style w:type="paragraph" w:styleId="5">
    <w:name w:val="Body Text"/>
    <w:basedOn w:val="1"/>
    <w:semiHidden/>
    <w:qFormat/>
    <w:uiPriority w:val="0"/>
    <w:rPr>
      <w:rFonts w:ascii="仿宋" w:hAnsi="仿宋" w:eastAsia="仿宋" w:cs="仿宋"/>
      <w:sz w:val="30"/>
      <w:szCs w:val="30"/>
    </w:rPr>
  </w:style>
  <w:style w:type="paragraph" w:styleId="6">
    <w:name w:val="footer"/>
    <w:basedOn w:val="1"/>
    <w:qFormat/>
    <w:uiPriority w:val="0"/>
    <w:pPr>
      <w:tabs>
        <w:tab w:val="center" w:pos="4153"/>
        <w:tab w:val="right" w:pos="8306"/>
      </w:tabs>
    </w:pPr>
    <w:rPr>
      <w:sz w:val="18"/>
    </w:rPr>
  </w:style>
  <w:style w:type="paragraph" w:styleId="7">
    <w:name w:val="toc 1"/>
    <w:basedOn w:val="1"/>
    <w:next w:val="1"/>
    <w:qFormat/>
    <w:uiPriority w:val="1"/>
    <w:pPr>
      <w:spacing w:line="307" w:lineRule="exact"/>
      <w:ind w:left="97"/>
      <w:jc w:val="center"/>
    </w:pPr>
    <w:rPr>
      <w:rFonts w:ascii="Microsoft JhengHei" w:hAnsi="Microsoft JhengHei" w:eastAsia="Microsoft JhengHei" w:cs="Microsoft JhengHei"/>
      <w:b/>
      <w:bCs/>
      <w:lang w:val="zh-CN" w:bidi="zh-CN"/>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2026-05-27T10:13:24Z</dcterms:created>
  <dc:creator>这台电脑能飞么</dc:creator>
  <cp:lastModifiedBy>这台电脑能飞么</cp:lastModifiedBy>
  <dcterms:modified xsi:type="dcterms:W3CDTF">2026-05-27T10:13:44Z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F0DF7D8C83354E439D4F12FE2FCCF572_12</vt:lpwstr>
  </property>
</Properties>
</file>