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9CC316">
      <w:pPr>
        <w:pageBreakBefore w:val="0"/>
        <w:widowControl w:val="0"/>
        <w:wordWrap/>
        <w:overflowPunct/>
        <w:topLinePunct w:val="0"/>
        <w:bidi w:val="0"/>
        <w:spacing w:line="242" w:lineRule="auto"/>
        <w:rPr>
          <w:rFonts w:hint="eastAsia" w:eastAsiaTheme="minorEastAsia"/>
          <w:color w:val="auto"/>
          <w:highlight w:val="none"/>
          <w:lang w:eastAsia="zh-CN"/>
        </w:rPr>
      </w:pPr>
      <w:bookmarkStart w:id="152" w:name="_GoBack"/>
      <w:bookmarkEnd w:id="152"/>
    </w:p>
    <w:p w14:paraId="1D7ABB52">
      <w:pPr>
        <w:pageBreakBefore w:val="0"/>
        <w:widowControl w:val="0"/>
        <w:wordWrap/>
        <w:overflowPunct/>
        <w:topLinePunct w:val="0"/>
        <w:bidi w:val="0"/>
        <w:spacing w:line="242" w:lineRule="auto"/>
        <w:rPr>
          <w:color w:val="auto"/>
          <w:highlight w:val="none"/>
        </w:rPr>
      </w:pPr>
    </w:p>
    <w:p w14:paraId="200E36C1">
      <w:pPr>
        <w:pageBreakBefore w:val="0"/>
        <w:widowControl w:val="0"/>
        <w:wordWrap/>
        <w:overflowPunct/>
        <w:topLinePunct w:val="0"/>
        <w:bidi w:val="0"/>
        <w:spacing w:line="242" w:lineRule="auto"/>
        <w:rPr>
          <w:color w:val="auto"/>
          <w:highlight w:val="none"/>
        </w:rPr>
      </w:pPr>
    </w:p>
    <w:p w14:paraId="16338D85">
      <w:pPr>
        <w:pageBreakBefore w:val="0"/>
        <w:widowControl w:val="0"/>
        <w:wordWrap/>
        <w:overflowPunct/>
        <w:topLinePunct w:val="0"/>
        <w:bidi w:val="0"/>
        <w:spacing w:line="243" w:lineRule="auto"/>
        <w:rPr>
          <w:color w:val="auto"/>
          <w:highlight w:val="none"/>
        </w:rPr>
      </w:pPr>
    </w:p>
    <w:p w14:paraId="0A8EF9AE">
      <w:pPr>
        <w:pageBreakBefore w:val="0"/>
        <w:widowControl w:val="0"/>
        <w:wordWrap/>
        <w:overflowPunct/>
        <w:topLinePunct w:val="0"/>
        <w:bidi w:val="0"/>
        <w:spacing w:line="243" w:lineRule="auto"/>
        <w:rPr>
          <w:color w:val="auto"/>
          <w:highlight w:val="none"/>
        </w:rPr>
      </w:pPr>
    </w:p>
    <w:p w14:paraId="4FD7CBB3">
      <w:pPr>
        <w:pStyle w:val="8"/>
        <w:pageBreakBefore w:val="0"/>
        <w:widowControl w:val="0"/>
        <w:wordWrap/>
        <w:overflowPunct/>
        <w:topLinePunct w:val="0"/>
        <w:bidi w:val="0"/>
        <w:rPr>
          <w:color w:val="auto"/>
          <w:highlight w:val="none"/>
        </w:rPr>
      </w:pPr>
    </w:p>
    <w:p w14:paraId="6D8FC3C5">
      <w:pPr>
        <w:pStyle w:val="8"/>
        <w:pageBreakBefore w:val="0"/>
        <w:widowControl w:val="0"/>
        <w:wordWrap/>
        <w:overflowPunct/>
        <w:topLinePunct w:val="0"/>
        <w:bidi w:val="0"/>
        <w:rPr>
          <w:color w:val="auto"/>
          <w:highlight w:val="none"/>
        </w:rPr>
      </w:pPr>
    </w:p>
    <w:p w14:paraId="1C512666">
      <w:pPr>
        <w:pStyle w:val="8"/>
        <w:pageBreakBefore w:val="0"/>
        <w:widowControl w:val="0"/>
        <w:wordWrap/>
        <w:overflowPunct/>
        <w:topLinePunct w:val="0"/>
        <w:bidi w:val="0"/>
        <w:rPr>
          <w:color w:val="auto"/>
          <w:highlight w:val="none"/>
        </w:rPr>
      </w:pPr>
    </w:p>
    <w:p w14:paraId="292CB36C">
      <w:pPr>
        <w:pageBreakBefore w:val="0"/>
        <w:widowControl w:val="0"/>
        <w:wordWrap/>
        <w:overflowPunct/>
        <w:topLinePunct w:val="0"/>
        <w:bidi w:val="0"/>
        <w:spacing w:before="270" w:line="221" w:lineRule="auto"/>
        <w:jc w:val="center"/>
        <w:outlineLvl w:val="0"/>
        <w:rPr>
          <w:rFonts w:ascii="宋体" w:hAnsi="宋体" w:eastAsia="宋体" w:cs="宋体"/>
          <w:color w:val="auto"/>
          <w:spacing w:val="2"/>
          <w:sz w:val="56"/>
          <w:szCs w:val="56"/>
          <w:highlight w:val="none"/>
          <w:lang w:eastAsia="zh-CN"/>
        </w:rPr>
      </w:pPr>
      <w:bookmarkStart w:id="0" w:name="_Toc2004"/>
      <w:bookmarkStart w:id="1" w:name="_Toc22399"/>
      <w:bookmarkStart w:id="2" w:name="_Toc23058"/>
      <w:r>
        <w:rPr>
          <w:rFonts w:ascii="宋体" w:hAnsi="宋体" w:eastAsia="宋体" w:cs="宋体"/>
          <w:color w:val="auto"/>
          <w:spacing w:val="6"/>
          <w:sz w:val="56"/>
          <w:szCs w:val="56"/>
          <w:highlight w:val="none"/>
          <w:lang w:eastAsia="zh-CN"/>
        </w:rPr>
        <w:t>江西省政府采购</w:t>
      </w:r>
      <w:r>
        <w:rPr>
          <w:rFonts w:hint="eastAsia" w:ascii="宋体" w:hAnsi="宋体" w:eastAsia="宋体" w:cs="宋体"/>
          <w:color w:val="auto"/>
          <w:spacing w:val="2"/>
          <w:sz w:val="56"/>
          <w:szCs w:val="56"/>
          <w:highlight w:val="none"/>
          <w:lang w:val="en-US" w:eastAsia="zh-CN"/>
        </w:rPr>
        <w:t>竞争性磋商</w:t>
      </w:r>
      <w:r>
        <w:rPr>
          <w:rFonts w:ascii="宋体" w:hAnsi="宋体" w:eastAsia="宋体" w:cs="宋体"/>
          <w:color w:val="auto"/>
          <w:spacing w:val="2"/>
          <w:sz w:val="56"/>
          <w:szCs w:val="56"/>
          <w:highlight w:val="none"/>
          <w:lang w:eastAsia="zh-CN"/>
        </w:rPr>
        <w:t>文件</w:t>
      </w:r>
      <w:bookmarkEnd w:id="0"/>
      <w:bookmarkEnd w:id="1"/>
      <w:bookmarkEnd w:id="2"/>
    </w:p>
    <w:p w14:paraId="5F4EA237">
      <w:pPr>
        <w:pageBreakBefore w:val="0"/>
        <w:widowControl w:val="0"/>
        <w:wordWrap/>
        <w:overflowPunct/>
        <w:topLinePunct w:val="0"/>
        <w:bidi w:val="0"/>
        <w:spacing w:before="101" w:line="224" w:lineRule="auto"/>
        <w:ind w:left="3725" w:leftChars="0" w:hanging="3725" w:hangingChars="1179"/>
        <w:jc w:val="center"/>
        <w:rPr>
          <w:rFonts w:ascii="宋体" w:hAnsi="宋体" w:eastAsia="宋体" w:cs="宋体"/>
          <w:color w:val="auto"/>
          <w:sz w:val="31"/>
          <w:szCs w:val="31"/>
          <w:highlight w:val="none"/>
          <w:lang w:eastAsia="zh-CN"/>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服务</w:t>
      </w: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类）</w:t>
      </w:r>
    </w:p>
    <w:p w14:paraId="22F52EA7">
      <w:pPr>
        <w:pageBreakBefore w:val="0"/>
        <w:widowControl w:val="0"/>
        <w:wordWrap/>
        <w:overflowPunct/>
        <w:topLinePunct w:val="0"/>
        <w:bidi w:val="0"/>
        <w:spacing w:line="246" w:lineRule="auto"/>
        <w:rPr>
          <w:color w:val="auto"/>
          <w:highlight w:val="none"/>
          <w:lang w:eastAsia="zh-CN"/>
        </w:rPr>
      </w:pPr>
    </w:p>
    <w:p w14:paraId="1A1AA18F">
      <w:pPr>
        <w:pageBreakBefore w:val="0"/>
        <w:widowControl w:val="0"/>
        <w:wordWrap/>
        <w:overflowPunct/>
        <w:topLinePunct w:val="0"/>
        <w:bidi w:val="0"/>
        <w:spacing w:line="246" w:lineRule="auto"/>
        <w:rPr>
          <w:color w:val="auto"/>
          <w:highlight w:val="none"/>
          <w:lang w:eastAsia="zh-CN"/>
        </w:rPr>
      </w:pPr>
    </w:p>
    <w:p w14:paraId="36DE2457">
      <w:pPr>
        <w:pStyle w:val="8"/>
        <w:pageBreakBefore w:val="0"/>
        <w:widowControl w:val="0"/>
        <w:wordWrap/>
        <w:overflowPunct/>
        <w:topLinePunct w:val="0"/>
        <w:bidi w:val="0"/>
        <w:rPr>
          <w:color w:val="auto"/>
          <w:highlight w:val="none"/>
          <w:lang w:eastAsia="zh-CN"/>
        </w:rPr>
      </w:pPr>
    </w:p>
    <w:p w14:paraId="79835A29">
      <w:pPr>
        <w:pStyle w:val="8"/>
        <w:pageBreakBefore w:val="0"/>
        <w:widowControl w:val="0"/>
        <w:wordWrap/>
        <w:overflowPunct/>
        <w:topLinePunct w:val="0"/>
        <w:bidi w:val="0"/>
        <w:rPr>
          <w:color w:val="auto"/>
          <w:highlight w:val="none"/>
          <w:lang w:eastAsia="zh-CN"/>
        </w:rPr>
      </w:pPr>
    </w:p>
    <w:p w14:paraId="12297C9A">
      <w:pPr>
        <w:pageBreakBefore w:val="0"/>
        <w:widowControl w:val="0"/>
        <w:wordWrap/>
        <w:overflowPunct/>
        <w:topLinePunct w:val="0"/>
        <w:bidi w:val="0"/>
        <w:spacing w:line="246" w:lineRule="auto"/>
        <w:rPr>
          <w:color w:val="auto"/>
          <w:highlight w:val="none"/>
          <w:lang w:eastAsia="zh-CN"/>
        </w:rPr>
      </w:pPr>
    </w:p>
    <w:p w14:paraId="5D713A6D">
      <w:pPr>
        <w:pageBreakBefore w:val="0"/>
        <w:widowControl w:val="0"/>
        <w:wordWrap/>
        <w:overflowPunct/>
        <w:topLinePunct w:val="0"/>
        <w:bidi w:val="0"/>
        <w:spacing w:line="246" w:lineRule="auto"/>
        <w:rPr>
          <w:color w:val="auto"/>
          <w:highlight w:val="none"/>
          <w:lang w:eastAsia="zh-CN"/>
        </w:rPr>
      </w:pPr>
    </w:p>
    <w:p w14:paraId="27324C98">
      <w:pPr>
        <w:pageBreakBefore w:val="0"/>
        <w:widowControl w:val="0"/>
        <w:wordWrap/>
        <w:overflowPunct/>
        <w:topLinePunct w:val="0"/>
        <w:bidi w:val="0"/>
        <w:spacing w:line="246" w:lineRule="auto"/>
        <w:rPr>
          <w:color w:val="auto"/>
          <w:highlight w:val="none"/>
          <w:lang w:eastAsia="zh-CN"/>
        </w:rPr>
      </w:pPr>
    </w:p>
    <w:p w14:paraId="34EEB70C">
      <w:pPr>
        <w:pageBreakBefore w:val="0"/>
        <w:widowControl w:val="0"/>
        <w:wordWrap/>
        <w:overflowPunct/>
        <w:topLinePunct w:val="0"/>
        <w:bidi w:val="0"/>
        <w:spacing w:line="247" w:lineRule="auto"/>
        <w:rPr>
          <w:color w:val="auto"/>
          <w:highlight w:val="none"/>
          <w:lang w:eastAsia="zh-CN"/>
        </w:rPr>
      </w:pPr>
    </w:p>
    <w:p w14:paraId="0D5FE092">
      <w:pPr>
        <w:keepNext w:val="0"/>
        <w:keepLines w:val="0"/>
        <w:pageBreakBefore w:val="0"/>
        <w:widowControl w:val="0"/>
        <w:kinsoku/>
        <w:wordWrap/>
        <w:overflowPunct/>
        <w:topLinePunct w:val="0"/>
        <w:autoSpaceDE w:val="0"/>
        <w:autoSpaceDN w:val="0"/>
        <w:bidi w:val="0"/>
        <w:adjustRightInd w:val="0"/>
        <w:snapToGrid w:val="0"/>
        <w:spacing w:before="101" w:line="240" w:lineRule="auto"/>
        <w:ind w:left="2506" w:leftChars="441" w:hanging="1580" w:hangingChars="500"/>
        <w:textAlignment w:val="baseline"/>
        <w:rPr>
          <w:rFonts w:hint="eastAsia" w:ascii="宋体" w:hAnsi="宋体" w:eastAsia="黑体" w:cs="宋体"/>
          <w:color w:val="auto"/>
          <w:spacing w:val="3"/>
          <w:sz w:val="31"/>
          <w:szCs w:val="31"/>
          <w:highlight w:val="none"/>
          <w:lang w:val="en-US" w:eastAsia="zh-CN"/>
          <w14:textOutline w14:w="5791" w14:cap="sq" w14:cmpd="sng" w14:algn="ctr">
            <w14:solidFill>
              <w14:srgbClr w14:val="000000"/>
            </w14:solidFill>
            <w14:prstDash w14:val="solid"/>
            <w14:bevel/>
          </w14:textOutline>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江西现代职业技术学院课程思政教学研究中心建设项目</w:t>
      </w:r>
    </w:p>
    <w:p w14:paraId="66BC27CE">
      <w:pPr>
        <w:pageBreakBefore w:val="0"/>
        <w:widowControl w:val="0"/>
        <w:kinsoku/>
        <w:wordWrap/>
        <w:overflowPunct/>
        <w:topLinePunct w:val="0"/>
        <w:bidi w:val="0"/>
        <w:spacing w:line="246" w:lineRule="auto"/>
        <w:rPr>
          <w:color w:val="auto"/>
          <w:highlight w:val="none"/>
          <w:lang w:eastAsia="zh-CN"/>
        </w:rPr>
      </w:pPr>
    </w:p>
    <w:p w14:paraId="17713F6E">
      <w:pPr>
        <w:keepNext w:val="0"/>
        <w:keepLines w:val="0"/>
        <w:pageBreakBefore w:val="0"/>
        <w:widowControl w:val="0"/>
        <w:kinsoku/>
        <w:wordWrap/>
        <w:overflowPunct/>
        <w:topLinePunct w:val="0"/>
        <w:autoSpaceDE w:val="0"/>
        <w:autoSpaceDN w:val="0"/>
        <w:bidi w:val="0"/>
        <w:adjustRightInd w:val="0"/>
        <w:snapToGrid w:val="0"/>
        <w:spacing w:before="101" w:line="480" w:lineRule="auto"/>
        <w:ind w:firstLine="948" w:firstLineChars="300"/>
        <w:textAlignment w:val="baseline"/>
        <w:rPr>
          <w:rFonts w:hint="default"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项目编号：JXTC2026070126</w:t>
      </w:r>
    </w:p>
    <w:p w14:paraId="6A1B2123">
      <w:pPr>
        <w:pageBreakBefore w:val="0"/>
        <w:widowControl w:val="0"/>
        <w:wordWrap/>
        <w:overflowPunct/>
        <w:topLinePunct w:val="0"/>
        <w:bidi w:val="0"/>
        <w:spacing w:line="250" w:lineRule="auto"/>
        <w:rPr>
          <w:color w:val="auto"/>
          <w:highlight w:val="none"/>
          <w:lang w:eastAsia="zh-CN"/>
        </w:rPr>
      </w:pPr>
    </w:p>
    <w:p w14:paraId="14733A3C">
      <w:pPr>
        <w:pageBreakBefore w:val="0"/>
        <w:widowControl w:val="0"/>
        <w:wordWrap/>
        <w:overflowPunct/>
        <w:topLinePunct w:val="0"/>
        <w:bidi w:val="0"/>
        <w:spacing w:line="250" w:lineRule="auto"/>
        <w:rPr>
          <w:color w:val="auto"/>
          <w:highlight w:val="none"/>
          <w:lang w:eastAsia="zh-CN"/>
        </w:rPr>
      </w:pPr>
    </w:p>
    <w:p w14:paraId="0255389D">
      <w:pPr>
        <w:pageBreakBefore w:val="0"/>
        <w:widowControl w:val="0"/>
        <w:wordWrap/>
        <w:overflowPunct/>
        <w:topLinePunct w:val="0"/>
        <w:bidi w:val="0"/>
        <w:spacing w:line="251" w:lineRule="auto"/>
        <w:rPr>
          <w:color w:val="auto"/>
          <w:highlight w:val="none"/>
          <w:lang w:eastAsia="zh-CN"/>
        </w:rPr>
      </w:pPr>
    </w:p>
    <w:p w14:paraId="7FCB242A">
      <w:pPr>
        <w:pageBreakBefore w:val="0"/>
        <w:widowControl w:val="0"/>
        <w:wordWrap/>
        <w:overflowPunct/>
        <w:topLinePunct w:val="0"/>
        <w:bidi w:val="0"/>
        <w:spacing w:line="251" w:lineRule="auto"/>
        <w:rPr>
          <w:color w:val="auto"/>
          <w:highlight w:val="none"/>
          <w:lang w:eastAsia="zh-CN"/>
        </w:rPr>
      </w:pPr>
    </w:p>
    <w:p w14:paraId="398D8F64">
      <w:pPr>
        <w:pStyle w:val="8"/>
        <w:pageBreakBefore w:val="0"/>
        <w:widowControl w:val="0"/>
        <w:wordWrap/>
        <w:overflowPunct/>
        <w:topLinePunct w:val="0"/>
        <w:bidi w:val="0"/>
        <w:rPr>
          <w:color w:val="auto"/>
          <w:highlight w:val="none"/>
          <w:lang w:eastAsia="zh-CN"/>
        </w:rPr>
      </w:pPr>
    </w:p>
    <w:p w14:paraId="61BEBE08">
      <w:pPr>
        <w:pStyle w:val="8"/>
        <w:pageBreakBefore w:val="0"/>
        <w:widowControl w:val="0"/>
        <w:wordWrap/>
        <w:overflowPunct/>
        <w:topLinePunct w:val="0"/>
        <w:bidi w:val="0"/>
        <w:rPr>
          <w:color w:val="auto"/>
          <w:highlight w:val="none"/>
          <w:lang w:eastAsia="zh-CN"/>
        </w:rPr>
      </w:pPr>
    </w:p>
    <w:p w14:paraId="7E0DF25A">
      <w:pPr>
        <w:pStyle w:val="8"/>
        <w:pageBreakBefore w:val="0"/>
        <w:widowControl w:val="0"/>
        <w:wordWrap/>
        <w:overflowPunct/>
        <w:topLinePunct w:val="0"/>
        <w:bidi w:val="0"/>
        <w:rPr>
          <w:color w:val="auto"/>
          <w:highlight w:val="none"/>
          <w:lang w:eastAsia="zh-CN"/>
        </w:rPr>
      </w:pPr>
    </w:p>
    <w:p w14:paraId="7259631E">
      <w:pPr>
        <w:pStyle w:val="8"/>
        <w:pageBreakBefore w:val="0"/>
        <w:widowControl w:val="0"/>
        <w:wordWrap/>
        <w:overflowPunct/>
        <w:topLinePunct w:val="0"/>
        <w:bidi w:val="0"/>
        <w:rPr>
          <w:color w:val="auto"/>
          <w:highlight w:val="none"/>
          <w:lang w:eastAsia="zh-CN"/>
        </w:rPr>
      </w:pPr>
    </w:p>
    <w:p w14:paraId="77E87D3A">
      <w:pPr>
        <w:pageBreakBefore w:val="0"/>
        <w:widowControl w:val="0"/>
        <w:wordWrap/>
        <w:overflowPunct/>
        <w:topLinePunct w:val="0"/>
        <w:bidi w:val="0"/>
        <w:spacing w:line="251" w:lineRule="auto"/>
        <w:rPr>
          <w:color w:val="auto"/>
          <w:highlight w:val="none"/>
          <w:lang w:eastAsia="zh-CN"/>
        </w:rPr>
      </w:pPr>
    </w:p>
    <w:p w14:paraId="20E2C7BA">
      <w:pPr>
        <w:pageBreakBefore w:val="0"/>
        <w:widowControl w:val="0"/>
        <w:wordWrap/>
        <w:overflowPunct/>
        <w:topLinePunct w:val="0"/>
        <w:bidi w:val="0"/>
        <w:spacing w:line="251" w:lineRule="auto"/>
        <w:rPr>
          <w:color w:val="auto"/>
          <w:highlight w:val="none"/>
          <w:lang w:eastAsia="zh-CN"/>
        </w:rPr>
      </w:pPr>
    </w:p>
    <w:p w14:paraId="4195D44D">
      <w:pPr>
        <w:pageBreakBefore w:val="0"/>
        <w:widowControl w:val="0"/>
        <w:kinsoku/>
        <w:wordWrap/>
        <w:overflowPunct/>
        <w:topLinePunct w:val="0"/>
        <w:bidi w:val="0"/>
        <w:spacing w:before="101" w:line="614" w:lineRule="exact"/>
        <w:jc w:val="center"/>
        <w:rPr>
          <w:rFonts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val="en-US" w:eastAsia="zh-CN"/>
          <w14:textOutline w14:w="5791"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highlight w:val="none"/>
          <w:lang w:eastAsia="zh-CN"/>
          <w14:textOutline w14:w="5105" w14:cap="sq" w14:cmpd="sng" w14:algn="ctr">
            <w14:solidFill>
              <w14:srgbClr w14:val="000000"/>
            </w14:solidFill>
            <w14:prstDash w14:val="solid"/>
            <w14:bevel/>
          </w14:textOutline>
        </w:rPr>
        <w:t>公司</w:t>
      </w:r>
    </w:p>
    <w:p w14:paraId="113B4EB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南昌</w:t>
      </w:r>
    </w:p>
    <w:p w14:paraId="0660E86A">
      <w:pPr>
        <w:keepNext w:val="0"/>
        <w:keepLines w:val="0"/>
        <w:pageBreakBefore w:val="0"/>
        <w:widowControl w:val="0"/>
        <w:kinsoku/>
        <w:wordWrap/>
        <w:overflowPunct/>
        <w:topLinePunct w:val="0"/>
        <w:autoSpaceDE w:val="0"/>
        <w:autoSpaceDN w:val="0"/>
        <w:bidi w:val="0"/>
        <w:adjustRightInd w:val="0"/>
        <w:snapToGrid w:val="0"/>
        <w:spacing w:before="78" w:line="440" w:lineRule="exact"/>
        <w:ind w:left="107"/>
        <w:jc w:val="center"/>
        <w:textAlignment w:val="baseline"/>
        <w:outlineLvl w:val="9"/>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sectPr>
          <w:headerReference r:id="rId3" w:type="default"/>
          <w:footerReference r:id="rId4" w:type="default"/>
          <w:pgSz w:w="11906" w:h="16839"/>
          <w:pgMar w:top="1440" w:right="1800" w:bottom="1440" w:left="1800" w:header="0" w:footer="0" w:gutter="0"/>
          <w:cols w:space="720" w:num="1"/>
        </w:sectPr>
      </w:pPr>
    </w:p>
    <w:sdt>
      <w:sdtPr>
        <w:rPr>
          <w:rFonts w:ascii="宋体" w:hAnsi="宋体" w:eastAsia="宋体" w:cs="Arial"/>
          <w:b/>
          <w:bCs/>
          <w:snapToGrid w:val="0"/>
          <w:color w:val="000000"/>
          <w:sz w:val="36"/>
          <w:szCs w:val="36"/>
          <w:lang w:val="en-US" w:eastAsia="en-US" w:bidi="ar-SA"/>
        </w:rPr>
        <w:id w:val="147477695"/>
        <w15:color w:val="DBDBDB"/>
        <w:docPartObj>
          <w:docPartGallery w:val="Table of Contents"/>
          <w:docPartUnique/>
        </w:docPartObj>
      </w:sdtPr>
      <w:sdtEndPr>
        <w:rPr>
          <w:rFonts w:hint="default" w:ascii="Times New Roman" w:hAnsi="Times New Roman" w:eastAsia="Times New Roman" w:cs="Times New Roman"/>
          <w:b/>
          <w:bCs/>
          <w:snapToGrid w:val="0"/>
          <w:color w:val="auto"/>
          <w:sz w:val="30"/>
          <w:szCs w:val="20"/>
          <w:highlight w:val="none"/>
          <w:lang w:val="en-US" w:eastAsia="zh-CN" w:bidi="ar-SA"/>
        </w:rPr>
      </w:sdtEndPr>
      <w:sdtContent>
        <w:p w14:paraId="347A7D5F">
          <w:pPr>
            <w:spacing w:before="0" w:beforeLines="0" w:after="0" w:afterLines="0" w:line="240" w:lineRule="auto"/>
            <w:ind w:left="0" w:leftChars="0" w:right="0" w:rightChars="0" w:firstLine="0" w:firstLineChars="0"/>
            <w:jc w:val="center"/>
            <w:rPr>
              <w:b/>
              <w:bCs/>
              <w:sz w:val="36"/>
              <w:szCs w:val="36"/>
            </w:rPr>
          </w:pPr>
          <w:r>
            <w:rPr>
              <w:rFonts w:ascii="宋体" w:hAnsi="宋体" w:eastAsia="宋体"/>
              <w:b/>
              <w:bCs/>
              <w:sz w:val="36"/>
              <w:szCs w:val="36"/>
            </w:rPr>
            <w:t>目录</w:t>
          </w:r>
        </w:p>
        <w:p w14:paraId="1B145602">
          <w:pPr>
            <w:pStyle w:val="14"/>
            <w:tabs>
              <w:tab w:val="right" w:leader="dot" w:pos="9066"/>
            </w:tabs>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TOC \o "1-3" \h \u </w:instrText>
          </w:r>
          <w:r>
            <w:rPr>
              <w:rFonts w:hint="default" w:ascii="Times New Roman" w:hAnsi="Times New Roman" w:eastAsia="Times New Roman" w:cs="Times New Roman"/>
              <w:color w:val="auto"/>
              <w:sz w:val="20"/>
              <w:szCs w:val="20"/>
              <w:highlight w:val="none"/>
              <w:lang w:eastAsia="zh-CN"/>
            </w:rPr>
            <w:fldChar w:fldCharType="separate"/>
          </w:r>
        </w:p>
        <w:p w14:paraId="356F7259">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_Toc8748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8"/>
              <w:szCs w:val="30"/>
              <w:highlight w:val="none"/>
              <w14:textOutline w14:w="5791" w14:cap="sq" w14:cmpd="sng" w14:algn="ctr">
                <w14:solidFill>
                  <w14:srgbClr w14:val="000000"/>
                </w14:solidFill>
                <w14:prstDash w14:val="solid"/>
                <w14:bevel/>
              </w14:textOutline>
            </w:rPr>
            <w:t>第一章</w:t>
          </w:r>
          <w:r>
            <w:rPr>
              <w:rFonts w:ascii="宋体" w:hAnsi="宋体" w:eastAsia="宋体" w:cs="宋体"/>
              <w:spacing w:val="8"/>
              <w:szCs w:val="30"/>
              <w:highlight w:val="none"/>
            </w:rPr>
            <w:t xml:space="preserve">  </w:t>
          </w:r>
          <w:r>
            <w:rPr>
              <w:rFonts w:hint="eastAsia" w:ascii="宋体" w:hAnsi="宋体" w:eastAsia="宋体" w:cs="宋体"/>
              <w:spacing w:val="8"/>
              <w:szCs w:val="30"/>
              <w:highlight w:val="none"/>
              <w:lang w:val="en-US" w:eastAsia="zh-CN"/>
              <w14:textOutline w14:w="5791" w14:cap="sq" w14:cmpd="sng" w14:algn="ctr">
                <w14:solidFill>
                  <w14:srgbClr w14:val="000000"/>
                </w14:solidFill>
                <w14:prstDash w14:val="solid"/>
                <w14:bevel/>
              </w14:textOutline>
            </w:rPr>
            <w:t>磋商</w:t>
          </w:r>
          <w:r>
            <w:rPr>
              <w:rFonts w:ascii="宋体" w:hAnsi="宋体" w:eastAsia="宋体" w:cs="宋体"/>
              <w:spacing w:val="8"/>
              <w:szCs w:val="30"/>
              <w:highlight w:val="none"/>
              <w14:textOutline w14:w="5791" w14:cap="sq" w14:cmpd="sng" w14:algn="ctr">
                <w14:solidFill>
                  <w14:srgbClr w14:val="000000"/>
                </w14:solidFill>
                <w14:prstDash w14:val="solid"/>
                <w14:bevel/>
              </w14:textOutline>
            </w:rPr>
            <w:t>邀请</w:t>
          </w:r>
          <w:r>
            <w:tab/>
          </w:r>
          <w:r>
            <w:fldChar w:fldCharType="begin"/>
          </w:r>
          <w:r>
            <w:instrText xml:space="preserve"> PAGEREF _Toc8748 \h </w:instrText>
          </w:r>
          <w:r>
            <w:fldChar w:fldCharType="separate"/>
          </w:r>
          <w:r>
            <w:t>1</w:t>
          </w:r>
          <w:r>
            <w:fldChar w:fldCharType="end"/>
          </w:r>
          <w:r>
            <w:rPr>
              <w:rFonts w:hint="default" w:ascii="Times New Roman" w:hAnsi="Times New Roman" w:eastAsia="Times New Roman" w:cs="Times New Roman"/>
              <w:color w:val="auto"/>
              <w:szCs w:val="20"/>
              <w:highlight w:val="none"/>
              <w:lang w:eastAsia="zh-CN"/>
            </w:rPr>
            <w:fldChar w:fldCharType="end"/>
          </w:r>
        </w:p>
        <w:p w14:paraId="4506F6F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_Toc7734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一、项目基本情况</w:t>
          </w:r>
          <w:r>
            <w:tab/>
          </w:r>
          <w:r>
            <w:fldChar w:fldCharType="begin"/>
          </w:r>
          <w:r>
            <w:instrText xml:space="preserve"> PAGEREF _Toc7734 \h </w:instrText>
          </w:r>
          <w:r>
            <w:fldChar w:fldCharType="separate"/>
          </w:r>
          <w:r>
            <w:t>1</w:t>
          </w:r>
          <w:r>
            <w:fldChar w:fldCharType="end"/>
          </w:r>
          <w:r>
            <w:rPr>
              <w:rFonts w:hint="default" w:ascii="Times New Roman" w:hAnsi="Times New Roman" w:eastAsia="Times New Roman" w:cs="Times New Roman"/>
              <w:color w:val="auto"/>
              <w:szCs w:val="20"/>
              <w:highlight w:val="none"/>
              <w:lang w:eastAsia="zh-CN"/>
            </w:rPr>
            <w:fldChar w:fldCharType="end"/>
          </w:r>
        </w:p>
        <w:p w14:paraId="2BFFB9C8">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_Toc10327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的资格要求</w:t>
          </w:r>
          <w:r>
            <w:tab/>
          </w:r>
          <w:r>
            <w:fldChar w:fldCharType="begin"/>
          </w:r>
          <w:r>
            <w:instrText xml:space="preserve"> PAGEREF _Toc10327 \h </w:instrText>
          </w:r>
          <w:r>
            <w:fldChar w:fldCharType="separate"/>
          </w:r>
          <w:r>
            <w:t>1</w:t>
          </w:r>
          <w:r>
            <w:fldChar w:fldCharType="end"/>
          </w:r>
          <w:r>
            <w:rPr>
              <w:rFonts w:hint="default" w:ascii="Times New Roman" w:hAnsi="Times New Roman" w:eastAsia="Times New Roman" w:cs="Times New Roman"/>
              <w:color w:val="auto"/>
              <w:szCs w:val="20"/>
              <w:highlight w:val="none"/>
              <w:lang w:eastAsia="zh-CN"/>
            </w:rPr>
            <w:fldChar w:fldCharType="end"/>
          </w:r>
        </w:p>
        <w:p w14:paraId="1E5075F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_Toc12525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文件</w:t>
          </w:r>
          <w:r>
            <w:tab/>
          </w:r>
          <w:r>
            <w:fldChar w:fldCharType="begin"/>
          </w:r>
          <w:r>
            <w:instrText xml:space="preserve"> PAGEREF _Toc12525 \h </w:instrText>
          </w:r>
          <w:r>
            <w:fldChar w:fldCharType="separate"/>
          </w:r>
          <w:r>
            <w:t>2</w:t>
          </w:r>
          <w:r>
            <w:fldChar w:fldCharType="end"/>
          </w:r>
          <w:r>
            <w:rPr>
              <w:rFonts w:hint="default" w:ascii="Times New Roman" w:hAnsi="Times New Roman" w:eastAsia="Times New Roman" w:cs="Times New Roman"/>
              <w:color w:val="auto"/>
              <w:szCs w:val="20"/>
              <w:highlight w:val="none"/>
              <w:lang w:eastAsia="zh-CN"/>
            </w:rPr>
            <w:fldChar w:fldCharType="end"/>
          </w:r>
        </w:p>
        <w:p w14:paraId="2672E9D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_Toc32043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时间和地点</w:t>
          </w:r>
          <w:r>
            <w:tab/>
          </w:r>
          <w:r>
            <w:fldChar w:fldCharType="begin"/>
          </w:r>
          <w:r>
            <w:instrText xml:space="preserve"> PAGEREF _Toc32043 \h </w:instrText>
          </w:r>
          <w:r>
            <w:fldChar w:fldCharType="separate"/>
          </w:r>
          <w:r>
            <w:t>2</w:t>
          </w:r>
          <w:r>
            <w:fldChar w:fldCharType="end"/>
          </w:r>
          <w:r>
            <w:rPr>
              <w:rFonts w:hint="default" w:ascii="Times New Roman" w:hAnsi="Times New Roman" w:eastAsia="Times New Roman" w:cs="Times New Roman"/>
              <w:color w:val="auto"/>
              <w:szCs w:val="20"/>
              <w:highlight w:val="none"/>
              <w:lang w:eastAsia="zh-CN"/>
            </w:rPr>
            <w:fldChar w:fldCharType="end"/>
          </w:r>
        </w:p>
        <w:p w14:paraId="1C0CDE5E">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_Toc5531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lang w:eastAsia="zh-CN"/>
              <w14:textOutline w14:w="4356" w14:cap="sq" w14:cmpd="sng" w14:algn="ctr">
                <w14:solidFill>
                  <w14:srgbClr w14:val="000000"/>
                </w14:solidFill>
                <w14:prstDash w14:val="solid"/>
                <w14:bevel/>
              </w14:textOutline>
            </w:rPr>
            <w:t xml:space="preserve">五、 </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公告期限</w:t>
          </w:r>
          <w:r>
            <w:tab/>
          </w:r>
          <w:r>
            <w:fldChar w:fldCharType="begin"/>
          </w:r>
          <w:r>
            <w:instrText xml:space="preserve"> PAGEREF _Toc5531 \h </w:instrText>
          </w:r>
          <w:r>
            <w:fldChar w:fldCharType="separate"/>
          </w:r>
          <w:r>
            <w:t>2</w:t>
          </w:r>
          <w:r>
            <w:fldChar w:fldCharType="end"/>
          </w:r>
          <w:r>
            <w:rPr>
              <w:rFonts w:hint="default" w:ascii="Times New Roman" w:hAnsi="Times New Roman" w:eastAsia="Times New Roman" w:cs="Times New Roman"/>
              <w:color w:val="auto"/>
              <w:szCs w:val="20"/>
              <w:highlight w:val="none"/>
              <w:lang w:eastAsia="zh-CN"/>
            </w:rPr>
            <w:fldChar w:fldCharType="end"/>
          </w:r>
        </w:p>
        <w:p w14:paraId="156A847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_Toc1855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六、其他补充事宜</w:t>
          </w:r>
          <w:r>
            <w:tab/>
          </w:r>
          <w:r>
            <w:fldChar w:fldCharType="begin"/>
          </w:r>
          <w:r>
            <w:instrText xml:space="preserve"> PAGEREF _Toc1855 \h </w:instrText>
          </w:r>
          <w:r>
            <w:fldChar w:fldCharType="separate"/>
          </w:r>
          <w:r>
            <w:t>2</w:t>
          </w:r>
          <w:r>
            <w:fldChar w:fldCharType="end"/>
          </w:r>
          <w:r>
            <w:rPr>
              <w:rFonts w:hint="default" w:ascii="Times New Roman" w:hAnsi="Times New Roman" w:eastAsia="Times New Roman" w:cs="Times New Roman"/>
              <w:color w:val="auto"/>
              <w:szCs w:val="20"/>
              <w:highlight w:val="none"/>
              <w:lang w:eastAsia="zh-CN"/>
            </w:rPr>
            <w:fldChar w:fldCharType="end"/>
          </w:r>
        </w:p>
        <w:p w14:paraId="53468B88">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_Toc10795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提出询问，请按以下方式联系</w:t>
          </w:r>
          <w:r>
            <w:tab/>
          </w:r>
          <w:r>
            <w:fldChar w:fldCharType="begin"/>
          </w:r>
          <w:r>
            <w:instrText xml:space="preserve"> PAGEREF _Toc10795 \h </w:instrText>
          </w:r>
          <w:r>
            <w:fldChar w:fldCharType="separate"/>
          </w:r>
          <w:r>
            <w:t>3</w:t>
          </w:r>
          <w:r>
            <w:fldChar w:fldCharType="end"/>
          </w:r>
          <w:r>
            <w:rPr>
              <w:rFonts w:hint="default" w:ascii="Times New Roman" w:hAnsi="Times New Roman" w:eastAsia="Times New Roman" w:cs="Times New Roman"/>
              <w:color w:val="auto"/>
              <w:szCs w:val="20"/>
              <w:highlight w:val="none"/>
              <w:lang w:eastAsia="zh-CN"/>
            </w:rPr>
            <w:fldChar w:fldCharType="end"/>
          </w:r>
        </w:p>
        <w:p w14:paraId="6615E6B3">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_Toc8141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spacing w:val="8"/>
              <w:szCs w:val="31"/>
              <w:highlight w:val="none"/>
              <w:lang w:eastAsia="zh-CN"/>
            </w:rPr>
            <w:t xml:space="preserve">  </w:t>
          </w:r>
          <w:r>
            <w:rPr>
              <w:rFonts w:hint="eastAsia" w:ascii="宋体" w:hAnsi="宋体" w:eastAsia="宋体" w:cs="宋体"/>
              <w:spacing w:val="8"/>
              <w:szCs w:val="31"/>
              <w:highlight w:val="none"/>
              <w:lang w:val="en-US" w:eastAsia="zh-CN"/>
              <w14:textOutline w14:w="5791" w14:cap="sq" w14:cmpd="sng" w14:algn="ctr">
                <w14:solidFill>
                  <w14:srgbClr w14:val="000000"/>
                </w14:solidFill>
                <w14:prstDash w14:val="solid"/>
                <w14:bevel/>
              </w14:textOutline>
            </w:rPr>
            <w:t>供应商</w:t>
          </w:r>
          <w:r>
            <w:rPr>
              <w:rFonts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须知</w:t>
          </w:r>
          <w:r>
            <w:tab/>
          </w:r>
          <w:r>
            <w:fldChar w:fldCharType="begin"/>
          </w:r>
          <w:r>
            <w:instrText xml:space="preserve"> PAGEREF _Toc8141 \h </w:instrText>
          </w:r>
          <w:r>
            <w:fldChar w:fldCharType="separate"/>
          </w:r>
          <w:r>
            <w:t>1</w:t>
          </w:r>
          <w:r>
            <w:fldChar w:fldCharType="end"/>
          </w:r>
          <w:r>
            <w:rPr>
              <w:rFonts w:hint="default" w:ascii="Times New Roman" w:hAnsi="Times New Roman" w:eastAsia="Times New Roman" w:cs="Times New Roman"/>
              <w:color w:val="auto"/>
              <w:szCs w:val="20"/>
              <w:highlight w:val="none"/>
              <w:lang w:eastAsia="zh-CN"/>
            </w:rPr>
            <w:fldChar w:fldCharType="end"/>
          </w:r>
        </w:p>
        <w:p w14:paraId="2FEEE2D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_Toc4581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spacing w:val="-1"/>
              <w:szCs w:val="24"/>
              <w:highlight w:val="none"/>
              <w14:textOutline w14:w="4356" w14:cap="sq" w14:cmpd="sng" w14:algn="ctr">
                <w14:solidFill>
                  <w14:srgbClr w14:val="000000"/>
                </w14:solidFill>
                <w14:prstDash w14:val="solid"/>
                <w14:bevel/>
              </w14:textOutline>
            </w:rPr>
            <w:t>须知前附表</w:t>
          </w:r>
          <w:r>
            <w:tab/>
          </w:r>
          <w:r>
            <w:fldChar w:fldCharType="begin"/>
          </w:r>
          <w:r>
            <w:instrText xml:space="preserve"> PAGEREF _Toc4581 \h </w:instrText>
          </w:r>
          <w:r>
            <w:fldChar w:fldCharType="separate"/>
          </w:r>
          <w:r>
            <w:t>1</w:t>
          </w:r>
          <w:r>
            <w:fldChar w:fldCharType="end"/>
          </w:r>
          <w:r>
            <w:rPr>
              <w:rFonts w:hint="default" w:ascii="Times New Roman" w:hAnsi="Times New Roman" w:eastAsia="Times New Roman" w:cs="Times New Roman"/>
              <w:color w:val="auto"/>
              <w:szCs w:val="20"/>
              <w:highlight w:val="none"/>
              <w:lang w:eastAsia="zh-CN"/>
            </w:rPr>
            <w:fldChar w:fldCharType="end"/>
          </w:r>
        </w:p>
        <w:p w14:paraId="16180F7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_Toc14353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0"/>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spacing w:val="-92"/>
              <w:szCs w:val="24"/>
              <w:highlight w:val="none"/>
              <w:lang w:eastAsia="zh-CN"/>
            </w:rPr>
            <w:t xml:space="preserve"> </w:t>
          </w:r>
          <w:r>
            <w:rPr>
              <w:rFonts w:ascii="宋体" w:hAnsi="宋体" w:eastAsia="宋体" w:cs="宋体"/>
              <w:spacing w:val="-1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10"/>
              <w:szCs w:val="24"/>
              <w:highlight w:val="none"/>
              <w:lang w:eastAsia="zh-CN"/>
              <w14:textOutline w14:w="4356" w14:cap="sq" w14:cmpd="sng" w14:algn="ctr">
                <w14:solidFill>
                  <w14:srgbClr w14:val="000000"/>
                </w14:solidFill>
                <w14:prstDash w14:val="solid"/>
                <w14:bevel/>
              </w14:textOutline>
            </w:rPr>
            <w:t>磋商文件</w:t>
          </w:r>
          <w:r>
            <w:tab/>
          </w:r>
          <w:r>
            <w:fldChar w:fldCharType="begin"/>
          </w:r>
          <w:r>
            <w:instrText xml:space="preserve"> PAGEREF _Toc14353 \h </w:instrText>
          </w:r>
          <w:r>
            <w:fldChar w:fldCharType="separate"/>
          </w:r>
          <w:r>
            <w:t>8</w:t>
          </w:r>
          <w:r>
            <w:fldChar w:fldCharType="end"/>
          </w:r>
          <w:r>
            <w:rPr>
              <w:rFonts w:hint="default" w:ascii="Times New Roman" w:hAnsi="Times New Roman" w:eastAsia="Times New Roman" w:cs="Times New Roman"/>
              <w:color w:val="auto"/>
              <w:szCs w:val="20"/>
              <w:highlight w:val="none"/>
              <w:lang w:eastAsia="zh-CN"/>
            </w:rPr>
            <w:fldChar w:fldCharType="end"/>
          </w:r>
        </w:p>
        <w:p w14:paraId="50D6417D">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_Toc12259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1.适用范围</w:t>
          </w:r>
          <w:r>
            <w:tab/>
          </w:r>
          <w:r>
            <w:fldChar w:fldCharType="begin"/>
          </w:r>
          <w:r>
            <w:instrText xml:space="preserve"> PAGEREF _Toc12259 \h </w:instrText>
          </w:r>
          <w:r>
            <w:fldChar w:fldCharType="separate"/>
          </w:r>
          <w:r>
            <w:t>8</w:t>
          </w:r>
          <w:r>
            <w:fldChar w:fldCharType="end"/>
          </w:r>
          <w:r>
            <w:rPr>
              <w:rFonts w:hint="default" w:ascii="Times New Roman" w:hAnsi="Times New Roman" w:eastAsia="Times New Roman" w:cs="Times New Roman"/>
              <w:color w:val="auto"/>
              <w:szCs w:val="20"/>
              <w:highlight w:val="none"/>
              <w:lang w:eastAsia="zh-CN"/>
            </w:rPr>
            <w:fldChar w:fldCharType="end"/>
          </w:r>
        </w:p>
        <w:p w14:paraId="183FE7B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_Toc10850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2.定义</w:t>
          </w:r>
          <w:r>
            <w:tab/>
          </w:r>
          <w:r>
            <w:fldChar w:fldCharType="begin"/>
          </w:r>
          <w:r>
            <w:instrText xml:space="preserve"> PAGEREF _Toc10850 \h </w:instrText>
          </w:r>
          <w:r>
            <w:fldChar w:fldCharType="separate"/>
          </w:r>
          <w:r>
            <w:t>8</w:t>
          </w:r>
          <w:r>
            <w:fldChar w:fldCharType="end"/>
          </w:r>
          <w:r>
            <w:rPr>
              <w:rFonts w:hint="default" w:ascii="Times New Roman" w:hAnsi="Times New Roman" w:eastAsia="Times New Roman" w:cs="Times New Roman"/>
              <w:color w:val="auto"/>
              <w:szCs w:val="20"/>
              <w:highlight w:val="none"/>
              <w:lang w:eastAsia="zh-CN"/>
            </w:rPr>
            <w:fldChar w:fldCharType="end"/>
          </w:r>
        </w:p>
        <w:p w14:paraId="213F0C7B">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_Toc29235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3.合格</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供应商</w:t>
          </w:r>
          <w:r>
            <w:tab/>
          </w:r>
          <w:r>
            <w:fldChar w:fldCharType="begin"/>
          </w:r>
          <w:r>
            <w:instrText xml:space="preserve"> PAGEREF _Toc29235 \h </w:instrText>
          </w:r>
          <w:r>
            <w:fldChar w:fldCharType="separate"/>
          </w:r>
          <w:r>
            <w:t>8</w:t>
          </w:r>
          <w:r>
            <w:fldChar w:fldCharType="end"/>
          </w:r>
          <w:r>
            <w:rPr>
              <w:rFonts w:hint="default" w:ascii="Times New Roman" w:hAnsi="Times New Roman" w:eastAsia="Times New Roman" w:cs="Times New Roman"/>
              <w:color w:val="auto"/>
              <w:szCs w:val="20"/>
              <w:highlight w:val="none"/>
              <w:lang w:eastAsia="zh-CN"/>
            </w:rPr>
            <w:fldChar w:fldCharType="end"/>
          </w:r>
        </w:p>
        <w:p w14:paraId="21C08F1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_Toc7490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费用</w:t>
          </w:r>
          <w:r>
            <w:tab/>
          </w:r>
          <w:r>
            <w:fldChar w:fldCharType="begin"/>
          </w:r>
          <w:r>
            <w:instrText xml:space="preserve"> PAGEREF _Toc7490 \h </w:instrText>
          </w:r>
          <w:r>
            <w:fldChar w:fldCharType="separate"/>
          </w:r>
          <w:r>
            <w:t>8</w:t>
          </w:r>
          <w:r>
            <w:fldChar w:fldCharType="end"/>
          </w:r>
          <w:r>
            <w:rPr>
              <w:rFonts w:hint="default" w:ascii="Times New Roman" w:hAnsi="Times New Roman" w:eastAsia="Times New Roman" w:cs="Times New Roman"/>
              <w:color w:val="auto"/>
              <w:szCs w:val="20"/>
              <w:highlight w:val="none"/>
              <w:lang w:eastAsia="zh-CN"/>
            </w:rPr>
            <w:fldChar w:fldCharType="end"/>
          </w:r>
        </w:p>
        <w:p w14:paraId="08914CE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_Toc23359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代表</w:t>
          </w:r>
          <w:r>
            <w:tab/>
          </w:r>
          <w:r>
            <w:fldChar w:fldCharType="begin"/>
          </w:r>
          <w:r>
            <w:instrText xml:space="preserve"> PAGEREF _Toc23359 \h </w:instrText>
          </w:r>
          <w:r>
            <w:fldChar w:fldCharType="separate"/>
          </w:r>
          <w:r>
            <w:t>9</w:t>
          </w:r>
          <w:r>
            <w:fldChar w:fldCharType="end"/>
          </w:r>
          <w:r>
            <w:rPr>
              <w:rFonts w:hint="default" w:ascii="Times New Roman" w:hAnsi="Times New Roman" w:eastAsia="Times New Roman" w:cs="Times New Roman"/>
              <w:color w:val="auto"/>
              <w:szCs w:val="20"/>
              <w:highlight w:val="none"/>
              <w:lang w:eastAsia="zh-CN"/>
            </w:rPr>
            <w:fldChar w:fldCharType="end"/>
          </w:r>
        </w:p>
        <w:p w14:paraId="5B0323DF">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_Toc20408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6.</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磋商文件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的构成</w:t>
          </w:r>
          <w:r>
            <w:tab/>
          </w:r>
          <w:r>
            <w:fldChar w:fldCharType="begin"/>
          </w:r>
          <w:r>
            <w:instrText xml:space="preserve"> PAGEREF _Toc20408 \h </w:instrText>
          </w:r>
          <w:r>
            <w:fldChar w:fldCharType="separate"/>
          </w:r>
          <w:r>
            <w:t>9</w:t>
          </w:r>
          <w:r>
            <w:fldChar w:fldCharType="end"/>
          </w:r>
          <w:r>
            <w:rPr>
              <w:rFonts w:hint="default" w:ascii="Times New Roman" w:hAnsi="Times New Roman" w:eastAsia="Times New Roman" w:cs="Times New Roman"/>
              <w:color w:val="auto"/>
              <w:szCs w:val="20"/>
              <w:highlight w:val="none"/>
              <w:lang w:eastAsia="zh-CN"/>
            </w:rPr>
            <w:fldChar w:fldCharType="end"/>
          </w:r>
        </w:p>
        <w:p w14:paraId="1EB75F53">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_Toc25386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应当提交的资格、资信证明文件</w:t>
          </w:r>
          <w:r>
            <w:tab/>
          </w:r>
          <w:r>
            <w:fldChar w:fldCharType="begin"/>
          </w:r>
          <w:r>
            <w:instrText xml:space="preserve"> PAGEREF _Toc25386 \h </w:instrText>
          </w:r>
          <w:r>
            <w:fldChar w:fldCharType="separate"/>
          </w:r>
          <w:r>
            <w:t>9</w:t>
          </w:r>
          <w:r>
            <w:fldChar w:fldCharType="end"/>
          </w:r>
          <w:r>
            <w:rPr>
              <w:rFonts w:hint="default" w:ascii="Times New Roman" w:hAnsi="Times New Roman" w:eastAsia="Times New Roman" w:cs="Times New Roman"/>
              <w:color w:val="auto"/>
              <w:szCs w:val="20"/>
              <w:highlight w:val="none"/>
              <w:lang w:eastAsia="zh-CN"/>
            </w:rPr>
            <w:fldChar w:fldCharType="end"/>
          </w:r>
        </w:p>
        <w:p w14:paraId="4075E0D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_Toc8625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须提供的证明材料</w:t>
          </w:r>
          <w:r>
            <w:tab/>
          </w:r>
          <w:r>
            <w:fldChar w:fldCharType="begin"/>
          </w:r>
          <w:r>
            <w:instrText xml:space="preserve"> PAGEREF _Toc8625 \h </w:instrText>
          </w:r>
          <w:r>
            <w:fldChar w:fldCharType="separate"/>
          </w:r>
          <w:r>
            <w:t>9</w:t>
          </w:r>
          <w:r>
            <w:fldChar w:fldCharType="end"/>
          </w:r>
          <w:r>
            <w:rPr>
              <w:rFonts w:hint="default" w:ascii="Times New Roman" w:hAnsi="Times New Roman" w:eastAsia="Times New Roman" w:cs="Times New Roman"/>
              <w:color w:val="auto"/>
              <w:szCs w:val="20"/>
              <w:highlight w:val="none"/>
              <w:lang w:eastAsia="zh-CN"/>
            </w:rPr>
            <w:fldChar w:fldCharType="end"/>
          </w:r>
        </w:p>
        <w:p w14:paraId="77F6E99C">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_Toc22839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采购需求标准</w:t>
          </w:r>
          <w:r>
            <w:tab/>
          </w:r>
          <w:r>
            <w:fldChar w:fldCharType="begin"/>
          </w:r>
          <w:r>
            <w:instrText xml:space="preserve"> PAGEREF _Toc22839 \h </w:instrText>
          </w:r>
          <w:r>
            <w:fldChar w:fldCharType="separate"/>
          </w:r>
          <w:r>
            <w:t>14</w:t>
          </w:r>
          <w:r>
            <w:fldChar w:fldCharType="end"/>
          </w:r>
          <w:r>
            <w:rPr>
              <w:rFonts w:hint="default" w:ascii="Times New Roman" w:hAnsi="Times New Roman" w:eastAsia="Times New Roman" w:cs="Times New Roman"/>
              <w:color w:val="auto"/>
              <w:szCs w:val="20"/>
              <w:highlight w:val="none"/>
              <w:lang w:eastAsia="zh-CN"/>
            </w:rPr>
            <w:fldChar w:fldCharType="end"/>
          </w:r>
        </w:p>
        <w:p w14:paraId="5EF62877">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磋商文件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的修改</w:t>
          </w:r>
          <w:r>
            <w:tab/>
          </w:r>
          <w:r>
            <w:fldChar w:fldCharType="begin"/>
          </w:r>
          <w:r>
            <w:instrText xml:space="preserve"> PAGEREF _Toc63 \h </w:instrText>
          </w:r>
          <w:r>
            <w:fldChar w:fldCharType="separate"/>
          </w:r>
          <w:r>
            <w:t>14</w:t>
          </w:r>
          <w:r>
            <w:fldChar w:fldCharType="end"/>
          </w:r>
          <w:r>
            <w:rPr>
              <w:rFonts w:hint="default" w:ascii="Times New Roman" w:hAnsi="Times New Roman" w:eastAsia="Times New Roman" w:cs="Times New Roman"/>
              <w:color w:val="auto"/>
              <w:szCs w:val="20"/>
              <w:highlight w:val="none"/>
              <w:lang w:eastAsia="zh-CN"/>
            </w:rPr>
            <w:fldChar w:fldCharType="end"/>
          </w:r>
        </w:p>
        <w:p w14:paraId="0892E3FC">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_Toc28043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三</w:t>
          </w:r>
          <w:r>
            <w:rPr>
              <w:rFonts w:ascii="宋体" w:hAnsi="宋体" w:eastAsia="宋体" w:cs="宋体"/>
              <w:spacing w:val="0"/>
              <w:position w:val="0"/>
              <w:szCs w:val="24"/>
              <w:highlight w:val="none"/>
              <w:lang w:eastAsia="zh-CN"/>
            </w:rPr>
            <w:t xml:space="preserve"> </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响应文件的编制与提交</w:t>
          </w:r>
          <w:r>
            <w:tab/>
          </w:r>
          <w:r>
            <w:fldChar w:fldCharType="begin"/>
          </w:r>
          <w:r>
            <w:instrText xml:space="preserve"> PAGEREF _Toc28043 \h </w:instrText>
          </w:r>
          <w:r>
            <w:fldChar w:fldCharType="separate"/>
          </w:r>
          <w:r>
            <w:t>15</w:t>
          </w:r>
          <w:r>
            <w:fldChar w:fldCharType="end"/>
          </w:r>
          <w:r>
            <w:rPr>
              <w:rFonts w:hint="default" w:ascii="Times New Roman" w:hAnsi="Times New Roman" w:eastAsia="Times New Roman" w:cs="Times New Roman"/>
              <w:color w:val="auto"/>
              <w:szCs w:val="20"/>
              <w:highlight w:val="none"/>
              <w:lang w:eastAsia="zh-CN"/>
            </w:rPr>
            <w:fldChar w:fldCharType="end"/>
          </w:r>
        </w:p>
        <w:p w14:paraId="1A5A8B8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_Toc23784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11.</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的编制</w:t>
          </w:r>
          <w:r>
            <w:tab/>
          </w:r>
          <w:r>
            <w:fldChar w:fldCharType="begin"/>
          </w:r>
          <w:r>
            <w:instrText xml:space="preserve"> PAGEREF _Toc23784 \h </w:instrText>
          </w:r>
          <w:r>
            <w:fldChar w:fldCharType="separate"/>
          </w:r>
          <w:r>
            <w:t>15</w:t>
          </w:r>
          <w:r>
            <w:fldChar w:fldCharType="end"/>
          </w:r>
          <w:r>
            <w:rPr>
              <w:rFonts w:hint="default" w:ascii="Times New Roman" w:hAnsi="Times New Roman" w:eastAsia="Times New Roman" w:cs="Times New Roman"/>
              <w:color w:val="auto"/>
              <w:szCs w:val="20"/>
              <w:highlight w:val="none"/>
              <w:lang w:eastAsia="zh-CN"/>
            </w:rPr>
            <w:fldChar w:fldCharType="end"/>
          </w:r>
        </w:p>
        <w:p w14:paraId="0C73185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_Toc3517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12.</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计量单位</w:t>
          </w:r>
          <w:r>
            <w:tab/>
          </w:r>
          <w:r>
            <w:fldChar w:fldCharType="begin"/>
          </w:r>
          <w:r>
            <w:instrText xml:space="preserve"> PAGEREF _Toc3517 \h </w:instrText>
          </w:r>
          <w:r>
            <w:fldChar w:fldCharType="separate"/>
          </w:r>
          <w:r>
            <w:t>15</w:t>
          </w:r>
          <w:r>
            <w:fldChar w:fldCharType="end"/>
          </w:r>
          <w:r>
            <w:rPr>
              <w:rFonts w:hint="default" w:ascii="Times New Roman" w:hAnsi="Times New Roman" w:eastAsia="Times New Roman" w:cs="Times New Roman"/>
              <w:color w:val="auto"/>
              <w:szCs w:val="20"/>
              <w:highlight w:val="none"/>
              <w:lang w:eastAsia="zh-CN"/>
            </w:rPr>
            <w:fldChar w:fldCharType="end"/>
          </w:r>
        </w:p>
        <w:p w14:paraId="091C78ED">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_Toc20587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13</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的构成</w:t>
          </w:r>
          <w:r>
            <w:tab/>
          </w:r>
          <w:r>
            <w:fldChar w:fldCharType="begin"/>
          </w:r>
          <w:r>
            <w:instrText xml:space="preserve"> PAGEREF _Toc20587 \h </w:instrText>
          </w:r>
          <w:r>
            <w:fldChar w:fldCharType="separate"/>
          </w:r>
          <w:r>
            <w:t>15</w:t>
          </w:r>
          <w:r>
            <w:fldChar w:fldCharType="end"/>
          </w:r>
          <w:r>
            <w:rPr>
              <w:rFonts w:hint="default" w:ascii="Times New Roman" w:hAnsi="Times New Roman" w:eastAsia="Times New Roman" w:cs="Times New Roman"/>
              <w:color w:val="auto"/>
              <w:szCs w:val="20"/>
              <w:highlight w:val="none"/>
              <w:lang w:eastAsia="zh-CN"/>
            </w:rPr>
            <w:fldChar w:fldCharType="end"/>
          </w:r>
        </w:p>
        <w:p w14:paraId="237447F1">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_Toc21259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14</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报价</w:t>
          </w:r>
          <w:r>
            <w:tab/>
          </w:r>
          <w:r>
            <w:fldChar w:fldCharType="begin"/>
          </w:r>
          <w:r>
            <w:instrText xml:space="preserve"> PAGEREF _Toc21259 \h </w:instrText>
          </w:r>
          <w:r>
            <w:fldChar w:fldCharType="separate"/>
          </w:r>
          <w:r>
            <w:t>16</w:t>
          </w:r>
          <w:r>
            <w:fldChar w:fldCharType="end"/>
          </w:r>
          <w:r>
            <w:rPr>
              <w:rFonts w:hint="default" w:ascii="Times New Roman" w:hAnsi="Times New Roman" w:eastAsia="Times New Roman" w:cs="Times New Roman"/>
              <w:color w:val="auto"/>
              <w:szCs w:val="20"/>
              <w:highlight w:val="none"/>
              <w:lang w:eastAsia="zh-CN"/>
            </w:rPr>
            <w:fldChar w:fldCharType="end"/>
          </w:r>
        </w:p>
        <w:p w14:paraId="0A46E56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_Toc19615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保证金</w:t>
          </w:r>
          <w:r>
            <w:tab/>
          </w:r>
          <w:r>
            <w:fldChar w:fldCharType="begin"/>
          </w:r>
          <w:r>
            <w:instrText xml:space="preserve"> PAGEREF _Toc19615 \h </w:instrText>
          </w:r>
          <w:r>
            <w:fldChar w:fldCharType="separate"/>
          </w:r>
          <w:r>
            <w:t>16</w:t>
          </w:r>
          <w:r>
            <w:fldChar w:fldCharType="end"/>
          </w:r>
          <w:r>
            <w:rPr>
              <w:rFonts w:hint="default" w:ascii="Times New Roman" w:hAnsi="Times New Roman" w:eastAsia="Times New Roman" w:cs="Times New Roman"/>
              <w:color w:val="auto"/>
              <w:szCs w:val="20"/>
              <w:highlight w:val="none"/>
              <w:lang w:eastAsia="zh-CN"/>
            </w:rPr>
            <w:fldChar w:fldCharType="end"/>
          </w:r>
        </w:p>
        <w:p w14:paraId="399BEDF9">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_Toc30520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有效期</w:t>
          </w:r>
          <w:r>
            <w:tab/>
          </w:r>
          <w:r>
            <w:fldChar w:fldCharType="begin"/>
          </w:r>
          <w:r>
            <w:instrText xml:space="preserve"> PAGEREF _Toc30520 \h </w:instrText>
          </w:r>
          <w:r>
            <w:fldChar w:fldCharType="separate"/>
          </w:r>
          <w:r>
            <w:t>17</w:t>
          </w:r>
          <w:r>
            <w:fldChar w:fldCharType="end"/>
          </w:r>
          <w:r>
            <w:rPr>
              <w:rFonts w:hint="default" w:ascii="Times New Roman" w:hAnsi="Times New Roman" w:eastAsia="Times New Roman" w:cs="Times New Roman"/>
              <w:color w:val="auto"/>
              <w:szCs w:val="20"/>
              <w:highlight w:val="none"/>
              <w:lang w:eastAsia="zh-CN"/>
            </w:rPr>
            <w:fldChar w:fldCharType="end"/>
          </w:r>
        </w:p>
        <w:p w14:paraId="235D6A6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_Toc7770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提交</w:t>
          </w:r>
          <w:r>
            <w:tab/>
          </w:r>
          <w:r>
            <w:fldChar w:fldCharType="begin"/>
          </w:r>
          <w:r>
            <w:instrText xml:space="preserve"> PAGEREF _Toc7770 \h </w:instrText>
          </w:r>
          <w:r>
            <w:fldChar w:fldCharType="separate"/>
          </w:r>
          <w:r>
            <w:t>17</w:t>
          </w:r>
          <w:r>
            <w:fldChar w:fldCharType="end"/>
          </w:r>
          <w:r>
            <w:rPr>
              <w:rFonts w:hint="default" w:ascii="Times New Roman" w:hAnsi="Times New Roman" w:eastAsia="Times New Roman" w:cs="Times New Roman"/>
              <w:color w:val="auto"/>
              <w:szCs w:val="20"/>
              <w:highlight w:val="none"/>
              <w:lang w:eastAsia="zh-CN"/>
            </w:rPr>
            <w:fldChar w:fldCharType="end"/>
          </w:r>
        </w:p>
        <w:p w14:paraId="396F08F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_Toc11615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.分包的规定</w:t>
          </w:r>
          <w:r>
            <w:tab/>
          </w:r>
          <w:r>
            <w:fldChar w:fldCharType="begin"/>
          </w:r>
          <w:r>
            <w:instrText xml:space="preserve"> PAGEREF _Toc11615 \h </w:instrText>
          </w:r>
          <w:r>
            <w:fldChar w:fldCharType="separate"/>
          </w:r>
          <w:r>
            <w:t>18</w:t>
          </w:r>
          <w:r>
            <w:fldChar w:fldCharType="end"/>
          </w:r>
          <w:r>
            <w:rPr>
              <w:rFonts w:hint="default" w:ascii="Times New Roman" w:hAnsi="Times New Roman" w:eastAsia="Times New Roman" w:cs="Times New Roman"/>
              <w:color w:val="auto"/>
              <w:szCs w:val="20"/>
              <w:highlight w:val="none"/>
              <w:lang w:eastAsia="zh-CN"/>
            </w:rPr>
            <w:fldChar w:fldCharType="end"/>
          </w:r>
        </w:p>
        <w:p w14:paraId="4764563D">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_Toc18306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四、磋商</w:t>
          </w:r>
          <w:r>
            <w:tab/>
          </w:r>
          <w:r>
            <w:fldChar w:fldCharType="begin"/>
          </w:r>
          <w:r>
            <w:instrText xml:space="preserve"> PAGEREF _Toc18306 \h </w:instrText>
          </w:r>
          <w:r>
            <w:fldChar w:fldCharType="separate"/>
          </w:r>
          <w:r>
            <w:t>18</w:t>
          </w:r>
          <w:r>
            <w:fldChar w:fldCharType="end"/>
          </w:r>
          <w:r>
            <w:rPr>
              <w:rFonts w:hint="default" w:ascii="Times New Roman" w:hAnsi="Times New Roman" w:eastAsia="Times New Roman" w:cs="Times New Roman"/>
              <w:color w:val="auto"/>
              <w:szCs w:val="20"/>
              <w:highlight w:val="none"/>
              <w:lang w:eastAsia="zh-CN"/>
            </w:rPr>
            <w:fldChar w:fldCharType="end"/>
          </w:r>
        </w:p>
        <w:p w14:paraId="6DA7EDE0">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_Toc26164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19</w:t>
          </w:r>
          <w:r>
            <w:rPr>
              <w:rFonts w:hint="eastAsia"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.磋商组织</w:t>
          </w:r>
          <w:r>
            <w:tab/>
          </w:r>
          <w:r>
            <w:fldChar w:fldCharType="begin"/>
          </w:r>
          <w:r>
            <w:instrText xml:space="preserve"> PAGEREF _Toc26164 \h </w:instrText>
          </w:r>
          <w:r>
            <w:fldChar w:fldCharType="separate"/>
          </w:r>
          <w:r>
            <w:t>18</w:t>
          </w:r>
          <w:r>
            <w:fldChar w:fldCharType="end"/>
          </w:r>
          <w:r>
            <w:rPr>
              <w:rFonts w:hint="default" w:ascii="Times New Roman" w:hAnsi="Times New Roman" w:eastAsia="Times New Roman" w:cs="Times New Roman"/>
              <w:color w:val="auto"/>
              <w:szCs w:val="20"/>
              <w:highlight w:val="none"/>
              <w:lang w:eastAsia="zh-CN"/>
            </w:rPr>
            <w:fldChar w:fldCharType="end"/>
          </w:r>
        </w:p>
        <w:p w14:paraId="51F81D48">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_Toc15031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20.磋商小组</w:t>
          </w:r>
          <w:r>
            <w:tab/>
          </w:r>
          <w:r>
            <w:fldChar w:fldCharType="begin"/>
          </w:r>
          <w:r>
            <w:instrText xml:space="preserve"> PAGEREF _Toc15031 \h </w:instrText>
          </w:r>
          <w:r>
            <w:fldChar w:fldCharType="separate"/>
          </w:r>
          <w:r>
            <w:t>18</w:t>
          </w:r>
          <w:r>
            <w:fldChar w:fldCharType="end"/>
          </w:r>
          <w:r>
            <w:rPr>
              <w:rFonts w:hint="default" w:ascii="Times New Roman" w:hAnsi="Times New Roman" w:eastAsia="Times New Roman" w:cs="Times New Roman"/>
              <w:color w:val="auto"/>
              <w:szCs w:val="20"/>
              <w:highlight w:val="none"/>
              <w:lang w:eastAsia="zh-CN"/>
            </w:rPr>
            <w:fldChar w:fldCharType="end"/>
          </w:r>
        </w:p>
        <w:p w14:paraId="506F97B5">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_Toc918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21.磋商程序</w:t>
          </w:r>
          <w:r>
            <w:tab/>
          </w:r>
          <w:r>
            <w:fldChar w:fldCharType="begin"/>
          </w:r>
          <w:r>
            <w:instrText xml:space="preserve"> PAGEREF _Toc918 \h </w:instrText>
          </w:r>
          <w:r>
            <w:fldChar w:fldCharType="separate"/>
          </w:r>
          <w:r>
            <w:t>19</w:t>
          </w:r>
          <w:r>
            <w:fldChar w:fldCharType="end"/>
          </w:r>
          <w:r>
            <w:rPr>
              <w:rFonts w:hint="default" w:ascii="Times New Roman" w:hAnsi="Times New Roman" w:eastAsia="Times New Roman" w:cs="Times New Roman"/>
              <w:color w:val="auto"/>
              <w:szCs w:val="20"/>
              <w:highlight w:val="none"/>
              <w:lang w:eastAsia="zh-CN"/>
            </w:rPr>
            <w:fldChar w:fldCharType="end"/>
          </w:r>
        </w:p>
        <w:p w14:paraId="49D8866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_Toc3381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22.与磋商小组的接触</w:t>
          </w:r>
          <w:r>
            <w:tab/>
          </w:r>
          <w:r>
            <w:fldChar w:fldCharType="begin"/>
          </w:r>
          <w:r>
            <w:instrText xml:space="preserve"> PAGEREF _Toc3381 \h </w:instrText>
          </w:r>
          <w:r>
            <w:fldChar w:fldCharType="separate"/>
          </w:r>
          <w:r>
            <w:t>22</w:t>
          </w:r>
          <w:r>
            <w:fldChar w:fldCharType="end"/>
          </w:r>
          <w:r>
            <w:rPr>
              <w:rFonts w:hint="default" w:ascii="Times New Roman" w:hAnsi="Times New Roman" w:eastAsia="Times New Roman" w:cs="Times New Roman"/>
              <w:color w:val="auto"/>
              <w:szCs w:val="20"/>
              <w:highlight w:val="none"/>
              <w:lang w:eastAsia="zh-CN"/>
            </w:rPr>
            <w:fldChar w:fldCharType="end"/>
          </w:r>
        </w:p>
        <w:p w14:paraId="2E8696EB">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_Toc23896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23.终止磋商采购活动的情形</w:t>
          </w:r>
          <w:r>
            <w:tab/>
          </w:r>
          <w:r>
            <w:fldChar w:fldCharType="begin"/>
          </w:r>
          <w:r>
            <w:instrText xml:space="preserve"> PAGEREF _Toc23896 \h </w:instrText>
          </w:r>
          <w:r>
            <w:fldChar w:fldCharType="separate"/>
          </w:r>
          <w:r>
            <w:t>22</w:t>
          </w:r>
          <w:r>
            <w:fldChar w:fldCharType="end"/>
          </w:r>
          <w:r>
            <w:rPr>
              <w:rFonts w:hint="default" w:ascii="Times New Roman" w:hAnsi="Times New Roman" w:eastAsia="Times New Roman" w:cs="Times New Roman"/>
              <w:color w:val="auto"/>
              <w:szCs w:val="20"/>
              <w:highlight w:val="none"/>
              <w:lang w:eastAsia="zh-CN"/>
            </w:rPr>
            <w:fldChar w:fldCharType="end"/>
          </w:r>
        </w:p>
        <w:p w14:paraId="6FA1300E">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_Toc6366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五、</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意外情况的情形和处理</w:t>
          </w:r>
          <w:r>
            <w:tab/>
          </w:r>
          <w:r>
            <w:fldChar w:fldCharType="begin"/>
          </w:r>
          <w:r>
            <w:instrText xml:space="preserve"> PAGEREF _Toc6366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1CE74B11">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_Toc18859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4</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.意外情况的情形</w:t>
          </w:r>
          <w:r>
            <w:tab/>
          </w:r>
          <w:r>
            <w:fldChar w:fldCharType="begin"/>
          </w:r>
          <w:r>
            <w:instrText xml:space="preserve"> PAGEREF _Toc18859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4547E237">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_Toc6036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25.</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意外情况的处理</w:t>
          </w:r>
          <w:r>
            <w:tab/>
          </w:r>
          <w:r>
            <w:fldChar w:fldCharType="begin"/>
          </w:r>
          <w:r>
            <w:instrText xml:space="preserve"> PAGEREF _Toc6036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37BF5A3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_Toc11672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合同</w:t>
          </w:r>
          <w:r>
            <w:tab/>
          </w:r>
          <w:r>
            <w:fldChar w:fldCharType="begin"/>
          </w:r>
          <w:r>
            <w:instrText xml:space="preserve"> PAGEREF _Toc11672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385913A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_Toc19009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26.推荐成交候选供应商方法</w:t>
          </w:r>
          <w:r>
            <w:tab/>
          </w:r>
          <w:r>
            <w:fldChar w:fldCharType="begin"/>
          </w:r>
          <w:r>
            <w:instrText xml:space="preserve"> PAGEREF _Toc19009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20E0DC66">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_Toc32347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确定成交供应商</w:t>
          </w:r>
          <w:r>
            <w:tab/>
          </w:r>
          <w:r>
            <w:fldChar w:fldCharType="begin"/>
          </w:r>
          <w:r>
            <w:instrText xml:space="preserve"> PAGEREF _Toc32347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5243720D">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_Toc4415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成交</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结果公告</w:t>
          </w:r>
          <w:r>
            <w:tab/>
          </w:r>
          <w:r>
            <w:fldChar w:fldCharType="begin"/>
          </w:r>
          <w:r>
            <w:instrText xml:space="preserve"> PAGEREF _Toc4415 \h </w:instrText>
          </w:r>
          <w:r>
            <w:fldChar w:fldCharType="separate"/>
          </w:r>
          <w:r>
            <w:t>23</w:t>
          </w:r>
          <w:r>
            <w:fldChar w:fldCharType="end"/>
          </w:r>
          <w:r>
            <w:rPr>
              <w:rFonts w:hint="default" w:ascii="Times New Roman" w:hAnsi="Times New Roman" w:eastAsia="Times New Roman" w:cs="Times New Roman"/>
              <w:color w:val="auto"/>
              <w:szCs w:val="20"/>
              <w:highlight w:val="none"/>
              <w:lang w:eastAsia="zh-CN"/>
            </w:rPr>
            <w:fldChar w:fldCharType="end"/>
          </w:r>
        </w:p>
        <w:p w14:paraId="33725321">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_Toc8876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29</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.履约保证金</w:t>
          </w:r>
          <w:r>
            <w:tab/>
          </w:r>
          <w:r>
            <w:fldChar w:fldCharType="begin"/>
          </w:r>
          <w:r>
            <w:instrText xml:space="preserve"> PAGEREF _Toc8876 \h </w:instrText>
          </w:r>
          <w:r>
            <w:fldChar w:fldCharType="separate"/>
          </w:r>
          <w:r>
            <w:t>24</w:t>
          </w:r>
          <w:r>
            <w:fldChar w:fldCharType="end"/>
          </w:r>
          <w:r>
            <w:rPr>
              <w:rFonts w:hint="default" w:ascii="Times New Roman" w:hAnsi="Times New Roman" w:eastAsia="Times New Roman" w:cs="Times New Roman"/>
              <w:color w:val="auto"/>
              <w:szCs w:val="20"/>
              <w:highlight w:val="none"/>
              <w:lang w:eastAsia="zh-CN"/>
            </w:rPr>
            <w:fldChar w:fldCharType="end"/>
          </w:r>
        </w:p>
        <w:p w14:paraId="1CFE85FE">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_Toc18698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30</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.签订合同</w:t>
          </w:r>
          <w:r>
            <w:tab/>
          </w:r>
          <w:r>
            <w:fldChar w:fldCharType="begin"/>
          </w:r>
          <w:r>
            <w:instrText xml:space="preserve"> PAGEREF _Toc18698 \h </w:instrText>
          </w:r>
          <w:r>
            <w:fldChar w:fldCharType="separate"/>
          </w:r>
          <w:r>
            <w:t>24</w:t>
          </w:r>
          <w:r>
            <w:fldChar w:fldCharType="end"/>
          </w:r>
          <w:r>
            <w:rPr>
              <w:rFonts w:hint="default" w:ascii="Times New Roman" w:hAnsi="Times New Roman" w:eastAsia="Times New Roman" w:cs="Times New Roman"/>
              <w:color w:val="auto"/>
              <w:szCs w:val="20"/>
              <w:highlight w:val="none"/>
              <w:lang w:eastAsia="zh-CN"/>
            </w:rPr>
            <w:fldChar w:fldCharType="end"/>
          </w:r>
        </w:p>
        <w:p w14:paraId="4D4FF33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_Toc23348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七</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、询问和质疑</w:t>
          </w:r>
          <w:r>
            <w:tab/>
          </w:r>
          <w:r>
            <w:fldChar w:fldCharType="begin"/>
          </w:r>
          <w:r>
            <w:instrText xml:space="preserve"> PAGEREF _Toc23348 \h </w:instrText>
          </w:r>
          <w:r>
            <w:fldChar w:fldCharType="separate"/>
          </w:r>
          <w:r>
            <w:t>25</w:t>
          </w:r>
          <w:r>
            <w:fldChar w:fldCharType="end"/>
          </w:r>
          <w:r>
            <w:rPr>
              <w:rFonts w:hint="default" w:ascii="Times New Roman" w:hAnsi="Times New Roman" w:eastAsia="Times New Roman" w:cs="Times New Roman"/>
              <w:color w:val="auto"/>
              <w:szCs w:val="20"/>
              <w:highlight w:val="none"/>
              <w:lang w:eastAsia="zh-CN"/>
            </w:rPr>
            <w:fldChar w:fldCharType="end"/>
          </w:r>
        </w:p>
        <w:p w14:paraId="20FD5CEB">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_Toc5462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1</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.询问</w:t>
          </w:r>
          <w:r>
            <w:tab/>
          </w:r>
          <w:r>
            <w:fldChar w:fldCharType="begin"/>
          </w:r>
          <w:r>
            <w:instrText xml:space="preserve"> PAGEREF _Toc5462 \h </w:instrText>
          </w:r>
          <w:r>
            <w:fldChar w:fldCharType="separate"/>
          </w:r>
          <w:r>
            <w:t>25</w:t>
          </w:r>
          <w:r>
            <w:fldChar w:fldCharType="end"/>
          </w:r>
          <w:r>
            <w:rPr>
              <w:rFonts w:hint="default" w:ascii="Times New Roman" w:hAnsi="Times New Roman" w:eastAsia="Times New Roman" w:cs="Times New Roman"/>
              <w:color w:val="auto"/>
              <w:szCs w:val="20"/>
              <w:highlight w:val="none"/>
              <w:lang w:eastAsia="zh-CN"/>
            </w:rPr>
            <w:fldChar w:fldCharType="end"/>
          </w:r>
        </w:p>
        <w:p w14:paraId="34C6635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_Toc21440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质疑</w:t>
          </w:r>
          <w:r>
            <w:tab/>
          </w:r>
          <w:r>
            <w:fldChar w:fldCharType="begin"/>
          </w:r>
          <w:r>
            <w:instrText xml:space="preserve"> PAGEREF _Toc21440 \h </w:instrText>
          </w:r>
          <w:r>
            <w:fldChar w:fldCharType="separate"/>
          </w:r>
          <w:r>
            <w:t>25</w:t>
          </w:r>
          <w:r>
            <w:fldChar w:fldCharType="end"/>
          </w:r>
          <w:r>
            <w:rPr>
              <w:rFonts w:hint="default" w:ascii="Times New Roman" w:hAnsi="Times New Roman" w:eastAsia="Times New Roman" w:cs="Times New Roman"/>
              <w:color w:val="auto"/>
              <w:szCs w:val="20"/>
              <w:highlight w:val="none"/>
              <w:lang w:eastAsia="zh-CN"/>
            </w:rPr>
            <w:fldChar w:fldCharType="end"/>
          </w:r>
        </w:p>
        <w:p w14:paraId="789C00A1">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_Toc22018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八</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其他事项</w:t>
          </w:r>
          <w:r>
            <w:tab/>
          </w:r>
          <w:r>
            <w:fldChar w:fldCharType="begin"/>
          </w:r>
          <w:r>
            <w:instrText xml:space="preserve"> PAGEREF _Toc22018 \h </w:instrText>
          </w:r>
          <w:r>
            <w:fldChar w:fldCharType="separate"/>
          </w:r>
          <w:r>
            <w:t>26</w:t>
          </w:r>
          <w:r>
            <w:fldChar w:fldCharType="end"/>
          </w:r>
          <w:r>
            <w:rPr>
              <w:rFonts w:hint="default" w:ascii="Times New Roman" w:hAnsi="Times New Roman" w:eastAsia="Times New Roman" w:cs="Times New Roman"/>
              <w:color w:val="auto"/>
              <w:szCs w:val="20"/>
              <w:highlight w:val="none"/>
              <w:lang w:eastAsia="zh-CN"/>
            </w:rPr>
            <w:fldChar w:fldCharType="end"/>
          </w:r>
        </w:p>
        <w:p w14:paraId="5C66596E">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_Toc19183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spacing w:val="0"/>
              <w:position w:val="0"/>
              <w:szCs w:val="24"/>
              <w:highlight w:val="none"/>
              <w:lang w:eastAsia="zh-CN"/>
              <w14:textOutline w14:w="4356" w14:cap="sq" w14:cmpd="sng" w14:algn="ctr">
                <w14:solidFill>
                  <w14:srgbClr w14:val="000000"/>
                </w14:solidFill>
                <w14:prstDash w14:val="solid"/>
                <w14:bevel/>
              </w14:textOutline>
            </w:rPr>
            <w:t>.采购代理服务费</w:t>
          </w:r>
          <w:r>
            <w:tab/>
          </w:r>
          <w:r>
            <w:fldChar w:fldCharType="begin"/>
          </w:r>
          <w:r>
            <w:instrText xml:space="preserve"> PAGEREF _Toc19183 \h </w:instrText>
          </w:r>
          <w:r>
            <w:fldChar w:fldCharType="separate"/>
          </w:r>
          <w:r>
            <w:t>26</w:t>
          </w:r>
          <w:r>
            <w:fldChar w:fldCharType="end"/>
          </w:r>
          <w:r>
            <w:rPr>
              <w:rFonts w:hint="default" w:ascii="Times New Roman" w:hAnsi="Times New Roman" w:eastAsia="Times New Roman" w:cs="Times New Roman"/>
              <w:color w:val="auto"/>
              <w:szCs w:val="20"/>
              <w:highlight w:val="none"/>
              <w:lang w:eastAsia="zh-CN"/>
            </w:rPr>
            <w:fldChar w:fldCharType="end"/>
          </w:r>
        </w:p>
        <w:p w14:paraId="1163346C">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_Toc7297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34.适用法律</w:t>
          </w:r>
          <w:r>
            <w:tab/>
          </w:r>
          <w:r>
            <w:fldChar w:fldCharType="begin"/>
          </w:r>
          <w:r>
            <w:instrText xml:space="preserve"> PAGEREF _Toc7297 \h </w:instrText>
          </w:r>
          <w:r>
            <w:fldChar w:fldCharType="separate"/>
          </w:r>
          <w:r>
            <w:t>26</w:t>
          </w:r>
          <w:r>
            <w:fldChar w:fldCharType="end"/>
          </w:r>
          <w:r>
            <w:rPr>
              <w:rFonts w:hint="default" w:ascii="Times New Roman" w:hAnsi="Times New Roman" w:eastAsia="Times New Roman" w:cs="Times New Roman"/>
              <w:color w:val="auto"/>
              <w:szCs w:val="20"/>
              <w:highlight w:val="none"/>
              <w:lang w:eastAsia="zh-CN"/>
            </w:rPr>
            <w:fldChar w:fldCharType="end"/>
          </w:r>
        </w:p>
        <w:p w14:paraId="11377A89">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_Toc27757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0"/>
              <w:position w:val="0"/>
              <w:szCs w:val="24"/>
              <w:highlight w:val="none"/>
              <w:lang w:val="en-US" w:eastAsia="zh-CN"/>
              <w14:textOutline w14:w="4356" w14:cap="sq" w14:cmpd="sng" w14:algn="ctr">
                <w14:solidFill>
                  <w14:srgbClr w14:val="000000"/>
                </w14:solidFill>
                <w14:prstDash w14:val="solid"/>
                <w14:bevel/>
              </w14:textOutline>
            </w:rPr>
            <w:t>35.解释权</w:t>
          </w:r>
          <w:r>
            <w:tab/>
          </w:r>
          <w:r>
            <w:fldChar w:fldCharType="begin"/>
          </w:r>
          <w:r>
            <w:instrText xml:space="preserve"> PAGEREF _Toc27757 \h </w:instrText>
          </w:r>
          <w:r>
            <w:fldChar w:fldCharType="separate"/>
          </w:r>
          <w:r>
            <w:t>26</w:t>
          </w:r>
          <w:r>
            <w:fldChar w:fldCharType="end"/>
          </w:r>
          <w:r>
            <w:rPr>
              <w:rFonts w:hint="default" w:ascii="Times New Roman" w:hAnsi="Times New Roman" w:eastAsia="Times New Roman" w:cs="Times New Roman"/>
              <w:color w:val="auto"/>
              <w:szCs w:val="20"/>
              <w:highlight w:val="none"/>
              <w:lang w:eastAsia="zh-CN"/>
            </w:rPr>
            <w:fldChar w:fldCharType="end"/>
          </w:r>
        </w:p>
        <w:p w14:paraId="053A1776">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_Toc28081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8"/>
              <w:szCs w:val="31"/>
              <w:highlight w:val="none"/>
              <w:lang w:val="en-US" w:eastAsia="zh-CN"/>
              <w14:textOutline w14:w="5791" w14:cap="sq" w14:cmpd="sng" w14:algn="ctr">
                <w14:solidFill>
                  <w14:srgbClr w14:val="000000"/>
                </w14:solidFill>
                <w14:prstDash w14:val="solid"/>
                <w14:bevel/>
              </w14:textOutline>
            </w:rPr>
            <w:t xml:space="preserve">第三章 </w:t>
          </w:r>
          <w:r>
            <w:rPr>
              <w:rFonts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拟签订</w:t>
          </w:r>
          <w:r>
            <w:rPr>
              <w:rFonts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的合同文本</w:t>
          </w:r>
          <w:r>
            <w:rPr>
              <w:rFonts w:hint="eastAsia"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spacing w:val="9"/>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w:t>
          </w:r>
          <w:r>
            <w:tab/>
          </w:r>
          <w:r>
            <w:fldChar w:fldCharType="begin"/>
          </w:r>
          <w:r>
            <w:instrText xml:space="preserve"> PAGEREF _Toc28081 \h </w:instrText>
          </w:r>
          <w:r>
            <w:fldChar w:fldCharType="separate"/>
          </w:r>
          <w:r>
            <w:t>27</w:t>
          </w:r>
          <w:r>
            <w:fldChar w:fldCharType="end"/>
          </w:r>
          <w:r>
            <w:rPr>
              <w:rFonts w:hint="default" w:ascii="Times New Roman" w:hAnsi="Times New Roman" w:eastAsia="Times New Roman" w:cs="Times New Roman"/>
              <w:color w:val="auto"/>
              <w:szCs w:val="20"/>
              <w:highlight w:val="none"/>
              <w:lang w:eastAsia="zh-CN"/>
            </w:rPr>
            <w:fldChar w:fldCharType="end"/>
          </w:r>
        </w:p>
        <w:p w14:paraId="62FD4047">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_Toc6655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spacing w:val="8"/>
              <w:szCs w:val="31"/>
              <w:highlight w:val="none"/>
              <w:lang w:eastAsia="zh-CN"/>
            </w:rPr>
            <w:t xml:space="preserve">  </w:t>
          </w:r>
          <w:r>
            <w:rPr>
              <w:rFonts w:hint="eastAsia"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格式</w:t>
          </w:r>
          <w:r>
            <w:tab/>
          </w:r>
          <w:r>
            <w:fldChar w:fldCharType="begin"/>
          </w:r>
          <w:r>
            <w:instrText xml:space="preserve"> PAGEREF _Toc6655 \h </w:instrText>
          </w:r>
          <w:r>
            <w:fldChar w:fldCharType="separate"/>
          </w:r>
          <w:r>
            <w:t>29</w:t>
          </w:r>
          <w:r>
            <w:fldChar w:fldCharType="end"/>
          </w:r>
          <w:r>
            <w:rPr>
              <w:rFonts w:hint="default" w:ascii="Times New Roman" w:hAnsi="Times New Roman" w:eastAsia="Times New Roman" w:cs="Times New Roman"/>
              <w:color w:val="auto"/>
              <w:szCs w:val="20"/>
              <w:highlight w:val="none"/>
              <w:lang w:eastAsia="zh-CN"/>
            </w:rPr>
            <w:fldChar w:fldCharType="end"/>
          </w:r>
        </w:p>
        <w:p w14:paraId="450F83BE">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_Toc15156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1"/>
              <w:szCs w:val="24"/>
              <w:highlight w:val="none"/>
              <w:lang w:eastAsia="zh-CN"/>
            </w:rPr>
            <w:t xml:space="preserve"> </w:t>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磋商</w:t>
          </w:r>
          <w:r>
            <w:rPr>
              <w:rFonts w:hint="eastAsia" w:ascii="宋体" w:hAnsi="宋体" w:eastAsia="宋体" w:cs="宋体"/>
              <w:spacing w:val="-5"/>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书</w:t>
          </w:r>
          <w:r>
            <w:tab/>
          </w:r>
          <w:r>
            <w:fldChar w:fldCharType="begin"/>
          </w:r>
          <w:r>
            <w:instrText xml:space="preserve"> PAGEREF _Toc15156 \h </w:instrText>
          </w:r>
          <w:r>
            <w:fldChar w:fldCharType="separate"/>
          </w:r>
          <w:r>
            <w:t>30</w:t>
          </w:r>
          <w:r>
            <w:fldChar w:fldCharType="end"/>
          </w:r>
          <w:r>
            <w:rPr>
              <w:rFonts w:hint="default" w:ascii="Times New Roman" w:hAnsi="Times New Roman" w:eastAsia="Times New Roman" w:cs="Times New Roman"/>
              <w:color w:val="auto"/>
              <w:szCs w:val="20"/>
              <w:highlight w:val="none"/>
              <w:lang w:eastAsia="zh-CN"/>
            </w:rPr>
            <w:fldChar w:fldCharType="end"/>
          </w:r>
        </w:p>
        <w:p w14:paraId="0511F85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_Toc488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3"/>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一览表</w:t>
          </w:r>
          <w:r>
            <w:tab/>
          </w:r>
          <w:r>
            <w:fldChar w:fldCharType="begin"/>
          </w:r>
          <w:r>
            <w:instrText xml:space="preserve"> PAGEREF _Toc488 \h </w:instrText>
          </w:r>
          <w:r>
            <w:fldChar w:fldCharType="separate"/>
          </w:r>
          <w:r>
            <w:t>31</w:t>
          </w:r>
          <w:r>
            <w:fldChar w:fldCharType="end"/>
          </w:r>
          <w:r>
            <w:rPr>
              <w:rFonts w:hint="default" w:ascii="Times New Roman" w:hAnsi="Times New Roman" w:eastAsia="Times New Roman" w:cs="Times New Roman"/>
              <w:color w:val="auto"/>
              <w:szCs w:val="20"/>
              <w:highlight w:val="none"/>
              <w:lang w:eastAsia="zh-CN"/>
            </w:rPr>
            <w:fldChar w:fldCharType="end"/>
          </w:r>
        </w:p>
        <w:p w14:paraId="25D13EC9">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_Toc6343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3"/>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3.分项报价表</w:t>
          </w:r>
          <w:r>
            <w:tab/>
          </w:r>
          <w:r>
            <w:fldChar w:fldCharType="begin"/>
          </w:r>
          <w:r>
            <w:instrText xml:space="preserve"> PAGEREF _Toc6343 \h </w:instrText>
          </w:r>
          <w:r>
            <w:fldChar w:fldCharType="separate"/>
          </w:r>
          <w:r>
            <w:t>31</w:t>
          </w:r>
          <w:r>
            <w:fldChar w:fldCharType="end"/>
          </w:r>
          <w:r>
            <w:rPr>
              <w:rFonts w:hint="default" w:ascii="Times New Roman" w:hAnsi="Times New Roman" w:eastAsia="Times New Roman" w:cs="Times New Roman"/>
              <w:color w:val="auto"/>
              <w:szCs w:val="20"/>
              <w:highlight w:val="none"/>
              <w:lang w:eastAsia="zh-CN"/>
            </w:rPr>
            <w:fldChar w:fldCharType="end"/>
          </w:r>
        </w:p>
        <w:p w14:paraId="35173A40">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_Toc5482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报价一览明细表（本项目不适用）</w:t>
          </w:r>
          <w:r>
            <w:tab/>
          </w:r>
          <w:r>
            <w:fldChar w:fldCharType="begin"/>
          </w:r>
          <w:r>
            <w:instrText xml:space="preserve"> PAGEREF _Toc5482 \h </w:instrText>
          </w:r>
          <w:r>
            <w:fldChar w:fldCharType="separate"/>
          </w:r>
          <w:r>
            <w:t>32</w:t>
          </w:r>
          <w:r>
            <w:fldChar w:fldCharType="end"/>
          </w:r>
          <w:r>
            <w:rPr>
              <w:rFonts w:hint="default" w:ascii="Times New Roman" w:hAnsi="Times New Roman" w:eastAsia="Times New Roman" w:cs="Times New Roman"/>
              <w:color w:val="auto"/>
              <w:szCs w:val="20"/>
              <w:highlight w:val="none"/>
              <w:lang w:eastAsia="zh-CN"/>
            </w:rPr>
            <w:fldChar w:fldCharType="end"/>
          </w:r>
        </w:p>
        <w:p w14:paraId="3450DE83">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_Toc5425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4"/>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技术需求</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响应/偏离表</w:t>
          </w:r>
          <w:r>
            <w:tab/>
          </w:r>
          <w:r>
            <w:fldChar w:fldCharType="begin"/>
          </w:r>
          <w:r>
            <w:instrText xml:space="preserve"> PAGEREF _Toc5425 \h </w:instrText>
          </w:r>
          <w:r>
            <w:fldChar w:fldCharType="separate"/>
          </w:r>
          <w:r>
            <w:t>33</w:t>
          </w:r>
          <w:r>
            <w:fldChar w:fldCharType="end"/>
          </w:r>
          <w:r>
            <w:rPr>
              <w:rFonts w:hint="default" w:ascii="Times New Roman" w:hAnsi="Times New Roman" w:eastAsia="Times New Roman" w:cs="Times New Roman"/>
              <w:color w:val="auto"/>
              <w:szCs w:val="20"/>
              <w:highlight w:val="none"/>
              <w:lang w:eastAsia="zh-CN"/>
            </w:rPr>
            <w:fldChar w:fldCharType="end"/>
          </w:r>
        </w:p>
        <w:p w14:paraId="7D1BC8BC">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_Toc18553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5"/>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6.商务条件响应/偏离表</w:t>
          </w:r>
          <w:r>
            <w:tab/>
          </w:r>
          <w:r>
            <w:fldChar w:fldCharType="begin"/>
          </w:r>
          <w:r>
            <w:instrText xml:space="preserve"> PAGEREF _Toc18553 \h </w:instrText>
          </w:r>
          <w:r>
            <w:fldChar w:fldCharType="separate"/>
          </w:r>
          <w:r>
            <w:t>34</w:t>
          </w:r>
          <w:r>
            <w:fldChar w:fldCharType="end"/>
          </w:r>
          <w:r>
            <w:rPr>
              <w:rFonts w:hint="default" w:ascii="Times New Roman" w:hAnsi="Times New Roman" w:eastAsia="Times New Roman" w:cs="Times New Roman"/>
              <w:color w:val="auto"/>
              <w:szCs w:val="20"/>
              <w:highlight w:val="none"/>
              <w:lang w:eastAsia="zh-CN"/>
            </w:rPr>
            <w:fldChar w:fldCharType="end"/>
          </w:r>
        </w:p>
        <w:p w14:paraId="2710AC6D">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_Toc7098 </w:instrText>
          </w:r>
          <w:r>
            <w:rPr>
              <w:rFonts w:hint="default" w:ascii="Times New Roman" w:hAnsi="Times New Roman" w:eastAsia="Times New Roman" w:cs="Times New Roman"/>
              <w:szCs w:val="20"/>
              <w:highlight w:val="none"/>
              <w:lang w:eastAsia="zh-CN"/>
            </w:rPr>
            <w:fldChar w:fldCharType="separate"/>
          </w:r>
          <w:r>
            <w:rPr>
              <w:rFonts w:hint="eastAsia" w:cs="宋体"/>
              <w:spacing w:val="-1"/>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w:t>
          </w:r>
          <w:r>
            <w:rPr>
              <w:rFonts w:hint="eastAsia" w:cs="宋体"/>
              <w:spacing w:val="-1"/>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应当提交的资格证明文件</w:t>
          </w:r>
          <w:r>
            <w:tab/>
          </w:r>
          <w:r>
            <w:fldChar w:fldCharType="begin"/>
          </w:r>
          <w:r>
            <w:instrText xml:space="preserve"> PAGEREF _Toc7098 \h </w:instrText>
          </w:r>
          <w:r>
            <w:fldChar w:fldCharType="separate"/>
          </w:r>
          <w:r>
            <w:t>35</w:t>
          </w:r>
          <w:r>
            <w:fldChar w:fldCharType="end"/>
          </w:r>
          <w:r>
            <w:rPr>
              <w:rFonts w:hint="default" w:ascii="Times New Roman" w:hAnsi="Times New Roman" w:eastAsia="Times New Roman" w:cs="Times New Roman"/>
              <w:color w:val="auto"/>
              <w:szCs w:val="20"/>
              <w:highlight w:val="none"/>
              <w:lang w:eastAsia="zh-CN"/>
            </w:rPr>
            <w:fldChar w:fldCharType="end"/>
          </w:r>
        </w:p>
        <w:p w14:paraId="24DDA4F6">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_Toc3032 </w:instrText>
          </w:r>
          <w:r>
            <w:rPr>
              <w:rFonts w:hint="default" w:ascii="Times New Roman" w:hAnsi="Times New Roman" w:eastAsia="Times New Roman" w:cs="Times New Roman"/>
              <w:szCs w:val="20"/>
              <w:highlight w:val="none"/>
              <w:lang w:eastAsia="zh-CN"/>
            </w:rPr>
            <w:fldChar w:fldCharType="separate"/>
          </w:r>
          <w:r>
            <w:rPr>
              <w:rFonts w:hint="eastAsia" w:cs="宋体"/>
              <w:spacing w:val="-1"/>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7-</w:t>
          </w:r>
          <w:r>
            <w:rPr>
              <w:rFonts w:hint="eastAsia" w:cs="宋体"/>
              <w:spacing w:val="-2"/>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tab/>
          </w:r>
          <w:r>
            <w:fldChar w:fldCharType="begin"/>
          </w:r>
          <w:r>
            <w:instrText xml:space="preserve"> PAGEREF _Toc3032 \h </w:instrText>
          </w:r>
          <w:r>
            <w:fldChar w:fldCharType="separate"/>
          </w:r>
          <w:r>
            <w:t>35</w:t>
          </w:r>
          <w:r>
            <w:fldChar w:fldCharType="end"/>
          </w:r>
          <w:r>
            <w:rPr>
              <w:rFonts w:hint="default" w:ascii="Times New Roman" w:hAnsi="Times New Roman" w:eastAsia="Times New Roman" w:cs="Times New Roman"/>
              <w:color w:val="auto"/>
              <w:szCs w:val="20"/>
              <w:highlight w:val="none"/>
              <w:lang w:eastAsia="zh-CN"/>
            </w:rPr>
            <w:fldChar w:fldCharType="end"/>
          </w:r>
        </w:p>
        <w:p w14:paraId="4287066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_Toc17100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5"/>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spacing w:val="-50"/>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法定代表人授权书</w:t>
          </w:r>
          <w:r>
            <w:tab/>
          </w:r>
          <w:r>
            <w:fldChar w:fldCharType="begin"/>
          </w:r>
          <w:r>
            <w:instrText xml:space="preserve"> PAGEREF _Toc17100 \h </w:instrText>
          </w:r>
          <w:r>
            <w:fldChar w:fldCharType="separate"/>
          </w:r>
          <w:r>
            <w:t>39</w:t>
          </w:r>
          <w:r>
            <w:fldChar w:fldCharType="end"/>
          </w:r>
          <w:r>
            <w:rPr>
              <w:rFonts w:hint="default" w:ascii="Times New Roman" w:hAnsi="Times New Roman" w:eastAsia="Times New Roman" w:cs="Times New Roman"/>
              <w:color w:val="auto"/>
              <w:szCs w:val="20"/>
              <w:highlight w:val="none"/>
              <w:lang w:eastAsia="zh-CN"/>
            </w:rPr>
            <w:fldChar w:fldCharType="end"/>
          </w:r>
        </w:p>
        <w:p w14:paraId="4A379D46">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_Toc28408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spacing w:val="0"/>
              <w:position w:val="0"/>
              <w:szCs w:val="24"/>
              <w:lang w:val="en-US" w:eastAsia="zh-CN"/>
              <w14:textOutline w14:w="4356" w14:cap="sq" w14:cmpd="sng" w14:algn="ctr">
                <w14:solidFill>
                  <w14:srgbClr w14:val="000000"/>
                </w14:solidFill>
                <w14:prstDash w14:val="solid"/>
                <w14:bevel/>
              </w14:textOutline>
            </w:rPr>
            <w:t>资格声明</w:t>
          </w:r>
          <w:r>
            <w:tab/>
          </w:r>
          <w:r>
            <w:fldChar w:fldCharType="begin"/>
          </w:r>
          <w:r>
            <w:instrText xml:space="preserve"> PAGEREF _Toc28408 \h </w:instrText>
          </w:r>
          <w:r>
            <w:fldChar w:fldCharType="separate"/>
          </w:r>
          <w:r>
            <w:t>40</w:t>
          </w:r>
          <w:r>
            <w:fldChar w:fldCharType="end"/>
          </w:r>
          <w:r>
            <w:rPr>
              <w:rFonts w:hint="default" w:ascii="Times New Roman" w:hAnsi="Times New Roman" w:eastAsia="Times New Roman" w:cs="Times New Roman"/>
              <w:color w:val="auto"/>
              <w:szCs w:val="20"/>
              <w:highlight w:val="none"/>
              <w:lang w:eastAsia="zh-CN"/>
            </w:rPr>
            <w:fldChar w:fldCharType="end"/>
          </w:r>
        </w:p>
        <w:p w14:paraId="418243EF">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_Toc6426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5"/>
              <w:szCs w:val="24"/>
              <w:highlight w:val="none"/>
              <w:lang w:eastAsia="zh-CN"/>
            </w:rPr>
            <w:t xml:space="preserve"> </w:t>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3"/>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spacing w:val="-47"/>
              <w:szCs w:val="24"/>
              <w:highlight w:val="none"/>
              <w:lang w:eastAsia="zh-CN"/>
            </w:rPr>
            <w:t xml:space="preserve"> </w:t>
          </w:r>
          <w:r>
            <w:rPr>
              <w:rFonts w:hint="eastAsia"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的资格声明</w:t>
          </w:r>
          <w:r>
            <w:tab/>
          </w:r>
          <w:r>
            <w:fldChar w:fldCharType="begin"/>
          </w:r>
          <w:r>
            <w:instrText xml:space="preserve"> PAGEREF _Toc6426 \h </w:instrText>
          </w:r>
          <w:r>
            <w:fldChar w:fldCharType="separate"/>
          </w:r>
          <w:r>
            <w:t>41</w:t>
          </w:r>
          <w:r>
            <w:fldChar w:fldCharType="end"/>
          </w:r>
          <w:r>
            <w:rPr>
              <w:rFonts w:hint="default" w:ascii="Times New Roman" w:hAnsi="Times New Roman" w:eastAsia="Times New Roman" w:cs="Times New Roman"/>
              <w:color w:val="auto"/>
              <w:szCs w:val="20"/>
              <w:highlight w:val="none"/>
              <w:lang w:eastAsia="zh-CN"/>
            </w:rPr>
            <w:fldChar w:fldCharType="end"/>
          </w:r>
        </w:p>
        <w:p w14:paraId="3CCC665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_Toc1205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8"/>
              <w:szCs w:val="24"/>
              <w:highlight w:val="none"/>
              <w:lang w:eastAsia="zh-CN"/>
            </w:rPr>
            <w:t xml:space="preserve"> </w:t>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3"/>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磋商保证金</w:t>
          </w:r>
          <w:r>
            <w:rPr>
              <w:rFonts w:ascii="宋体" w:hAnsi="宋体" w:eastAsia="宋体" w:cs="宋体"/>
              <w:spacing w:val="-3"/>
              <w:szCs w:val="24"/>
              <w:highlight w:val="none"/>
              <w:lang w:eastAsia="zh-CN"/>
              <w14:textOutline w14:w="4356" w14:cap="sq" w14:cmpd="sng" w14:algn="ctr">
                <w14:solidFill>
                  <w14:srgbClr w14:val="000000"/>
                </w14:solidFill>
                <w14:prstDash w14:val="solid"/>
                <w14:bevel/>
              </w14:textOutline>
            </w:rPr>
            <w:t>凭证</w:t>
          </w:r>
          <w:r>
            <w:tab/>
          </w:r>
          <w:r>
            <w:fldChar w:fldCharType="begin"/>
          </w:r>
          <w:r>
            <w:instrText xml:space="preserve"> PAGEREF _Toc1205 \h </w:instrText>
          </w:r>
          <w:r>
            <w:fldChar w:fldCharType="separate"/>
          </w:r>
          <w:r>
            <w:t>42</w:t>
          </w:r>
          <w:r>
            <w:fldChar w:fldCharType="end"/>
          </w:r>
          <w:r>
            <w:rPr>
              <w:rFonts w:hint="default" w:ascii="Times New Roman" w:hAnsi="Times New Roman" w:eastAsia="Times New Roman" w:cs="Times New Roman"/>
              <w:color w:val="auto"/>
              <w:szCs w:val="20"/>
              <w:highlight w:val="none"/>
              <w:lang w:eastAsia="zh-CN"/>
            </w:rPr>
            <w:fldChar w:fldCharType="end"/>
          </w:r>
        </w:p>
        <w:p w14:paraId="25E55524">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_Toc25102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0"/>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spacing w:val="-50"/>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服务项目含有</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进口产品参加</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w:t>
          </w:r>
          <w:r>
            <w:tab/>
          </w:r>
          <w:r>
            <w:fldChar w:fldCharType="begin"/>
          </w:r>
          <w:r>
            <w:instrText xml:space="preserve"> PAGEREF _Toc25102 \h </w:instrText>
          </w:r>
          <w:r>
            <w:fldChar w:fldCharType="separate"/>
          </w:r>
          <w:r>
            <w:t>43</w:t>
          </w:r>
          <w:r>
            <w:fldChar w:fldCharType="end"/>
          </w:r>
          <w:r>
            <w:rPr>
              <w:rFonts w:hint="default" w:ascii="Times New Roman" w:hAnsi="Times New Roman" w:eastAsia="Times New Roman" w:cs="Times New Roman"/>
              <w:color w:val="auto"/>
              <w:szCs w:val="20"/>
              <w:highlight w:val="none"/>
              <w:lang w:eastAsia="zh-CN"/>
            </w:rPr>
            <w:fldChar w:fldCharType="end"/>
          </w:r>
        </w:p>
        <w:p w14:paraId="77939F60">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_Toc3829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3"/>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spacing w:val="-50"/>
              <w:szCs w:val="24"/>
              <w:highlight w:val="none"/>
              <w:lang w:eastAsia="zh-CN"/>
            </w:rPr>
            <w:t xml:space="preserve"> </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spacing w:val="-1"/>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w:t>
          </w:r>
          <w:r>
            <w:tab/>
          </w:r>
          <w:r>
            <w:fldChar w:fldCharType="begin"/>
          </w:r>
          <w:r>
            <w:instrText xml:space="preserve"> PAGEREF _Toc3829 \h </w:instrText>
          </w:r>
          <w:r>
            <w:fldChar w:fldCharType="separate"/>
          </w:r>
          <w:r>
            <w:t>44</w:t>
          </w:r>
          <w:r>
            <w:fldChar w:fldCharType="end"/>
          </w:r>
          <w:r>
            <w:rPr>
              <w:rFonts w:hint="default" w:ascii="Times New Roman" w:hAnsi="Times New Roman" w:eastAsia="Times New Roman" w:cs="Times New Roman"/>
              <w:color w:val="auto"/>
              <w:szCs w:val="20"/>
              <w:highlight w:val="none"/>
              <w:lang w:eastAsia="zh-CN"/>
            </w:rPr>
            <w:fldChar w:fldCharType="end"/>
          </w:r>
        </w:p>
        <w:p w14:paraId="3F23C5C7">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_Toc2334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szCs w:val="24"/>
              <w:highlight w:val="none"/>
              <w:lang w:eastAsia="zh-CN"/>
              <w14:textOutline w14:w="4356" w14:cap="sq" w14:cmpd="sng" w14:algn="ctr">
                <w14:solidFill>
                  <w14:srgbClr w14:val="000000"/>
                </w14:solidFill>
                <w14:prstDash w14:val="solid"/>
                <w14:bevel/>
              </w14:textOutline>
            </w:rPr>
            <w:t>须提供的证明材料</w:t>
          </w:r>
          <w:r>
            <w:tab/>
          </w:r>
          <w:r>
            <w:fldChar w:fldCharType="begin"/>
          </w:r>
          <w:r>
            <w:instrText xml:space="preserve"> PAGEREF _Toc2334 \h </w:instrText>
          </w:r>
          <w:r>
            <w:fldChar w:fldCharType="separate"/>
          </w:r>
          <w:r>
            <w:t>46</w:t>
          </w:r>
          <w:r>
            <w:fldChar w:fldCharType="end"/>
          </w:r>
          <w:r>
            <w:rPr>
              <w:rFonts w:hint="default" w:ascii="Times New Roman" w:hAnsi="Times New Roman" w:eastAsia="Times New Roman" w:cs="Times New Roman"/>
              <w:color w:val="auto"/>
              <w:szCs w:val="20"/>
              <w:highlight w:val="none"/>
              <w:lang w:eastAsia="zh-CN"/>
            </w:rPr>
            <w:fldChar w:fldCharType="end"/>
          </w:r>
        </w:p>
        <w:p w14:paraId="3FF554C2">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_Toc26868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8"/>
              <w:szCs w:val="24"/>
              <w:highlight w:val="none"/>
              <w:lang w:eastAsia="zh-CN"/>
            </w:rPr>
            <w:t xml:space="preserve"> </w:t>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spacing w:val="-28"/>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中小企业</w:t>
          </w:r>
          <w:r>
            <w:rPr>
              <w:rFonts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声明函（工程、服务</w:t>
          </w:r>
          <w:r>
            <w:rPr>
              <w:rFonts w:hint="eastAsia" w:ascii="宋体" w:hAnsi="宋体" w:eastAsia="宋体" w:cs="宋体"/>
              <w:spacing w:val="-5"/>
              <w:szCs w:val="24"/>
              <w:highlight w:val="none"/>
              <w:lang w:eastAsia="zh-CN"/>
              <w14:textOutline w14:w="4356" w14:cap="sq" w14:cmpd="sng" w14:algn="ctr">
                <w14:solidFill>
                  <w14:srgbClr w14:val="000000"/>
                </w14:solidFill>
                <w14:prstDash w14:val="solid"/>
                <w14:bevel/>
              </w14:textOutline>
            </w:rPr>
            <w:t>）</w:t>
          </w:r>
          <w:r>
            <w:tab/>
          </w:r>
          <w:r>
            <w:fldChar w:fldCharType="begin"/>
          </w:r>
          <w:r>
            <w:instrText xml:space="preserve"> PAGEREF _Toc26868 \h </w:instrText>
          </w:r>
          <w:r>
            <w:fldChar w:fldCharType="separate"/>
          </w:r>
          <w:r>
            <w:t>46</w:t>
          </w:r>
          <w:r>
            <w:fldChar w:fldCharType="end"/>
          </w:r>
          <w:r>
            <w:rPr>
              <w:rFonts w:hint="default" w:ascii="Times New Roman" w:hAnsi="Times New Roman" w:eastAsia="Times New Roman" w:cs="Times New Roman"/>
              <w:color w:val="auto"/>
              <w:szCs w:val="20"/>
              <w:highlight w:val="none"/>
              <w:lang w:eastAsia="zh-CN"/>
            </w:rPr>
            <w:fldChar w:fldCharType="end"/>
          </w:r>
        </w:p>
        <w:p w14:paraId="65836363">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_Toc11183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47"/>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spacing w:val="-46"/>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r>
            <w:tab/>
          </w:r>
          <w:r>
            <w:fldChar w:fldCharType="begin"/>
          </w:r>
          <w:r>
            <w:instrText xml:space="preserve"> PAGEREF _Toc11183 \h </w:instrText>
          </w:r>
          <w:r>
            <w:fldChar w:fldCharType="separate"/>
          </w:r>
          <w:r>
            <w:t>52</w:t>
          </w:r>
          <w:r>
            <w:fldChar w:fldCharType="end"/>
          </w:r>
          <w:r>
            <w:rPr>
              <w:rFonts w:hint="default" w:ascii="Times New Roman" w:hAnsi="Times New Roman" w:eastAsia="Times New Roman" w:cs="Times New Roman"/>
              <w:color w:val="auto"/>
              <w:szCs w:val="20"/>
              <w:highlight w:val="none"/>
              <w:lang w:eastAsia="zh-CN"/>
            </w:rPr>
            <w:fldChar w:fldCharType="end"/>
          </w:r>
        </w:p>
        <w:p w14:paraId="554C0619">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_Toc5434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spacing w:val="-34"/>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spacing w:val="-50"/>
              <w:szCs w:val="24"/>
              <w:highlight w:val="none"/>
              <w:lang w:eastAsia="zh-CN"/>
            </w:rPr>
            <w:t xml:space="preserve"> </w:t>
          </w:r>
          <w:r>
            <w:rPr>
              <w:rFonts w:ascii="宋体" w:hAnsi="宋体" w:eastAsia="宋体" w:cs="宋体"/>
              <w:spacing w:val="-2"/>
              <w:szCs w:val="24"/>
              <w:highlight w:val="none"/>
              <w:lang w:eastAsia="zh-CN"/>
              <w14:textOutline w14:w="4356" w14:cap="sq" w14:cmpd="sng" w14:algn="ctr">
                <w14:solidFill>
                  <w14:srgbClr w14:val="000000"/>
                </w14:solidFill>
                <w14:prstDash w14:val="solid"/>
                <w14:bevel/>
              </w14:textOutline>
            </w:rPr>
            <w:t>残疾人福利性单位声明函</w:t>
          </w:r>
          <w:r>
            <w:tab/>
          </w:r>
          <w:r>
            <w:fldChar w:fldCharType="begin"/>
          </w:r>
          <w:r>
            <w:instrText xml:space="preserve"> PAGEREF _Toc5434 \h </w:instrText>
          </w:r>
          <w:r>
            <w:fldChar w:fldCharType="separate"/>
          </w:r>
          <w:r>
            <w:t>53</w:t>
          </w:r>
          <w:r>
            <w:fldChar w:fldCharType="end"/>
          </w:r>
          <w:r>
            <w:rPr>
              <w:rFonts w:hint="default" w:ascii="Times New Roman" w:hAnsi="Times New Roman" w:eastAsia="Times New Roman" w:cs="Times New Roman"/>
              <w:color w:val="auto"/>
              <w:szCs w:val="20"/>
              <w:highlight w:val="none"/>
              <w:lang w:eastAsia="zh-CN"/>
            </w:rPr>
            <w:fldChar w:fldCharType="end"/>
          </w:r>
        </w:p>
        <w:p w14:paraId="21AD2947">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_Toc31247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0"/>
              <w:position w:val="0"/>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spacing w:val="0"/>
              <w:position w:val="0"/>
              <w:szCs w:val="24"/>
              <w:lang w:val="en-US" w:eastAsia="zh-CN"/>
              <w14:textOutline w14:w="4356" w14:cap="sq" w14:cmpd="sng" w14:algn="ctr">
                <w14:solidFill>
                  <w14:srgbClr w14:val="000000"/>
                </w14:solidFill>
                <w14:prstDash w14:val="solid"/>
                <w14:bevel/>
              </w14:textOutline>
            </w:rPr>
            <w:t>服务方案</w:t>
          </w:r>
          <w:r>
            <w:tab/>
          </w:r>
          <w:r>
            <w:fldChar w:fldCharType="begin"/>
          </w:r>
          <w:r>
            <w:instrText xml:space="preserve"> PAGEREF _Toc31247 \h </w:instrText>
          </w:r>
          <w:r>
            <w:fldChar w:fldCharType="separate"/>
          </w:r>
          <w:r>
            <w:t>57</w:t>
          </w:r>
          <w:r>
            <w:fldChar w:fldCharType="end"/>
          </w:r>
          <w:r>
            <w:rPr>
              <w:rFonts w:hint="default" w:ascii="Times New Roman" w:hAnsi="Times New Roman" w:eastAsia="Times New Roman" w:cs="Times New Roman"/>
              <w:color w:val="auto"/>
              <w:szCs w:val="20"/>
              <w:highlight w:val="none"/>
              <w:lang w:eastAsia="zh-CN"/>
            </w:rPr>
            <w:fldChar w:fldCharType="end"/>
          </w:r>
        </w:p>
        <w:p w14:paraId="6E6306AB">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_Toc798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spacing w:val="-1"/>
              <w:szCs w:val="24"/>
              <w:highlight w:val="none"/>
              <w:lang w:eastAsia="zh-CN"/>
              <w14:textOutline w14:w="4356" w14:cap="sq" w14:cmpd="sng" w14:algn="ctr">
                <w14:solidFill>
                  <w14:srgbClr w14:val="000000"/>
                </w14:solidFill>
                <w14:prstDash w14:val="solid"/>
                <w14:bevel/>
              </w14:textOutline>
            </w:rPr>
            <w:t>.与技术、商务等评审计分有关的资料</w:t>
          </w:r>
          <w:r>
            <w:tab/>
          </w:r>
          <w:r>
            <w:fldChar w:fldCharType="begin"/>
          </w:r>
          <w:r>
            <w:instrText xml:space="preserve"> PAGEREF _Toc798 \h </w:instrText>
          </w:r>
          <w:r>
            <w:fldChar w:fldCharType="separate"/>
          </w:r>
          <w:r>
            <w:t>58</w:t>
          </w:r>
          <w:r>
            <w:fldChar w:fldCharType="end"/>
          </w:r>
          <w:r>
            <w:rPr>
              <w:rFonts w:hint="default" w:ascii="Times New Roman" w:hAnsi="Times New Roman" w:eastAsia="Times New Roman" w:cs="Times New Roman"/>
              <w:color w:val="auto"/>
              <w:szCs w:val="20"/>
              <w:highlight w:val="none"/>
              <w:lang w:eastAsia="zh-CN"/>
            </w:rPr>
            <w:fldChar w:fldCharType="end"/>
          </w:r>
        </w:p>
        <w:p w14:paraId="6F97C32C">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_Toc11643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spacing w:val="9"/>
              <w:szCs w:val="31"/>
              <w:highlight w:val="none"/>
              <w:lang w:eastAsia="zh-CN"/>
            </w:rPr>
            <w:t xml:space="preserve">  </w:t>
          </w:r>
          <w:r>
            <w:rPr>
              <w:rFonts w:hint="eastAsia"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采购</w:t>
          </w:r>
          <w:r>
            <w:rPr>
              <w:rFonts w:hint="eastAsia"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需求</w:t>
          </w:r>
          <w:r>
            <w:tab/>
          </w:r>
          <w:r>
            <w:fldChar w:fldCharType="begin"/>
          </w:r>
          <w:r>
            <w:instrText xml:space="preserve"> PAGEREF _Toc11643 \h </w:instrText>
          </w:r>
          <w:r>
            <w:fldChar w:fldCharType="separate"/>
          </w:r>
          <w:r>
            <w:t>59</w:t>
          </w:r>
          <w:r>
            <w:fldChar w:fldCharType="end"/>
          </w:r>
          <w:r>
            <w:rPr>
              <w:rFonts w:hint="default" w:ascii="Times New Roman" w:hAnsi="Times New Roman" w:eastAsia="Times New Roman" w:cs="Times New Roman"/>
              <w:color w:val="auto"/>
              <w:szCs w:val="20"/>
              <w:highlight w:val="none"/>
              <w:lang w:eastAsia="zh-CN"/>
            </w:rPr>
            <w:fldChar w:fldCharType="end"/>
          </w:r>
        </w:p>
        <w:p w14:paraId="603244BA">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_Toc22842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spacing w:val="-2"/>
              <w:szCs w:val="24"/>
              <w:highlight w:val="none"/>
              <w14:textOutline w14:w="4356" w14:cap="sq" w14:cmpd="sng" w14:algn="ctr">
                <w14:solidFill>
                  <w14:srgbClr w14:val="000000"/>
                </w14:solidFill>
                <w14:prstDash w14:val="solid"/>
                <w14:bevel/>
              </w14:textOutline>
            </w:rPr>
            <w:t>需求表</w:t>
          </w:r>
          <w:r>
            <w:tab/>
          </w:r>
          <w:r>
            <w:fldChar w:fldCharType="begin"/>
          </w:r>
          <w:r>
            <w:instrText xml:space="preserve"> PAGEREF _Toc22842 \h </w:instrText>
          </w:r>
          <w:r>
            <w:fldChar w:fldCharType="separate"/>
          </w:r>
          <w:r>
            <w:t>59</w:t>
          </w:r>
          <w:r>
            <w:fldChar w:fldCharType="end"/>
          </w:r>
          <w:r>
            <w:rPr>
              <w:rFonts w:hint="default" w:ascii="Times New Roman" w:hAnsi="Times New Roman" w:eastAsia="Times New Roman" w:cs="Times New Roman"/>
              <w:color w:val="auto"/>
              <w:szCs w:val="20"/>
              <w:highlight w:val="none"/>
              <w:lang w:eastAsia="zh-CN"/>
            </w:rPr>
            <w:fldChar w:fldCharType="end"/>
          </w:r>
        </w:p>
        <w:p w14:paraId="361EFD9B">
          <w:pPr>
            <w:pStyle w:val="16"/>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_Toc8998 </w:instrText>
          </w:r>
          <w:r>
            <w:rPr>
              <w:rFonts w:hint="default" w:ascii="Times New Roman" w:hAnsi="Times New Roman" w:eastAsia="Times New Roman" w:cs="Times New Roman"/>
              <w:szCs w:val="20"/>
              <w:highlight w:val="none"/>
              <w:lang w:eastAsia="zh-CN"/>
            </w:rPr>
            <w:fldChar w:fldCharType="separate"/>
          </w:r>
          <w:r>
            <w:rPr>
              <w:rFonts w:ascii="宋体" w:hAnsi="宋体" w:eastAsia="宋体" w:cs="宋体"/>
              <w:spacing w:val="-2"/>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spacing w:val="-2"/>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spacing w:val="-2"/>
              <w:szCs w:val="24"/>
              <w:highlight w:val="none"/>
              <w14:textOutline w14:w="4356" w14:cap="sq" w14:cmpd="sng" w14:algn="ctr">
                <w14:solidFill>
                  <w14:srgbClr w14:val="000000"/>
                </w14:solidFill>
                <w14:prstDash w14:val="solid"/>
                <w14:bevel/>
              </w14:textOutline>
            </w:rPr>
            <w:t>求</w:t>
          </w:r>
          <w:r>
            <w:tab/>
          </w:r>
          <w:r>
            <w:fldChar w:fldCharType="begin"/>
          </w:r>
          <w:r>
            <w:instrText xml:space="preserve"> PAGEREF _Toc8998 \h </w:instrText>
          </w:r>
          <w:r>
            <w:fldChar w:fldCharType="separate"/>
          </w:r>
          <w:r>
            <w:t>60</w:t>
          </w:r>
          <w:r>
            <w:fldChar w:fldCharType="end"/>
          </w:r>
          <w:r>
            <w:rPr>
              <w:rFonts w:hint="default" w:ascii="Times New Roman" w:hAnsi="Times New Roman" w:eastAsia="Times New Roman" w:cs="Times New Roman"/>
              <w:color w:val="auto"/>
              <w:szCs w:val="20"/>
              <w:highlight w:val="none"/>
              <w:lang w:eastAsia="zh-CN"/>
            </w:rPr>
            <w:fldChar w:fldCharType="end"/>
          </w:r>
        </w:p>
        <w:p w14:paraId="5C39972C">
          <w:pPr>
            <w:pStyle w:val="14"/>
            <w:tabs>
              <w:tab w:val="right" w:leader="dot" w:pos="9066"/>
            </w:tabs>
          </w:pPr>
          <w:r>
            <w:rPr>
              <w:rFonts w:hint="default" w:ascii="Times New Roman" w:hAnsi="Times New Roman" w:eastAsia="Times New Roman" w:cs="Times New Roman"/>
              <w:color w:val="auto"/>
              <w:szCs w:val="20"/>
              <w:highlight w:val="none"/>
              <w:lang w:eastAsia="zh-CN"/>
            </w:rPr>
            <w:fldChar w:fldCharType="begin"/>
          </w:r>
          <w:r>
            <w:rPr>
              <w:rFonts w:hint="default" w:ascii="Times New Roman" w:hAnsi="Times New Roman" w:eastAsia="Times New Roman" w:cs="Times New Roman"/>
              <w:szCs w:val="20"/>
              <w:highlight w:val="none"/>
              <w:lang w:eastAsia="zh-CN"/>
            </w:rPr>
            <w:instrText xml:space="preserve"> HYPERLINK \l _Toc18011 </w:instrText>
          </w:r>
          <w:r>
            <w:rPr>
              <w:rFonts w:hint="default" w:ascii="Times New Roman" w:hAnsi="Times New Roman" w:eastAsia="Times New Roman" w:cs="Times New Roman"/>
              <w:szCs w:val="20"/>
              <w:highlight w:val="none"/>
              <w:lang w:eastAsia="zh-CN"/>
            </w:rPr>
            <w:fldChar w:fldCharType="separate"/>
          </w:r>
          <w:r>
            <w:rPr>
              <w:rFonts w:hint="eastAsia" w:ascii="宋体" w:hAnsi="宋体" w:eastAsia="宋体" w:cs="宋体"/>
              <w:spacing w:val="8"/>
              <w:szCs w:val="31"/>
              <w:highlight w:val="none"/>
              <w:lang w:val="en-US" w:eastAsia="zh-CN"/>
              <w14:textOutline w14:w="5791" w14:cap="sq" w14:cmpd="sng" w14:algn="ctr">
                <w14:solidFill>
                  <w14:srgbClr w14:val="000000"/>
                </w14:solidFill>
                <w14:prstDash w14:val="solid"/>
                <w14:bevel/>
              </w14:textOutline>
            </w:rPr>
            <w:t xml:space="preserve">第六章 </w:t>
          </w:r>
          <w:r>
            <w:rPr>
              <w:rFonts w:hint="eastAsia" w:ascii="宋体" w:hAnsi="宋体" w:eastAsia="宋体" w:cs="宋体"/>
              <w:spacing w:val="8"/>
              <w:szCs w:val="31"/>
              <w:highlight w:val="none"/>
              <w:lang w:eastAsia="zh-CN"/>
              <w14:textOutline w14:w="5791" w14:cap="sq" w14:cmpd="sng" w14:algn="ctr">
                <w14:solidFill>
                  <w14:srgbClr w14:val="000000"/>
                </w14:solidFill>
                <w14:prstDash w14:val="solid"/>
                <w14:bevel/>
              </w14:textOutline>
            </w:rPr>
            <w:t>评审</w:t>
          </w:r>
          <w:r>
            <w:rPr>
              <w:rFonts w:hint="eastAsia" w:ascii="宋体" w:hAnsi="宋体" w:eastAsia="宋体" w:cs="宋体"/>
              <w:spacing w:val="9"/>
              <w:szCs w:val="31"/>
              <w:highlight w:val="none"/>
              <w:lang w:eastAsia="zh-CN"/>
              <w14:textOutline w14:w="5791" w14:cap="sq" w14:cmpd="sng" w14:algn="ctr">
                <w14:solidFill>
                  <w14:srgbClr w14:val="000000"/>
                </w14:solidFill>
                <w14:prstDash w14:val="solid"/>
                <w14:bevel/>
              </w14:textOutline>
            </w:rPr>
            <w:t>标准</w:t>
          </w:r>
          <w:r>
            <w:tab/>
          </w:r>
          <w:r>
            <w:fldChar w:fldCharType="begin"/>
          </w:r>
          <w:r>
            <w:instrText xml:space="preserve"> PAGEREF _Toc18011 \h </w:instrText>
          </w:r>
          <w:r>
            <w:fldChar w:fldCharType="separate"/>
          </w:r>
          <w:r>
            <w:t>70</w:t>
          </w:r>
          <w:r>
            <w:fldChar w:fldCharType="end"/>
          </w:r>
          <w:r>
            <w:rPr>
              <w:rFonts w:hint="default" w:ascii="Times New Roman" w:hAnsi="Times New Roman" w:eastAsia="Times New Roman" w:cs="Times New Roman"/>
              <w:color w:val="auto"/>
              <w:szCs w:val="20"/>
              <w:highlight w:val="none"/>
              <w:lang w:eastAsia="zh-CN"/>
            </w:rPr>
            <w:fldChar w:fldCharType="end"/>
          </w:r>
        </w:p>
        <w:p w14:paraId="164723B7">
          <w:pPr>
            <w:pStyle w:val="18"/>
            <w:ind w:left="0" w:leftChars="0" w:firstLine="0" w:firstLineChars="0"/>
            <w:rPr>
              <w:rFonts w:hint="default" w:ascii="Times New Roman" w:hAnsi="Times New Roman" w:eastAsia="Times New Roman" w:cs="Times New Roman"/>
              <w:color w:val="auto"/>
              <w:sz w:val="20"/>
              <w:szCs w:val="20"/>
              <w:highlight w:val="none"/>
            </w:rPr>
          </w:pPr>
          <w:r>
            <w:rPr>
              <w:rFonts w:hint="default" w:ascii="Times New Roman" w:hAnsi="Times New Roman" w:eastAsia="Times New Roman" w:cs="Times New Roman"/>
              <w:color w:val="auto"/>
              <w:szCs w:val="20"/>
              <w:highlight w:val="none"/>
              <w:lang w:eastAsia="zh-CN"/>
            </w:rPr>
            <w:fldChar w:fldCharType="end"/>
          </w:r>
        </w:p>
      </w:sdtContent>
    </w:sdt>
    <w:p w14:paraId="22498334">
      <w:pPr>
        <w:pageBreakBefore w:val="0"/>
        <w:widowControl w:val="0"/>
        <w:wordWrap/>
        <w:overflowPunct/>
        <w:topLinePunct w:val="0"/>
        <w:bidi w:val="0"/>
        <w:spacing w:line="250" w:lineRule="auto"/>
        <w:rPr>
          <w:rFonts w:hint="default" w:ascii="Times New Roman" w:hAnsi="Times New Roman" w:cs="Times New Roman"/>
          <w:color w:val="auto"/>
          <w:highlight w:val="none"/>
        </w:rPr>
      </w:pPr>
    </w:p>
    <w:p w14:paraId="7B5A53F5">
      <w:pPr>
        <w:pageBreakBefore w:val="0"/>
        <w:widowControl w:val="0"/>
        <w:wordWrap/>
        <w:overflowPunct/>
        <w:topLinePunct w:val="0"/>
        <w:bidi w:val="0"/>
        <w:spacing w:line="251" w:lineRule="auto"/>
        <w:rPr>
          <w:color w:val="auto"/>
          <w:highlight w:val="none"/>
        </w:rPr>
      </w:pPr>
    </w:p>
    <w:p w14:paraId="0E2C2E98">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5" w:type="default"/>
          <w:pgSz w:w="11906" w:h="16839"/>
          <w:pgMar w:top="1236" w:right="1416" w:bottom="1153" w:left="1424" w:header="0" w:footer="994" w:gutter="0"/>
          <w:cols w:space="720" w:num="1"/>
        </w:sectPr>
      </w:pPr>
    </w:p>
    <w:p w14:paraId="4587CCAF">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z w:val="30"/>
          <w:szCs w:val="30"/>
          <w:highlight w:val="none"/>
        </w:rPr>
      </w:pPr>
      <w:bookmarkStart w:id="3" w:name="_Toc8748"/>
      <w:r>
        <w:rPr>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ascii="宋体" w:hAnsi="宋体" w:eastAsia="宋体" w:cs="宋体"/>
          <w:color w:val="auto"/>
          <w:spacing w:val="8"/>
          <w:sz w:val="30"/>
          <w:szCs w:val="30"/>
          <w:highlight w:val="none"/>
        </w:rPr>
        <w:t xml:space="preserve">  </w:t>
      </w: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磋商</w: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邀请</w:t>
      </w:r>
      <w:bookmarkEnd w:id="3"/>
    </w:p>
    <w:p w14:paraId="7293494D">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color w:val="auto"/>
          <w:highlight w:val="none"/>
        </w:rPr>
      </w:pPr>
    </w:p>
    <w:p w14:paraId="42D8898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none"/>
          <w:shd w:val="clear" w:color="auto" w:fill="FFFFFF"/>
          <w:lang w:val="en-US" w:eastAsia="zh-CN"/>
        </w:rPr>
        <w:t>江西现代职业技术学院课程思政教学研究中心建设项目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磋商文件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0000FF"/>
          <w:spacing w:val="0"/>
          <w:kern w:val="0"/>
          <w:position w:val="0"/>
          <w:sz w:val="24"/>
          <w:szCs w:val="24"/>
          <w:highlight w:val="none"/>
          <w:u w:val="single"/>
          <w:lang w:val="en-US" w:eastAsia="zh-CN"/>
        </w:rPr>
        <w:t>2026</w:t>
      </w:r>
      <w:r>
        <w:rPr>
          <w:rFonts w:hint="eastAsia" w:ascii="宋体" w:hAnsi="宋体" w:eastAsia="宋体" w:cs="宋体"/>
          <w:color w:val="0000FF"/>
          <w:spacing w:val="0"/>
          <w:kern w:val="0"/>
          <w:position w:val="0"/>
          <w:sz w:val="24"/>
          <w:szCs w:val="24"/>
          <w:highlight w:val="none"/>
          <w:u w:val="single"/>
        </w:rPr>
        <w:t>年</w:t>
      </w:r>
      <w:r>
        <w:rPr>
          <w:rFonts w:hint="eastAsia" w:ascii="宋体" w:hAnsi="宋体" w:eastAsia="宋体" w:cs="宋体"/>
          <w:color w:val="0000FF"/>
          <w:spacing w:val="0"/>
          <w:kern w:val="0"/>
          <w:position w:val="0"/>
          <w:sz w:val="24"/>
          <w:szCs w:val="24"/>
          <w:highlight w:val="none"/>
          <w:u w:val="single"/>
          <w:lang w:val="en-US" w:eastAsia="zh-CN"/>
        </w:rPr>
        <w:t>06</w:t>
      </w:r>
      <w:r>
        <w:rPr>
          <w:rFonts w:hint="eastAsia" w:ascii="宋体" w:hAnsi="宋体" w:eastAsia="宋体" w:cs="宋体"/>
          <w:color w:val="0000FF"/>
          <w:spacing w:val="0"/>
          <w:kern w:val="0"/>
          <w:position w:val="0"/>
          <w:sz w:val="24"/>
          <w:szCs w:val="24"/>
          <w:highlight w:val="none"/>
          <w:u w:val="single"/>
        </w:rPr>
        <w:t>月</w:t>
      </w:r>
      <w:r>
        <w:rPr>
          <w:rFonts w:hint="eastAsia" w:ascii="宋体" w:hAnsi="宋体" w:eastAsia="宋体" w:cs="宋体"/>
          <w:color w:val="0000FF"/>
          <w:spacing w:val="0"/>
          <w:kern w:val="0"/>
          <w:position w:val="0"/>
          <w:sz w:val="24"/>
          <w:szCs w:val="24"/>
          <w:highlight w:val="none"/>
          <w:u w:val="single"/>
          <w:lang w:val="en-US" w:eastAsia="zh-CN"/>
        </w:rPr>
        <w:t>09</w:t>
      </w:r>
      <w:r>
        <w:rPr>
          <w:rFonts w:hint="eastAsia" w:ascii="宋体" w:hAnsi="宋体" w:eastAsia="宋体" w:cs="宋体"/>
          <w:color w:val="0000FF"/>
          <w:spacing w:val="0"/>
          <w:kern w:val="0"/>
          <w:position w:val="0"/>
          <w:sz w:val="24"/>
          <w:szCs w:val="24"/>
          <w:highlight w:val="none"/>
          <w:u w:val="single"/>
        </w:rPr>
        <w:t>日</w:t>
      </w:r>
      <w:r>
        <w:rPr>
          <w:rFonts w:hint="eastAsia" w:ascii="宋体" w:hAnsi="宋体" w:eastAsia="宋体" w:cs="宋体"/>
          <w:color w:val="0000FF"/>
          <w:spacing w:val="0"/>
          <w:kern w:val="0"/>
          <w:position w:val="0"/>
          <w:sz w:val="24"/>
          <w:szCs w:val="24"/>
          <w:highlight w:val="none"/>
          <w:u w:val="single"/>
          <w:lang w:val="en-US" w:eastAsia="zh-CN"/>
        </w:rPr>
        <w:t>09</w:t>
      </w:r>
      <w:r>
        <w:rPr>
          <w:rFonts w:hint="eastAsia" w:ascii="宋体" w:hAnsi="宋体" w:eastAsia="宋体" w:cs="宋体"/>
          <w:color w:val="0000FF"/>
          <w:spacing w:val="0"/>
          <w:kern w:val="0"/>
          <w:position w:val="0"/>
          <w:sz w:val="24"/>
          <w:szCs w:val="24"/>
          <w:highlight w:val="none"/>
          <w:u w:val="single"/>
        </w:rPr>
        <w:t>点</w:t>
      </w:r>
      <w:r>
        <w:rPr>
          <w:rFonts w:hint="eastAsia" w:ascii="宋体" w:hAnsi="宋体" w:eastAsia="宋体" w:cs="宋体"/>
          <w:color w:val="0000FF"/>
          <w:spacing w:val="0"/>
          <w:kern w:val="0"/>
          <w:position w:val="0"/>
          <w:sz w:val="24"/>
          <w:szCs w:val="24"/>
          <w:highlight w:val="none"/>
          <w:u w:val="single"/>
          <w:lang w:val="en-US" w:eastAsia="zh-CN"/>
        </w:rPr>
        <w:t>30</w:t>
      </w:r>
      <w:r>
        <w:rPr>
          <w:rFonts w:hint="eastAsia" w:ascii="宋体" w:hAnsi="宋体" w:eastAsia="宋体" w:cs="宋体"/>
          <w:color w:val="0000FF"/>
          <w:spacing w:val="0"/>
          <w:kern w:val="0"/>
          <w:position w:val="0"/>
          <w:sz w:val="24"/>
          <w:szCs w:val="24"/>
          <w:highlight w:val="none"/>
          <w:u w:val="single"/>
        </w:rPr>
        <w:t>分</w:t>
      </w:r>
      <w:r>
        <w:rPr>
          <w:rFonts w:hint="eastAsia" w:ascii="宋体" w:hAnsi="宋体" w:eastAsia="宋体" w:cs="宋体"/>
          <w:color w:val="auto"/>
          <w:spacing w:val="0"/>
          <w:kern w:val="0"/>
          <w:position w:val="0"/>
          <w:sz w:val="24"/>
          <w:szCs w:val="24"/>
          <w:highlight w:val="none"/>
        </w:rPr>
        <w:t>（北京时间）前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088C87C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 w:name="_Toc7734"/>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4"/>
    </w:p>
    <w:p w14:paraId="7277687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lang w:eastAsia="zh-CN"/>
        </w:rPr>
        <w:t>JXTC2026070126</w:t>
      </w:r>
    </w:p>
    <w:p w14:paraId="2768197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kern w:val="0"/>
          <w:position w:val="0"/>
          <w:sz w:val="24"/>
          <w:szCs w:val="24"/>
          <w:highlight w:val="none"/>
          <w:u w:val="none"/>
          <w:shd w:val="clear" w:color="auto" w:fill="FFFFFF"/>
          <w:lang w:val="en-US" w:eastAsia="zh-CN"/>
        </w:rPr>
        <w:t>江西现代职业技术学院课程思政教学研究中心建设项目</w:t>
      </w:r>
    </w:p>
    <w:p w14:paraId="61014758">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kern w:val="0"/>
          <w:position w:val="0"/>
          <w:sz w:val="24"/>
          <w:szCs w:val="24"/>
          <w:highlight w:val="none"/>
          <w:u w:val="none"/>
          <w:lang w:val="en-US" w:eastAsia="zh-CN"/>
        </w:rPr>
        <w:t>：</w:t>
      </w:r>
      <w:r>
        <w:rPr>
          <w:rFonts w:hint="eastAsia" w:ascii="宋体" w:hAnsi="宋体" w:eastAsia="宋体" w:cs="宋体"/>
          <w:color w:val="0000FF"/>
          <w:spacing w:val="0"/>
          <w:kern w:val="0"/>
          <w:position w:val="0"/>
          <w:sz w:val="24"/>
          <w:szCs w:val="24"/>
          <w:highlight w:val="none"/>
          <w:u w:val="single"/>
          <w:lang w:val="en-US" w:eastAsia="zh-CN"/>
        </w:rPr>
        <w:t>900000</w:t>
      </w:r>
      <w:r>
        <w:rPr>
          <w:rFonts w:ascii="宋体" w:hAnsi="宋体" w:eastAsia="宋体" w:cs="宋体"/>
          <w:color w:val="auto"/>
          <w:spacing w:val="0"/>
          <w:position w:val="0"/>
          <w:sz w:val="24"/>
          <w:szCs w:val="24"/>
          <w:highlight w:val="none"/>
          <w:lang w:eastAsia="zh-CN"/>
        </w:rPr>
        <w:t>元人民币</w:t>
      </w:r>
    </w:p>
    <w:p w14:paraId="0504D9A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最高限价（如有）：</w:t>
      </w:r>
      <w:r>
        <w:rPr>
          <w:rFonts w:hint="eastAsia" w:ascii="宋体" w:hAnsi="宋体" w:eastAsia="宋体" w:cs="宋体"/>
          <w:color w:val="0000FF"/>
          <w:spacing w:val="0"/>
          <w:kern w:val="0"/>
          <w:position w:val="0"/>
          <w:sz w:val="24"/>
          <w:szCs w:val="24"/>
          <w:highlight w:val="none"/>
          <w:u w:val="single"/>
          <w:lang w:val="en-US" w:eastAsia="zh-CN"/>
        </w:rPr>
        <w:t>900000</w:t>
      </w:r>
      <w:r>
        <w:rPr>
          <w:rFonts w:ascii="宋体" w:hAnsi="宋体" w:eastAsia="宋体" w:cs="宋体"/>
          <w:color w:val="auto"/>
          <w:spacing w:val="0"/>
          <w:position w:val="0"/>
          <w:sz w:val="24"/>
          <w:szCs w:val="24"/>
          <w:highlight w:val="none"/>
          <w:lang w:eastAsia="zh-CN"/>
        </w:rPr>
        <w:t>元人民币</w:t>
      </w:r>
    </w:p>
    <w:p w14:paraId="5769165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28"/>
        <w:tblpPr w:leftFromText="180" w:rightFromText="180" w:vertAnchor="text" w:horzAnchor="page" w:tblpXSpec="center" w:tblpY="159"/>
        <w:tblOverlap w:val="never"/>
        <w:tblW w:w="888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3"/>
        <w:gridCol w:w="2459"/>
        <w:gridCol w:w="675"/>
        <w:gridCol w:w="855"/>
        <w:gridCol w:w="1575"/>
        <w:gridCol w:w="1618"/>
      </w:tblGrid>
      <w:tr w14:paraId="765D4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jc w:val="center"/>
        </w:trPr>
        <w:tc>
          <w:tcPr>
            <w:tcW w:w="1703" w:type="dxa"/>
            <w:vAlign w:val="center"/>
          </w:tcPr>
          <w:p w14:paraId="1EE7F8F2">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采购</w:t>
            </w:r>
            <w:r>
              <w:rPr>
                <w:rFonts w:hint="eastAsia" w:ascii="宋体" w:hAnsi="宋体" w:eastAsia="宋体" w:cs="宋体"/>
                <w:color w:val="auto"/>
                <w:spacing w:val="0"/>
                <w:position w:val="0"/>
                <w:sz w:val="24"/>
                <w:szCs w:val="24"/>
                <w:lang w:val="en-US" w:eastAsia="zh-CN"/>
              </w:rPr>
              <w:t>条目</w:t>
            </w:r>
            <w:r>
              <w:rPr>
                <w:rFonts w:ascii="宋体" w:hAnsi="宋体" w:eastAsia="宋体" w:cs="宋体"/>
                <w:color w:val="auto"/>
                <w:spacing w:val="0"/>
                <w:position w:val="0"/>
                <w:sz w:val="24"/>
                <w:szCs w:val="24"/>
              </w:rPr>
              <w:t>编号</w:t>
            </w:r>
          </w:p>
        </w:tc>
        <w:tc>
          <w:tcPr>
            <w:tcW w:w="2459" w:type="dxa"/>
            <w:vAlign w:val="center"/>
          </w:tcPr>
          <w:p w14:paraId="313583D3">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采购</w:t>
            </w:r>
            <w:r>
              <w:rPr>
                <w:rFonts w:hint="eastAsia" w:ascii="宋体" w:hAnsi="宋体" w:eastAsia="宋体" w:cs="宋体"/>
                <w:color w:val="auto"/>
                <w:spacing w:val="0"/>
                <w:position w:val="0"/>
                <w:sz w:val="24"/>
                <w:szCs w:val="24"/>
                <w:lang w:val="en-US" w:eastAsia="zh-CN"/>
              </w:rPr>
              <w:t>条目</w:t>
            </w:r>
            <w:r>
              <w:rPr>
                <w:rFonts w:ascii="宋体" w:hAnsi="宋体" w:eastAsia="宋体" w:cs="宋体"/>
                <w:color w:val="auto"/>
                <w:spacing w:val="0"/>
                <w:position w:val="0"/>
                <w:sz w:val="24"/>
                <w:szCs w:val="24"/>
              </w:rPr>
              <w:t>名称</w:t>
            </w:r>
          </w:p>
        </w:tc>
        <w:tc>
          <w:tcPr>
            <w:tcW w:w="675" w:type="dxa"/>
            <w:vAlign w:val="center"/>
          </w:tcPr>
          <w:p w14:paraId="6B905ED0">
            <w:pPr>
              <w:keepNext w:val="0"/>
              <w:keepLines w:val="0"/>
              <w:pageBreakBefore w:val="0"/>
              <w:widowControl w:val="0"/>
              <w:kinsoku w:val="0"/>
              <w:wordWrap/>
              <w:overflowPunct/>
              <w:topLinePunct w:val="0"/>
              <w:autoSpaceDE w:val="0"/>
              <w:autoSpaceDN w:val="0"/>
              <w:bidi w:val="0"/>
              <w:adjustRightInd w:val="0"/>
              <w:snapToGrid w:val="0"/>
              <w:spacing w:before="274"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数量</w:t>
            </w:r>
          </w:p>
        </w:tc>
        <w:tc>
          <w:tcPr>
            <w:tcW w:w="855" w:type="dxa"/>
            <w:vAlign w:val="center"/>
          </w:tcPr>
          <w:p w14:paraId="6135164E">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单位</w:t>
            </w:r>
          </w:p>
        </w:tc>
        <w:tc>
          <w:tcPr>
            <w:tcW w:w="1575" w:type="dxa"/>
            <w:vAlign w:val="center"/>
          </w:tcPr>
          <w:p w14:paraId="7435EADF">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采购预算</w:t>
            </w:r>
          </w:p>
          <w:p w14:paraId="5546948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元</w:t>
            </w:r>
            <w:r>
              <w:rPr>
                <w:rFonts w:ascii="宋体" w:hAnsi="宋体" w:eastAsia="宋体" w:cs="宋体"/>
                <w:color w:val="auto"/>
                <w:spacing w:val="0"/>
                <w:position w:val="0"/>
                <w:sz w:val="24"/>
                <w:szCs w:val="24"/>
              </w:rPr>
              <w:t>人民币）</w:t>
            </w:r>
          </w:p>
        </w:tc>
        <w:tc>
          <w:tcPr>
            <w:tcW w:w="1618" w:type="dxa"/>
            <w:vAlign w:val="center"/>
          </w:tcPr>
          <w:p w14:paraId="7B78891F">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技术需求或服务要求</w:t>
            </w:r>
          </w:p>
        </w:tc>
      </w:tr>
      <w:tr w14:paraId="11C5F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1703" w:type="dxa"/>
            <w:vAlign w:val="center"/>
          </w:tcPr>
          <w:p w14:paraId="79ABF919">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赣购2026J000210154</w:t>
            </w:r>
          </w:p>
        </w:tc>
        <w:tc>
          <w:tcPr>
            <w:tcW w:w="2459" w:type="dxa"/>
            <w:vAlign w:val="center"/>
          </w:tcPr>
          <w:p w14:paraId="5934F248">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课程思政教学研究中心建设1</w:t>
            </w:r>
          </w:p>
        </w:tc>
        <w:tc>
          <w:tcPr>
            <w:tcW w:w="675" w:type="dxa"/>
            <w:vAlign w:val="center"/>
          </w:tcPr>
          <w:p w14:paraId="0B406FCC">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855" w:type="dxa"/>
            <w:vAlign w:val="center"/>
          </w:tcPr>
          <w:p w14:paraId="145701A5">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w:t>
            </w:r>
          </w:p>
        </w:tc>
        <w:tc>
          <w:tcPr>
            <w:tcW w:w="1575" w:type="dxa"/>
            <w:vAlign w:val="center"/>
          </w:tcPr>
          <w:p w14:paraId="27F00D88">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500000</w:t>
            </w:r>
          </w:p>
        </w:tc>
        <w:tc>
          <w:tcPr>
            <w:tcW w:w="1618" w:type="dxa"/>
            <w:vAlign w:val="center"/>
          </w:tcPr>
          <w:p w14:paraId="2F269D44">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详见第五章</w:t>
            </w:r>
          </w:p>
        </w:tc>
      </w:tr>
      <w:tr w14:paraId="153FD7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1703" w:type="dxa"/>
            <w:vAlign w:val="center"/>
          </w:tcPr>
          <w:p w14:paraId="12735A15">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赣购2026J000210155</w:t>
            </w:r>
          </w:p>
        </w:tc>
        <w:tc>
          <w:tcPr>
            <w:tcW w:w="2459" w:type="dxa"/>
            <w:vAlign w:val="center"/>
          </w:tcPr>
          <w:p w14:paraId="5BFF73DB">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课程思政教学研究中心建设2</w:t>
            </w:r>
          </w:p>
        </w:tc>
        <w:tc>
          <w:tcPr>
            <w:tcW w:w="675" w:type="dxa"/>
            <w:vAlign w:val="center"/>
          </w:tcPr>
          <w:p w14:paraId="19BA71CF">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855" w:type="dxa"/>
            <w:vAlign w:val="center"/>
          </w:tcPr>
          <w:p w14:paraId="0599D6E2">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w:t>
            </w:r>
          </w:p>
        </w:tc>
        <w:tc>
          <w:tcPr>
            <w:tcW w:w="1575" w:type="dxa"/>
            <w:vAlign w:val="center"/>
          </w:tcPr>
          <w:p w14:paraId="36F215E4">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400000</w:t>
            </w:r>
          </w:p>
        </w:tc>
        <w:tc>
          <w:tcPr>
            <w:tcW w:w="1618" w:type="dxa"/>
            <w:shd w:val="clear" w:color="auto" w:fill="auto"/>
            <w:vAlign w:val="center"/>
          </w:tcPr>
          <w:p w14:paraId="5958DBB4">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详见第五章</w:t>
            </w:r>
          </w:p>
        </w:tc>
      </w:tr>
    </w:tbl>
    <w:p w14:paraId="22F6D758">
      <w:pPr>
        <w:keepNext w:val="0"/>
        <w:keepLines w:val="0"/>
        <w:pageBreakBefore w:val="0"/>
        <w:widowControl w:val="0"/>
        <w:kinsoku/>
        <w:wordWrap/>
        <w:overflowPunct/>
        <w:topLinePunct w:val="0"/>
        <w:autoSpaceDE w:val="0"/>
        <w:autoSpaceDN w:val="0"/>
        <w:bidi w:val="0"/>
        <w:adjustRightInd w:val="0"/>
        <w:snapToGrid w:val="0"/>
        <w:spacing w:before="180" w:line="360" w:lineRule="auto"/>
        <w:ind w:firstLine="480" w:firstLineChars="200"/>
        <w:jc w:val="both"/>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rPr>
        <w:t>合同履行期限：</w:t>
      </w:r>
      <w:r>
        <w:rPr>
          <w:rFonts w:hint="eastAsia" w:ascii="宋体" w:hAnsi="宋体" w:eastAsia="宋体" w:cs="宋体"/>
          <w:color w:val="auto"/>
          <w:spacing w:val="0"/>
          <w:position w:val="0"/>
          <w:sz w:val="24"/>
          <w:szCs w:val="24"/>
          <w:highlight w:val="none"/>
          <w:u w:val="single"/>
        </w:rPr>
        <w:t>2026年07月01日前完成所有产品的实施安装工作（包括系统调试、系统测试、原数据迁移及数据治理、操作培训及试运行等），并将采购人历史数据整理入库，使系统达到正常使用状态。</w:t>
      </w:r>
    </w:p>
    <w:p w14:paraId="26B8161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0000FF"/>
          <w:spacing w:val="0"/>
          <w:kern w:val="0"/>
          <w:position w:val="0"/>
          <w:sz w:val="24"/>
          <w:szCs w:val="24"/>
          <w:highlight w:val="none"/>
          <w:u w:val="none"/>
          <w:lang w:val="en-US" w:eastAsia="zh-CN"/>
        </w:rPr>
        <w:t>否</w:t>
      </w:r>
    </w:p>
    <w:p w14:paraId="006507AB">
      <w:pPr>
        <w:keepNext w:val="0"/>
        <w:keepLines w:val="0"/>
        <w:pageBreakBefore w:val="0"/>
        <w:widowControl w:val="0"/>
        <w:kinsoku w:val="0"/>
        <w:wordWrap/>
        <w:overflowPunct/>
        <w:topLinePunct w:val="0"/>
        <w:autoSpaceDE w:val="0"/>
        <w:autoSpaceDN w:val="0"/>
        <w:bidi w:val="0"/>
        <w:adjustRightInd w:val="0"/>
        <w:snapToGrid w:val="0"/>
        <w:spacing w:before="0" w:beforeLines="20"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5" w:name="_Toc1032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790E71D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1.满足《中华人民共和国政府采购法》第二十二条规定：</w:t>
      </w:r>
    </w:p>
    <w:p w14:paraId="1BA7660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0D213EF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2E5C344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1D8590B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7E524A3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5CE64FA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62C66661">
      <w:pPr>
        <w:pStyle w:val="27"/>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6A922FC4">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重大税收违法</w:t>
      </w:r>
      <w:r>
        <w:rPr>
          <w:rFonts w:hint="eastAsia" w:ascii="宋体" w:hAnsi="宋体" w:eastAsia="宋体" w:cs="宋体"/>
          <w:color w:val="auto"/>
          <w:spacing w:val="0"/>
          <w:position w:val="0"/>
          <w:sz w:val="24"/>
          <w:szCs w:val="24"/>
          <w:highlight w:val="none"/>
          <w:lang w:val="en-US" w:eastAsia="zh-CN"/>
        </w:rPr>
        <w:t>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4F464C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ascii="宋体" w:hAnsi="宋体" w:eastAsia="宋体" w:cs="宋体"/>
          <w:b w:val="0"/>
          <w:bCs w:val="0"/>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落实</w:t>
      </w:r>
      <w:r>
        <w:rPr>
          <w:rFonts w:ascii="宋体" w:hAnsi="宋体" w:eastAsia="宋体" w:cs="宋体"/>
          <w:b w:val="0"/>
          <w:bCs w:val="0"/>
          <w:color w:val="auto"/>
          <w:spacing w:val="0"/>
          <w:position w:val="0"/>
          <w:sz w:val="24"/>
          <w:szCs w:val="24"/>
          <w:highlight w:val="none"/>
          <w:lang w:eastAsia="zh-CN"/>
        </w:rPr>
        <w:t>政府采购政策需满足的资格要求：</w:t>
      </w:r>
    </w:p>
    <w:p w14:paraId="5E825EDC">
      <w:pPr>
        <w:pStyle w:val="8"/>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highlight w:val="none"/>
          <w:lang w:val="en-US" w:eastAsia="zh-CN"/>
        </w:rPr>
        <w:t>4.1 中小企业政策：</w:t>
      </w:r>
      <w:r>
        <w:rPr>
          <w:rFonts w:hint="eastAsia" w:ascii="宋体" w:hAnsi="宋体" w:eastAsia="宋体" w:cs="宋体"/>
          <w:snapToGrid w:val="0"/>
          <w:color w:val="auto"/>
          <w:spacing w:val="0"/>
          <w:kern w:val="0"/>
          <w:position w:val="0"/>
          <w:sz w:val="24"/>
          <w:szCs w:val="20"/>
          <w:highlight w:val="none"/>
          <w:lang w:val="en-US" w:eastAsia="zh-CN" w:bidi="ar-SA"/>
        </w:rPr>
        <w:t>本项目</w:t>
      </w:r>
      <w:r>
        <w:rPr>
          <w:rFonts w:hint="eastAsia" w:ascii="宋体" w:hAnsi="宋体" w:eastAsia="宋体" w:cs="宋体"/>
          <w:snapToGrid w:val="0"/>
          <w:color w:val="0000FF"/>
          <w:spacing w:val="0"/>
          <w:kern w:val="0"/>
          <w:position w:val="0"/>
          <w:sz w:val="24"/>
          <w:szCs w:val="24"/>
          <w:highlight w:val="none"/>
          <w:u w:val="none"/>
          <w:lang w:val="en-US" w:eastAsia="zh-CN" w:bidi="ar-SA"/>
        </w:rPr>
        <w:t>专门面向</w:t>
      </w:r>
      <w:r>
        <w:rPr>
          <w:rFonts w:hint="eastAsia" w:ascii="宋体" w:hAnsi="宋体" w:eastAsia="宋体" w:cs="宋体"/>
          <w:b w:val="0"/>
          <w:bCs w:val="0"/>
          <w:color w:val="auto"/>
          <w:spacing w:val="0"/>
          <w:position w:val="0"/>
          <w:sz w:val="24"/>
          <w:szCs w:val="24"/>
          <w:highlight w:val="none"/>
          <w:lang w:val="en-US" w:eastAsia="zh-CN"/>
        </w:rPr>
        <w:t>中</w:t>
      </w:r>
      <w:r>
        <w:rPr>
          <w:rFonts w:ascii="宋体" w:hAnsi="宋体" w:eastAsia="宋体" w:cs="宋体"/>
          <w:b w:val="0"/>
          <w:bCs w:val="0"/>
          <w:color w:val="auto"/>
          <w:spacing w:val="0"/>
          <w:position w:val="0"/>
          <w:sz w:val="24"/>
          <w:szCs w:val="24"/>
          <w:highlight w:val="none"/>
          <w:lang w:eastAsia="zh-CN"/>
        </w:rPr>
        <w:t>小企业采</w:t>
      </w:r>
      <w:r>
        <w:rPr>
          <w:rFonts w:ascii="宋体" w:hAnsi="宋体" w:eastAsia="宋体" w:cs="宋体"/>
          <w:color w:val="auto"/>
          <w:spacing w:val="0"/>
          <w:position w:val="0"/>
          <w:sz w:val="24"/>
          <w:szCs w:val="24"/>
          <w:highlight w:val="none"/>
          <w:lang w:eastAsia="zh-CN"/>
        </w:rPr>
        <w:t>购。</w:t>
      </w:r>
      <w:r>
        <w:rPr>
          <w:rFonts w:hint="eastAsia" w:ascii="宋体" w:hAnsi="宋体" w:eastAsia="宋体" w:cs="宋体"/>
          <w:color w:val="auto"/>
          <w:spacing w:val="0"/>
          <w:position w:val="0"/>
          <w:sz w:val="24"/>
          <w:szCs w:val="24"/>
          <w:highlight w:val="none"/>
          <w:lang w:val="en-US" w:eastAsia="zh-CN"/>
        </w:rPr>
        <w:t>承接本项目服务的企业</w:t>
      </w:r>
      <w:r>
        <w:rPr>
          <w:rFonts w:ascii="宋体" w:hAnsi="宋体" w:eastAsia="宋体" w:cs="宋体"/>
          <w:color w:val="auto"/>
          <w:spacing w:val="0"/>
          <w:position w:val="0"/>
          <w:sz w:val="24"/>
          <w:szCs w:val="24"/>
          <w:highlight w:val="none"/>
          <w:lang w:eastAsia="zh-CN"/>
        </w:rPr>
        <w:t>须</w:t>
      </w:r>
      <w:r>
        <w:rPr>
          <w:rFonts w:hint="eastAsia" w:ascii="宋体" w:hAnsi="宋体" w:eastAsia="宋体" w:cs="宋体"/>
          <w:color w:val="auto"/>
          <w:spacing w:val="0"/>
          <w:position w:val="0"/>
          <w:sz w:val="24"/>
          <w:szCs w:val="24"/>
          <w:highlight w:val="none"/>
          <w:lang w:val="en-US" w:eastAsia="zh-CN"/>
        </w:rPr>
        <w:t>是</w:t>
      </w:r>
      <w:r>
        <w:rPr>
          <w:rFonts w:ascii="宋体" w:hAnsi="宋体" w:eastAsia="宋体" w:cs="宋体"/>
          <w:color w:val="auto"/>
          <w:spacing w:val="0"/>
          <w:position w:val="0"/>
          <w:sz w:val="24"/>
          <w:szCs w:val="24"/>
          <w:highlight w:val="none"/>
          <w:lang w:eastAsia="zh-CN"/>
        </w:rPr>
        <w:t>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中须提供中小企业声明函或省级以上监狱管理局、戒毒管理局（含新疆生产建设兵团）出具的属于监狱企业的证明文件或残疾人福利性单位声明函</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w:t>
      </w:r>
    </w:p>
    <w:p w14:paraId="2D3D9E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347286F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textAlignment w:val="baseline"/>
        <w:rPr>
          <w:rFonts w:hint="eastAsia" w:ascii="宋体" w:hAnsi="宋体" w:cs="Times New Roman"/>
          <w:b/>
          <w:bCs/>
          <w:color w:val="auto"/>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en-US" w:eastAsia="zh-CN"/>
        </w:rPr>
        <w:t>5.</w:t>
      </w:r>
      <w:r>
        <w:rPr>
          <w:rFonts w:ascii="宋体" w:hAnsi="宋体" w:eastAsia="宋体" w:cs="宋体"/>
          <w:b w:val="0"/>
          <w:bCs w:val="0"/>
          <w:color w:val="auto"/>
          <w:spacing w:val="0"/>
          <w:position w:val="0"/>
          <w:sz w:val="24"/>
          <w:szCs w:val="24"/>
          <w:highlight w:val="none"/>
          <w:lang w:eastAsia="zh-CN"/>
        </w:rPr>
        <w:t>本</w:t>
      </w:r>
      <w:r>
        <w:rPr>
          <w:rFonts w:ascii="宋体" w:hAnsi="宋体" w:eastAsia="宋体" w:cs="宋体"/>
          <w:color w:val="auto"/>
          <w:spacing w:val="0"/>
          <w:position w:val="0"/>
          <w:sz w:val="24"/>
          <w:szCs w:val="24"/>
          <w:highlight w:val="none"/>
          <w:lang w:eastAsia="zh-CN"/>
        </w:rPr>
        <w:t>项目</w:t>
      </w:r>
      <w:r>
        <w:rPr>
          <w:rFonts w:ascii="宋体" w:hAnsi="宋体" w:eastAsia="宋体" w:cs="宋体"/>
          <w:b w:val="0"/>
          <w:bCs w:val="0"/>
          <w:color w:val="auto"/>
          <w:spacing w:val="0"/>
          <w:position w:val="0"/>
          <w:sz w:val="24"/>
          <w:szCs w:val="24"/>
          <w:highlight w:val="none"/>
          <w:lang w:eastAsia="zh-CN"/>
        </w:rPr>
        <w:t>的特定资格要求：</w:t>
      </w:r>
      <w:r>
        <w:rPr>
          <w:rFonts w:hint="eastAsia" w:ascii="宋体" w:hAnsi="宋体" w:eastAsia="宋体" w:cs="宋体"/>
          <w:strike w:val="0"/>
          <w:dstrike w:val="0"/>
          <w:color w:val="auto"/>
          <w:spacing w:val="0"/>
          <w:position w:val="0"/>
          <w:sz w:val="24"/>
          <w:szCs w:val="24"/>
          <w:highlight w:val="none"/>
          <w:u w:val="single"/>
          <w:lang w:val="en-US" w:eastAsia="zh-CN"/>
        </w:rPr>
        <w:t xml:space="preserve"> / </w:t>
      </w:r>
      <w:r>
        <w:rPr>
          <w:rFonts w:hint="eastAsia" w:ascii="宋体" w:hAnsi="宋体" w:eastAsia="宋体" w:cs="宋体"/>
          <w:strike w:val="0"/>
          <w:dstrike w:val="0"/>
          <w:snapToGrid w:val="0"/>
          <w:color w:val="auto"/>
          <w:spacing w:val="0"/>
          <w:position w:val="0"/>
          <w:sz w:val="24"/>
          <w:szCs w:val="24"/>
          <w:highlight w:val="none"/>
          <w:lang w:val="en-US" w:eastAsia="zh-CN" w:bidi="ar-SA"/>
        </w:rPr>
        <w:t>。</w:t>
      </w:r>
    </w:p>
    <w:p w14:paraId="16CFA4F0">
      <w:pPr>
        <w:keepNext w:val="0"/>
        <w:keepLines w:val="0"/>
        <w:pageBreakBefore w:val="0"/>
        <w:widowControl w:val="0"/>
        <w:kinsoku w:val="0"/>
        <w:wordWrap/>
        <w:overflowPunct/>
        <w:topLinePunct w:val="0"/>
        <w:autoSpaceDE w:val="0"/>
        <w:autoSpaceDN w:val="0"/>
        <w:bidi w:val="0"/>
        <w:adjustRightInd w:val="0"/>
        <w:snapToGrid w:val="0"/>
        <w:spacing w:before="0" w:beforeLines="20"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6" w:name="_Toc1252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6"/>
    </w:p>
    <w:p w14:paraId="6B444F8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42" w:firstLineChars="226"/>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u w:val="single"/>
          <w:lang w:eastAsia="zh-CN"/>
        </w:rPr>
        <w:t>年</w:t>
      </w:r>
      <w:r>
        <w:rPr>
          <w:rFonts w:hint="eastAsia" w:ascii="宋体" w:hAnsi="宋体" w:eastAsia="宋体" w:cs="宋体"/>
          <w:color w:val="0000FF"/>
          <w:spacing w:val="0"/>
          <w:kern w:val="0"/>
          <w:position w:val="0"/>
          <w:sz w:val="24"/>
          <w:szCs w:val="24"/>
          <w:highlight w:val="none"/>
          <w:u w:val="single"/>
          <w:lang w:val="en-US" w:eastAsia="zh-CN"/>
        </w:rPr>
        <w:t>05</w:t>
      </w:r>
      <w:r>
        <w:rPr>
          <w:rFonts w:hint="eastAsia" w:ascii="宋体" w:hAnsi="宋体" w:eastAsia="宋体" w:cs="宋体"/>
          <w:color w:val="0000FF"/>
          <w:spacing w:val="0"/>
          <w:kern w:val="0"/>
          <w:position w:val="0"/>
          <w:sz w:val="24"/>
          <w:szCs w:val="24"/>
          <w:highlight w:val="none"/>
          <w:u w:val="single"/>
        </w:rPr>
        <w:t>月</w:t>
      </w:r>
      <w:r>
        <w:rPr>
          <w:rFonts w:hint="eastAsia" w:ascii="宋体" w:hAnsi="宋体" w:eastAsia="宋体" w:cs="宋体"/>
          <w:color w:val="0000FF"/>
          <w:spacing w:val="0"/>
          <w:kern w:val="0"/>
          <w:position w:val="0"/>
          <w:sz w:val="24"/>
          <w:szCs w:val="24"/>
          <w:highlight w:val="none"/>
          <w:u w:val="single"/>
          <w:lang w:val="en-US" w:eastAsia="zh-CN"/>
        </w:rPr>
        <w:t>29</w:t>
      </w:r>
      <w:r>
        <w:rPr>
          <w:rFonts w:hint="eastAsia" w:ascii="宋体" w:hAnsi="宋体" w:eastAsia="宋体" w:cs="宋体"/>
          <w:color w:val="0000FF"/>
          <w:spacing w:val="0"/>
          <w:kern w:val="0"/>
          <w:position w:val="0"/>
          <w:sz w:val="24"/>
          <w:szCs w:val="24"/>
          <w:highlight w:val="none"/>
          <w:u w:val="single"/>
        </w:rPr>
        <w:t>日</w:t>
      </w:r>
      <w:r>
        <w:rPr>
          <w:rFonts w:hint="eastAsia" w:ascii="宋体" w:hAnsi="宋体" w:eastAsia="宋体" w:cs="宋体"/>
          <w:color w:val="auto"/>
          <w:spacing w:val="0"/>
          <w:position w:val="0"/>
          <w:sz w:val="24"/>
          <w:szCs w:val="24"/>
          <w:highlight w:val="none"/>
          <w:u w:val="single"/>
          <w:lang w:eastAsia="zh-CN"/>
        </w:rPr>
        <w:t>至</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u w:val="single"/>
          <w:lang w:eastAsia="zh-CN"/>
        </w:rPr>
        <w:t>年</w:t>
      </w:r>
      <w:r>
        <w:rPr>
          <w:rFonts w:hint="eastAsia" w:ascii="宋体" w:hAnsi="宋体" w:eastAsia="宋体" w:cs="宋体"/>
          <w:color w:val="0000FF"/>
          <w:spacing w:val="0"/>
          <w:kern w:val="0"/>
          <w:position w:val="0"/>
          <w:sz w:val="24"/>
          <w:szCs w:val="24"/>
          <w:highlight w:val="none"/>
          <w:u w:val="single"/>
          <w:lang w:val="en-US" w:eastAsia="zh-CN"/>
        </w:rPr>
        <w:t>06</w:t>
      </w:r>
      <w:r>
        <w:rPr>
          <w:rFonts w:hint="eastAsia" w:ascii="宋体" w:hAnsi="宋体" w:eastAsia="宋体" w:cs="宋体"/>
          <w:color w:val="0000FF"/>
          <w:spacing w:val="0"/>
          <w:kern w:val="0"/>
          <w:position w:val="0"/>
          <w:sz w:val="24"/>
          <w:szCs w:val="24"/>
          <w:highlight w:val="none"/>
          <w:u w:val="single"/>
        </w:rPr>
        <w:t>月</w:t>
      </w:r>
      <w:r>
        <w:rPr>
          <w:rFonts w:hint="eastAsia" w:ascii="宋体" w:hAnsi="宋体" w:eastAsia="宋体" w:cs="宋体"/>
          <w:color w:val="0000FF"/>
          <w:spacing w:val="0"/>
          <w:kern w:val="0"/>
          <w:position w:val="0"/>
          <w:sz w:val="24"/>
          <w:szCs w:val="24"/>
          <w:highlight w:val="none"/>
          <w:u w:val="single"/>
          <w:lang w:val="en-US" w:eastAsia="zh-CN"/>
        </w:rPr>
        <w:t>05</w:t>
      </w:r>
      <w:r>
        <w:rPr>
          <w:rFonts w:hint="eastAsia" w:ascii="宋体" w:hAnsi="宋体" w:eastAsia="宋体" w:cs="宋体"/>
          <w:color w:val="0000FF"/>
          <w:spacing w:val="0"/>
          <w:kern w:val="0"/>
          <w:position w:val="0"/>
          <w:sz w:val="24"/>
          <w:szCs w:val="24"/>
          <w:highlight w:val="none"/>
          <w:u w:val="single"/>
        </w:rPr>
        <w:t>日</w:t>
      </w:r>
      <w:r>
        <w:rPr>
          <w:rFonts w:hint="eastAsia" w:ascii="宋体" w:hAnsi="宋体" w:eastAsia="宋体" w:cs="宋体"/>
          <w:color w:val="auto"/>
          <w:spacing w:val="0"/>
          <w:position w:val="0"/>
          <w:sz w:val="24"/>
          <w:szCs w:val="24"/>
          <w:highlight w:val="none"/>
          <w:lang w:val="en-US" w:eastAsia="zh-CN"/>
        </w:rPr>
        <w:t>，</w:t>
      </w:r>
      <w:bookmarkStart w:id="7" w:name="OLE_LINK6"/>
      <w:r>
        <w:rPr>
          <w:rFonts w:hint="eastAsia" w:ascii="宋体" w:hAnsi="宋体" w:eastAsia="宋体" w:cs="宋体"/>
          <w:color w:val="auto"/>
          <w:spacing w:val="0"/>
          <w:position w:val="0"/>
          <w:sz w:val="24"/>
          <w:szCs w:val="24"/>
          <w:highlight w:val="none"/>
          <w:u w:val="none"/>
          <w:lang w:eastAsia="zh-CN"/>
        </w:rPr>
        <w:t>每天上午</w:t>
      </w:r>
      <w:r>
        <w:rPr>
          <w:rFonts w:hint="eastAsia" w:ascii="宋体" w:hAnsi="宋体" w:eastAsia="宋体" w:cs="宋体"/>
          <w:color w:val="auto"/>
          <w:spacing w:val="0"/>
          <w:position w:val="0"/>
          <w:sz w:val="24"/>
          <w:szCs w:val="24"/>
          <w:u w:val="none"/>
          <w:lang w:eastAsia="zh-CN"/>
        </w:rPr>
        <w:t>0:00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none"/>
          <w:lang w:val="en-US" w:eastAsia="zh-CN"/>
        </w:rPr>
        <w:t>12</w:t>
      </w:r>
      <w:r>
        <w:rPr>
          <w:rFonts w:hint="eastAsia" w:ascii="宋体" w:hAnsi="宋体" w:eastAsia="宋体" w:cs="宋体"/>
          <w:color w:val="auto"/>
          <w:spacing w:val="0"/>
          <w:position w:val="0"/>
          <w:sz w:val="24"/>
          <w:szCs w:val="24"/>
          <w:u w:val="none"/>
          <w:lang w:eastAsia="zh-CN"/>
        </w:rPr>
        <w:t>:00</w:t>
      </w:r>
      <w:r>
        <w:rPr>
          <w:rFonts w:hint="eastAsia" w:ascii="宋体" w:hAnsi="宋体" w:eastAsia="宋体" w:cs="宋体"/>
          <w:color w:val="auto"/>
          <w:spacing w:val="0"/>
          <w:position w:val="0"/>
          <w:sz w:val="24"/>
          <w:szCs w:val="24"/>
          <w:highlight w:val="none"/>
          <w:u w:val="none"/>
          <w:lang w:eastAsia="zh-CN"/>
        </w:rPr>
        <w:t>，下午</w:t>
      </w:r>
      <w:r>
        <w:rPr>
          <w:rFonts w:hint="eastAsia" w:ascii="宋体" w:hAnsi="宋体" w:eastAsia="宋体" w:cs="宋体"/>
          <w:color w:val="auto"/>
          <w:spacing w:val="0"/>
          <w:position w:val="0"/>
          <w:sz w:val="24"/>
          <w:szCs w:val="24"/>
          <w:highlight w:val="none"/>
          <w:u w:val="none"/>
          <w:lang w:val="en-US" w:eastAsia="zh-CN"/>
        </w:rPr>
        <w:t>12</w:t>
      </w:r>
      <w:r>
        <w:rPr>
          <w:rFonts w:hint="eastAsia" w:ascii="宋体" w:hAnsi="宋体" w:eastAsia="宋体" w:cs="宋体"/>
          <w:color w:val="auto"/>
          <w:spacing w:val="0"/>
          <w:position w:val="0"/>
          <w:sz w:val="24"/>
          <w:szCs w:val="24"/>
          <w:u w:val="none"/>
          <w:lang w:eastAsia="zh-CN"/>
        </w:rPr>
        <w:t>:00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none"/>
          <w:lang w:val="en-US" w:eastAsia="zh-CN"/>
        </w:rPr>
        <w:t>23：30</w:t>
      </w:r>
      <w:bookmarkEnd w:id="7"/>
      <w:r>
        <w:rPr>
          <w:rFonts w:hint="eastAsia" w:ascii="宋体" w:hAnsi="宋体" w:eastAsia="宋体" w:cs="宋体"/>
          <w:color w:val="auto"/>
          <w:spacing w:val="0"/>
          <w:position w:val="0"/>
          <w:sz w:val="24"/>
          <w:szCs w:val="24"/>
          <w:highlight w:val="none"/>
          <w:lang w:eastAsia="zh-CN"/>
        </w:rPr>
        <w:t>（北京时间，法定节假日除外</w:t>
      </w:r>
      <w:r>
        <w:rPr>
          <w:rFonts w:ascii="宋体" w:hAnsi="宋体" w:eastAsia="宋体" w:cs="宋体"/>
          <w:color w:val="auto"/>
          <w:spacing w:val="0"/>
          <w:position w:val="0"/>
          <w:sz w:val="24"/>
          <w:szCs w:val="24"/>
          <w:highlight w:val="none"/>
          <w:lang w:eastAsia="zh-CN"/>
        </w:rPr>
        <w:t>）</w:t>
      </w:r>
    </w:p>
    <w:p w14:paraId="48533FB1">
      <w:pPr>
        <w:keepNext w:val="0"/>
        <w:keepLines w:val="0"/>
        <w:pageBreakBefore w:val="0"/>
        <w:widowControl w:val="0"/>
        <w:wordWrap/>
        <w:overflowPunct/>
        <w:topLinePunct w:val="0"/>
        <w:bidi w:val="0"/>
        <w:spacing w:line="360" w:lineRule="auto"/>
        <w:ind w:left="54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rPr>
        <w:t>）</w:t>
      </w:r>
    </w:p>
    <w:p w14:paraId="01977EF9">
      <w:pPr>
        <w:keepNext w:val="0"/>
        <w:keepLines w:val="0"/>
        <w:pageBreakBefore w:val="0"/>
        <w:widowControl w:val="0"/>
        <w:wordWrap/>
        <w:overflowPunct/>
        <w:topLinePunct w:val="0"/>
        <w:bidi w:val="0"/>
        <w:spacing w:line="360" w:lineRule="auto"/>
        <w:ind w:left="54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文件。（详见其他补充事宜）</w:t>
      </w:r>
    </w:p>
    <w:p w14:paraId="7FBFC464">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8" w:name="_Toc3204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8"/>
    </w:p>
    <w:p w14:paraId="4CBF6AED">
      <w:pPr>
        <w:keepNext w:val="0"/>
        <w:keepLines w:val="0"/>
        <w:pageBreakBefore w:val="0"/>
        <w:widowControl w:val="0"/>
        <w:kinsoku/>
        <w:wordWrap/>
        <w:overflowPunct/>
        <w:topLinePunct w:val="0"/>
        <w:bidi w:val="0"/>
        <w:spacing w:line="360" w:lineRule="auto"/>
        <w:ind w:left="54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0000FF"/>
          <w:spacing w:val="0"/>
          <w:kern w:val="0"/>
          <w:position w:val="0"/>
          <w:sz w:val="24"/>
          <w:szCs w:val="24"/>
          <w:highlight w:val="none"/>
          <w:u w:val="single"/>
          <w:lang w:val="en-US" w:eastAsia="zh-CN"/>
        </w:rPr>
        <w:t>2026</w:t>
      </w:r>
      <w:r>
        <w:rPr>
          <w:rFonts w:hint="eastAsia" w:ascii="宋体" w:hAnsi="宋体" w:eastAsia="宋体" w:cs="宋体"/>
          <w:color w:val="0000FF"/>
          <w:spacing w:val="0"/>
          <w:kern w:val="0"/>
          <w:position w:val="0"/>
          <w:sz w:val="24"/>
          <w:szCs w:val="24"/>
          <w:highlight w:val="none"/>
          <w:u w:val="single"/>
        </w:rPr>
        <w:t>年</w:t>
      </w:r>
      <w:r>
        <w:rPr>
          <w:rFonts w:hint="eastAsia" w:ascii="宋体" w:hAnsi="宋体" w:eastAsia="宋体" w:cs="宋体"/>
          <w:color w:val="0000FF"/>
          <w:spacing w:val="0"/>
          <w:kern w:val="0"/>
          <w:position w:val="0"/>
          <w:sz w:val="24"/>
          <w:szCs w:val="24"/>
          <w:highlight w:val="none"/>
          <w:u w:val="single"/>
          <w:lang w:val="en-US" w:eastAsia="zh-CN"/>
        </w:rPr>
        <w:t>06</w:t>
      </w:r>
      <w:r>
        <w:rPr>
          <w:rFonts w:hint="eastAsia" w:ascii="宋体" w:hAnsi="宋体" w:eastAsia="宋体" w:cs="宋体"/>
          <w:color w:val="0000FF"/>
          <w:spacing w:val="0"/>
          <w:kern w:val="0"/>
          <w:position w:val="0"/>
          <w:sz w:val="24"/>
          <w:szCs w:val="24"/>
          <w:highlight w:val="none"/>
          <w:u w:val="single"/>
        </w:rPr>
        <w:t>月</w:t>
      </w:r>
      <w:r>
        <w:rPr>
          <w:rFonts w:hint="eastAsia" w:ascii="宋体" w:hAnsi="宋体" w:eastAsia="宋体" w:cs="宋体"/>
          <w:color w:val="0000FF"/>
          <w:spacing w:val="0"/>
          <w:kern w:val="0"/>
          <w:position w:val="0"/>
          <w:sz w:val="24"/>
          <w:szCs w:val="24"/>
          <w:highlight w:val="none"/>
          <w:u w:val="single"/>
          <w:lang w:val="en-US" w:eastAsia="zh-CN"/>
        </w:rPr>
        <w:t>09</w:t>
      </w:r>
      <w:r>
        <w:rPr>
          <w:rFonts w:hint="eastAsia" w:ascii="宋体" w:hAnsi="宋体" w:eastAsia="宋体" w:cs="宋体"/>
          <w:color w:val="0000FF"/>
          <w:spacing w:val="0"/>
          <w:kern w:val="0"/>
          <w:position w:val="0"/>
          <w:sz w:val="24"/>
          <w:szCs w:val="24"/>
          <w:highlight w:val="none"/>
          <w:u w:val="single"/>
        </w:rPr>
        <w:t>日</w:t>
      </w:r>
      <w:r>
        <w:rPr>
          <w:rFonts w:hint="eastAsia" w:ascii="宋体" w:hAnsi="宋体" w:eastAsia="宋体" w:cs="宋体"/>
          <w:color w:val="0000FF"/>
          <w:spacing w:val="0"/>
          <w:kern w:val="0"/>
          <w:position w:val="0"/>
          <w:sz w:val="24"/>
          <w:szCs w:val="24"/>
          <w:highlight w:val="none"/>
          <w:u w:val="single"/>
          <w:lang w:val="en-US" w:eastAsia="zh-CN"/>
        </w:rPr>
        <w:t>09</w:t>
      </w:r>
      <w:r>
        <w:rPr>
          <w:rFonts w:hint="eastAsia" w:ascii="宋体" w:hAnsi="宋体" w:eastAsia="宋体" w:cs="宋体"/>
          <w:color w:val="0000FF"/>
          <w:spacing w:val="0"/>
          <w:kern w:val="0"/>
          <w:position w:val="0"/>
          <w:sz w:val="24"/>
          <w:szCs w:val="24"/>
          <w:highlight w:val="none"/>
          <w:u w:val="single"/>
        </w:rPr>
        <w:t>点</w:t>
      </w:r>
      <w:r>
        <w:rPr>
          <w:rFonts w:hint="eastAsia" w:ascii="宋体" w:hAnsi="宋体" w:eastAsia="宋体" w:cs="宋体"/>
          <w:color w:val="0000FF"/>
          <w:spacing w:val="0"/>
          <w:kern w:val="0"/>
          <w:position w:val="0"/>
          <w:sz w:val="24"/>
          <w:szCs w:val="24"/>
          <w:highlight w:val="none"/>
          <w:u w:val="single"/>
          <w:lang w:val="en-US" w:eastAsia="zh-CN"/>
        </w:rPr>
        <w:t>30</w:t>
      </w:r>
      <w:r>
        <w:rPr>
          <w:rFonts w:hint="eastAsia" w:ascii="宋体" w:hAnsi="宋体" w:eastAsia="宋体" w:cs="宋体"/>
          <w:color w:val="0000FF"/>
          <w:spacing w:val="0"/>
          <w:kern w:val="0"/>
          <w:position w:val="0"/>
          <w:sz w:val="24"/>
          <w:szCs w:val="24"/>
          <w:highlight w:val="none"/>
          <w:u w:val="single"/>
        </w:rPr>
        <w:t>分</w:t>
      </w:r>
      <w:r>
        <w:rPr>
          <w:rFonts w:ascii="宋体" w:hAnsi="宋体" w:eastAsia="宋体" w:cs="宋体"/>
          <w:color w:val="auto"/>
          <w:spacing w:val="0"/>
          <w:position w:val="0"/>
          <w:sz w:val="24"/>
          <w:szCs w:val="24"/>
          <w:highlight w:val="none"/>
          <w:lang w:eastAsia="zh-CN"/>
        </w:rPr>
        <w:t>（北京时间）</w:t>
      </w:r>
    </w:p>
    <w:p w14:paraId="41FA04C8">
      <w:pPr>
        <w:keepNext w:val="0"/>
        <w:keepLines w:val="0"/>
        <w:pageBreakBefore w:val="0"/>
        <w:widowControl w:val="0"/>
        <w:kinsoku/>
        <w:wordWrap/>
        <w:overflowPunct/>
        <w:topLinePunct w:val="0"/>
        <w:bidi w:val="0"/>
        <w:spacing w:line="360" w:lineRule="auto"/>
        <w:ind w:left="54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lang w:eastAsia="zh-CN"/>
        </w:rPr>
        <w:t>江西省南昌市东湖区省府西二路3号发改委综合楼。</w:t>
      </w:r>
    </w:p>
    <w:p w14:paraId="3E59AAC4">
      <w:pPr>
        <w:keepNext w:val="0"/>
        <w:keepLines w:val="0"/>
        <w:pageBreakBefore w:val="0"/>
        <w:widowControl w:val="0"/>
        <w:numPr>
          <w:ilvl w:val="0"/>
          <w:numId w:val="1"/>
        </w:numPr>
        <w:wordWrap/>
        <w:overflowPunct/>
        <w:topLinePunct w:val="0"/>
        <w:bidi w:val="0"/>
        <w:spacing w:line="360" w:lineRule="auto"/>
        <w:ind w:left="4"/>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9" w:name="_Toc553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9"/>
    </w:p>
    <w:p w14:paraId="287891FA">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p>
    <w:p w14:paraId="23A68B3E">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10" w:name="_Toc185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10"/>
    </w:p>
    <w:p w14:paraId="140D091C">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视为未获取磋商文件，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活动；</w:t>
      </w:r>
    </w:p>
    <w:p w14:paraId="78EFAEB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2.本项目采用</w:t>
      </w:r>
      <w:r>
        <w:rPr>
          <w:rFonts w:hint="eastAsia" w:ascii="宋体" w:hAnsi="宋体" w:eastAsia="宋体" w:cs="宋体"/>
          <w:b/>
          <w:bCs/>
          <w:color w:val="auto"/>
          <w:spacing w:val="0"/>
          <w:position w:val="0"/>
          <w:sz w:val="24"/>
          <w:szCs w:val="24"/>
          <w:highlight w:val="none"/>
          <w:lang w:val="en-US" w:eastAsia="zh-CN"/>
        </w:rPr>
        <w:t>“不见面”磋商方式</w:t>
      </w:r>
      <w:r>
        <w:rPr>
          <w:rFonts w:hint="eastAsia" w:ascii="宋体" w:hAnsi="宋体" w:eastAsia="宋体" w:cs="宋体"/>
          <w:color w:val="auto"/>
          <w:spacing w:val="0"/>
          <w:position w:val="0"/>
          <w:sz w:val="24"/>
          <w:szCs w:val="24"/>
          <w:highlight w:val="none"/>
          <w:lang w:val="en-US" w:eastAsia="zh-CN"/>
        </w:rPr>
        <w:t>，供应商无需到磋商现场，供应商应在提交响应文件截止时间前1小时进入江西省公共资源交易网-不见面开标大厅进行线上签到（具体详见供应商操作手册），否则无法进入后续的磋商环节。具体注意事项详见磋商文件第二章，各供应商需保持在线进行远程线上报价，</w:t>
      </w:r>
      <w:r>
        <w:rPr>
          <w:rFonts w:hint="eastAsia" w:ascii="宋体" w:hAnsi="宋体" w:eastAsia="宋体" w:cs="宋体"/>
          <w:b/>
          <w:bCs/>
          <w:color w:val="auto"/>
          <w:spacing w:val="0"/>
          <w:position w:val="0"/>
          <w:sz w:val="24"/>
          <w:szCs w:val="24"/>
          <w:highlight w:val="none"/>
          <w:lang w:val="en-US" w:eastAsia="zh-CN"/>
        </w:rPr>
        <w:t>规定时间内</w:t>
      </w:r>
      <w:r>
        <w:rPr>
          <w:rFonts w:hint="eastAsia" w:ascii="宋体" w:hAnsi="宋体" w:eastAsia="宋体" w:cs="宋体"/>
          <w:b/>
          <w:bCs/>
          <w:color w:val="auto"/>
          <w:spacing w:val="0"/>
          <w:position w:val="0"/>
          <w:sz w:val="24"/>
          <w:szCs w:val="24"/>
          <w:highlight w:val="none"/>
        </w:rPr>
        <w:t>未完成二次报价的</w:t>
      </w:r>
      <w:r>
        <w:rPr>
          <w:rFonts w:hint="eastAsia" w:ascii="宋体" w:hAnsi="宋体" w:eastAsia="宋体" w:cs="宋体"/>
          <w:color w:val="auto"/>
          <w:spacing w:val="0"/>
          <w:position w:val="0"/>
          <w:sz w:val="24"/>
          <w:szCs w:val="24"/>
          <w:highlight w:val="none"/>
          <w:lang w:val="en-US" w:eastAsia="zh-CN"/>
        </w:rPr>
        <w:t>，视为退出磋商。</w:t>
      </w:r>
    </w:p>
    <w:p w14:paraId="1761BE82">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3.本项目需要落实的政府采购政策：节约能源，保护环境，促进中小企业发展，支持监狱、戒毒企业发展，促进残疾人就业，本国产品等政府采购政策（不适用者除外）。</w:t>
      </w:r>
    </w:p>
    <w:p w14:paraId="12E4B4A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4.本项目是否采用远程异地评标：</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3C5C7DC8">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11" w:name="_Toc1079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11"/>
    </w:p>
    <w:p w14:paraId="1C9AD425">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1.采购人信息</w:t>
      </w:r>
    </w:p>
    <w:p w14:paraId="4DFD379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20" w:left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名 称：江西现代职业技术学院</w:t>
      </w:r>
    </w:p>
    <w:p w14:paraId="11E715A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20" w:left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地 址：江西省南昌市昌东大学园区紫阳大道338号</w:t>
      </w:r>
    </w:p>
    <w:p w14:paraId="5A451B0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20" w:left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联系方式：0791-88121296</w:t>
      </w:r>
    </w:p>
    <w:p w14:paraId="4B13030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20" w:leftChars="20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2.采购代理机构信息</w:t>
      </w:r>
    </w:p>
    <w:p w14:paraId="18BB5E0A">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名 称：</w:t>
      </w:r>
      <w:r>
        <w:rPr>
          <w:rFonts w:hint="eastAsia" w:ascii="宋体" w:hAnsi="宋体" w:eastAsia="宋体" w:cs="宋体"/>
          <w:color w:val="auto"/>
          <w:spacing w:val="0"/>
          <w:w w:val="100"/>
          <w:position w:val="0"/>
          <w:sz w:val="24"/>
          <w:szCs w:val="24"/>
          <w:highlight w:val="none"/>
          <w:lang w:eastAsia="zh-CN"/>
        </w:rPr>
        <w:t>江西省机电设备招标有限公司</w:t>
      </w:r>
    </w:p>
    <w:p w14:paraId="7F91CB22">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地 址：</w:t>
      </w:r>
      <w:r>
        <w:rPr>
          <w:rFonts w:hint="eastAsia" w:ascii="宋体" w:hAnsi="宋体" w:eastAsia="宋体" w:cs="宋体"/>
          <w:color w:val="auto"/>
          <w:spacing w:val="0"/>
          <w:w w:val="100"/>
          <w:position w:val="0"/>
          <w:sz w:val="24"/>
          <w:szCs w:val="24"/>
          <w:highlight w:val="none"/>
          <w:lang w:eastAsia="zh-CN"/>
        </w:rPr>
        <w:t>江西省南昌市东湖区省政府大院北二路 92 号（咨询大厦）</w:t>
      </w:r>
    </w:p>
    <w:p w14:paraId="389DDBA8">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项目联系人：</w:t>
      </w:r>
      <w:r>
        <w:rPr>
          <w:rFonts w:hint="eastAsia" w:ascii="宋体" w:hAnsi="宋体" w:eastAsia="宋体" w:cs="宋体"/>
          <w:color w:val="auto"/>
          <w:spacing w:val="0"/>
          <w:w w:val="100"/>
          <w:position w:val="0"/>
          <w:sz w:val="24"/>
          <w:szCs w:val="24"/>
          <w:highlight w:val="none"/>
          <w:lang w:val="en-US" w:eastAsia="zh-CN"/>
        </w:rPr>
        <w:t>黄鲜铭、刘子丹</w:t>
      </w:r>
    </w:p>
    <w:p w14:paraId="6995F9D1">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电  话：</w:t>
      </w:r>
      <w:r>
        <w:rPr>
          <w:rFonts w:hint="eastAsia" w:ascii="宋体" w:hAnsi="宋体" w:eastAsia="宋体" w:cs="宋体"/>
          <w:color w:val="auto"/>
          <w:spacing w:val="0"/>
          <w:w w:val="100"/>
          <w:position w:val="0"/>
          <w:sz w:val="24"/>
          <w:szCs w:val="24"/>
          <w:highlight w:val="none"/>
          <w:lang w:val="en-US" w:eastAsia="zh-CN"/>
        </w:rPr>
        <w:t>0791-86207757</w:t>
      </w:r>
    </w:p>
    <w:p w14:paraId="0E351F3E">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eastAsia" w:ascii="宋体" w:hAnsi="宋体" w:eastAsia="宋体" w:cs="宋体"/>
          <w:color w:val="auto"/>
          <w:spacing w:val="0"/>
          <w:w w:val="100"/>
          <w:position w:val="0"/>
          <w:sz w:val="24"/>
          <w:szCs w:val="24"/>
          <w:highlight w:val="none"/>
          <w:lang w:val="en-US" w:eastAsia="zh-CN"/>
        </w:rPr>
      </w:pPr>
      <w:r>
        <w:rPr>
          <w:rFonts w:hint="default" w:ascii="宋体" w:hAnsi="宋体" w:eastAsia="宋体" w:cs="宋体"/>
          <w:color w:val="auto"/>
          <w:spacing w:val="0"/>
          <w:w w:val="100"/>
          <w:position w:val="0"/>
          <w:sz w:val="24"/>
          <w:szCs w:val="24"/>
          <w:highlight w:val="none"/>
          <w:lang w:val="en-US" w:eastAsia="zh-CN"/>
        </w:rPr>
        <w:t>部门负责人：奚钰</w:t>
      </w:r>
      <w:r>
        <w:rPr>
          <w:rFonts w:hint="eastAsia" w:ascii="宋体" w:hAnsi="宋体" w:eastAsia="宋体" w:cs="宋体"/>
          <w:color w:val="auto"/>
          <w:spacing w:val="0"/>
          <w:w w:val="100"/>
          <w:position w:val="0"/>
          <w:sz w:val="24"/>
          <w:szCs w:val="24"/>
          <w:highlight w:val="none"/>
          <w:lang w:val="en-US" w:eastAsia="zh-CN"/>
        </w:rPr>
        <w:t xml:space="preserve"> 0791-86270692</w:t>
      </w:r>
    </w:p>
    <w:p w14:paraId="2497131E">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项目监督：</w:t>
      </w:r>
      <w:r>
        <w:rPr>
          <w:rFonts w:hint="eastAsia" w:ascii="宋体" w:hAnsi="宋体" w:eastAsia="宋体" w:cs="宋体"/>
          <w:color w:val="auto"/>
          <w:spacing w:val="0"/>
          <w:w w:val="100"/>
          <w:position w:val="0"/>
          <w:sz w:val="24"/>
          <w:szCs w:val="24"/>
          <w:highlight w:val="none"/>
          <w:lang w:val="en-US" w:eastAsia="zh-CN"/>
        </w:rPr>
        <w:t>桂颖 0791-86272683</w:t>
      </w:r>
    </w:p>
    <w:p w14:paraId="34267563">
      <w:pPr>
        <w:keepNext w:val="0"/>
        <w:keepLines w:val="0"/>
        <w:pageBreakBefore w:val="0"/>
        <w:widowControl w:val="0"/>
        <w:kinsoku w:val="0"/>
        <w:wordWrap/>
        <w:overflowPunct/>
        <w:topLinePunct w:val="0"/>
        <w:autoSpaceDE w:val="0"/>
        <w:autoSpaceDN w:val="0"/>
        <w:bidi w:val="0"/>
        <w:adjustRightInd w:val="0"/>
        <w:snapToGrid w:val="0"/>
        <w:spacing w:line="360" w:lineRule="auto"/>
        <w:ind w:left="420" w:leftChars="200"/>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电子函件：</w:t>
      </w:r>
      <w:r>
        <w:rPr>
          <w:rFonts w:hint="eastAsia" w:ascii="宋体" w:hAnsi="宋体" w:eastAsia="宋体" w:cs="宋体"/>
          <w:color w:val="auto"/>
          <w:spacing w:val="0"/>
          <w:w w:val="100"/>
          <w:position w:val="0"/>
          <w:sz w:val="24"/>
          <w:szCs w:val="24"/>
          <w:highlight w:val="none"/>
          <w:lang w:eastAsia="zh-CN"/>
        </w:rPr>
        <w:t>zfcgb2@jxbidding.com</w:t>
      </w:r>
    </w:p>
    <w:p w14:paraId="07F871F4">
      <w:pPr>
        <w:pageBreakBefore w:val="0"/>
        <w:widowControl w:val="0"/>
        <w:wordWrap/>
        <w:overflowPunct/>
        <w:topLinePunct w:val="0"/>
        <w:bidi w:val="0"/>
        <w:spacing w:before="83" w:line="224" w:lineRule="auto"/>
        <w:jc w:val="both"/>
        <w:outlineLvl w:val="0"/>
        <w:rPr>
          <w:rFonts w:hint="eastAsia" w:ascii="宋体" w:hAnsi="宋体" w:eastAsia="宋体" w:cs="宋体"/>
          <w:color w:val="auto"/>
          <w:spacing w:val="0"/>
          <w:w w:val="100"/>
          <w:position w:val="0"/>
          <w:sz w:val="24"/>
          <w:szCs w:val="24"/>
          <w:lang w:val="en-US" w:eastAsia="zh-CN"/>
        </w:rPr>
        <w:sectPr>
          <w:footerReference r:id="rId6" w:type="default"/>
          <w:pgSz w:w="11906" w:h="16839"/>
          <w:pgMar w:top="1440" w:right="1800" w:bottom="1440" w:left="1800" w:header="0" w:footer="1200" w:gutter="0"/>
          <w:pgNumType w:fmt="decimal" w:start="1"/>
          <w:cols w:space="720" w:num="1"/>
        </w:sectPr>
      </w:pPr>
    </w:p>
    <w:p w14:paraId="34B1272C">
      <w:pPr>
        <w:pageBreakBefore w:val="0"/>
        <w:widowControl w:val="0"/>
        <w:wordWrap/>
        <w:overflowPunct/>
        <w:topLinePunct w:val="0"/>
        <w:bidi w:val="0"/>
        <w:spacing w:before="83" w:line="224" w:lineRule="auto"/>
        <w:jc w:val="center"/>
        <w:outlineLvl w:val="0"/>
        <w:rPr>
          <w:rFonts w:ascii="宋体" w:hAnsi="宋体" w:eastAsia="宋体" w:cs="宋体"/>
          <w:color w:val="auto"/>
          <w:sz w:val="31"/>
          <w:szCs w:val="31"/>
          <w:highlight w:val="none"/>
          <w:lang w:eastAsia="zh-CN"/>
        </w:rPr>
      </w:pPr>
      <w:bookmarkStart w:id="12" w:name="_Toc8141"/>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供应商</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须知</w:t>
      </w:r>
      <w:bookmarkEnd w:id="12"/>
    </w:p>
    <w:p w14:paraId="31AB86FE">
      <w:pPr>
        <w:keepNext w:val="0"/>
        <w:keepLines w:val="0"/>
        <w:pageBreakBefore w:val="0"/>
        <w:widowControl w:val="0"/>
        <w:kinsoku w:val="0"/>
        <w:wordWrap/>
        <w:overflowPunct/>
        <w:topLinePunct w:val="0"/>
        <w:autoSpaceDE w:val="0"/>
        <w:autoSpaceDN w:val="0"/>
        <w:bidi w:val="0"/>
        <w:adjustRightInd w:val="0"/>
        <w:snapToGrid w:val="0"/>
        <w:spacing w:before="207" w:after="0" w:afterLines="169" w:afterAutospacing="0" w:line="219" w:lineRule="auto"/>
        <w:ind w:left="3984" w:leftChars="0" w:hanging="3984" w:hangingChars="1674"/>
        <w:jc w:val="center"/>
        <w:textAlignment w:val="baseline"/>
        <w:outlineLvl w:val="1"/>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pPr>
      <w:bookmarkStart w:id="13" w:name="_Toc4581"/>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须知前附表</w:t>
      </w:r>
      <w:bookmarkEnd w:id="13"/>
    </w:p>
    <w:p w14:paraId="1BC1010D">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本表是对供应商须知的具体补充和修改，如有矛盾，均以本表为准。</w:t>
      </w:r>
    </w:p>
    <w:p w14:paraId="695E6770">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标记</w:t>
      </w:r>
      <w:r>
        <w:rPr>
          <w:rFonts w:hint="eastAsia" w:ascii="宋体" w:hAnsi="宋体" w:eastAsia="宋体" w:cs="宋体"/>
          <w:snapToGrid w:val="0"/>
          <w:color w:val="auto"/>
          <w:spacing w:val="3"/>
          <w:kern w:val="0"/>
          <w:sz w:val="24"/>
          <w:szCs w:val="24"/>
          <w:highlight w:val="none"/>
          <w:lang w:val="en-US" w:eastAsia="zh-CN" w:bidi="ar-SA"/>
        </w:rPr>
        <w:sym w:font="Wingdings 2" w:char="0052"/>
      </w:r>
      <w:r>
        <w:rPr>
          <w:rFonts w:hint="eastAsia" w:ascii="宋体" w:hAnsi="宋体" w:eastAsia="宋体" w:cs="宋体"/>
          <w:snapToGrid w:val="0"/>
          <w:color w:val="auto"/>
          <w:spacing w:val="3"/>
          <w:kern w:val="0"/>
          <w:sz w:val="24"/>
          <w:szCs w:val="24"/>
          <w:highlight w:val="none"/>
          <w:lang w:val="en-US" w:eastAsia="zh-CN" w:bidi="ar-SA"/>
        </w:rPr>
        <w:t>的选项意为适用于本项目，标记</w:t>
      </w:r>
      <w:r>
        <w:rPr>
          <w:rFonts w:hint="eastAsia" w:ascii="宋体" w:hAnsi="宋体" w:eastAsia="宋体" w:cs="宋体"/>
          <w:snapToGrid w:val="0"/>
          <w:color w:val="auto"/>
          <w:spacing w:val="3"/>
          <w:kern w:val="0"/>
          <w:sz w:val="24"/>
          <w:szCs w:val="24"/>
          <w:highlight w:val="none"/>
          <w:lang w:val="en-US" w:eastAsia="zh-CN" w:bidi="ar-SA"/>
        </w:rPr>
        <w:sym w:font="Wingdings 2" w:char="00A3"/>
      </w:r>
      <w:r>
        <w:rPr>
          <w:rFonts w:hint="eastAsia" w:ascii="宋体" w:hAnsi="宋体" w:eastAsia="宋体" w:cs="宋体"/>
          <w:snapToGrid w:val="0"/>
          <w:color w:val="auto"/>
          <w:spacing w:val="3"/>
          <w:kern w:val="0"/>
          <w:sz w:val="24"/>
          <w:szCs w:val="24"/>
          <w:highlight w:val="none"/>
          <w:lang w:val="en-US" w:eastAsia="zh-CN" w:bidi="ar-SA"/>
        </w:rPr>
        <w:t>的选项意为不适用于本项目。</w:t>
      </w:r>
    </w:p>
    <w:p w14:paraId="793F8F9A">
      <w:pPr>
        <w:pageBreakBefore w:val="0"/>
        <w:widowControl w:val="0"/>
        <w:wordWrap/>
        <w:overflowPunct/>
        <w:topLinePunct w:val="0"/>
        <w:bidi w:val="0"/>
        <w:spacing w:line="69" w:lineRule="exact"/>
        <w:rPr>
          <w:color w:val="auto"/>
          <w:highlight w:val="none"/>
        </w:rPr>
      </w:pPr>
    </w:p>
    <w:tbl>
      <w:tblPr>
        <w:tblStyle w:val="28"/>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8"/>
        <w:gridCol w:w="20"/>
        <w:gridCol w:w="1420"/>
        <w:gridCol w:w="9"/>
        <w:gridCol w:w="7118"/>
        <w:gridCol w:w="20"/>
      </w:tblGrid>
      <w:tr w14:paraId="214AC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38" w:type="dxa"/>
            <w:gridSpan w:val="2"/>
            <w:vAlign w:val="center"/>
          </w:tcPr>
          <w:p w14:paraId="7C76FBDC">
            <w:pPr>
              <w:keepNext w:val="0"/>
              <w:keepLines w:val="0"/>
              <w:pageBreakBefore w:val="0"/>
              <w:widowControl w:val="0"/>
              <w:wordWrap/>
              <w:overflowPunct/>
              <w:topLinePunct w:val="0"/>
              <w:autoSpaceDE w:val="0"/>
              <w:autoSpaceDN w:val="0"/>
              <w:bidi w:val="0"/>
              <w:adjustRightInd w:val="0"/>
              <w:snapToGrid w:val="0"/>
              <w:spacing w:before="56" w:line="219" w:lineRule="auto"/>
              <w:ind w:left="116"/>
              <w:jc w:val="center"/>
              <w:rPr>
                <w:rFonts w:ascii="宋体" w:hAnsi="宋体" w:eastAsia="宋体" w:cs="宋体"/>
                <w:color w:val="auto"/>
                <w:sz w:val="24"/>
                <w:szCs w:val="24"/>
                <w:highlight w:val="none"/>
              </w:rPr>
            </w:pPr>
            <w:r>
              <w:rPr>
                <w:rFonts w:ascii="宋体" w:hAnsi="宋体" w:eastAsia="宋体" w:cs="宋体"/>
                <w:color w:val="auto"/>
                <w:spacing w:val="-3"/>
                <w:sz w:val="24"/>
                <w:szCs w:val="24"/>
                <w:highlight w:val="none"/>
                <w14:textOutline w14:w="4356" w14:cap="sq" w14:cmpd="sng" w14:algn="ctr">
                  <w14:solidFill>
                    <w14:srgbClr w14:val="000000"/>
                  </w14:solidFill>
                  <w14:prstDash w14:val="solid"/>
                  <w14:bevel/>
                </w14:textOutline>
              </w:rPr>
              <w:t>条款号</w:t>
            </w:r>
          </w:p>
        </w:tc>
        <w:tc>
          <w:tcPr>
            <w:tcW w:w="1429" w:type="dxa"/>
            <w:gridSpan w:val="2"/>
            <w:vAlign w:val="center"/>
          </w:tcPr>
          <w:p w14:paraId="1ED7B6D9">
            <w:pPr>
              <w:keepNext w:val="0"/>
              <w:keepLines w:val="0"/>
              <w:pageBreakBefore w:val="0"/>
              <w:widowControl w:val="0"/>
              <w:kinsoku w:val="0"/>
              <w:wordWrap/>
              <w:overflowPunct/>
              <w:topLinePunct w:val="0"/>
              <w:autoSpaceDE w:val="0"/>
              <w:autoSpaceDN w:val="0"/>
              <w:bidi w:val="0"/>
              <w:adjustRightInd w:val="0"/>
              <w:snapToGrid w:val="0"/>
              <w:spacing w:line="240" w:lineRule="auto"/>
              <w:ind w:left="116"/>
              <w:jc w:val="center"/>
              <w:textAlignment w:val="baseline"/>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条目</w:t>
            </w:r>
          </w:p>
        </w:tc>
        <w:tc>
          <w:tcPr>
            <w:tcW w:w="7138" w:type="dxa"/>
            <w:gridSpan w:val="2"/>
            <w:vAlign w:val="center"/>
          </w:tcPr>
          <w:p w14:paraId="77464FD4">
            <w:pPr>
              <w:keepNext w:val="0"/>
              <w:keepLines w:val="0"/>
              <w:pageBreakBefore w:val="0"/>
              <w:widowControl w:val="0"/>
              <w:wordWrap/>
              <w:overflowPunct/>
              <w:topLinePunct w:val="0"/>
              <w:autoSpaceDE w:val="0"/>
              <w:autoSpaceDN w:val="0"/>
              <w:bidi w:val="0"/>
              <w:adjustRightInd w:val="0"/>
              <w:snapToGrid w:val="0"/>
              <w:spacing w:before="56" w:line="219" w:lineRule="auto"/>
              <w:ind w:left="3744" w:leftChars="0" w:hanging="3744" w:hangingChars="1872"/>
              <w:jc w:val="center"/>
              <w:rPr>
                <w:rFonts w:ascii="宋体" w:hAnsi="宋体" w:eastAsia="宋体" w:cs="宋体"/>
                <w:color w:val="auto"/>
                <w:sz w:val="24"/>
                <w:szCs w:val="24"/>
                <w:highlight w:val="none"/>
              </w:rPr>
            </w:pP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内</w:t>
            </w:r>
            <w:r>
              <w:rPr>
                <w:rFonts w:ascii="宋体" w:hAnsi="宋体" w:eastAsia="宋体" w:cs="宋体"/>
                <w:color w:val="auto"/>
                <w:spacing w:val="3"/>
                <w:sz w:val="24"/>
                <w:szCs w:val="24"/>
                <w:highlight w:val="none"/>
              </w:rPr>
              <w:t xml:space="preserve">    </w:t>
            </w: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容</w:t>
            </w:r>
          </w:p>
        </w:tc>
      </w:tr>
      <w:tr w14:paraId="21952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6" w:hRule="atLeast"/>
          <w:jc w:val="center"/>
        </w:trPr>
        <w:tc>
          <w:tcPr>
            <w:tcW w:w="938" w:type="dxa"/>
            <w:gridSpan w:val="2"/>
          </w:tcPr>
          <w:p w14:paraId="7CB48AC8">
            <w:pPr>
              <w:keepNext w:val="0"/>
              <w:keepLines w:val="0"/>
              <w:pageBreakBefore w:val="0"/>
              <w:widowControl w:val="0"/>
              <w:wordWrap/>
              <w:overflowPunct/>
              <w:topLinePunct w:val="0"/>
              <w:autoSpaceDE w:val="0"/>
              <w:autoSpaceDN w:val="0"/>
              <w:bidi w:val="0"/>
              <w:adjustRightInd w:val="0"/>
              <w:snapToGrid w:val="0"/>
              <w:spacing w:before="116" w:line="184" w:lineRule="auto"/>
              <w:ind w:left="315"/>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1.1</w:t>
            </w:r>
          </w:p>
        </w:tc>
        <w:tc>
          <w:tcPr>
            <w:tcW w:w="1429" w:type="dxa"/>
            <w:gridSpan w:val="2"/>
            <w:vAlign w:val="center"/>
          </w:tcPr>
          <w:p w14:paraId="4F49C1E5">
            <w:pPr>
              <w:keepNext w:val="0"/>
              <w:keepLines w:val="0"/>
              <w:pageBreakBefore w:val="0"/>
              <w:widowControl w:val="0"/>
              <w:kinsoku w:val="0"/>
              <w:wordWrap/>
              <w:overflowPunct/>
              <w:topLinePunct w:val="0"/>
              <w:autoSpaceDE w:val="0"/>
              <w:autoSpaceDN w:val="0"/>
              <w:bidi w:val="0"/>
              <w:adjustRightInd w:val="0"/>
              <w:snapToGrid w:val="0"/>
              <w:spacing w:line="240" w:lineRule="auto"/>
              <w:ind w:right="143" w:rightChars="68"/>
              <w:jc w:val="center"/>
              <w:textAlignment w:val="baseline"/>
              <w:rPr>
                <w:rFonts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项目名称及项目编号</w:t>
            </w:r>
          </w:p>
        </w:tc>
        <w:tc>
          <w:tcPr>
            <w:tcW w:w="7138" w:type="dxa"/>
            <w:gridSpan w:val="2"/>
            <w:vAlign w:val="center"/>
          </w:tcPr>
          <w:p w14:paraId="137D7EB2">
            <w:pPr>
              <w:keepNext w:val="0"/>
              <w:keepLines w:val="0"/>
              <w:pageBreakBefore w:val="0"/>
              <w:widowControl w:val="0"/>
              <w:wordWrap/>
              <w:overflowPunct/>
              <w:topLinePunct w:val="0"/>
              <w:autoSpaceDE w:val="0"/>
              <w:autoSpaceDN w:val="0"/>
              <w:bidi w:val="0"/>
              <w:adjustRightInd w:val="0"/>
              <w:snapToGrid w:val="0"/>
              <w:spacing w:before="79" w:line="240" w:lineRule="auto"/>
              <w:ind w:left="118"/>
              <w:jc w:val="center"/>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磋商邀请</w:t>
            </w:r>
            <w:r>
              <w:rPr>
                <w:rFonts w:ascii="宋体" w:hAnsi="宋体" w:eastAsia="宋体" w:cs="宋体"/>
                <w:color w:val="auto"/>
                <w:spacing w:val="3"/>
                <w:sz w:val="24"/>
                <w:szCs w:val="24"/>
                <w:highlight w:val="none"/>
                <w:lang w:eastAsia="zh-CN"/>
              </w:rPr>
              <w:t>”</w:t>
            </w:r>
          </w:p>
        </w:tc>
      </w:tr>
      <w:tr w14:paraId="7D927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38" w:type="dxa"/>
            <w:gridSpan w:val="2"/>
          </w:tcPr>
          <w:p w14:paraId="1035B7FD">
            <w:pPr>
              <w:keepNext w:val="0"/>
              <w:keepLines w:val="0"/>
              <w:pageBreakBefore w:val="0"/>
              <w:widowControl w:val="0"/>
              <w:wordWrap/>
              <w:overflowPunct/>
              <w:topLinePunct w:val="0"/>
              <w:autoSpaceDE w:val="0"/>
              <w:autoSpaceDN w:val="0"/>
              <w:bidi w:val="0"/>
              <w:adjustRightInd w:val="0"/>
              <w:snapToGrid w:val="0"/>
              <w:spacing w:before="118" w:line="184" w:lineRule="auto"/>
              <w:ind w:left="300"/>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2.1</w:t>
            </w:r>
          </w:p>
        </w:tc>
        <w:tc>
          <w:tcPr>
            <w:tcW w:w="1429" w:type="dxa"/>
            <w:gridSpan w:val="2"/>
            <w:vAlign w:val="center"/>
          </w:tcPr>
          <w:p w14:paraId="40D10B9C">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5"/>
                <w:sz w:val="24"/>
                <w:szCs w:val="24"/>
                <w:highlight w:val="none"/>
              </w:rPr>
            </w:pPr>
            <w:r>
              <w:rPr>
                <w:rFonts w:ascii="宋体" w:hAnsi="宋体" w:eastAsia="宋体" w:cs="宋体"/>
                <w:color w:val="auto"/>
                <w:spacing w:val="4"/>
                <w:sz w:val="24"/>
                <w:szCs w:val="24"/>
                <w:highlight w:val="none"/>
                <w:lang w:eastAsia="zh-CN"/>
              </w:rPr>
              <w:t>采购人</w:t>
            </w:r>
          </w:p>
        </w:tc>
        <w:tc>
          <w:tcPr>
            <w:tcW w:w="7138" w:type="dxa"/>
            <w:gridSpan w:val="2"/>
            <w:vAlign w:val="center"/>
          </w:tcPr>
          <w:p w14:paraId="0EC0D9B1">
            <w:pPr>
              <w:keepNext w:val="0"/>
              <w:keepLines w:val="0"/>
              <w:pageBreakBefore w:val="0"/>
              <w:widowControl w:val="0"/>
              <w:wordWrap/>
              <w:overflowPunct/>
              <w:topLinePunct w:val="0"/>
              <w:autoSpaceDE w:val="0"/>
              <w:autoSpaceDN w:val="0"/>
              <w:bidi w:val="0"/>
              <w:adjustRightInd w:val="0"/>
              <w:snapToGrid w:val="0"/>
              <w:spacing w:before="81" w:line="240" w:lineRule="auto"/>
              <w:ind w:left="113"/>
              <w:jc w:val="center"/>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 xml:space="preserve">详见“第一章 </w:t>
            </w:r>
            <w:r>
              <w:rPr>
                <w:rFonts w:hint="eastAsia" w:ascii="宋体" w:hAnsi="宋体" w:eastAsia="宋体" w:cs="宋体"/>
                <w:color w:val="auto"/>
                <w:spacing w:val="4"/>
                <w:sz w:val="24"/>
                <w:szCs w:val="24"/>
                <w:highlight w:val="none"/>
                <w:lang w:eastAsia="zh-CN"/>
              </w:rPr>
              <w:t>磋商邀请</w:t>
            </w:r>
            <w:r>
              <w:rPr>
                <w:rFonts w:ascii="宋体" w:hAnsi="宋体" w:eastAsia="宋体" w:cs="宋体"/>
                <w:color w:val="auto"/>
                <w:spacing w:val="4"/>
                <w:sz w:val="24"/>
                <w:szCs w:val="24"/>
                <w:highlight w:val="none"/>
                <w:lang w:eastAsia="zh-CN"/>
              </w:rPr>
              <w:t>”</w:t>
            </w:r>
          </w:p>
        </w:tc>
      </w:tr>
      <w:tr w14:paraId="58262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38" w:type="dxa"/>
            <w:gridSpan w:val="2"/>
          </w:tcPr>
          <w:p w14:paraId="0888D872">
            <w:pPr>
              <w:keepNext w:val="0"/>
              <w:keepLines w:val="0"/>
              <w:pageBreakBefore w:val="0"/>
              <w:widowControl w:val="0"/>
              <w:wordWrap/>
              <w:overflowPunct/>
              <w:topLinePunct w:val="0"/>
              <w:autoSpaceDE w:val="0"/>
              <w:autoSpaceDN w:val="0"/>
              <w:bidi w:val="0"/>
              <w:adjustRightInd w:val="0"/>
              <w:snapToGrid w:val="0"/>
              <w:spacing w:before="188" w:line="183" w:lineRule="auto"/>
              <w:ind w:left="300"/>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2.2</w:t>
            </w:r>
          </w:p>
        </w:tc>
        <w:tc>
          <w:tcPr>
            <w:tcW w:w="1429" w:type="dxa"/>
            <w:gridSpan w:val="2"/>
            <w:vAlign w:val="center"/>
          </w:tcPr>
          <w:p w14:paraId="5A43C583">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3"/>
                <w:sz w:val="24"/>
                <w:szCs w:val="24"/>
                <w:highlight w:val="none"/>
                <w:lang w:eastAsia="zh-CN"/>
              </w:rPr>
            </w:pPr>
            <w:r>
              <w:rPr>
                <w:rFonts w:ascii="宋体" w:hAnsi="宋体" w:eastAsia="宋体" w:cs="宋体"/>
                <w:color w:val="auto"/>
                <w:spacing w:val="3"/>
                <w:sz w:val="24"/>
                <w:szCs w:val="24"/>
                <w:highlight w:val="none"/>
                <w:lang w:eastAsia="zh-CN"/>
              </w:rPr>
              <w:t>采购代理</w:t>
            </w:r>
          </w:p>
          <w:p w14:paraId="2768813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5"/>
                <w:sz w:val="24"/>
                <w:szCs w:val="24"/>
                <w:highlight w:val="none"/>
              </w:rPr>
            </w:pPr>
            <w:r>
              <w:rPr>
                <w:rFonts w:ascii="宋体" w:hAnsi="宋体" w:eastAsia="宋体" w:cs="宋体"/>
                <w:color w:val="auto"/>
                <w:spacing w:val="3"/>
                <w:sz w:val="24"/>
                <w:szCs w:val="24"/>
                <w:highlight w:val="none"/>
                <w:lang w:eastAsia="zh-CN"/>
              </w:rPr>
              <w:t>机构</w:t>
            </w:r>
          </w:p>
        </w:tc>
        <w:tc>
          <w:tcPr>
            <w:tcW w:w="7138" w:type="dxa"/>
            <w:gridSpan w:val="2"/>
            <w:vAlign w:val="center"/>
          </w:tcPr>
          <w:p w14:paraId="3A5138EA">
            <w:pPr>
              <w:keepNext w:val="0"/>
              <w:keepLines w:val="0"/>
              <w:pageBreakBefore w:val="0"/>
              <w:widowControl w:val="0"/>
              <w:wordWrap/>
              <w:overflowPunct/>
              <w:topLinePunct w:val="0"/>
              <w:autoSpaceDE w:val="0"/>
              <w:autoSpaceDN w:val="0"/>
              <w:bidi w:val="0"/>
              <w:adjustRightInd w:val="0"/>
              <w:snapToGrid w:val="0"/>
              <w:spacing w:before="149" w:line="240" w:lineRule="auto"/>
              <w:ind w:left="113"/>
              <w:jc w:val="center"/>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磋商邀请</w:t>
            </w:r>
            <w:r>
              <w:rPr>
                <w:rFonts w:ascii="宋体" w:hAnsi="宋体" w:eastAsia="宋体" w:cs="宋体"/>
                <w:color w:val="auto"/>
                <w:spacing w:val="3"/>
                <w:sz w:val="24"/>
                <w:szCs w:val="24"/>
                <w:highlight w:val="none"/>
                <w:lang w:eastAsia="zh-CN"/>
              </w:rPr>
              <w:t>”</w:t>
            </w:r>
          </w:p>
        </w:tc>
      </w:tr>
      <w:tr w14:paraId="3DD72E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7" w:hRule="atLeast"/>
          <w:jc w:val="center"/>
        </w:trPr>
        <w:tc>
          <w:tcPr>
            <w:tcW w:w="938" w:type="dxa"/>
            <w:gridSpan w:val="2"/>
            <w:vAlign w:val="center"/>
          </w:tcPr>
          <w:p w14:paraId="0B0C2DB2">
            <w:pPr>
              <w:keepNext w:val="0"/>
              <w:keepLines w:val="0"/>
              <w:pageBreakBefore w:val="0"/>
              <w:widowControl w:val="0"/>
              <w:wordWrap/>
              <w:overflowPunct/>
              <w:topLinePunct w:val="0"/>
              <w:autoSpaceDE w:val="0"/>
              <w:autoSpaceDN w:val="0"/>
              <w:bidi w:val="0"/>
              <w:adjustRightInd w:val="0"/>
              <w:snapToGrid w:val="0"/>
              <w:spacing w:before="78" w:line="184" w:lineRule="auto"/>
              <w:ind w:left="182"/>
              <w:jc w:val="center"/>
              <w:rPr>
                <w:rFonts w:ascii="宋体" w:hAnsi="宋体" w:eastAsia="宋体" w:cs="宋体"/>
                <w:color w:val="auto"/>
                <w:sz w:val="24"/>
                <w:szCs w:val="24"/>
                <w:highlight w:val="none"/>
              </w:rPr>
            </w:pPr>
            <w:r>
              <w:rPr>
                <w:rFonts w:ascii="宋体" w:hAnsi="宋体" w:eastAsia="宋体" w:cs="宋体"/>
                <w:color w:val="auto"/>
                <w:spacing w:val="-3"/>
                <w:sz w:val="24"/>
                <w:szCs w:val="24"/>
                <w:highlight w:val="none"/>
              </w:rPr>
              <w:t>3.2.1</w:t>
            </w:r>
          </w:p>
        </w:tc>
        <w:tc>
          <w:tcPr>
            <w:tcW w:w="1429" w:type="dxa"/>
            <w:gridSpan w:val="2"/>
            <w:vAlign w:val="center"/>
          </w:tcPr>
          <w:p w14:paraId="27C108D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3"/>
                <w:sz w:val="24"/>
                <w:szCs w:val="24"/>
                <w:highlight w:val="none"/>
                <w:lang w:val="en-US"/>
              </w:rPr>
            </w:pPr>
            <w:r>
              <w:rPr>
                <w:rFonts w:ascii="宋体" w:hAnsi="宋体" w:eastAsia="宋体" w:cs="宋体"/>
                <w:color w:val="auto"/>
                <w:spacing w:val="3"/>
                <w:sz w:val="24"/>
                <w:szCs w:val="24"/>
                <w:highlight w:val="none"/>
                <w:lang w:eastAsia="zh-CN"/>
              </w:rPr>
              <w:t>联合体</w:t>
            </w:r>
            <w:r>
              <w:rPr>
                <w:rFonts w:hint="eastAsia" w:ascii="宋体" w:hAnsi="宋体" w:eastAsia="宋体" w:cs="宋体"/>
                <w:color w:val="auto"/>
                <w:spacing w:val="3"/>
                <w:sz w:val="24"/>
                <w:szCs w:val="24"/>
                <w:highlight w:val="none"/>
                <w:lang w:val="en-US" w:eastAsia="zh-CN"/>
              </w:rPr>
              <w:t>磋商</w:t>
            </w:r>
          </w:p>
        </w:tc>
        <w:tc>
          <w:tcPr>
            <w:tcW w:w="7138" w:type="dxa"/>
            <w:gridSpan w:val="2"/>
            <w:vAlign w:val="center"/>
          </w:tcPr>
          <w:p w14:paraId="67B2E895">
            <w:pPr>
              <w:keepNext w:val="0"/>
              <w:keepLines w:val="0"/>
              <w:pageBreakBefore w:val="0"/>
              <w:widowControl w:val="0"/>
              <w:wordWrap/>
              <w:overflowPunct/>
              <w:topLinePunct w:val="0"/>
              <w:autoSpaceDE w:val="0"/>
              <w:autoSpaceDN w:val="0"/>
              <w:bidi w:val="0"/>
              <w:adjustRightInd w:val="0"/>
              <w:snapToGrid w:val="0"/>
              <w:spacing w:before="36" w:line="219" w:lineRule="auto"/>
              <w:ind w:left="115"/>
              <w:jc w:val="both"/>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本项目是否接受联合体</w:t>
            </w:r>
            <w:r>
              <w:rPr>
                <w:rFonts w:hint="eastAsia" w:ascii="宋体" w:hAnsi="宋体" w:eastAsia="宋体" w:cs="宋体"/>
                <w:color w:val="auto"/>
                <w:spacing w:val="3"/>
                <w:sz w:val="24"/>
                <w:szCs w:val="24"/>
                <w:highlight w:val="none"/>
                <w:lang w:val="en-US" w:eastAsia="zh-CN"/>
              </w:rPr>
              <w:t>磋商</w:t>
            </w: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磋商邀请</w:t>
            </w:r>
            <w:r>
              <w:rPr>
                <w:rFonts w:ascii="宋体" w:hAnsi="宋体" w:eastAsia="宋体" w:cs="宋体"/>
                <w:color w:val="auto"/>
                <w:spacing w:val="2"/>
                <w:sz w:val="24"/>
                <w:szCs w:val="24"/>
                <w:highlight w:val="none"/>
                <w:lang w:eastAsia="zh-CN"/>
              </w:rPr>
              <w:t>”</w:t>
            </w:r>
          </w:p>
          <w:p w14:paraId="15608086">
            <w:pPr>
              <w:keepNext w:val="0"/>
              <w:keepLines w:val="0"/>
              <w:pageBreakBefore w:val="0"/>
              <w:widowControl w:val="0"/>
              <w:wordWrap/>
              <w:overflowPunct/>
              <w:topLinePunct w:val="0"/>
              <w:autoSpaceDE w:val="0"/>
              <w:autoSpaceDN w:val="0"/>
              <w:bidi w:val="0"/>
              <w:adjustRightInd w:val="0"/>
              <w:snapToGrid w:val="0"/>
              <w:spacing w:before="181" w:line="359" w:lineRule="auto"/>
              <w:ind w:left="115" w:right="106" w:firstLine="41"/>
              <w:jc w:val="both"/>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(接受联合体的，除联</w:t>
            </w:r>
            <w:r>
              <w:rPr>
                <w:rFonts w:ascii="宋体" w:hAnsi="宋体" w:eastAsia="宋体" w:cs="宋体"/>
                <w:color w:val="auto"/>
                <w:sz w:val="24"/>
                <w:szCs w:val="24"/>
                <w:highlight w:val="none"/>
                <w:lang w:eastAsia="zh-CN"/>
              </w:rPr>
              <w:t>合体协议和</w:t>
            </w:r>
            <w:r>
              <w:rPr>
                <w:rFonts w:hint="eastAsia" w:ascii="宋体" w:hAnsi="宋体" w:eastAsia="宋体" w:cs="宋体"/>
                <w:color w:val="auto"/>
                <w:sz w:val="24"/>
                <w:szCs w:val="24"/>
                <w:highlight w:val="none"/>
                <w:lang w:eastAsia="zh-CN"/>
              </w:rPr>
              <w:t>磋商文件</w:t>
            </w:r>
            <w:r>
              <w:rPr>
                <w:rFonts w:ascii="宋体" w:hAnsi="宋体" w:eastAsia="宋体" w:cs="宋体"/>
                <w:color w:val="auto"/>
                <w:sz w:val="24"/>
                <w:szCs w:val="24"/>
                <w:highlight w:val="none"/>
                <w:lang w:eastAsia="zh-CN"/>
              </w:rPr>
              <w:t>特殊要求外，</w:t>
            </w:r>
            <w:r>
              <w:rPr>
                <w:rFonts w:hint="eastAsia" w:ascii="宋体" w:hAnsi="宋体" w:eastAsia="宋体" w:cs="宋体"/>
                <w:color w:val="auto"/>
                <w:sz w:val="24"/>
                <w:szCs w:val="24"/>
                <w:highlight w:val="none"/>
                <w:lang w:eastAsia="zh-CN"/>
              </w:rPr>
              <w:t>磋商文件</w:t>
            </w:r>
            <w:r>
              <w:rPr>
                <w:rFonts w:ascii="宋体" w:hAnsi="宋体" w:eastAsia="宋体" w:cs="宋体"/>
                <w:color w:val="auto"/>
                <w:sz w:val="24"/>
                <w:szCs w:val="24"/>
                <w:highlight w:val="none"/>
                <w:lang w:eastAsia="zh-CN"/>
              </w:rPr>
              <w:t>中要求盖章或签字处仅需联合</w:t>
            </w:r>
            <w:r>
              <w:rPr>
                <w:rFonts w:ascii="宋体" w:hAnsi="宋体" w:eastAsia="宋体" w:cs="宋体"/>
                <w:color w:val="auto"/>
                <w:spacing w:val="-1"/>
                <w:sz w:val="24"/>
                <w:szCs w:val="24"/>
                <w:highlight w:val="none"/>
                <w:lang w:eastAsia="zh-CN"/>
              </w:rPr>
              <w:t>体牵</w:t>
            </w:r>
            <w:r>
              <w:rPr>
                <w:rFonts w:ascii="宋体" w:hAnsi="宋体" w:eastAsia="宋体" w:cs="宋体"/>
                <w:color w:val="auto"/>
                <w:spacing w:val="-2"/>
                <w:sz w:val="24"/>
                <w:szCs w:val="24"/>
                <w:highlight w:val="none"/>
                <w:lang w:eastAsia="zh-CN"/>
              </w:rPr>
              <w:t>头单位盖章或签字。）</w:t>
            </w:r>
          </w:p>
        </w:tc>
      </w:tr>
      <w:tr w14:paraId="18475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938" w:type="dxa"/>
            <w:gridSpan w:val="2"/>
            <w:vAlign w:val="center"/>
          </w:tcPr>
          <w:p w14:paraId="7876D6A5">
            <w:pPr>
              <w:keepNext w:val="0"/>
              <w:keepLines w:val="0"/>
              <w:pageBreakBefore w:val="0"/>
              <w:widowControl w:val="0"/>
              <w:wordWrap/>
              <w:overflowPunct/>
              <w:topLinePunct w:val="0"/>
              <w:autoSpaceDE w:val="0"/>
              <w:autoSpaceDN w:val="0"/>
              <w:bidi w:val="0"/>
              <w:adjustRightInd w:val="0"/>
              <w:snapToGrid w:val="0"/>
              <w:spacing w:before="152" w:line="182" w:lineRule="auto"/>
              <w:ind w:left="423"/>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7</w:t>
            </w:r>
          </w:p>
        </w:tc>
        <w:tc>
          <w:tcPr>
            <w:tcW w:w="1429" w:type="dxa"/>
            <w:gridSpan w:val="2"/>
            <w:vAlign w:val="center"/>
          </w:tcPr>
          <w:p w14:paraId="796784A3">
            <w:pPr>
              <w:keepNext w:val="0"/>
              <w:keepLines w:val="0"/>
              <w:pageBreakBefore w:val="0"/>
              <w:widowControl w:val="0"/>
              <w:kinsoku w:val="0"/>
              <w:wordWrap/>
              <w:overflowPunct/>
              <w:topLinePunct w:val="0"/>
              <w:autoSpaceDE w:val="0"/>
              <w:autoSpaceDN w:val="0"/>
              <w:bidi w:val="0"/>
              <w:adjustRightInd w:val="0"/>
              <w:snapToGrid w:val="0"/>
              <w:spacing w:line="240" w:lineRule="auto"/>
              <w:ind w:left="117"/>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资格、资信证明文件</w:t>
            </w:r>
          </w:p>
          <w:p w14:paraId="58AFECD3">
            <w:pPr>
              <w:keepNext w:val="0"/>
              <w:keepLines w:val="0"/>
              <w:pageBreakBefore w:val="0"/>
              <w:widowControl w:val="0"/>
              <w:kinsoku w:val="0"/>
              <w:wordWrap/>
              <w:overflowPunct/>
              <w:topLinePunct w:val="0"/>
              <w:autoSpaceDE w:val="0"/>
              <w:autoSpaceDN w:val="0"/>
              <w:bidi w:val="0"/>
              <w:adjustRightInd w:val="0"/>
              <w:snapToGrid w:val="0"/>
              <w:spacing w:line="240" w:lineRule="auto"/>
              <w:ind w:left="423"/>
              <w:jc w:val="center"/>
              <w:textAlignment w:val="baseline"/>
              <w:rPr>
                <w:rFonts w:ascii="宋体" w:hAnsi="宋体" w:eastAsia="宋体" w:cs="宋体"/>
                <w:color w:val="auto"/>
                <w:sz w:val="24"/>
                <w:szCs w:val="24"/>
                <w:highlight w:val="none"/>
              </w:rPr>
            </w:pPr>
          </w:p>
        </w:tc>
        <w:tc>
          <w:tcPr>
            <w:tcW w:w="7138" w:type="dxa"/>
            <w:gridSpan w:val="2"/>
            <w:vAlign w:val="center"/>
          </w:tcPr>
          <w:p w14:paraId="46F028D4">
            <w:pPr>
              <w:keepNext w:val="0"/>
              <w:keepLines w:val="0"/>
              <w:pageBreakBefore w:val="0"/>
              <w:widowControl w:val="0"/>
              <w:kinsoku w:val="0"/>
              <w:wordWrap/>
              <w:overflowPunct/>
              <w:topLinePunct w:val="0"/>
              <w:autoSpaceDE w:val="0"/>
              <w:autoSpaceDN w:val="0"/>
              <w:bidi w:val="0"/>
              <w:adjustRightInd w:val="0"/>
              <w:snapToGrid w:val="0"/>
              <w:spacing w:before="193" w:line="360" w:lineRule="auto"/>
              <w:ind w:left="115" w:leftChars="55" w:firstLine="101" w:firstLineChars="42"/>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供应商应当提交的资格、资信证明文件</w:t>
            </w:r>
          </w:p>
          <w:p w14:paraId="1D72932F">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bCs/>
                <w:color w:val="auto"/>
                <w:sz w:val="24"/>
                <w:szCs w:val="24"/>
                <w:highlight w:val="none"/>
              </w:rPr>
              <w:t>（1）合格的</w:t>
            </w:r>
            <w:r>
              <w:rPr>
                <w:rFonts w:hint="eastAsia" w:ascii="宋体" w:hAnsi="宋体" w:eastAsia="宋体" w:cs="宋体"/>
                <w:bCs/>
                <w:color w:val="auto"/>
                <w:sz w:val="24"/>
                <w:szCs w:val="24"/>
                <w:highlight w:val="none"/>
                <w:lang w:eastAsia="zh-CN"/>
              </w:rPr>
              <w:t>供应商</w:t>
            </w:r>
            <w:r>
              <w:rPr>
                <w:rFonts w:hint="eastAsia" w:ascii="宋体" w:hAnsi="宋体" w:eastAsia="宋体" w:cs="宋体"/>
                <w:bCs/>
                <w:color w:val="auto"/>
                <w:sz w:val="24"/>
                <w:szCs w:val="24"/>
                <w:highlight w:val="none"/>
              </w:rPr>
              <w:t xml:space="preserve">资格证明文件：详见第四章 </w:t>
            </w:r>
            <w:r>
              <w:rPr>
                <w:rFonts w:hint="eastAsia" w:ascii="宋体" w:hAnsi="宋体" w:eastAsia="宋体" w:cs="宋体"/>
                <w:bCs/>
                <w:color w:val="auto"/>
                <w:sz w:val="24"/>
                <w:szCs w:val="24"/>
                <w:highlight w:val="none"/>
                <w:lang w:eastAsia="zh-CN"/>
              </w:rPr>
              <w:t>响应文件</w:t>
            </w:r>
            <w:r>
              <w:rPr>
                <w:rFonts w:hint="eastAsia" w:ascii="宋体" w:hAnsi="宋体" w:eastAsia="宋体" w:cs="宋体"/>
                <w:bCs/>
                <w:color w:val="auto"/>
                <w:sz w:val="24"/>
                <w:szCs w:val="24"/>
                <w:highlight w:val="none"/>
              </w:rPr>
              <w:t>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r>
              <w:rPr>
                <w:rFonts w:hint="eastAsia" w:ascii="宋体" w:hAnsi="宋体" w:eastAsia="宋体" w:cs="宋体"/>
                <w:color w:val="auto"/>
                <w:kern w:val="0"/>
                <w:sz w:val="24"/>
                <w:szCs w:val="24"/>
                <w:highlight w:val="none"/>
              </w:rPr>
              <w:t>。</w:t>
            </w:r>
          </w:p>
          <w:p w14:paraId="4FA5376D">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r>
              <w:rPr>
                <w:rFonts w:hint="eastAsia" w:ascii="宋体" w:hAnsi="宋体" w:eastAsia="宋体" w:cs="宋体"/>
                <w:color w:val="auto"/>
                <w:kern w:val="0"/>
                <w:sz w:val="24"/>
                <w:szCs w:val="24"/>
                <w:highlight w:val="none"/>
                <w:lang w:val="en-US" w:eastAsia="zh-CN"/>
              </w:rPr>
              <w:t>信用查询：采购人或者采购代理机构在资格审查结束前，对供应商进行信用查询。</w:t>
            </w:r>
          </w:p>
          <w:p w14:paraId="26DEFF09">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①查询渠道：通过“信用中国”网站（</w:t>
            </w:r>
            <w:r>
              <w:rPr>
                <w:rFonts w:hint="eastAsia" w:ascii="宋体" w:hAnsi="宋体" w:eastAsia="宋体" w:cs="宋体"/>
                <w:color w:val="auto"/>
                <w:sz w:val="24"/>
                <w:szCs w:val="24"/>
                <w:highlight w:val="none"/>
                <w:u w:val="single"/>
                <w:lang w:val="en-US" w:eastAsia="zh-CN"/>
              </w:rPr>
              <w:t>www.creditchina.gov.cn</w:t>
            </w:r>
            <w:r>
              <w:rPr>
                <w:rFonts w:hint="eastAsia" w:ascii="宋体" w:hAnsi="宋体" w:eastAsia="宋体" w:cs="宋体"/>
                <w:color w:val="auto"/>
                <w:sz w:val="24"/>
                <w:szCs w:val="24"/>
                <w:highlight w:val="none"/>
                <w:lang w:val="en-US" w:eastAsia="zh-CN"/>
              </w:rPr>
              <w:t>）、中国政府采购网（</w:t>
            </w:r>
            <w:r>
              <w:rPr>
                <w:rFonts w:hint="eastAsia" w:ascii="宋体" w:hAnsi="宋体" w:eastAsia="宋体" w:cs="宋体"/>
                <w:color w:val="auto"/>
                <w:sz w:val="24"/>
                <w:szCs w:val="24"/>
                <w:highlight w:val="none"/>
                <w:u w:val="single"/>
                <w:lang w:val="en-US" w:eastAsia="zh-CN"/>
              </w:rPr>
              <w:t>www.ccgp.gov.cn</w:t>
            </w:r>
            <w:r>
              <w:rPr>
                <w:rFonts w:hint="eastAsia" w:ascii="宋体" w:hAnsi="宋体" w:eastAsia="宋体" w:cs="宋体"/>
                <w:color w:val="auto"/>
                <w:sz w:val="24"/>
                <w:szCs w:val="24"/>
                <w:highlight w:val="none"/>
                <w:lang w:val="en-US" w:eastAsia="zh-CN"/>
              </w:rPr>
              <w:t>）进行查询；</w:t>
            </w:r>
          </w:p>
          <w:p w14:paraId="7EC5F627">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②查询截止时点：资格审查结束前；</w:t>
            </w:r>
          </w:p>
          <w:p w14:paraId="3874DC9C">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③查询记录和证据留存方式：在查询网站中直接打印查询记录，截图另存为电子文档作为评审资料保存；</w:t>
            </w:r>
          </w:p>
          <w:p w14:paraId="60F129ED">
            <w:pPr>
              <w:pStyle w:val="27"/>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color w:val="auto"/>
                <w:sz w:val="24"/>
                <w:szCs w:val="24"/>
                <w:highlight w:val="none"/>
                <w:lang w:eastAsia="zh-CN"/>
              </w:rPr>
            </w:pPr>
            <w:r>
              <w:rPr>
                <w:rFonts w:hint="eastAsia" w:ascii="宋体" w:hAnsi="宋体" w:eastAsia="宋体" w:cs="宋体"/>
                <w:bCs/>
                <w:snapToGrid w:val="0"/>
                <w:color w:val="auto"/>
                <w:sz w:val="24"/>
                <w:szCs w:val="24"/>
                <w:highlight w:val="none"/>
                <w:lang w:val="en-US" w:eastAsia="zh-CN" w:bidi="ar-SA"/>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46E0A6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jc w:val="center"/>
        </w:trPr>
        <w:tc>
          <w:tcPr>
            <w:tcW w:w="938" w:type="dxa"/>
            <w:gridSpan w:val="2"/>
            <w:vAlign w:val="center"/>
          </w:tcPr>
          <w:p w14:paraId="2D10944D">
            <w:pPr>
              <w:keepNext w:val="0"/>
              <w:keepLines w:val="0"/>
              <w:pageBreakBefore w:val="0"/>
              <w:widowControl w:val="0"/>
              <w:wordWrap/>
              <w:overflowPunct/>
              <w:topLinePunct w:val="0"/>
              <w:autoSpaceDE w:val="0"/>
              <w:autoSpaceDN w:val="0"/>
              <w:bidi w:val="0"/>
              <w:adjustRightInd w:val="0"/>
              <w:snapToGrid w:val="0"/>
              <w:spacing w:before="78" w:line="183" w:lineRule="auto"/>
              <w:jc w:val="center"/>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p>
        </w:tc>
        <w:tc>
          <w:tcPr>
            <w:tcW w:w="1429" w:type="dxa"/>
            <w:gridSpan w:val="2"/>
            <w:vAlign w:val="center"/>
          </w:tcPr>
          <w:p w14:paraId="25864C9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w:t>
            </w:r>
            <w:r>
              <w:rPr>
                <w:rFonts w:hint="default" w:ascii="宋体" w:hAnsi="宋体" w:eastAsia="宋体" w:cs="宋体"/>
                <w:color w:val="auto"/>
                <w:spacing w:val="0"/>
                <w:position w:val="0"/>
                <w:sz w:val="24"/>
                <w:szCs w:val="24"/>
                <w:highlight w:val="none"/>
                <w:lang w:val="en-US" w:eastAsia="zh-CN"/>
              </w:rPr>
              <w:t>政策</w:t>
            </w:r>
          </w:p>
        </w:tc>
        <w:tc>
          <w:tcPr>
            <w:tcW w:w="7138" w:type="dxa"/>
            <w:gridSpan w:val="2"/>
            <w:vAlign w:val="center"/>
          </w:tcPr>
          <w:p w14:paraId="4FE2905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服务承接商是中小企业的，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b/>
                <w:bCs/>
                <w:color w:val="0000FF"/>
                <w:sz w:val="24"/>
                <w:szCs w:val="24"/>
                <w:highlight w:val="none"/>
                <w:u w:val="single"/>
                <w:lang w:eastAsia="zh-CN"/>
              </w:rPr>
              <w:t>租赁和商务服务业</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w:t>
            </w:r>
          </w:p>
          <w:p w14:paraId="0F0EBA2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b/>
                <w:bCs/>
                <w:color w:val="auto"/>
                <w:sz w:val="24"/>
                <w:szCs w:val="24"/>
                <w:highlight w:val="none"/>
                <w:u w:val="single"/>
                <w:lang w:eastAsia="zh-CN"/>
              </w:rPr>
              <w:t>租赁和商务服务业</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val="en-US" w:eastAsia="zh-CN"/>
              </w:rPr>
              <w:t>”（根据项目属性规定）的采购项目进行声明；</w:t>
            </w:r>
          </w:p>
          <w:p w14:paraId="0346468D">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3.在服务采购项目中，不对其中涉及的货物的制造商作出要求。</w:t>
            </w:r>
          </w:p>
          <w:p w14:paraId="1BC1E8AF">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4.对小、微型企业和监狱企业、残疾人福利性单位的报价给予</w:t>
            </w:r>
            <w:r>
              <w:rPr>
                <w:rFonts w:hint="eastAsia" w:ascii="宋体" w:hAnsi="宋体" w:eastAsia="宋体" w:cs="宋体"/>
                <w:snapToGrid w:val="0"/>
                <w:color w:val="auto"/>
                <w:spacing w:val="0"/>
                <w:w w:val="100"/>
                <w:position w:val="0"/>
                <w:sz w:val="24"/>
                <w:szCs w:val="24"/>
                <w:highlight w:val="none"/>
                <w:u w:val="single"/>
                <w:lang w:val="en-US" w:eastAsia="zh-CN" w:bidi="ar-SA"/>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包</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预留份额</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专门面向中小企业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hint="eastAsia"/>
                <w:b/>
                <w:bCs/>
                <w:color w:val="auto"/>
                <w:spacing w:val="0"/>
                <w:position w:val="0"/>
                <w:sz w:val="24"/>
                <w:szCs w:val="24"/>
                <w:highlight w:val="none"/>
                <w:lang w:eastAsia="zh-CN"/>
              </w:rPr>
              <w:t>）</w:t>
            </w:r>
          </w:p>
          <w:p w14:paraId="07CD6CA1">
            <w:pPr>
              <w:pStyle w:val="2"/>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default" w:ascii="宋体" w:hAnsi="宋体" w:eastAsia="宋体" w:cs="宋体"/>
                <w:color w:val="auto"/>
                <w:sz w:val="24"/>
                <w:szCs w:val="24"/>
                <w:highlight w:val="none"/>
                <w:u w:val="single"/>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 </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076267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jc w:val="center"/>
        </w:trPr>
        <w:tc>
          <w:tcPr>
            <w:tcW w:w="938" w:type="dxa"/>
            <w:gridSpan w:val="2"/>
            <w:vAlign w:val="center"/>
          </w:tcPr>
          <w:p w14:paraId="1FE662CA">
            <w:pPr>
              <w:keepNext w:val="0"/>
              <w:keepLines w:val="0"/>
              <w:pageBreakBefore w:val="0"/>
              <w:widowControl w:val="0"/>
              <w:kinsoku w:val="0"/>
              <w:wordWrap/>
              <w:overflowPunct/>
              <w:topLinePunct w:val="0"/>
              <w:autoSpaceDE w:val="0"/>
              <w:autoSpaceDN w:val="0"/>
              <w:bidi w:val="0"/>
              <w:adjustRightInd w:val="0"/>
              <w:snapToGrid w:val="0"/>
              <w:spacing w:before="78" w:line="183" w:lineRule="auto"/>
              <w:jc w:val="center"/>
              <w:textAlignment w:val="baseline"/>
              <w:rPr>
                <w:rFonts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29" w:type="dxa"/>
            <w:gridSpan w:val="2"/>
            <w:vAlign w:val="center"/>
          </w:tcPr>
          <w:p w14:paraId="071DECD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138" w:type="dxa"/>
            <w:gridSpan w:val="2"/>
            <w:vAlign w:val="center"/>
          </w:tcPr>
          <w:p w14:paraId="6A9339B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4D21E3BE">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460" w:lineRule="exact"/>
              <w:ind w:left="213" w:leftChars="0" w:right="187" w:rightChars="89" w:firstLine="7"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default"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default"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default"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提供的全部产品给予价格评审优惠，即对该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提供的全部产品的总报价给予20%的价格扣除，用扣除后的价格参与评审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，未达到80%的，不享受价格评审优惠</w:t>
            </w:r>
            <w:r>
              <w:rPr>
                <w:rFonts w:hint="default"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225F1E3">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0B33BF78">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b/>
                <w:bCs/>
                <w:color w:val="auto"/>
                <w:spacing w:val="0"/>
                <w:position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19326608">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lang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5B036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6CA9D545">
            <w:pPr>
              <w:keepNext w:val="0"/>
              <w:keepLines w:val="0"/>
              <w:pageBreakBefore w:val="0"/>
              <w:widowControl w:val="0"/>
              <w:kinsoku w:val="0"/>
              <w:wordWrap/>
              <w:overflowPunct/>
              <w:topLinePunct w:val="0"/>
              <w:autoSpaceDE w:val="0"/>
              <w:autoSpaceDN w:val="0"/>
              <w:bidi w:val="0"/>
              <w:adjustRightInd w:val="0"/>
              <w:snapToGrid w:val="0"/>
              <w:spacing w:before="78" w:line="184" w:lineRule="auto"/>
              <w:ind w:left="375"/>
              <w:jc w:val="both"/>
              <w:textAlignment w:val="baseline"/>
              <w:rPr>
                <w:rFonts w:hint="eastAsia" w:ascii="宋体" w:hAnsi="宋体" w:eastAsia="宋体" w:cs="宋体"/>
                <w:color w:val="auto"/>
                <w:sz w:val="24"/>
                <w:szCs w:val="24"/>
                <w:highlight w:val="none"/>
                <w:lang w:eastAsia="zh-CN"/>
              </w:rPr>
            </w:pPr>
            <w:r>
              <w:rPr>
                <w:rFonts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5</w:t>
            </w:r>
          </w:p>
        </w:tc>
        <w:tc>
          <w:tcPr>
            <w:tcW w:w="1440" w:type="dxa"/>
            <w:gridSpan w:val="2"/>
            <w:vAlign w:val="center"/>
          </w:tcPr>
          <w:p w14:paraId="23BA2F0A">
            <w:pPr>
              <w:keepNext w:val="0"/>
              <w:keepLines w:val="0"/>
              <w:pageBreakBefore w:val="0"/>
              <w:widowControl w:val="0"/>
              <w:kinsoku w:val="0"/>
              <w:wordWrap/>
              <w:overflowPunct/>
              <w:topLinePunct w:val="0"/>
              <w:autoSpaceDE w:val="0"/>
              <w:autoSpaceDN w:val="0"/>
              <w:bidi w:val="0"/>
              <w:adjustRightInd w:val="0"/>
              <w:snapToGrid w:val="0"/>
              <w:spacing w:before="78" w:line="184" w:lineRule="auto"/>
              <w:jc w:val="center"/>
              <w:textAlignment w:val="baseline"/>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磋商保证金</w:t>
            </w:r>
          </w:p>
        </w:tc>
        <w:tc>
          <w:tcPr>
            <w:tcW w:w="7127" w:type="dxa"/>
            <w:gridSpan w:val="2"/>
            <w:vAlign w:val="bottom"/>
          </w:tcPr>
          <w:p w14:paraId="60B17D90">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b/>
                <w:bCs/>
                <w:color w:val="auto"/>
                <w:spacing w:val="0"/>
                <w:position w:val="0"/>
                <w:sz w:val="24"/>
                <w:szCs w:val="24"/>
              </w:rPr>
            </w:pPr>
            <w:r>
              <w:rPr>
                <w:rFonts w:hint="eastAsia" w:asciiTheme="minorEastAsia" w:hAnsiTheme="minorEastAsia" w:eastAsiaTheme="minorEastAsia" w:cstheme="minorEastAsia"/>
                <w:color w:val="auto"/>
                <w:spacing w:val="0"/>
                <w:position w:val="0"/>
                <w:sz w:val="24"/>
                <w:szCs w:val="24"/>
                <w:lang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49C3251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b/>
                <w:bCs/>
                <w:color w:val="auto"/>
                <w:spacing w:val="0"/>
                <w:position w:val="0"/>
                <w:sz w:val="24"/>
                <w:szCs w:val="24"/>
              </w:rPr>
              <w:t>1</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rPr>
              <w:t>投标保证金金额：</w:t>
            </w:r>
            <w:r>
              <w:rPr>
                <w:rFonts w:hint="eastAsia" w:ascii="宋体" w:hAnsi="宋体" w:eastAsia="宋体" w:cs="宋体"/>
                <w:color w:val="auto"/>
                <w:spacing w:val="0"/>
                <w:position w:val="0"/>
                <w:sz w:val="24"/>
                <w:szCs w:val="24"/>
              </w:rPr>
              <w:t>人民币</w:t>
            </w:r>
            <w:r>
              <w:rPr>
                <w:rFonts w:hint="eastAsia" w:ascii="宋体" w:hAnsi="宋体" w:eastAsia="宋体" w:cs="宋体"/>
                <w:i w:val="0"/>
                <w:iCs w:val="0"/>
                <w:color w:val="0000FF"/>
                <w:spacing w:val="0"/>
                <w:position w:val="0"/>
                <w:sz w:val="24"/>
                <w:szCs w:val="24"/>
                <w:u w:val="single"/>
                <w:lang w:val="en-US" w:eastAsia="zh-CN"/>
              </w:rPr>
              <w:t>壹万捌仟</w:t>
            </w:r>
            <w:r>
              <w:rPr>
                <w:rFonts w:hint="eastAsia" w:ascii="宋体" w:hAnsi="宋体" w:eastAsia="宋体" w:cs="宋体"/>
                <w:i w:val="0"/>
                <w:iCs w:val="0"/>
                <w:color w:val="0000FF"/>
                <w:spacing w:val="0"/>
                <w:position w:val="0"/>
                <w:sz w:val="24"/>
                <w:szCs w:val="24"/>
                <w:u w:val="single"/>
              </w:rPr>
              <w:t>元整（¥</w:t>
            </w:r>
            <w:r>
              <w:rPr>
                <w:rFonts w:hint="eastAsia" w:ascii="宋体" w:hAnsi="宋体" w:eastAsia="宋体" w:cs="宋体"/>
                <w:i w:val="0"/>
                <w:iCs w:val="0"/>
                <w:color w:val="0000FF"/>
                <w:spacing w:val="0"/>
                <w:position w:val="0"/>
                <w:sz w:val="24"/>
                <w:szCs w:val="24"/>
                <w:u w:val="single"/>
                <w:lang w:val="en-US" w:eastAsia="zh-CN"/>
              </w:rPr>
              <w:t>18000</w:t>
            </w:r>
            <w:r>
              <w:rPr>
                <w:rFonts w:hint="eastAsia" w:ascii="宋体" w:hAnsi="宋体" w:eastAsia="宋体" w:cs="宋体"/>
                <w:i w:val="0"/>
                <w:iCs w:val="0"/>
                <w:color w:val="0000FF"/>
                <w:spacing w:val="0"/>
                <w:position w:val="0"/>
                <w:sz w:val="24"/>
                <w:szCs w:val="24"/>
                <w:u w:val="single"/>
              </w:rPr>
              <w:t>.00）</w:t>
            </w:r>
            <w:r>
              <w:rPr>
                <w:rFonts w:hint="eastAsia" w:ascii="宋体" w:hAnsi="宋体" w:eastAsia="宋体" w:cs="宋体"/>
                <w:strike w:val="0"/>
                <w:dstrike w:val="0"/>
                <w:color w:val="auto"/>
                <w:spacing w:val="0"/>
                <w:position w:val="0"/>
                <w:sz w:val="24"/>
                <w:szCs w:val="24"/>
              </w:rPr>
              <w:t>（须足额按时</w:t>
            </w:r>
            <w:r>
              <w:rPr>
                <w:rFonts w:hint="eastAsia" w:ascii="宋体" w:hAnsi="宋体" w:eastAsia="宋体" w:cs="宋体"/>
                <w:strike w:val="0"/>
                <w:dstrike w:val="0"/>
                <w:color w:val="auto"/>
                <w:spacing w:val="0"/>
                <w:position w:val="0"/>
                <w:sz w:val="24"/>
                <w:szCs w:val="24"/>
                <w:lang w:val="en-US" w:eastAsia="zh-CN"/>
              </w:rPr>
              <w:t>提交</w:t>
            </w:r>
            <w:r>
              <w:rPr>
                <w:rFonts w:hint="eastAsia" w:ascii="宋体" w:hAnsi="宋体" w:eastAsia="宋体" w:cs="宋体"/>
                <w:strike w:val="0"/>
                <w:dstrike w:val="0"/>
                <w:color w:val="auto"/>
                <w:spacing w:val="0"/>
                <w:position w:val="0"/>
                <w:sz w:val="24"/>
                <w:szCs w:val="24"/>
              </w:rPr>
              <w:t>）</w:t>
            </w:r>
          </w:p>
          <w:p w14:paraId="2B51523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b/>
                <w:bCs/>
                <w:color w:val="auto"/>
                <w:spacing w:val="0"/>
                <w:position w:val="0"/>
                <w:sz w:val="24"/>
                <w:szCs w:val="24"/>
              </w:rPr>
              <w:t>2</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rPr>
              <w:t>投标保证金递交截止时间：</w:t>
            </w:r>
            <w:r>
              <w:rPr>
                <w:rFonts w:hint="eastAsia" w:ascii="宋体" w:hAnsi="宋体" w:eastAsia="宋体" w:cs="宋体"/>
                <w:color w:val="auto"/>
                <w:spacing w:val="0"/>
                <w:position w:val="0"/>
                <w:sz w:val="24"/>
                <w:szCs w:val="24"/>
              </w:rPr>
              <w:t>与投标文件递交截止时间一致。</w:t>
            </w:r>
          </w:p>
          <w:p w14:paraId="5CC0373F">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rPr>
              <w:t>3</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rPr>
              <w:t>投标保证金提交形式：</w:t>
            </w:r>
            <w:r>
              <w:rPr>
                <w:rFonts w:hint="eastAsia" w:ascii="宋体" w:hAnsi="宋体" w:eastAsia="宋体" w:cs="宋体"/>
                <w:color w:val="auto"/>
                <w:spacing w:val="0"/>
                <w:position w:val="0"/>
                <w:sz w:val="24"/>
                <w:szCs w:val="24"/>
              </w:rPr>
              <w:t>投标保证金应当采用支票、汇票、本票、</w:t>
            </w:r>
            <w:r>
              <w:rPr>
                <w:rFonts w:hint="eastAsia" w:ascii="宋体" w:hAnsi="宋体" w:eastAsia="宋体" w:cs="宋体"/>
                <w:i w:val="0"/>
                <w:iCs w:val="0"/>
                <w:color w:val="auto"/>
                <w:spacing w:val="0"/>
                <w:position w:val="0"/>
                <w:sz w:val="24"/>
                <w:szCs w:val="24"/>
              </w:rPr>
              <w:t>网上银行支付或者金融机构、担保机构出具的保函、保险公司出具的保证保险等非</w:t>
            </w:r>
            <w:r>
              <w:rPr>
                <w:rFonts w:hint="eastAsia" w:ascii="宋体" w:hAnsi="宋体" w:eastAsia="宋体" w:cs="宋体"/>
                <w:color w:val="auto"/>
                <w:spacing w:val="0"/>
                <w:position w:val="0"/>
                <w:sz w:val="24"/>
                <w:szCs w:val="24"/>
              </w:rPr>
              <w:t>现金形式</w:t>
            </w:r>
            <w:r>
              <w:rPr>
                <w:rFonts w:hint="eastAsia" w:ascii="宋体" w:hAnsi="宋体" w:eastAsia="宋体" w:cs="宋体"/>
                <w:color w:val="auto"/>
                <w:spacing w:val="0"/>
                <w:position w:val="0"/>
                <w:sz w:val="24"/>
                <w:szCs w:val="24"/>
                <w:lang w:val="en-US" w:eastAsia="zh-CN"/>
              </w:rPr>
              <w:t>提交</w:t>
            </w:r>
            <w:r>
              <w:rPr>
                <w:rFonts w:hint="eastAsia" w:ascii="宋体" w:hAnsi="宋体" w:eastAsia="宋体" w:cs="宋体"/>
                <w:color w:val="auto"/>
                <w:spacing w:val="0"/>
                <w:position w:val="0"/>
                <w:sz w:val="24"/>
                <w:szCs w:val="24"/>
                <w:highlight w:val="none"/>
              </w:rPr>
              <w:t>。</w:t>
            </w:r>
          </w:p>
          <w:p w14:paraId="79057D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b/>
                <w:bCs/>
                <w:color w:val="auto"/>
                <w:spacing w:val="0"/>
                <w:position w:val="0"/>
                <w:sz w:val="24"/>
                <w:szCs w:val="24"/>
                <w:highlight w:val="none"/>
              </w:rPr>
              <w:t>4</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其他：</w:t>
            </w:r>
            <w:r>
              <w:rPr>
                <w:rFonts w:hint="eastAsia" w:ascii="宋体" w:hAnsi="宋体" w:eastAsia="宋体" w:cs="宋体"/>
                <w:color w:val="auto"/>
                <w:spacing w:val="0"/>
                <w:position w:val="0"/>
                <w:sz w:val="24"/>
                <w:szCs w:val="24"/>
                <w:highlight w:val="none"/>
              </w:rPr>
              <w:t>请</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rPr>
              <w:t>在（提交投标保证金时）汇款时注明所投标项目的招</w:t>
            </w:r>
            <w:r>
              <w:rPr>
                <w:rFonts w:hint="eastAsia" w:ascii="宋体" w:hAnsi="宋体" w:eastAsia="宋体" w:cs="宋体"/>
                <w:color w:val="auto"/>
                <w:spacing w:val="0"/>
                <w:position w:val="0"/>
                <w:sz w:val="24"/>
                <w:szCs w:val="24"/>
              </w:rPr>
              <w:t>标编号，否则，因款项用途不明或未及时到账导致被否决（</w:t>
            </w:r>
            <w:r>
              <w:rPr>
                <w:rFonts w:hint="eastAsia" w:ascii="宋体" w:hAnsi="宋体" w:eastAsia="宋体" w:cs="宋体"/>
                <w:b/>
                <w:bCs/>
                <w:color w:val="auto"/>
                <w:spacing w:val="0"/>
                <w:position w:val="0"/>
                <w:sz w:val="24"/>
                <w:szCs w:val="24"/>
              </w:rPr>
              <w:t>投标无效</w:t>
            </w:r>
            <w:r>
              <w:rPr>
                <w:rFonts w:hint="eastAsia" w:ascii="宋体" w:hAnsi="宋体" w:eastAsia="宋体" w:cs="宋体"/>
                <w:color w:val="auto"/>
                <w:spacing w:val="0"/>
                <w:position w:val="0"/>
                <w:sz w:val="24"/>
                <w:szCs w:val="24"/>
              </w:rPr>
              <w:t>）等后果由</w:t>
            </w:r>
            <w:r>
              <w:rPr>
                <w:rFonts w:hint="eastAsia" w:ascii="宋体" w:hAnsi="宋体" w:eastAsia="宋体" w:cs="宋体"/>
                <w:color w:val="auto"/>
                <w:spacing w:val="0"/>
                <w:position w:val="0"/>
                <w:sz w:val="24"/>
                <w:szCs w:val="24"/>
                <w:lang w:eastAsia="zh-CN"/>
              </w:rPr>
              <w:t>供应商</w:t>
            </w:r>
            <w:r>
              <w:rPr>
                <w:rFonts w:hint="eastAsia" w:ascii="宋体" w:hAnsi="宋体" w:eastAsia="宋体" w:cs="宋体"/>
                <w:color w:val="auto"/>
                <w:spacing w:val="0"/>
                <w:position w:val="0"/>
                <w:sz w:val="24"/>
                <w:szCs w:val="24"/>
              </w:rPr>
              <w:t>自行承担。</w:t>
            </w:r>
          </w:p>
          <w:p w14:paraId="490A8CF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5</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rPr>
              <w:t>指定接收保证金账户：</w:t>
            </w:r>
          </w:p>
          <w:p w14:paraId="37A236AB">
            <w:pPr>
              <w:keepNext w:val="0"/>
              <w:keepLines w:val="0"/>
              <w:pageBreakBefore w:val="0"/>
              <w:widowControl w:val="0"/>
              <w:kinsoku w:val="0"/>
              <w:wordWrap/>
              <w:overflowPunct/>
              <w:topLinePunct w:val="0"/>
              <w:autoSpaceDE w:val="0"/>
              <w:autoSpaceDN w:val="0"/>
              <w:bidi w:val="0"/>
              <w:adjustRightInd w:val="0"/>
              <w:snapToGrid w:val="0"/>
              <w:spacing w:line="360" w:lineRule="auto"/>
              <w:ind w:left="218" w:leftChars="104" w:firstLine="0" w:firstLineChars="0"/>
              <w:jc w:val="left"/>
              <w:textAlignment w:val="baseline"/>
              <w:rPr>
                <w:rFonts w:hint="eastAsia" w:ascii="宋体" w:hAnsi="宋体" w:eastAsia="宋体" w:cs="宋体"/>
                <w:b/>
                <w:bCs/>
                <w:color w:val="auto"/>
                <w:spacing w:val="0"/>
                <w:position w:val="0"/>
                <w:sz w:val="24"/>
                <w:szCs w:val="24"/>
                <w:u w:val="single"/>
                <w:lang w:val="en-US" w:eastAsia="zh-CN"/>
              </w:rPr>
            </w:pPr>
            <w:r>
              <w:rPr>
                <w:rFonts w:hint="eastAsia" w:ascii="宋体" w:hAnsi="宋体" w:eastAsia="宋体" w:cs="宋体"/>
                <w:b/>
                <w:bCs/>
                <w:color w:val="auto"/>
                <w:spacing w:val="0"/>
                <w:position w:val="0"/>
                <w:sz w:val="24"/>
                <w:szCs w:val="24"/>
              </w:rPr>
              <w:t>户</w:t>
            </w:r>
            <w:r>
              <w:rPr>
                <w:rFonts w:hint="eastAsia" w:ascii="宋体" w:hAnsi="宋体" w:eastAsia="宋体" w:cs="宋体"/>
                <w:b/>
                <w:bCs/>
                <w:color w:val="auto"/>
                <w:spacing w:val="0"/>
                <w:position w:val="0"/>
                <w:sz w:val="24"/>
                <w:szCs w:val="24"/>
                <w:lang w:val="en-US" w:eastAsia="zh-CN"/>
              </w:rPr>
              <w:t xml:space="preserve">  </w:t>
            </w:r>
            <w:r>
              <w:rPr>
                <w:rFonts w:hint="eastAsia" w:ascii="宋体" w:hAnsi="宋体" w:eastAsia="宋体" w:cs="宋体"/>
                <w:b/>
                <w:bCs/>
                <w:color w:val="auto"/>
                <w:spacing w:val="0"/>
                <w:position w:val="0"/>
                <w:sz w:val="24"/>
                <w:szCs w:val="24"/>
              </w:rPr>
              <w:t>名：</w:t>
            </w:r>
            <w:r>
              <w:rPr>
                <w:rFonts w:hint="eastAsia" w:ascii="宋体" w:hAnsi="宋体" w:eastAsia="宋体" w:cs="宋体"/>
                <w:b/>
                <w:bCs/>
                <w:color w:val="auto"/>
                <w:sz w:val="24"/>
                <w:szCs w:val="24"/>
                <w:highlight w:val="none"/>
              </w:rPr>
              <w:t>江西省机电设备招标有限公司</w:t>
            </w:r>
          </w:p>
          <w:p w14:paraId="385AFFAB">
            <w:pPr>
              <w:keepNext w:val="0"/>
              <w:keepLines w:val="0"/>
              <w:pageBreakBefore w:val="0"/>
              <w:widowControl w:val="0"/>
              <w:kinsoku w:val="0"/>
              <w:wordWrap/>
              <w:overflowPunct/>
              <w:topLinePunct w:val="0"/>
              <w:autoSpaceDE w:val="0"/>
              <w:autoSpaceDN w:val="0"/>
              <w:bidi w:val="0"/>
              <w:adjustRightInd w:val="0"/>
              <w:snapToGrid w:val="0"/>
              <w:spacing w:line="360" w:lineRule="auto"/>
              <w:ind w:left="218" w:leftChars="104" w:firstLine="0" w:firstLineChars="0"/>
              <w:jc w:val="left"/>
              <w:textAlignment w:val="baseline"/>
              <w:rPr>
                <w:rFonts w:hint="eastAsia" w:ascii="宋体" w:hAnsi="宋体" w:eastAsia="宋体" w:cs="宋体"/>
                <w:b/>
                <w:bCs/>
                <w:color w:val="auto"/>
                <w:spacing w:val="0"/>
                <w:position w:val="0"/>
                <w:sz w:val="24"/>
                <w:szCs w:val="24"/>
                <w:u w:val="none"/>
                <w:lang w:val="en-US" w:eastAsia="zh-CN"/>
              </w:rPr>
            </w:pPr>
            <w:r>
              <w:rPr>
                <w:rFonts w:hint="eastAsia" w:ascii="宋体" w:hAnsi="宋体" w:eastAsia="宋体" w:cs="宋体"/>
                <w:b/>
                <w:bCs/>
                <w:color w:val="auto"/>
                <w:spacing w:val="0"/>
                <w:position w:val="0"/>
                <w:sz w:val="24"/>
                <w:szCs w:val="24"/>
              </w:rPr>
              <w:t>开户行：</w:t>
            </w:r>
            <w:r>
              <w:rPr>
                <w:rFonts w:hint="eastAsia" w:ascii="宋体" w:hAnsi="宋体" w:eastAsia="宋体" w:cs="宋体"/>
                <w:b/>
                <w:bCs/>
                <w:color w:val="auto"/>
                <w:sz w:val="24"/>
                <w:szCs w:val="24"/>
                <w:highlight w:val="none"/>
              </w:rPr>
              <w:t>江西银行南昌红谷滩支行</w:t>
            </w:r>
          </w:p>
          <w:p w14:paraId="7206C5B0">
            <w:pPr>
              <w:keepNext w:val="0"/>
              <w:keepLines w:val="0"/>
              <w:pageBreakBefore w:val="0"/>
              <w:widowControl w:val="0"/>
              <w:kinsoku w:val="0"/>
              <w:wordWrap/>
              <w:overflowPunct/>
              <w:topLinePunct w:val="0"/>
              <w:autoSpaceDE w:val="0"/>
              <w:autoSpaceDN w:val="0"/>
              <w:bidi w:val="0"/>
              <w:adjustRightInd w:val="0"/>
              <w:snapToGrid w:val="0"/>
              <w:spacing w:line="360" w:lineRule="auto"/>
              <w:ind w:left="218" w:leftChars="104" w:firstLine="0" w:firstLineChars="0"/>
              <w:jc w:val="left"/>
              <w:textAlignment w:val="baseline"/>
              <w:rPr>
                <w:rFonts w:hint="default" w:ascii="宋体" w:hAnsi="宋体" w:eastAsia="宋体" w:cs="宋体"/>
                <w:b/>
                <w:bCs/>
                <w:i w:val="0"/>
                <w:iCs w:val="0"/>
                <w:color w:val="0000FF"/>
                <w:spacing w:val="0"/>
                <w:position w:val="0"/>
                <w:sz w:val="24"/>
                <w:szCs w:val="24"/>
                <w:u w:val="single"/>
                <w:lang w:val="en-US" w:eastAsia="zh-CN"/>
              </w:rPr>
            </w:pPr>
            <w:r>
              <w:rPr>
                <w:rFonts w:hint="eastAsia" w:ascii="宋体" w:hAnsi="宋体" w:eastAsia="宋体" w:cs="宋体"/>
                <w:b/>
                <w:bCs/>
                <w:color w:val="auto"/>
                <w:spacing w:val="0"/>
                <w:position w:val="0"/>
                <w:sz w:val="24"/>
                <w:szCs w:val="24"/>
              </w:rPr>
              <w:t>账</w:t>
            </w:r>
            <w:r>
              <w:rPr>
                <w:rFonts w:hint="eastAsia" w:ascii="宋体" w:hAnsi="宋体" w:eastAsia="宋体" w:cs="宋体"/>
                <w:b/>
                <w:bCs/>
                <w:color w:val="auto"/>
                <w:spacing w:val="0"/>
                <w:position w:val="0"/>
                <w:sz w:val="24"/>
                <w:szCs w:val="24"/>
                <w:lang w:val="en-US" w:eastAsia="zh-CN"/>
              </w:rPr>
              <w:t xml:space="preserve">  </w:t>
            </w:r>
            <w:r>
              <w:rPr>
                <w:rFonts w:hint="eastAsia" w:ascii="宋体" w:hAnsi="宋体" w:eastAsia="宋体" w:cs="宋体"/>
                <w:b/>
                <w:bCs/>
                <w:color w:val="auto"/>
                <w:spacing w:val="0"/>
                <w:position w:val="0"/>
                <w:sz w:val="24"/>
                <w:szCs w:val="24"/>
              </w:rPr>
              <w:t>号：</w:t>
            </w:r>
            <w:r>
              <w:rPr>
                <w:rFonts w:hint="eastAsia" w:ascii="宋体" w:hAnsi="宋体" w:eastAsia="宋体" w:cs="宋体"/>
                <w:b/>
                <w:bCs/>
                <w:i w:val="0"/>
                <w:iCs w:val="0"/>
                <w:color w:val="0000FF"/>
                <w:spacing w:val="0"/>
                <w:position w:val="0"/>
                <w:sz w:val="24"/>
                <w:szCs w:val="24"/>
                <w:u w:val="single"/>
                <w:lang w:val="en-US" w:eastAsia="zh-CN"/>
              </w:rPr>
              <w:t>79190720190600312006</w:t>
            </w:r>
          </w:p>
          <w:p w14:paraId="6B970FC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lang w:val="en-US" w:eastAsia="zh-CN"/>
              </w:rPr>
              <w:t>6.</w:t>
            </w:r>
            <w:r>
              <w:rPr>
                <w:rFonts w:hint="eastAsia" w:ascii="宋体" w:hAnsi="宋体" w:eastAsia="宋体" w:cs="宋体"/>
                <w:b/>
                <w:bCs/>
                <w:color w:val="auto"/>
                <w:spacing w:val="0"/>
                <w:position w:val="0"/>
                <w:sz w:val="24"/>
                <w:szCs w:val="24"/>
              </w:rPr>
              <w:t>投标保证金应在投标有效期内保持有效。</w:t>
            </w:r>
          </w:p>
          <w:p w14:paraId="5966C0BD">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firstLine="240" w:firstLineChars="100"/>
              <w:jc w:val="both"/>
              <w:textAlignment w:val="baseline"/>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371C63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2E3D7B9A">
            <w:pPr>
              <w:keepNext w:val="0"/>
              <w:keepLines w:val="0"/>
              <w:pageBreakBefore w:val="0"/>
              <w:widowControl w:val="0"/>
              <w:wordWrap/>
              <w:overflowPunct/>
              <w:topLinePunct w:val="0"/>
              <w:autoSpaceDE w:val="0"/>
              <w:autoSpaceDN w:val="0"/>
              <w:bidi w:val="0"/>
              <w:adjustRightInd w:val="0"/>
              <w:snapToGrid w:val="0"/>
              <w:spacing w:before="118" w:line="184"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6</w:t>
            </w:r>
          </w:p>
        </w:tc>
        <w:tc>
          <w:tcPr>
            <w:tcW w:w="1440" w:type="dxa"/>
            <w:gridSpan w:val="2"/>
            <w:vAlign w:val="center"/>
          </w:tcPr>
          <w:p w14:paraId="27E03181">
            <w:pPr>
              <w:keepNext w:val="0"/>
              <w:keepLines w:val="0"/>
              <w:pageBreakBefore w:val="0"/>
              <w:widowControl w:val="0"/>
              <w:wordWrap/>
              <w:overflowPunct/>
              <w:topLinePunct w:val="0"/>
              <w:autoSpaceDE w:val="0"/>
              <w:autoSpaceDN w:val="0"/>
              <w:bidi w:val="0"/>
              <w:adjustRightInd w:val="0"/>
              <w:snapToGrid w:val="0"/>
              <w:spacing w:before="118" w:line="184" w:lineRule="auto"/>
              <w:jc w:val="center"/>
              <w:rPr>
                <w:rFonts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磋商</w:t>
            </w:r>
            <w:r>
              <w:rPr>
                <w:rFonts w:hint="eastAsia" w:ascii="宋体" w:hAnsi="宋体" w:eastAsia="宋体" w:cs="宋体"/>
                <w:color w:val="auto"/>
                <w:sz w:val="24"/>
                <w:szCs w:val="24"/>
                <w:highlight w:val="none"/>
                <w:lang w:val="en-US" w:eastAsia="zh-CN"/>
              </w:rPr>
              <w:t>有效期</w:t>
            </w:r>
          </w:p>
        </w:tc>
        <w:tc>
          <w:tcPr>
            <w:tcW w:w="7127" w:type="dxa"/>
            <w:gridSpan w:val="2"/>
            <w:vAlign w:val="center"/>
          </w:tcPr>
          <w:p w14:paraId="3B08A84F">
            <w:pPr>
              <w:keepNext w:val="0"/>
              <w:keepLines w:val="0"/>
              <w:pageBreakBefore w:val="0"/>
              <w:widowControl w:val="0"/>
              <w:wordWrap/>
              <w:overflowPunct/>
              <w:topLinePunct w:val="0"/>
              <w:autoSpaceDE w:val="0"/>
              <w:autoSpaceDN w:val="0"/>
              <w:bidi w:val="0"/>
              <w:adjustRightInd w:val="0"/>
              <w:snapToGrid w:val="0"/>
              <w:spacing w:before="36" w:line="219" w:lineRule="auto"/>
              <w:ind w:left="117"/>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从提交</w:t>
            </w:r>
            <w:r>
              <w:rPr>
                <w:rFonts w:hint="eastAsia" w:ascii="宋体" w:hAnsi="宋体" w:eastAsia="宋体" w:cs="宋体"/>
                <w:color w:val="auto"/>
                <w:spacing w:val="-1"/>
                <w:sz w:val="24"/>
                <w:szCs w:val="24"/>
                <w:highlight w:val="none"/>
                <w:lang w:eastAsia="zh-CN"/>
              </w:rPr>
              <w:t>响应文件</w:t>
            </w:r>
            <w:r>
              <w:rPr>
                <w:rFonts w:ascii="宋体" w:hAnsi="宋体" w:eastAsia="宋体" w:cs="宋体"/>
                <w:color w:val="auto"/>
                <w:spacing w:val="-1"/>
                <w:sz w:val="24"/>
                <w:szCs w:val="24"/>
                <w:highlight w:val="none"/>
                <w:lang w:eastAsia="zh-CN"/>
              </w:rPr>
              <w:t>的截止之日起</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9</w:t>
            </w:r>
            <w:r>
              <w:rPr>
                <w:rFonts w:ascii="宋体" w:hAnsi="宋体" w:eastAsia="宋体" w:cs="宋体"/>
                <w:color w:val="auto"/>
                <w:spacing w:val="-2"/>
                <w:sz w:val="24"/>
                <w:szCs w:val="24"/>
                <w:highlight w:val="none"/>
                <w:u w:val="single"/>
                <w:lang w:eastAsia="zh-CN"/>
              </w:rPr>
              <w:t>0</w:t>
            </w:r>
            <w:r>
              <w:rPr>
                <w:rFonts w:ascii="宋体" w:hAnsi="宋体" w:eastAsia="宋体" w:cs="宋体"/>
                <w:color w:val="auto"/>
                <w:spacing w:val="-46"/>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天</w:t>
            </w:r>
          </w:p>
        </w:tc>
      </w:tr>
      <w:tr w14:paraId="0AFDAC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600BC6AF">
            <w:pPr>
              <w:keepNext w:val="0"/>
              <w:keepLines w:val="0"/>
              <w:pageBreakBefore w:val="0"/>
              <w:widowControl w:val="0"/>
              <w:wordWrap/>
              <w:overflowPunct/>
              <w:topLinePunct w:val="0"/>
              <w:autoSpaceDE w:val="0"/>
              <w:autoSpaceDN w:val="0"/>
              <w:bidi w:val="0"/>
              <w:adjustRightInd w:val="0"/>
              <w:snapToGrid w:val="0"/>
              <w:spacing w:before="78" w:line="184"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7</w:t>
            </w:r>
          </w:p>
        </w:tc>
        <w:tc>
          <w:tcPr>
            <w:tcW w:w="1440" w:type="dxa"/>
            <w:gridSpan w:val="2"/>
            <w:vAlign w:val="center"/>
          </w:tcPr>
          <w:p w14:paraId="41EDC213">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提交响应文件截止时间</w:t>
            </w:r>
          </w:p>
        </w:tc>
        <w:tc>
          <w:tcPr>
            <w:tcW w:w="7127" w:type="dxa"/>
            <w:gridSpan w:val="2"/>
            <w:vAlign w:val="center"/>
          </w:tcPr>
          <w:p w14:paraId="5A28F399">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提交响应文件截止时间</w:t>
            </w: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磋商邀请</w:t>
            </w:r>
            <w:r>
              <w:rPr>
                <w:rFonts w:ascii="宋体" w:hAnsi="宋体" w:eastAsia="宋体" w:cs="宋体"/>
                <w:color w:val="auto"/>
                <w:spacing w:val="3"/>
                <w:sz w:val="24"/>
                <w:szCs w:val="24"/>
                <w:highlight w:val="none"/>
                <w:lang w:eastAsia="zh-CN"/>
              </w:rPr>
              <w:t>”</w:t>
            </w:r>
          </w:p>
          <w:p w14:paraId="491CA13A">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加盖电子签章的电子版</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必须在</w:t>
            </w:r>
            <w:r>
              <w:rPr>
                <w:rFonts w:hint="eastAsia" w:ascii="宋体" w:hAnsi="宋体" w:eastAsia="宋体" w:cs="宋体"/>
                <w:color w:val="auto"/>
                <w:sz w:val="24"/>
                <w:szCs w:val="24"/>
                <w:highlight w:val="none"/>
                <w:lang w:eastAsia="zh-CN"/>
              </w:rPr>
              <w:t>提交响应文件截止时间</w:t>
            </w:r>
            <w:r>
              <w:rPr>
                <w:rFonts w:ascii="宋体" w:hAnsi="宋体" w:eastAsia="宋体" w:cs="宋体"/>
                <w:color w:val="auto"/>
                <w:spacing w:val="-1"/>
                <w:sz w:val="24"/>
                <w:szCs w:val="24"/>
                <w:highlight w:val="none"/>
                <w:lang w:eastAsia="zh-CN"/>
              </w:rPr>
              <w:t>前上传到江西省公共资源</w:t>
            </w:r>
            <w:r>
              <w:rPr>
                <w:rFonts w:ascii="宋体" w:hAnsi="宋体" w:eastAsia="宋体" w:cs="宋体"/>
                <w:color w:val="auto"/>
                <w:spacing w:val="-4"/>
                <w:sz w:val="24"/>
                <w:szCs w:val="24"/>
                <w:highlight w:val="none"/>
                <w:lang w:eastAsia="zh-CN"/>
              </w:rPr>
              <w:t>交</w:t>
            </w:r>
            <w:r>
              <w:rPr>
                <w:rFonts w:hint="eastAsia" w:ascii="宋体" w:hAnsi="宋体" w:eastAsia="宋体" w:cs="宋体"/>
                <w:color w:val="auto"/>
                <w:spacing w:val="-4"/>
                <w:sz w:val="24"/>
                <w:szCs w:val="24"/>
                <w:highlight w:val="none"/>
                <w:lang w:val="en-US" w:eastAsia="zh-CN"/>
              </w:rPr>
              <w:t>易平台</w:t>
            </w:r>
            <w:r>
              <w:rPr>
                <w:rFonts w:ascii="宋体" w:hAnsi="宋体" w:eastAsia="宋体" w:cs="宋体"/>
                <w:color w:val="auto"/>
                <w:spacing w:val="-4"/>
                <w:sz w:val="24"/>
                <w:szCs w:val="24"/>
                <w:highlight w:val="none"/>
                <w:lang w:eastAsia="zh-CN"/>
              </w:rPr>
              <w:t>；</w:t>
            </w:r>
            <w:r>
              <w:rPr>
                <w:rFonts w:hint="eastAsia" w:ascii="宋体" w:hAnsi="宋体" w:eastAsia="宋体" w:cs="宋体"/>
                <w:color w:val="auto"/>
                <w:spacing w:val="-4"/>
                <w:sz w:val="24"/>
                <w:szCs w:val="24"/>
                <w:highlight w:val="none"/>
                <w:lang w:eastAsia="zh-CN"/>
              </w:rPr>
              <w:t>供应商</w:t>
            </w:r>
            <w:r>
              <w:rPr>
                <w:rFonts w:ascii="宋体" w:hAnsi="宋体" w:eastAsia="宋体" w:cs="宋体"/>
                <w:color w:val="auto"/>
                <w:spacing w:val="-4"/>
                <w:sz w:val="24"/>
                <w:szCs w:val="24"/>
                <w:highlight w:val="none"/>
                <w:lang w:eastAsia="zh-CN"/>
              </w:rPr>
              <w:t>未</w:t>
            </w:r>
            <w:r>
              <w:rPr>
                <w:rFonts w:hint="eastAsia" w:ascii="宋体" w:hAnsi="宋体" w:eastAsia="宋体" w:cs="宋体"/>
                <w:color w:val="auto"/>
                <w:spacing w:val="-4"/>
                <w:sz w:val="24"/>
                <w:szCs w:val="24"/>
                <w:highlight w:val="none"/>
                <w:lang w:val="en-US" w:eastAsia="zh-CN"/>
              </w:rPr>
              <w:t>在</w:t>
            </w:r>
            <w:r>
              <w:rPr>
                <w:rFonts w:hint="eastAsia" w:ascii="宋体" w:hAnsi="宋体" w:eastAsia="宋体" w:cs="宋体"/>
                <w:color w:val="auto"/>
                <w:spacing w:val="-4"/>
                <w:sz w:val="24"/>
                <w:szCs w:val="24"/>
                <w:highlight w:val="none"/>
                <w:lang w:eastAsia="zh-CN"/>
              </w:rPr>
              <w:t>提交响应文件截止时间</w:t>
            </w:r>
            <w:r>
              <w:rPr>
                <w:rFonts w:ascii="宋体" w:hAnsi="宋体" w:eastAsia="宋体" w:cs="宋体"/>
                <w:color w:val="auto"/>
                <w:spacing w:val="-4"/>
                <w:sz w:val="24"/>
                <w:szCs w:val="24"/>
                <w:highlight w:val="none"/>
                <w:lang w:eastAsia="zh-CN"/>
              </w:rPr>
              <w:t>前进行网上签到的或</w:t>
            </w:r>
            <w:r>
              <w:rPr>
                <w:rFonts w:ascii="宋体" w:hAnsi="宋体" w:eastAsia="宋体" w:cs="宋体"/>
                <w:color w:val="auto"/>
                <w:spacing w:val="-5"/>
                <w:sz w:val="24"/>
                <w:szCs w:val="24"/>
                <w:highlight w:val="none"/>
                <w:lang w:eastAsia="zh-CN"/>
              </w:rPr>
              <w:t>未在规定</w:t>
            </w:r>
            <w:r>
              <w:rPr>
                <w:rFonts w:ascii="宋体" w:hAnsi="宋体" w:eastAsia="宋体" w:cs="宋体"/>
                <w:color w:val="auto"/>
                <w:spacing w:val="-2"/>
                <w:sz w:val="24"/>
                <w:szCs w:val="24"/>
                <w:highlight w:val="none"/>
                <w:lang w:eastAsia="zh-CN"/>
              </w:rPr>
              <w:t>时间内</w:t>
            </w:r>
            <w:r>
              <w:rPr>
                <w:rFonts w:hint="eastAsia" w:ascii="宋体" w:hAnsi="宋体" w:eastAsia="宋体" w:cs="宋体"/>
                <w:color w:val="auto"/>
                <w:spacing w:val="-2"/>
                <w:sz w:val="24"/>
                <w:szCs w:val="24"/>
                <w:highlight w:val="none"/>
                <w:lang w:val="en-US" w:eastAsia="zh-CN"/>
              </w:rPr>
              <w:t>使用</w:t>
            </w:r>
            <w:r>
              <w:rPr>
                <w:rFonts w:ascii="宋体" w:hAnsi="宋体" w:eastAsia="宋体" w:cs="宋体"/>
                <w:color w:val="auto"/>
                <w:spacing w:val="-52"/>
                <w:sz w:val="24"/>
                <w:szCs w:val="24"/>
                <w:highlight w:val="none"/>
                <w:lang w:eastAsia="zh-CN"/>
              </w:rPr>
              <w:t xml:space="preserve"> </w:t>
            </w:r>
            <w:r>
              <w:rPr>
                <w:rFonts w:ascii="宋体" w:hAnsi="宋体" w:eastAsia="宋体" w:cs="宋体"/>
                <w:color w:val="auto"/>
                <w:spacing w:val="-4"/>
                <w:sz w:val="24"/>
                <w:szCs w:val="24"/>
                <w:highlight w:val="none"/>
                <w:lang w:eastAsia="zh-CN"/>
              </w:rPr>
              <w:t>CA</w:t>
            </w:r>
            <w:r>
              <w:rPr>
                <w:rFonts w:ascii="宋体" w:hAnsi="宋体" w:eastAsia="宋体" w:cs="宋体"/>
                <w:color w:val="auto"/>
                <w:spacing w:val="-49"/>
                <w:sz w:val="24"/>
                <w:szCs w:val="24"/>
                <w:highlight w:val="none"/>
                <w:lang w:eastAsia="zh-CN"/>
              </w:rPr>
              <w:t xml:space="preserve"> </w:t>
            </w:r>
            <w:r>
              <w:rPr>
                <w:rFonts w:ascii="宋体" w:hAnsi="宋体" w:eastAsia="宋体" w:cs="宋体"/>
                <w:color w:val="auto"/>
                <w:spacing w:val="-4"/>
                <w:sz w:val="24"/>
                <w:szCs w:val="24"/>
                <w:highlight w:val="none"/>
                <w:lang w:eastAsia="zh-CN"/>
              </w:rPr>
              <w:t>数字证</w:t>
            </w:r>
            <w:r>
              <w:rPr>
                <w:rFonts w:ascii="宋体" w:hAnsi="宋体" w:eastAsia="宋体" w:cs="宋体"/>
                <w:color w:val="auto"/>
                <w:spacing w:val="-5"/>
                <w:sz w:val="24"/>
                <w:szCs w:val="24"/>
                <w:highlight w:val="none"/>
                <w:lang w:eastAsia="zh-CN"/>
              </w:rPr>
              <w:t>书</w:t>
            </w:r>
            <w:r>
              <w:rPr>
                <w:rFonts w:ascii="宋体" w:hAnsi="宋体" w:eastAsia="宋体" w:cs="宋体"/>
                <w:color w:val="auto"/>
                <w:spacing w:val="-2"/>
                <w:sz w:val="24"/>
                <w:szCs w:val="24"/>
                <w:highlight w:val="none"/>
                <w:lang w:eastAsia="zh-CN"/>
              </w:rPr>
              <w:t>完成解密</w:t>
            </w:r>
            <w:r>
              <w:rPr>
                <w:rFonts w:hint="eastAsia" w:ascii="宋体" w:hAnsi="宋体" w:eastAsia="宋体" w:cs="宋体"/>
                <w:color w:val="auto"/>
                <w:spacing w:val="-2"/>
                <w:sz w:val="24"/>
                <w:szCs w:val="24"/>
                <w:highlight w:val="none"/>
                <w:lang w:eastAsia="zh-CN"/>
              </w:rPr>
              <w:t>响应文件</w:t>
            </w:r>
            <w:r>
              <w:rPr>
                <w:rFonts w:ascii="宋体" w:hAnsi="宋体" w:eastAsia="宋体" w:cs="宋体"/>
                <w:color w:val="auto"/>
                <w:spacing w:val="-2"/>
                <w:sz w:val="24"/>
                <w:szCs w:val="24"/>
                <w:highlight w:val="none"/>
                <w:lang w:eastAsia="zh-CN"/>
              </w:rPr>
              <w:t>的</w:t>
            </w:r>
            <w:r>
              <w:rPr>
                <w:rFonts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响应</w:t>
            </w:r>
            <w:r>
              <w:rPr>
                <w:rFonts w:ascii="宋体" w:hAnsi="宋体" w:eastAsia="宋体" w:cs="宋体"/>
                <w:b/>
                <w:bCs/>
                <w:color w:val="auto"/>
                <w:spacing w:val="-2"/>
                <w:sz w:val="24"/>
                <w:szCs w:val="24"/>
                <w:highlight w:val="none"/>
                <w:lang w:eastAsia="zh-CN"/>
              </w:rPr>
              <w:t>无效。</w:t>
            </w:r>
          </w:p>
        </w:tc>
      </w:tr>
      <w:tr w14:paraId="17490E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3D4868E4">
            <w:pPr>
              <w:keepNext w:val="0"/>
              <w:keepLines w:val="0"/>
              <w:pageBreakBefore w:val="0"/>
              <w:widowControl w:val="0"/>
              <w:wordWrap/>
              <w:overflowPunct/>
              <w:topLinePunct w:val="0"/>
              <w:autoSpaceDE w:val="0"/>
              <w:autoSpaceDN w:val="0"/>
              <w:bidi w:val="0"/>
              <w:adjustRightInd w:val="0"/>
              <w:snapToGrid w:val="0"/>
              <w:spacing w:before="78" w:line="184" w:lineRule="auto"/>
              <w:jc w:val="center"/>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17.4</w:t>
            </w:r>
          </w:p>
        </w:tc>
        <w:tc>
          <w:tcPr>
            <w:tcW w:w="1440" w:type="dxa"/>
            <w:gridSpan w:val="2"/>
            <w:vAlign w:val="center"/>
          </w:tcPr>
          <w:p w14:paraId="222B44AB">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hint="default"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原件及演示</w:t>
            </w:r>
          </w:p>
        </w:tc>
        <w:tc>
          <w:tcPr>
            <w:tcW w:w="7127" w:type="dxa"/>
            <w:gridSpan w:val="2"/>
            <w:vAlign w:val="bottom"/>
          </w:tcPr>
          <w:p w14:paraId="15DB2843">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本项目是否要求提供原件：</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val="en-US" w:eastAsia="zh-CN"/>
              </w:rPr>
              <w:t xml:space="preserve"> 是    </w:t>
            </w:r>
            <w:r>
              <w:rPr>
                <w:rFonts w:hint="eastAsia" w:asciiTheme="minorEastAsia" w:hAnsiTheme="minorEastAsia" w:eastAsiaTheme="minorEastAsia" w:cstheme="minorEastAsia"/>
                <w:color w:val="auto"/>
                <w:spacing w:val="-1"/>
                <w:sz w:val="24"/>
                <w:szCs w:val="24"/>
                <w:highlight w:val="none"/>
                <w:lang w:val="en-US" w:eastAsia="zh-CN"/>
              </w:rPr>
              <w:sym w:font="Wingdings 2" w:char="0052"/>
            </w:r>
            <w:r>
              <w:rPr>
                <w:rFonts w:hint="eastAsia" w:asciiTheme="minorEastAsia" w:hAnsiTheme="minorEastAsia" w:eastAsiaTheme="minorEastAsia" w:cstheme="minorEastAsia"/>
                <w:color w:val="auto"/>
                <w:spacing w:val="-1"/>
                <w:sz w:val="24"/>
                <w:szCs w:val="24"/>
                <w:highlight w:val="none"/>
                <w:lang w:val="en-US" w:eastAsia="zh-CN"/>
              </w:rPr>
              <w:t xml:space="preserve"> 否</w:t>
            </w:r>
          </w:p>
          <w:p w14:paraId="2D0B5C41">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asciiTheme="minorEastAsia" w:hAnsiTheme="minorEastAsia" w:eastAsiaTheme="minorEastAsia" w:cstheme="minorEastAsia"/>
                <w:color w:val="auto"/>
                <w:sz w:val="24"/>
                <w:szCs w:val="24"/>
                <w:highlight w:val="none"/>
                <w:u w:val="single"/>
                <w:lang w:val="en-US" w:eastAsia="zh-CN"/>
              </w:rPr>
            </w:pPr>
            <w:r>
              <w:rPr>
                <w:rFonts w:hint="eastAsia" w:asciiTheme="minorEastAsia" w:hAnsiTheme="minorEastAsia" w:eastAsiaTheme="minorEastAsia" w:cstheme="minorEastAsia"/>
                <w:color w:val="auto"/>
                <w:sz w:val="24"/>
                <w:szCs w:val="24"/>
                <w:highlight w:val="none"/>
                <w:lang w:val="en-US" w:eastAsia="zh-CN"/>
              </w:rPr>
              <w:t>原件提供要求：</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pacing w:val="0"/>
                <w:position w:val="0"/>
                <w:sz w:val="24"/>
                <w:szCs w:val="24"/>
                <w:u w:val="single"/>
                <w:lang w:val="en-US" w:eastAsia="zh-CN"/>
              </w:rPr>
              <w:t>/</w:t>
            </w:r>
            <w:r>
              <w:rPr>
                <w:rFonts w:hint="eastAsia" w:asciiTheme="minorEastAsia" w:hAnsiTheme="minorEastAsia" w:eastAsiaTheme="minorEastAsia" w:cstheme="minorEastAsia"/>
                <w:color w:val="auto"/>
                <w:sz w:val="24"/>
                <w:szCs w:val="24"/>
                <w:highlight w:val="none"/>
                <w:u w:val="single"/>
                <w:lang w:val="en-US" w:eastAsia="zh-CN"/>
              </w:rPr>
              <w:t xml:space="preserve">           </w:t>
            </w:r>
          </w:p>
          <w:p w14:paraId="2B510F6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本项目是否要求演示：</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val="en-US" w:eastAsia="zh-CN"/>
              </w:rPr>
              <w:t xml:space="preserve"> 是    </w:t>
            </w:r>
            <w:r>
              <w:rPr>
                <w:rFonts w:hint="eastAsia" w:asciiTheme="minorEastAsia" w:hAnsiTheme="minorEastAsia" w:eastAsiaTheme="minorEastAsia" w:cstheme="minorEastAsia"/>
                <w:color w:val="auto"/>
                <w:spacing w:val="-1"/>
                <w:sz w:val="24"/>
                <w:szCs w:val="24"/>
                <w:highlight w:val="none"/>
                <w:lang w:val="en-US" w:eastAsia="zh-CN"/>
              </w:rPr>
              <w:sym w:font="Wingdings 2" w:char="0052"/>
            </w:r>
            <w:r>
              <w:rPr>
                <w:rFonts w:hint="eastAsia" w:asciiTheme="minorEastAsia" w:hAnsiTheme="minorEastAsia" w:eastAsiaTheme="minorEastAsia" w:cstheme="minorEastAsia"/>
                <w:color w:val="auto"/>
                <w:spacing w:val="-1"/>
                <w:sz w:val="24"/>
                <w:szCs w:val="24"/>
                <w:highlight w:val="none"/>
                <w:lang w:val="en-US" w:eastAsia="zh-CN"/>
              </w:rPr>
              <w:t xml:space="preserve"> 否</w:t>
            </w:r>
          </w:p>
          <w:p w14:paraId="68708541">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color w:val="auto"/>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演示要求：</w:t>
            </w:r>
            <w:r>
              <w:rPr>
                <w:rFonts w:hint="eastAsia" w:asciiTheme="minorEastAsia" w:hAnsiTheme="minorEastAsia" w:eastAsiaTheme="minorEastAsia" w:cstheme="minorEastAsia"/>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pacing w:val="0"/>
                <w:position w:val="0"/>
                <w:sz w:val="24"/>
                <w:szCs w:val="24"/>
                <w:u w:val="single"/>
                <w:lang w:val="en-US" w:eastAsia="zh-CN"/>
              </w:rPr>
              <w:t>/</w:t>
            </w:r>
            <w:r>
              <w:rPr>
                <w:rFonts w:hint="eastAsia" w:asciiTheme="minorEastAsia" w:hAnsiTheme="minorEastAsia" w:eastAsiaTheme="minorEastAsia" w:cstheme="minorEastAsia"/>
                <w:color w:val="auto"/>
                <w:sz w:val="24"/>
                <w:szCs w:val="24"/>
                <w:highlight w:val="none"/>
                <w:u w:val="single"/>
                <w:lang w:val="en-US" w:eastAsia="zh-CN"/>
              </w:rPr>
              <w:t xml:space="preserve">          </w:t>
            </w:r>
          </w:p>
        </w:tc>
      </w:tr>
      <w:tr w14:paraId="66EDCD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79ABD4EF">
            <w:pPr>
              <w:keepNext w:val="0"/>
              <w:keepLines w:val="0"/>
              <w:pageBreakBefore w:val="0"/>
              <w:widowControl w:val="0"/>
              <w:wordWrap/>
              <w:overflowPunct/>
              <w:topLinePunct w:val="0"/>
              <w:autoSpaceDE w:val="0"/>
              <w:autoSpaceDN w:val="0"/>
              <w:bidi w:val="0"/>
              <w:adjustRightInd w:val="0"/>
              <w:snapToGrid w:val="0"/>
              <w:spacing w:before="120" w:line="184" w:lineRule="auto"/>
              <w:ind w:left="375"/>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8</w:t>
            </w:r>
          </w:p>
        </w:tc>
        <w:tc>
          <w:tcPr>
            <w:tcW w:w="1440" w:type="dxa"/>
            <w:gridSpan w:val="2"/>
            <w:vAlign w:val="center"/>
          </w:tcPr>
          <w:p w14:paraId="4F5687E4">
            <w:pPr>
              <w:keepNext w:val="0"/>
              <w:keepLines w:val="0"/>
              <w:pageBreakBefore w:val="0"/>
              <w:widowControl w:val="0"/>
              <w:wordWrap/>
              <w:overflowPunct/>
              <w:topLinePunct w:val="0"/>
              <w:autoSpaceDE w:val="0"/>
              <w:autoSpaceDN w:val="0"/>
              <w:bidi w:val="0"/>
              <w:adjustRightInd w:val="0"/>
              <w:snapToGrid w:val="0"/>
              <w:spacing w:before="120" w:line="184" w:lineRule="auto"/>
              <w:ind w:left="375"/>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分包</w:t>
            </w:r>
          </w:p>
        </w:tc>
        <w:tc>
          <w:tcPr>
            <w:tcW w:w="7127" w:type="dxa"/>
            <w:gridSpan w:val="2"/>
            <w:vAlign w:val="center"/>
          </w:tcPr>
          <w:p w14:paraId="4BB9D44D">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本项目是否允许分包： </w:t>
            </w:r>
          </w:p>
          <w:p w14:paraId="198D42A5">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不允许</w:t>
            </w:r>
          </w:p>
          <w:p w14:paraId="1F2564FF">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val="en-US" w:eastAsia="zh-CN"/>
              </w:rPr>
            </w:pPr>
            <w:r>
              <w:rPr>
                <w:rFonts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允许</w:t>
            </w:r>
            <w:r>
              <w:rPr>
                <w:rFonts w:hint="eastAsia" w:ascii="宋体" w:hAnsi="宋体" w:eastAsia="宋体" w:cs="宋体"/>
                <w:color w:val="auto"/>
                <w:sz w:val="24"/>
                <w:szCs w:val="24"/>
                <w:highlight w:val="none"/>
                <w:lang w:val="en-US" w:eastAsia="zh-CN"/>
              </w:rPr>
              <w:t xml:space="preserve"> 具体要求：</w:t>
            </w:r>
          </w:p>
          <w:p w14:paraId="53CD49CB">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（1）可以分包履行的具体内容：</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486F0423">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（2）允许分包的金额或者比例：</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3052BDBB">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color w:val="auto"/>
                <w:highlight w:val="none"/>
                <w:lang w:eastAsia="zh-CN"/>
              </w:rPr>
            </w:pPr>
            <w:r>
              <w:rPr>
                <w:rFonts w:hint="eastAsia" w:ascii="宋体" w:hAnsi="宋体" w:eastAsia="宋体" w:cs="宋体"/>
                <w:snapToGrid w:val="0"/>
                <w:color w:val="auto"/>
                <w:kern w:val="0"/>
                <w:sz w:val="24"/>
                <w:szCs w:val="24"/>
                <w:highlight w:val="none"/>
                <w:lang w:val="en-US" w:eastAsia="zh-CN" w:bidi="ar-SA"/>
              </w:rPr>
              <w:t>（3）其他要求：</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tc>
      </w:tr>
      <w:tr w14:paraId="01AE2F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40327BE8">
            <w:pPr>
              <w:keepNext w:val="0"/>
              <w:keepLines w:val="0"/>
              <w:pageBreakBefore w:val="0"/>
              <w:widowControl w:val="0"/>
              <w:wordWrap/>
              <w:overflowPunct/>
              <w:topLinePunct w:val="0"/>
              <w:autoSpaceDE w:val="0"/>
              <w:autoSpaceDN w:val="0"/>
              <w:bidi w:val="0"/>
              <w:adjustRightInd w:val="0"/>
              <w:snapToGrid w:val="0"/>
              <w:spacing w:before="308" w:line="184"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w:t>
            </w:r>
          </w:p>
        </w:tc>
        <w:tc>
          <w:tcPr>
            <w:tcW w:w="1440" w:type="dxa"/>
            <w:gridSpan w:val="2"/>
            <w:vAlign w:val="center"/>
          </w:tcPr>
          <w:p w14:paraId="263F099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磋商时间</w:t>
            </w:r>
          </w:p>
          <w:p w14:paraId="7FA9F0E3">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及地点</w:t>
            </w:r>
          </w:p>
        </w:tc>
        <w:tc>
          <w:tcPr>
            <w:tcW w:w="7127" w:type="dxa"/>
            <w:gridSpan w:val="2"/>
            <w:vAlign w:val="center"/>
          </w:tcPr>
          <w:p w14:paraId="47AF092D">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磋商</w:t>
            </w:r>
            <w:r>
              <w:rPr>
                <w:rFonts w:hint="eastAsia"/>
                <w:b/>
                <w:bCs/>
                <w:color w:val="auto"/>
                <w:sz w:val="24"/>
                <w:szCs w:val="24"/>
                <w:highlight w:val="none"/>
                <w:lang w:eastAsia="zh-CN"/>
              </w:rPr>
              <w:t>时间：详见“第一章 磋商邀请”</w:t>
            </w:r>
          </w:p>
          <w:p w14:paraId="74E04637">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磋商</w:t>
            </w:r>
            <w:r>
              <w:rPr>
                <w:rFonts w:hint="eastAsia"/>
                <w:b/>
                <w:bCs/>
                <w:color w:val="auto"/>
                <w:sz w:val="24"/>
                <w:szCs w:val="24"/>
                <w:highlight w:val="none"/>
                <w:lang w:eastAsia="zh-CN"/>
              </w:rPr>
              <w:t>地点：详见“第一章 磋商邀请”</w:t>
            </w:r>
          </w:p>
          <w:p w14:paraId="109E861B">
            <w:pPr>
              <w:keepNext w:val="0"/>
              <w:keepLines w:val="0"/>
              <w:pageBreakBefore w:val="0"/>
              <w:widowControl w:val="0"/>
              <w:wordWrap/>
              <w:overflowPunct/>
              <w:topLinePunct w:val="0"/>
              <w:autoSpaceDE w:val="0"/>
              <w:autoSpaceDN w:val="0"/>
              <w:bidi w:val="0"/>
              <w:adjustRightInd w:val="0"/>
              <w:snapToGrid w:val="0"/>
              <w:spacing w:line="360" w:lineRule="auto"/>
              <w:ind w:left="218" w:leftChars="104" w:firstLine="19" w:firstLineChars="8"/>
              <w:textAlignment w:val="baseline"/>
              <w:rPr>
                <w:rFonts w:hint="eastAsia"/>
                <w:color w:val="auto"/>
                <w:highlight w:val="none"/>
                <w:lang w:val="en-US" w:eastAsia="zh-CN"/>
              </w:rPr>
            </w:pPr>
            <w:r>
              <w:rPr>
                <w:rFonts w:hint="eastAsia" w:ascii="宋体" w:hAnsi="宋体" w:eastAsia="宋体" w:cs="仿宋"/>
                <w:b/>
                <w:bCs/>
                <w:color w:val="auto"/>
                <w:sz w:val="24"/>
                <w:szCs w:val="24"/>
                <w:highlight w:val="none"/>
                <w:lang w:val="en-US" w:eastAsia="zh-CN"/>
              </w:rPr>
              <w:t>不见面方式特别事项说明：</w:t>
            </w:r>
          </w:p>
          <w:p w14:paraId="25EA4C51">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本项目采用“不见面开标”系统进行磋商，供应商无需到磋商现场，供应商应在提交响应文件截止时间前1小时进入江西省公共资源交易网-不见面开标大厅进行线上签到（具体详见供应商操作手册），未按时签到视为自动放弃磋商，将退回其响应文件。</w:t>
            </w:r>
          </w:p>
          <w:p w14:paraId="5C39AF8E">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2、提交响应文件截止时间后，采购代理机构将在系统内公布供应商名单，然后通过网上开标系统发出响应文件解密的指令；在宣布开始解密后</w:t>
            </w:r>
            <w:r>
              <w:rPr>
                <w:rFonts w:hint="eastAsia" w:ascii="宋体" w:hAnsi="宋体" w:eastAsia="宋体" w:cs="宋体"/>
                <w:b/>
                <w:bCs/>
                <w:color w:val="auto"/>
                <w:sz w:val="24"/>
                <w:szCs w:val="24"/>
                <w:highlight w:val="none"/>
                <w:u w:val="single"/>
                <w:lang w:val="en-US" w:eastAsia="zh-CN"/>
              </w:rPr>
              <w:t xml:space="preserve"> 20 </w:t>
            </w:r>
            <w:r>
              <w:rPr>
                <w:rFonts w:hint="eastAsia" w:ascii="宋体" w:hAnsi="宋体" w:eastAsia="宋体" w:cs="宋体"/>
                <w:b/>
                <w:bCs/>
                <w:color w:val="auto"/>
                <w:sz w:val="24"/>
                <w:szCs w:val="24"/>
                <w:highlight w:val="none"/>
                <w:lang w:val="en-US" w:eastAsia="zh-CN"/>
              </w:rPr>
              <w:t>分钟</w:t>
            </w:r>
            <w:r>
              <w:rPr>
                <w:rFonts w:hint="eastAsia" w:ascii="宋体" w:hAnsi="宋体" w:eastAsia="宋体" w:cs="宋体"/>
                <w:b w:val="0"/>
                <w:bCs w:val="0"/>
                <w:color w:val="auto"/>
                <w:sz w:val="24"/>
                <w:szCs w:val="24"/>
                <w:highlight w:val="none"/>
                <w:lang w:val="en-US" w:eastAsia="zh-CN"/>
              </w:rPr>
              <w:t>内必须完成解密，供应商在各自地点按“网上开标系统”提示自行实施远程解密，参加网上在线磋商活动。</w:t>
            </w:r>
          </w:p>
          <w:p w14:paraId="2725469A">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 xml:space="preserve">3、磋商全过程中，各供应商参与远程交互的授权委托人或法定代表人应始终保持为同一人，中途不得更换，在解密、澄清、提疑、传送文件、磋商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的操作新点系统且在项目磋商期间保持在线状态，随时通过“不见面开标”系统接收磋商小组的询标等信息，并在“互动交流”中对询标内容进行回复（自询标内容发出起        </w:t>
            </w:r>
            <w:r>
              <w:rPr>
                <w:rFonts w:hint="eastAsia" w:ascii="宋体" w:hAnsi="宋体" w:eastAsia="宋体" w:cs="宋体"/>
                <w:b w:val="0"/>
                <w:bCs w:val="0"/>
                <w:color w:val="auto"/>
                <w:sz w:val="24"/>
                <w:szCs w:val="24"/>
                <w:highlight w:val="none"/>
                <w:u w:val="single"/>
                <w:lang w:val="en-US" w:eastAsia="zh-CN"/>
              </w:rPr>
              <w:t xml:space="preserve"> 20 </w:t>
            </w:r>
            <w:r>
              <w:rPr>
                <w:rFonts w:hint="eastAsia" w:ascii="宋体" w:hAnsi="宋体" w:eastAsia="宋体" w:cs="宋体"/>
                <w:b w:val="0"/>
                <w:bCs w:val="0"/>
                <w:color w:val="auto"/>
                <w:sz w:val="24"/>
                <w:szCs w:val="24"/>
                <w:highlight w:val="none"/>
                <w:lang w:val="en-US" w:eastAsia="zh-CN"/>
              </w:rPr>
              <w:t>分钟内完成回复），否则视为放弃解释说明的权利且完全认可磋商小组的意见，因业务不熟悉而导致的一切后果由供应商自行承担。</w:t>
            </w:r>
          </w:p>
          <w:p w14:paraId="0075B00A">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cs="宋体" w:asciiTheme="majorEastAsia" w:hAnsiTheme="majorEastAsia" w:eastAsiaTheme="majorEastAsia"/>
                <w:color w:val="auto"/>
                <w:sz w:val="24"/>
                <w:szCs w:val="24"/>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w:t>
            </w:r>
            <w:r>
              <w:rPr>
                <w:rFonts w:hint="eastAsia" w:cs="宋体" w:asciiTheme="majorEastAsia" w:hAnsiTheme="majorEastAsia" w:eastAsiaTheme="majorEastAsia"/>
                <w:color w:val="auto"/>
                <w:sz w:val="24"/>
                <w:szCs w:val="24"/>
              </w:rPr>
              <w:t>1</w:t>
            </w:r>
            <w:r>
              <w:rPr>
                <w:rFonts w:hint="eastAsia" w:cs="宋体" w:asciiTheme="majorEastAsia" w:hAnsiTheme="majorEastAsia" w:eastAsiaTheme="majorEastAsia"/>
                <w:color w:val="auto"/>
                <w:sz w:val="24"/>
                <w:szCs w:val="24"/>
                <w:lang w:val="en-US" w:eastAsia="zh-CN"/>
              </w:rPr>
              <w:t xml:space="preserve"> 供应商</w:t>
            </w:r>
            <w:r>
              <w:rPr>
                <w:rFonts w:cs="宋体" w:asciiTheme="majorEastAsia" w:hAnsiTheme="majorEastAsia" w:eastAsiaTheme="majorEastAsia"/>
                <w:color w:val="auto"/>
                <w:sz w:val="24"/>
                <w:szCs w:val="24"/>
              </w:rPr>
              <w:t>需提前调试所用电脑环境，下载安装视频播放控件</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谷歌浏览器和驱动安装包，（下载地址：https：//ggzy</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jiangxi</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gov</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cn/fwzn/007001/007001003/20230504/0e883d3d-bca0-434c-a898-f1ff4bb446b1</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html）并检查耳机</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麦克风</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摄像头是否正常，网络是否稳定，谷歌浏览器是否能正常使用。</w:t>
            </w:r>
          </w:p>
          <w:p w14:paraId="0814225D">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.2</w:t>
            </w:r>
            <w:r>
              <w:rPr>
                <w:rFonts w:hint="eastAsia" w:cs="宋体" w:asciiTheme="majorEastAsia" w:hAnsiTheme="majorEastAsia" w:eastAsiaTheme="majorEastAsia"/>
                <w:color w:val="auto"/>
                <w:sz w:val="24"/>
                <w:szCs w:val="24"/>
                <w:lang w:val="en-US" w:eastAsia="zh-CN"/>
              </w:rPr>
              <w:t xml:space="preserve"> 供应商</w:t>
            </w:r>
            <w:r>
              <w:rPr>
                <w:rFonts w:cs="宋体" w:asciiTheme="majorEastAsia" w:hAnsiTheme="majorEastAsia" w:eastAsiaTheme="majorEastAsia"/>
                <w:color w:val="auto"/>
                <w:sz w:val="24"/>
                <w:szCs w:val="24"/>
                <w:lang w:eastAsia="zh-CN"/>
              </w:rPr>
              <w:t>应仔细阅读“江西省公共资源不见面询标操作手册”或观看“不见面询标操作视频（</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端）”（下载地址：同上），熟练掌握不见面询标操作指南，确保询标顺利进行。</w:t>
            </w:r>
          </w:p>
          <w:p w14:paraId="4C4145BE">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.3</w:t>
            </w:r>
            <w:r>
              <w:rPr>
                <w:rFonts w:hint="eastAsia" w:cs="宋体" w:asciiTheme="majorEastAsia" w:hAnsiTheme="majorEastAsia" w:eastAsiaTheme="majorEastAsia"/>
                <w:color w:val="auto"/>
                <w:sz w:val="24"/>
                <w:szCs w:val="24"/>
                <w:lang w:val="en-US" w:eastAsia="zh-CN"/>
              </w:rPr>
              <w:t xml:space="preserve"> 供应商</w:t>
            </w:r>
            <w:r>
              <w:rPr>
                <w:rFonts w:cs="宋体" w:asciiTheme="majorEastAsia" w:hAnsiTheme="majorEastAsia" w:eastAsiaTheme="majorEastAsia"/>
                <w:color w:val="auto"/>
                <w:sz w:val="24"/>
                <w:szCs w:val="24"/>
                <w:lang w:eastAsia="zh-CN"/>
              </w:rPr>
              <w:t>应全程保持在线状态，当手机收到评审专家询标时系统发出的短信通知或语音通知后，应立即在不见面开标大厅响应询标指令。</w:t>
            </w:r>
          </w:p>
          <w:p w14:paraId="0F640161">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.4</w:t>
            </w:r>
            <w:r>
              <w:rPr>
                <w:rFonts w:hint="eastAsia" w:cs="宋体" w:asciiTheme="majorEastAsia" w:hAnsiTheme="majorEastAsia" w:eastAsiaTheme="majorEastAsia"/>
                <w:color w:val="auto"/>
                <w:sz w:val="24"/>
                <w:szCs w:val="24"/>
                <w:lang w:val="en-US" w:eastAsia="zh-CN"/>
              </w:rPr>
              <w:t xml:space="preserve"> </w:t>
            </w:r>
            <w:r>
              <w:rPr>
                <w:rFonts w:cs="宋体" w:asciiTheme="majorEastAsia" w:hAnsiTheme="majorEastAsia" w:eastAsiaTheme="majorEastAsia"/>
                <w:color w:val="auto"/>
                <w:sz w:val="24"/>
                <w:szCs w:val="24"/>
                <w:lang w:eastAsia="zh-CN"/>
              </w:rPr>
              <w:t>如</w:t>
            </w:r>
            <w:r>
              <w:rPr>
                <w:rFonts w:hint="eastAsia" w:cs="宋体" w:asciiTheme="majorEastAsia" w:hAnsiTheme="majorEastAsia" w:eastAsiaTheme="majorEastAsia"/>
                <w:color w:val="auto"/>
                <w:sz w:val="24"/>
                <w:szCs w:val="24"/>
                <w:lang w:val="en-US" w:eastAsia="zh-CN"/>
              </w:rPr>
              <w:t>供应商</w:t>
            </w:r>
            <w:r>
              <w:rPr>
                <w:rFonts w:cs="宋体" w:asciiTheme="majorEastAsia" w:hAnsiTheme="majorEastAsia" w:eastAsiaTheme="majorEastAsia"/>
                <w:color w:val="auto"/>
                <w:sz w:val="24"/>
                <w:szCs w:val="24"/>
                <w:lang w:eastAsia="zh-CN"/>
              </w:rPr>
              <w:t>需进行相关系统演示的，应点击</w:t>
            </w:r>
            <w:r>
              <w:rPr>
                <w:rFonts w:cs="宋体" w:asciiTheme="majorEastAsia" w:hAnsiTheme="majorEastAsia" w:eastAsiaTheme="majorEastAsia"/>
                <w:b/>
                <w:bCs/>
                <w:color w:val="auto"/>
                <w:sz w:val="24"/>
                <w:szCs w:val="24"/>
                <w:lang w:eastAsia="zh-CN"/>
              </w:rPr>
              <w:t>[屏幕共享]</w:t>
            </w:r>
            <w:r>
              <w:rPr>
                <w:rFonts w:cs="宋体" w:asciiTheme="majorEastAsia" w:hAnsiTheme="majorEastAsia" w:eastAsiaTheme="majorEastAsia"/>
                <w:color w:val="auto"/>
                <w:sz w:val="24"/>
                <w:szCs w:val="24"/>
                <w:lang w:eastAsia="zh-CN"/>
              </w:rPr>
              <w:t>，开启桌面共享，分享桌面屏幕实现演示。</w:t>
            </w:r>
          </w:p>
          <w:p w14:paraId="69A48488">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.5</w:t>
            </w:r>
            <w:r>
              <w:rPr>
                <w:rFonts w:hint="eastAsia" w:cs="宋体" w:asciiTheme="majorEastAsia" w:hAnsiTheme="majorEastAsia" w:eastAsiaTheme="majorEastAsia"/>
                <w:color w:val="auto"/>
                <w:sz w:val="24"/>
                <w:szCs w:val="24"/>
                <w:lang w:val="en-US" w:eastAsia="zh-CN"/>
              </w:rPr>
              <w:t xml:space="preserve"> </w:t>
            </w:r>
            <w:r>
              <w:rPr>
                <w:rFonts w:cs="宋体" w:asciiTheme="majorEastAsia" w:hAnsiTheme="majorEastAsia" w:eastAsiaTheme="majorEastAsia"/>
                <w:color w:val="auto"/>
                <w:sz w:val="24"/>
                <w:szCs w:val="24"/>
                <w:lang w:eastAsia="zh-CN"/>
              </w:rPr>
              <w:t>如</w:t>
            </w:r>
            <w:r>
              <w:rPr>
                <w:rFonts w:hint="eastAsia" w:cs="宋体" w:asciiTheme="majorEastAsia" w:hAnsiTheme="majorEastAsia" w:eastAsiaTheme="majorEastAsia"/>
                <w:color w:val="auto"/>
                <w:sz w:val="24"/>
                <w:szCs w:val="24"/>
                <w:lang w:val="en-US" w:eastAsia="zh-CN"/>
              </w:rPr>
              <w:t>供应商</w:t>
            </w:r>
            <w:r>
              <w:rPr>
                <w:rFonts w:cs="宋体" w:asciiTheme="majorEastAsia" w:hAnsiTheme="majorEastAsia" w:eastAsiaTheme="majorEastAsia"/>
                <w:color w:val="auto"/>
                <w:sz w:val="24"/>
                <w:szCs w:val="24"/>
                <w:lang w:eastAsia="zh-CN"/>
              </w:rPr>
              <w:t>提供相关材料的，需要在评审专家发起</w:t>
            </w:r>
            <w:r>
              <w:rPr>
                <w:rFonts w:cs="宋体" w:asciiTheme="majorEastAsia" w:hAnsiTheme="majorEastAsia" w:eastAsiaTheme="majorEastAsia"/>
                <w:b/>
                <w:bCs/>
                <w:color w:val="auto"/>
                <w:sz w:val="24"/>
                <w:szCs w:val="24"/>
                <w:lang w:eastAsia="zh-CN"/>
              </w:rPr>
              <w:t>[文字质询]</w:t>
            </w:r>
            <w:r>
              <w:rPr>
                <w:rFonts w:cs="宋体" w:asciiTheme="majorEastAsia" w:hAnsiTheme="majorEastAsia" w:eastAsiaTheme="majorEastAsia"/>
                <w:color w:val="auto"/>
                <w:sz w:val="24"/>
                <w:szCs w:val="24"/>
                <w:lang w:eastAsia="zh-CN"/>
              </w:rPr>
              <w:t>后，供应商进入文字询标，或上传相关附件材料。</w:t>
            </w:r>
          </w:p>
          <w:p w14:paraId="2ABF1666">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.6</w:t>
            </w:r>
            <w:r>
              <w:rPr>
                <w:rFonts w:hint="eastAsia" w:cs="宋体" w:asciiTheme="majorEastAsia" w:hAnsiTheme="majorEastAsia" w:eastAsiaTheme="majorEastAsia"/>
                <w:color w:val="auto"/>
                <w:sz w:val="24"/>
                <w:szCs w:val="24"/>
                <w:lang w:val="en-US" w:eastAsia="zh-CN"/>
              </w:rPr>
              <w:t xml:space="preserve"> </w:t>
            </w:r>
            <w:r>
              <w:rPr>
                <w:rFonts w:cs="宋体" w:asciiTheme="majorEastAsia" w:hAnsiTheme="majorEastAsia" w:eastAsiaTheme="majorEastAsia"/>
                <w:color w:val="auto"/>
                <w:sz w:val="24"/>
                <w:szCs w:val="24"/>
                <w:lang w:eastAsia="zh-CN"/>
              </w:rPr>
              <w:t>如有需要，评审专家会通过</w:t>
            </w:r>
            <w:r>
              <w:rPr>
                <w:rFonts w:cs="宋体" w:asciiTheme="majorEastAsia" w:hAnsiTheme="majorEastAsia" w:eastAsiaTheme="majorEastAsia"/>
                <w:b/>
                <w:bCs/>
                <w:color w:val="auto"/>
                <w:sz w:val="24"/>
                <w:szCs w:val="24"/>
                <w:lang w:eastAsia="zh-CN"/>
              </w:rPr>
              <w:t>[标书共享]</w:t>
            </w:r>
            <w:r>
              <w:rPr>
                <w:rFonts w:cs="宋体" w:asciiTheme="majorEastAsia" w:hAnsiTheme="majorEastAsia" w:eastAsiaTheme="majorEastAsia"/>
                <w:color w:val="auto"/>
                <w:sz w:val="24"/>
                <w:szCs w:val="24"/>
                <w:lang w:eastAsia="zh-CN"/>
              </w:rPr>
              <w:t>功能，将评审专家电脑桌面的</w:t>
            </w:r>
            <w:r>
              <w:rPr>
                <w:rFonts w:hint="eastAsia" w:cs="宋体" w:asciiTheme="majorEastAsia" w:hAnsiTheme="majorEastAsia" w:eastAsiaTheme="majorEastAsia"/>
                <w:color w:val="auto"/>
                <w:sz w:val="24"/>
                <w:szCs w:val="24"/>
                <w:lang w:val="en-US" w:eastAsia="zh-CN"/>
              </w:rPr>
              <w:t>响应</w:t>
            </w:r>
            <w:r>
              <w:rPr>
                <w:rFonts w:cs="宋体" w:asciiTheme="majorEastAsia" w:hAnsiTheme="majorEastAsia" w:eastAsiaTheme="majorEastAsia"/>
                <w:color w:val="auto"/>
                <w:sz w:val="24"/>
                <w:szCs w:val="24"/>
                <w:lang w:eastAsia="zh-CN"/>
              </w:rPr>
              <w:t>文件或采购文件内容展示给</w:t>
            </w:r>
            <w:r>
              <w:rPr>
                <w:rFonts w:hint="eastAsia" w:cs="宋体" w:asciiTheme="majorEastAsia" w:hAnsiTheme="majorEastAsia" w:eastAsiaTheme="majorEastAsia"/>
                <w:color w:val="auto"/>
                <w:sz w:val="24"/>
                <w:szCs w:val="24"/>
                <w:lang w:val="en-US" w:eastAsia="zh-CN"/>
              </w:rPr>
              <w:t>供应商</w:t>
            </w:r>
            <w:r>
              <w:rPr>
                <w:rFonts w:cs="宋体" w:asciiTheme="majorEastAsia" w:hAnsiTheme="majorEastAsia" w:eastAsiaTheme="majorEastAsia"/>
                <w:color w:val="auto"/>
                <w:sz w:val="24"/>
                <w:szCs w:val="24"/>
                <w:lang w:eastAsia="zh-CN"/>
              </w:rPr>
              <w:t>查看。</w:t>
            </w:r>
          </w:p>
          <w:p w14:paraId="1E20FF81">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.7</w:t>
            </w:r>
            <w:r>
              <w:rPr>
                <w:rFonts w:hint="eastAsia" w:cs="宋体" w:asciiTheme="majorEastAsia" w:hAnsiTheme="majorEastAsia" w:eastAsiaTheme="majorEastAsia"/>
                <w:color w:val="auto"/>
                <w:sz w:val="24"/>
                <w:szCs w:val="24"/>
                <w:lang w:val="en-US" w:eastAsia="zh-CN"/>
              </w:rPr>
              <w:t xml:space="preserve"> 供应商</w:t>
            </w:r>
            <w:r>
              <w:rPr>
                <w:rFonts w:cs="宋体" w:asciiTheme="majorEastAsia" w:hAnsiTheme="majorEastAsia" w:eastAsiaTheme="majorEastAsia"/>
                <w:color w:val="auto"/>
                <w:sz w:val="24"/>
                <w:szCs w:val="24"/>
                <w:lang w:eastAsia="zh-CN"/>
              </w:rPr>
              <w:t>未在线或不接收评审专家询标指令，后果由</w:t>
            </w:r>
            <w:r>
              <w:rPr>
                <w:rFonts w:hint="eastAsia" w:cs="宋体" w:asciiTheme="majorEastAsia" w:hAnsiTheme="majorEastAsia" w:eastAsiaTheme="majorEastAsia"/>
                <w:color w:val="auto"/>
                <w:sz w:val="24"/>
                <w:szCs w:val="24"/>
                <w:lang w:val="en-US" w:eastAsia="zh-CN"/>
              </w:rPr>
              <w:t>供应商</w:t>
            </w:r>
            <w:r>
              <w:rPr>
                <w:rFonts w:cs="宋体" w:asciiTheme="majorEastAsia" w:hAnsiTheme="majorEastAsia" w:eastAsiaTheme="majorEastAsia"/>
                <w:color w:val="auto"/>
                <w:sz w:val="24"/>
                <w:szCs w:val="24"/>
                <w:lang w:eastAsia="zh-CN"/>
              </w:rPr>
              <w:t>自行承担。</w:t>
            </w:r>
          </w:p>
          <w:p w14:paraId="0F9A69F4">
            <w:pPr>
              <w:pStyle w:val="2"/>
              <w:keepNext w:val="0"/>
              <w:keepLines w:val="0"/>
              <w:pageBreakBefore w:val="0"/>
              <w:widowControl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color w:val="auto"/>
                <w:lang w:val="en-US" w:eastAsia="zh-CN"/>
              </w:rPr>
            </w:pPr>
            <w:r>
              <w:rPr>
                <w:rFonts w:hint="eastAsia" w:cs="宋体" w:asciiTheme="majorEastAsia" w:hAnsiTheme="majorEastAsia" w:eastAsiaTheme="majorEastAsia"/>
                <w:color w:val="auto"/>
                <w:sz w:val="24"/>
                <w:szCs w:val="24"/>
                <w:lang w:val="en-US" w:eastAsia="zh-CN"/>
              </w:rPr>
              <w:t>3</w:t>
            </w:r>
            <w:r>
              <w:rPr>
                <w:rFonts w:hint="eastAsia" w:cs="宋体" w:asciiTheme="majorEastAsia" w:hAnsiTheme="majorEastAsia" w:eastAsiaTheme="majorEastAsia"/>
                <w:color w:val="auto"/>
                <w:sz w:val="24"/>
                <w:szCs w:val="24"/>
                <w:lang w:eastAsia="zh-CN"/>
              </w:rPr>
              <w:t>.8</w:t>
            </w:r>
            <w:r>
              <w:rPr>
                <w:rFonts w:hint="eastAsia" w:cs="宋体" w:asciiTheme="majorEastAsia" w:hAnsiTheme="majorEastAsia" w:eastAsiaTheme="majorEastAsia"/>
                <w:color w:val="auto"/>
                <w:sz w:val="24"/>
                <w:szCs w:val="24"/>
                <w:lang w:val="en-US" w:eastAsia="zh-CN"/>
              </w:rPr>
              <w:t xml:space="preserve"> </w:t>
            </w:r>
            <w:r>
              <w:rPr>
                <w:rFonts w:cs="宋体" w:asciiTheme="majorEastAsia" w:hAnsiTheme="majorEastAsia" w:eastAsiaTheme="majorEastAsia"/>
                <w:color w:val="auto"/>
                <w:sz w:val="24"/>
                <w:szCs w:val="24"/>
                <w:lang w:eastAsia="zh-CN"/>
              </w:rPr>
              <w:t>供应商在使用询标系统过程中有建议意见或需要技术支持的请联系省公共资源交易集团，联系电话：0791-88862156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lang w:eastAsia="zh-CN"/>
              </w:rPr>
              <w:t>。</w:t>
            </w:r>
          </w:p>
          <w:p w14:paraId="4C9E1AB3">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4、供应商对磋商过程和磋商结果有异议的，可将异议内容以书面形式提出并加盖单位公章后扫描上传至本项目不见面开标大厅“开标异议文字提问”栏中。</w:t>
            </w:r>
          </w:p>
          <w:p w14:paraId="3E89ED99">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color w:val="auto"/>
                <w:highlight w:val="none"/>
                <w:lang w:eastAsia="zh-CN"/>
              </w:rPr>
            </w:pPr>
            <w:r>
              <w:rPr>
                <w:rFonts w:hint="eastAsia" w:ascii="宋体" w:hAnsi="宋体" w:eastAsia="宋体" w:cs="宋体"/>
                <w:b w:val="0"/>
                <w:bCs w:val="0"/>
                <w:color w:val="auto"/>
                <w:sz w:val="24"/>
                <w:szCs w:val="24"/>
                <w:highlight w:val="none"/>
                <w:lang w:val="en-US" w:eastAsia="zh-CN"/>
              </w:rPr>
              <w:t>5.供应商在磋商小组规定的时间内在“江西省公共资源交易平台-磋商/谈判二次报价端口”中进行最后报价，当“江西省公共资源交易平台-磋商/谈判二次报价端口”显示“报价结束”，则无法进行最后报价，未最后报价的，视为退出磋商。</w:t>
            </w:r>
          </w:p>
        </w:tc>
      </w:tr>
      <w:tr w14:paraId="4B5579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6EE72926">
            <w:pPr>
              <w:keepNext w:val="0"/>
              <w:keepLines w:val="0"/>
              <w:pageBreakBefore w:val="0"/>
              <w:widowControl w:val="0"/>
              <w:wordWrap/>
              <w:overflowPunct/>
              <w:topLinePunct w:val="0"/>
              <w:autoSpaceDE w:val="0"/>
              <w:autoSpaceDN w:val="0"/>
              <w:bidi w:val="0"/>
              <w:adjustRightInd w:val="0"/>
              <w:snapToGrid w:val="0"/>
              <w:spacing w:before="78" w:line="184" w:lineRule="auto"/>
              <w:jc w:val="center"/>
              <w:rPr>
                <w:rFonts w:hint="default" w:ascii="宋体" w:hAnsi="宋体" w:eastAsia="宋体" w:cs="宋体"/>
                <w:color w:val="auto"/>
                <w:sz w:val="24"/>
                <w:szCs w:val="24"/>
                <w:highlight w:val="none"/>
                <w:lang w:val="en-US" w:eastAsia="zh-CN"/>
              </w:rPr>
            </w:pPr>
            <w:r>
              <w:rPr>
                <w:rFonts w:ascii="宋体" w:hAnsi="宋体" w:eastAsia="宋体" w:cs="宋体"/>
                <w:color w:val="auto"/>
                <w:spacing w:val="-4"/>
                <w:sz w:val="24"/>
                <w:szCs w:val="24"/>
                <w:highlight w:val="none"/>
              </w:rPr>
              <w:t>2</w:t>
            </w:r>
            <w:r>
              <w:rPr>
                <w:rFonts w:hint="eastAsia" w:ascii="宋体" w:hAnsi="宋体" w:eastAsia="宋体" w:cs="宋体"/>
                <w:color w:val="auto"/>
                <w:spacing w:val="-4"/>
                <w:sz w:val="24"/>
                <w:szCs w:val="24"/>
                <w:highlight w:val="none"/>
                <w:lang w:val="en-US" w:eastAsia="zh-CN"/>
              </w:rPr>
              <w:t>1.7</w:t>
            </w:r>
          </w:p>
        </w:tc>
        <w:tc>
          <w:tcPr>
            <w:tcW w:w="1440" w:type="dxa"/>
            <w:gridSpan w:val="2"/>
            <w:vAlign w:val="center"/>
          </w:tcPr>
          <w:p w14:paraId="61F89F13">
            <w:pPr>
              <w:keepNext w:val="0"/>
              <w:keepLines w:val="0"/>
              <w:pageBreakBefore w:val="0"/>
              <w:widowControl w:val="0"/>
              <w:wordWrap/>
              <w:overflowPunct/>
              <w:topLinePunct w:val="0"/>
              <w:autoSpaceDE w:val="0"/>
              <w:autoSpaceDN w:val="0"/>
              <w:bidi w:val="0"/>
              <w:adjustRightInd w:val="0"/>
              <w:snapToGrid w:val="0"/>
              <w:spacing w:before="78" w:line="240" w:lineRule="auto"/>
              <w:jc w:val="center"/>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1"/>
                <w:sz w:val="24"/>
                <w:szCs w:val="24"/>
                <w:highlight w:val="none"/>
                <w:lang w:val="en-US" w:eastAsia="zh-CN"/>
              </w:rPr>
              <w:t>评审方法</w:t>
            </w:r>
          </w:p>
        </w:tc>
        <w:tc>
          <w:tcPr>
            <w:tcW w:w="7127" w:type="dxa"/>
            <w:gridSpan w:val="2"/>
            <w:vAlign w:val="center"/>
          </w:tcPr>
          <w:p w14:paraId="47D97959">
            <w:pPr>
              <w:widowControl w:val="0"/>
              <w:spacing w:line="360" w:lineRule="auto"/>
              <w:ind w:left="239" w:leftChars="114"/>
              <w:jc w:val="both"/>
              <w:rPr>
                <w:color w:val="auto"/>
                <w:highlight w:val="none"/>
                <w:lang w:eastAsia="zh-CN"/>
              </w:rPr>
            </w:pPr>
            <w:r>
              <w:rPr>
                <w:rFonts w:hint="eastAsia" w:ascii="宋体" w:hAnsi="宋体" w:eastAsia="宋体" w:cs="宋体"/>
                <w:b w:val="0"/>
                <w:bCs w:val="0"/>
                <w:snapToGrid w:val="0"/>
                <w:color w:val="auto"/>
                <w:sz w:val="24"/>
                <w:szCs w:val="24"/>
                <w:highlight w:val="none"/>
                <w:lang w:val="en-US" w:eastAsia="zh-CN" w:bidi="ar-SA"/>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294885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158" w:hRule="atLeast"/>
          <w:jc w:val="center"/>
        </w:trPr>
        <w:tc>
          <w:tcPr>
            <w:tcW w:w="918" w:type="dxa"/>
            <w:vAlign w:val="center"/>
          </w:tcPr>
          <w:p w14:paraId="486FFBF1">
            <w:pPr>
              <w:keepNext w:val="0"/>
              <w:keepLines w:val="0"/>
              <w:pageBreakBefore w:val="0"/>
              <w:widowControl w:val="0"/>
              <w:wordWrap/>
              <w:overflowPunct/>
              <w:topLinePunct w:val="0"/>
              <w:autoSpaceDE w:val="0"/>
              <w:autoSpaceDN w:val="0"/>
              <w:bidi w:val="0"/>
              <w:adjustRightInd w:val="0"/>
              <w:snapToGrid w:val="0"/>
              <w:spacing w:before="217" w:line="183"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7"/>
                <w:sz w:val="24"/>
                <w:szCs w:val="24"/>
                <w:highlight w:val="none"/>
                <w:lang w:val="en-US" w:eastAsia="zh-CN"/>
              </w:rPr>
              <w:t>29.1</w:t>
            </w:r>
          </w:p>
        </w:tc>
        <w:tc>
          <w:tcPr>
            <w:tcW w:w="1440" w:type="dxa"/>
            <w:gridSpan w:val="2"/>
            <w:vAlign w:val="center"/>
          </w:tcPr>
          <w:p w14:paraId="562EFC00">
            <w:pPr>
              <w:keepNext w:val="0"/>
              <w:keepLines w:val="0"/>
              <w:pageBreakBefore w:val="0"/>
              <w:widowControl w:val="0"/>
              <w:wordWrap/>
              <w:overflowPunct/>
              <w:topLinePunct w:val="0"/>
              <w:autoSpaceDE w:val="0"/>
              <w:autoSpaceDN w:val="0"/>
              <w:bidi w:val="0"/>
              <w:adjustRightInd w:val="0"/>
              <w:snapToGrid w:val="0"/>
              <w:spacing w:before="217" w:line="183" w:lineRule="auto"/>
              <w:jc w:val="center"/>
              <w:rPr>
                <w:rFonts w:ascii="宋体" w:hAnsi="宋体" w:eastAsia="宋体" w:cs="宋体"/>
                <w:color w:val="auto"/>
                <w:spacing w:val="-7"/>
                <w:sz w:val="24"/>
                <w:szCs w:val="24"/>
                <w:highlight w:val="none"/>
              </w:rPr>
            </w:pPr>
            <w:r>
              <w:rPr>
                <w:rFonts w:ascii="宋体" w:hAnsi="宋体" w:eastAsia="宋体" w:cs="宋体"/>
                <w:color w:val="auto"/>
                <w:spacing w:val="-1"/>
                <w:sz w:val="24"/>
                <w:szCs w:val="24"/>
                <w:highlight w:val="none"/>
                <w:lang w:eastAsia="zh-CN"/>
              </w:rPr>
              <w:t>履约保证金</w:t>
            </w:r>
          </w:p>
        </w:tc>
        <w:tc>
          <w:tcPr>
            <w:tcW w:w="7127" w:type="dxa"/>
            <w:gridSpan w:val="2"/>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lang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7D989E42">
            <w:pPr>
              <w:pageBreakBefore w:val="0"/>
              <w:widowControl w:val="0"/>
              <w:wordWrap/>
              <w:overflowPunct/>
              <w:topLinePunct w:val="0"/>
              <w:bidi w:val="0"/>
              <w:spacing w:before="40" w:line="360" w:lineRule="auto"/>
              <w:ind w:firstLine="240" w:firstLineChars="100"/>
              <w:jc w:val="left"/>
              <w:rPr>
                <w:rFonts w:hint="eastAsia" w:ascii="宋体" w:hAnsi="宋体" w:eastAsia="宋体" w:cs="宋体"/>
                <w:color w:val="auto"/>
                <w:spacing w:val="-6"/>
                <w:sz w:val="24"/>
                <w:szCs w:val="24"/>
                <w:highlight w:val="none"/>
                <w:lang w:val="en-US"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履约保证金金额：</w:t>
            </w:r>
            <w:r>
              <w:rPr>
                <w:rFonts w:ascii="宋体" w:hAnsi="宋体" w:eastAsia="宋体" w:cs="宋体"/>
                <w:color w:val="auto"/>
                <w:spacing w:val="0"/>
                <w:sz w:val="24"/>
                <w:szCs w:val="24"/>
                <w:highlight w:val="none"/>
                <w:lang w:eastAsia="zh-CN"/>
              </w:rPr>
              <w:t>合同总价的</w:t>
            </w:r>
            <w:r>
              <w:rPr>
                <w:rFonts w:hint="eastAsia" w:ascii="宋体" w:hAnsi="宋体" w:eastAsia="宋体" w:cs="宋体"/>
                <w:color w:val="auto"/>
                <w:spacing w:val="0"/>
                <w:sz w:val="24"/>
                <w:szCs w:val="24"/>
                <w:highlight w:val="none"/>
                <w:u w:val="single"/>
                <w:lang w:val="en-US" w:eastAsia="zh-CN"/>
              </w:rPr>
              <w:t xml:space="preserve"> 5 </w:t>
            </w:r>
            <w:r>
              <w:rPr>
                <w:rFonts w:ascii="宋体" w:hAnsi="宋体" w:eastAsia="宋体" w:cs="宋体"/>
                <w:color w:val="auto"/>
                <w:spacing w:val="0"/>
                <w:sz w:val="24"/>
                <w:szCs w:val="24"/>
                <w:highlight w:val="none"/>
                <w:lang w:eastAsia="zh-CN"/>
              </w:rPr>
              <w:t>%</w:t>
            </w:r>
          </w:p>
          <w:p w14:paraId="61678871">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本项目履约保证金应当以支票、汇票、本票或者金融机构、担保机构出具的保函等非现金形式提交。</w:t>
            </w:r>
          </w:p>
          <w:p w14:paraId="1D81B35B">
            <w:pPr>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履约保证金的退还：</w:t>
            </w:r>
            <w:bookmarkStart w:id="14" w:name="OLE_LINK10"/>
            <w:r>
              <w:rPr>
                <w:rFonts w:hint="eastAsia" w:ascii="宋体" w:hAnsi="宋体" w:eastAsia="宋体" w:cs="宋体"/>
                <w:color w:val="0000FF"/>
                <w:spacing w:val="0"/>
                <w:position w:val="0"/>
                <w:sz w:val="24"/>
                <w:szCs w:val="24"/>
                <w:highlight w:val="none"/>
                <w:u w:val="single"/>
                <w:lang w:val="en-US" w:eastAsia="zh-CN"/>
              </w:rPr>
              <w:t>履约保证金在成交供应商已履行完本合同约定的全部权利义务事项后将一次性付清（不计利息）。</w:t>
            </w:r>
          </w:p>
          <w:bookmarkEnd w:id="14"/>
          <w:p w14:paraId="2C01A190">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103" w:firstLine="0" w:firstLineChars="0"/>
              <w:jc w:val="left"/>
              <w:textAlignment w:val="baseline"/>
              <w:rPr>
                <w:rFonts w:hint="eastAsia" w:ascii="宋体" w:hAnsi="宋体" w:eastAsia="宋体" w:cs="宋体"/>
                <w:color w:val="0000FF"/>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履约保证金不予退还情形：</w:t>
            </w:r>
            <w:r>
              <w:rPr>
                <w:rFonts w:hint="eastAsia" w:ascii="宋体" w:hAnsi="宋体" w:eastAsia="宋体" w:cs="宋体"/>
                <w:color w:val="0000FF"/>
                <w:spacing w:val="0"/>
                <w:position w:val="0"/>
                <w:sz w:val="24"/>
                <w:szCs w:val="24"/>
                <w:highlight w:val="none"/>
                <w:u w:val="single"/>
                <w:lang w:val="en-US" w:eastAsia="zh-CN"/>
              </w:rPr>
              <w:t>成交供应商未按约定完成合同义务。</w:t>
            </w:r>
          </w:p>
          <w:p w14:paraId="378F73AC">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left"/>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逾期退还履约保证金违约责任：</w:t>
            </w:r>
            <w:r>
              <w:rPr>
                <w:rFonts w:hint="eastAsia" w:ascii="宋体" w:hAnsi="宋体" w:eastAsia="宋体" w:cs="宋体"/>
                <w:color w:val="auto"/>
                <w:spacing w:val="0"/>
                <w:position w:val="0"/>
                <w:sz w:val="24"/>
                <w:szCs w:val="24"/>
                <w:highlight w:val="none"/>
                <w:u w:val="single"/>
                <w:lang w:val="en-US" w:eastAsia="zh-CN"/>
              </w:rPr>
              <w:t>/。</w:t>
            </w:r>
          </w:p>
          <w:p w14:paraId="116C0E87">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left"/>
              <w:textAlignment w:val="baseline"/>
              <w:rPr>
                <w:rFonts w:hint="default"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pP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2B127E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0DD5D4D6">
            <w:pPr>
              <w:keepNext w:val="0"/>
              <w:keepLines w:val="0"/>
              <w:pageBreakBefore w:val="0"/>
              <w:widowControl w:val="0"/>
              <w:wordWrap/>
              <w:overflowPunct/>
              <w:topLinePunct w:val="0"/>
              <w:autoSpaceDE w:val="0"/>
              <w:autoSpaceDN w:val="0"/>
              <w:bidi w:val="0"/>
              <w:adjustRightInd w:val="0"/>
              <w:snapToGrid w:val="0"/>
              <w:spacing w:before="208" w:line="183" w:lineRule="auto"/>
              <w:jc w:val="center"/>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32.6</w:t>
            </w:r>
          </w:p>
        </w:tc>
        <w:tc>
          <w:tcPr>
            <w:tcW w:w="1440" w:type="dxa"/>
            <w:gridSpan w:val="2"/>
            <w:vAlign w:val="center"/>
          </w:tcPr>
          <w:p w14:paraId="2A4C4DDA">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询问、质疑</w:t>
            </w:r>
          </w:p>
          <w:p w14:paraId="6D27DDC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联系方式</w:t>
            </w:r>
          </w:p>
        </w:tc>
        <w:tc>
          <w:tcPr>
            <w:tcW w:w="7127" w:type="dxa"/>
            <w:gridSpan w:val="2"/>
          </w:tcPr>
          <w:p w14:paraId="09270956">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1、对磋商文件质疑</w:t>
            </w:r>
          </w:p>
          <w:p w14:paraId="4486A1E2">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接收部门：</w:t>
            </w:r>
            <w:r>
              <w:rPr>
                <w:rFonts w:hint="eastAsia" w:ascii="宋体" w:hAnsi="宋体" w:eastAsia="宋体" w:cs="宋体"/>
                <w:color w:val="auto"/>
                <w:spacing w:val="-4"/>
                <w:sz w:val="24"/>
                <w:szCs w:val="24"/>
                <w:highlight w:val="none"/>
                <w:lang w:val="en-US" w:eastAsia="zh-CN"/>
              </w:rPr>
              <w:t>政府采购二部</w:t>
            </w:r>
          </w:p>
          <w:p w14:paraId="74FD4BC3">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eastAsia="zh-CN"/>
              </w:rPr>
              <w:t>联系电话：</w:t>
            </w:r>
            <w:r>
              <w:rPr>
                <w:rFonts w:hint="eastAsia" w:ascii="宋体" w:hAnsi="宋体" w:eastAsia="宋体" w:cs="宋体"/>
                <w:color w:val="auto"/>
                <w:spacing w:val="-4"/>
                <w:sz w:val="24"/>
                <w:szCs w:val="24"/>
                <w:highlight w:val="none"/>
                <w:lang w:val="en-US" w:eastAsia="zh-CN"/>
              </w:rPr>
              <w:t>0791-86207757</w:t>
            </w:r>
          </w:p>
          <w:p w14:paraId="6DCE5072">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通讯地址：江西省南昌市东湖区省政府大院北二路92号（咨询大厦）</w:t>
            </w:r>
            <w:r>
              <w:rPr>
                <w:rFonts w:hint="eastAsia" w:ascii="宋体" w:hAnsi="宋体" w:eastAsia="宋体" w:cs="宋体"/>
                <w:color w:val="auto"/>
                <w:spacing w:val="-4"/>
                <w:sz w:val="24"/>
                <w:szCs w:val="24"/>
                <w:highlight w:val="none"/>
                <w:lang w:val="en-US" w:eastAsia="zh-CN"/>
              </w:rPr>
              <w:t>307</w:t>
            </w:r>
            <w:r>
              <w:rPr>
                <w:rFonts w:hint="eastAsia" w:ascii="宋体" w:hAnsi="宋体" w:eastAsia="宋体" w:cs="宋体"/>
                <w:color w:val="auto"/>
                <w:spacing w:val="-4"/>
                <w:sz w:val="24"/>
                <w:szCs w:val="24"/>
                <w:highlight w:val="none"/>
                <w:lang w:eastAsia="zh-CN"/>
              </w:rPr>
              <w:t xml:space="preserve">室 </w:t>
            </w:r>
          </w:p>
          <w:p w14:paraId="2048AA0D">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val="en-US" w:eastAsia="zh-CN"/>
              </w:rPr>
              <w:t>2、</w:t>
            </w:r>
            <w:r>
              <w:rPr>
                <w:rFonts w:hint="eastAsia" w:ascii="宋体" w:hAnsi="宋体" w:eastAsia="宋体" w:cs="宋体"/>
                <w:color w:val="auto"/>
                <w:spacing w:val="-4"/>
                <w:sz w:val="24"/>
                <w:szCs w:val="24"/>
                <w:highlight w:val="none"/>
                <w:lang w:eastAsia="zh-CN"/>
              </w:rPr>
              <w:t>对</w:t>
            </w:r>
            <w:r>
              <w:rPr>
                <w:rFonts w:hint="eastAsia" w:ascii="宋体" w:hAnsi="宋体" w:eastAsia="宋体" w:cs="宋体"/>
                <w:color w:val="auto"/>
                <w:spacing w:val="-4"/>
                <w:sz w:val="24"/>
                <w:szCs w:val="24"/>
                <w:highlight w:val="none"/>
                <w:lang w:val="en-US" w:eastAsia="zh-CN"/>
              </w:rPr>
              <w:t>采购</w:t>
            </w:r>
            <w:r>
              <w:rPr>
                <w:rFonts w:hint="eastAsia" w:ascii="宋体" w:hAnsi="宋体" w:eastAsia="宋体" w:cs="宋体"/>
                <w:color w:val="auto"/>
                <w:spacing w:val="-4"/>
                <w:sz w:val="24"/>
                <w:szCs w:val="24"/>
                <w:highlight w:val="none"/>
                <w:lang w:eastAsia="zh-CN"/>
              </w:rPr>
              <w:t>过程、</w:t>
            </w:r>
            <w:r>
              <w:rPr>
                <w:rFonts w:hint="eastAsia" w:ascii="宋体" w:hAnsi="宋体" w:eastAsia="宋体" w:cs="宋体"/>
                <w:color w:val="auto"/>
                <w:spacing w:val="-4"/>
                <w:sz w:val="24"/>
                <w:szCs w:val="24"/>
                <w:highlight w:val="none"/>
                <w:lang w:val="en-US" w:eastAsia="zh-CN"/>
              </w:rPr>
              <w:t>成交</w:t>
            </w:r>
            <w:r>
              <w:rPr>
                <w:rFonts w:hint="eastAsia" w:ascii="宋体" w:hAnsi="宋体" w:eastAsia="宋体" w:cs="宋体"/>
                <w:color w:val="auto"/>
                <w:spacing w:val="-4"/>
                <w:sz w:val="24"/>
                <w:szCs w:val="24"/>
                <w:highlight w:val="none"/>
                <w:lang w:eastAsia="zh-CN"/>
              </w:rPr>
              <w:t>结果质疑</w:t>
            </w:r>
          </w:p>
          <w:p w14:paraId="78F73DD5">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接收部门：江西省机电设备招标有限公司质疑室</w:t>
            </w:r>
          </w:p>
          <w:p w14:paraId="1075276C">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联系电话：0791-86274941</w:t>
            </w:r>
          </w:p>
          <w:p w14:paraId="4C883FD6">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通讯地址：江西省南昌市东湖区省政府大院北二路92号咨询大厦402室</w:t>
            </w:r>
          </w:p>
          <w:p w14:paraId="4E826C1E">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lang w:eastAsia="zh-CN"/>
              </w:rPr>
              <w:t>邮编：330046</w:t>
            </w:r>
          </w:p>
        </w:tc>
      </w:tr>
      <w:tr w14:paraId="220D22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18" w:type="dxa"/>
            <w:vAlign w:val="center"/>
          </w:tcPr>
          <w:p w14:paraId="5DBA3BEA">
            <w:pPr>
              <w:keepNext w:val="0"/>
              <w:keepLines w:val="0"/>
              <w:pageBreakBefore w:val="0"/>
              <w:widowControl w:val="0"/>
              <w:wordWrap/>
              <w:overflowPunct/>
              <w:topLinePunct w:val="0"/>
              <w:autoSpaceDE w:val="0"/>
              <w:autoSpaceDN w:val="0"/>
              <w:bidi w:val="0"/>
              <w:adjustRightInd w:val="0"/>
              <w:snapToGrid w:val="0"/>
              <w:spacing w:before="199" w:line="183"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rPr>
              <w:t>3</w:t>
            </w:r>
            <w:r>
              <w:rPr>
                <w:rFonts w:hint="eastAsia" w:ascii="宋体" w:hAnsi="宋体" w:eastAsia="宋体" w:cs="宋体"/>
                <w:color w:val="auto"/>
                <w:spacing w:val="-8"/>
                <w:sz w:val="24"/>
                <w:szCs w:val="24"/>
                <w:highlight w:val="none"/>
                <w:lang w:val="en-US" w:eastAsia="zh-CN"/>
              </w:rPr>
              <w:t>3</w:t>
            </w:r>
          </w:p>
        </w:tc>
        <w:tc>
          <w:tcPr>
            <w:tcW w:w="1440" w:type="dxa"/>
            <w:gridSpan w:val="2"/>
            <w:vAlign w:val="center"/>
          </w:tcPr>
          <w:p w14:paraId="0B2B306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采购代理</w:t>
            </w:r>
          </w:p>
          <w:p w14:paraId="5413AD4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8"/>
                <w:sz w:val="24"/>
                <w:szCs w:val="24"/>
                <w:highlight w:val="none"/>
              </w:rPr>
            </w:pPr>
            <w:r>
              <w:rPr>
                <w:rFonts w:ascii="宋体" w:hAnsi="宋体" w:eastAsia="宋体" w:cs="宋体"/>
                <w:color w:val="auto"/>
                <w:sz w:val="24"/>
                <w:szCs w:val="24"/>
                <w:highlight w:val="none"/>
                <w:lang w:eastAsia="zh-CN"/>
              </w:rPr>
              <w:t>服务费</w:t>
            </w:r>
          </w:p>
        </w:tc>
        <w:tc>
          <w:tcPr>
            <w:tcW w:w="7127" w:type="dxa"/>
            <w:gridSpan w:val="2"/>
            <w:vAlign w:val="bottom"/>
          </w:tcPr>
          <w:p w14:paraId="0C4447BA">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采购代理服务费：向成交供应商收取采购代理服务费，采购代理服务费按差额定率累进法计算收取，收费标准如下表所列：</w:t>
            </w:r>
          </w:p>
          <w:p w14:paraId="57C40528">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收费标准＝</w:t>
            </w:r>
            <w:r>
              <w:rPr>
                <w:rFonts w:hint="eastAsia" w:ascii="宋体" w:hAnsi="宋体" w:eastAsia="宋体" w:cs="宋体"/>
                <w:color w:val="auto"/>
                <w:spacing w:val="-4"/>
                <w:sz w:val="24"/>
                <w:szCs w:val="24"/>
                <w:highlight w:val="none"/>
                <w:lang w:val="en-US" w:eastAsia="zh-CN"/>
              </w:rPr>
              <w:t>预算</w:t>
            </w:r>
            <w:r>
              <w:rPr>
                <w:rFonts w:hint="eastAsia" w:ascii="宋体" w:hAnsi="宋体" w:eastAsia="宋体" w:cs="宋体"/>
                <w:color w:val="auto"/>
                <w:spacing w:val="-4"/>
                <w:sz w:val="24"/>
                <w:szCs w:val="24"/>
                <w:highlight w:val="none"/>
                <w:lang w:eastAsia="zh-CN"/>
              </w:rPr>
              <w:t>金额×收费费率＋速算增加数</w:t>
            </w:r>
          </w:p>
          <w:p w14:paraId="5809C3F1">
            <w:pPr>
              <w:keepNext w:val="0"/>
              <w:keepLines w:val="0"/>
              <w:pageBreakBefore w:val="0"/>
              <w:widowControl w:val="0"/>
              <w:kinsoku/>
              <w:wordWrap/>
              <w:overflowPunct/>
              <w:topLinePunct w:val="0"/>
              <w:autoSpaceDE w:val="0"/>
              <w:autoSpaceDN w:val="0"/>
              <w:bidi w:val="0"/>
              <w:adjustRightInd w:val="0"/>
              <w:snapToGrid w:val="0"/>
              <w:spacing w:line="360" w:lineRule="auto"/>
              <w:ind w:left="113" w:right="113" w:firstLine="0" w:firstLineChars="0"/>
              <w:jc w:val="both"/>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snapToGrid w:val="0"/>
                <w:color w:val="auto"/>
                <w:spacing w:val="0"/>
                <w:w w:val="100"/>
                <w:position w:val="0"/>
                <w:sz w:val="24"/>
                <w:szCs w:val="24"/>
                <w:highlight w:val="none"/>
                <w:lang w:val="en-US" w:eastAsia="zh-CN" w:bidi="ar-SA"/>
              </w:rPr>
              <w:t>备注：经计算代理服务费低于3000元的，按固定价3000元收取。</w:t>
            </w:r>
          </w:p>
          <w:tbl>
            <w:tblPr>
              <w:tblStyle w:val="20"/>
              <w:tblW w:w="7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56"/>
              <w:gridCol w:w="1898"/>
              <w:gridCol w:w="2666"/>
            </w:tblGrid>
            <w:tr w14:paraId="22359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6" w:type="dxa"/>
                  <w:vAlign w:val="center"/>
                </w:tcPr>
                <w:p w14:paraId="746AB195">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成交金额（万元）</w:t>
                  </w:r>
                </w:p>
              </w:tc>
              <w:tc>
                <w:tcPr>
                  <w:tcW w:w="1898" w:type="dxa"/>
                  <w:vAlign w:val="center"/>
                </w:tcPr>
                <w:p w14:paraId="6384CB78">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收费费率</w:t>
                  </w:r>
                </w:p>
              </w:tc>
              <w:tc>
                <w:tcPr>
                  <w:tcW w:w="2666" w:type="dxa"/>
                  <w:vAlign w:val="center"/>
                </w:tcPr>
                <w:p w14:paraId="760B60E8">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速算增加数（万元）</w:t>
                  </w:r>
                </w:p>
              </w:tc>
            </w:tr>
            <w:tr w14:paraId="66425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6" w:type="dxa"/>
                  <w:vAlign w:val="center"/>
                </w:tcPr>
                <w:p w14:paraId="72F5193C">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100以下</w:t>
                  </w:r>
                </w:p>
              </w:tc>
              <w:tc>
                <w:tcPr>
                  <w:tcW w:w="1898" w:type="dxa"/>
                  <w:vAlign w:val="center"/>
                </w:tcPr>
                <w:p w14:paraId="1347C119">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1.5%</w:t>
                  </w:r>
                </w:p>
              </w:tc>
              <w:tc>
                <w:tcPr>
                  <w:tcW w:w="2666" w:type="dxa"/>
                  <w:vAlign w:val="center"/>
                </w:tcPr>
                <w:p w14:paraId="6BEA865D">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lang w:val="en-US" w:eastAsia="zh-CN"/>
                    </w:rPr>
                    <w:t>0</w:t>
                  </w:r>
                </w:p>
              </w:tc>
            </w:tr>
            <w:tr w14:paraId="11AC8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6" w:type="dxa"/>
                  <w:vAlign w:val="center"/>
                </w:tcPr>
                <w:p w14:paraId="3EA22B2E">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100-500</w:t>
                  </w:r>
                </w:p>
              </w:tc>
              <w:tc>
                <w:tcPr>
                  <w:tcW w:w="1898" w:type="dxa"/>
                  <w:vAlign w:val="center"/>
                </w:tcPr>
                <w:p w14:paraId="685D19D8">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lang w:val="en-US" w:eastAsia="zh-CN"/>
                    </w:rPr>
                    <w:t>0.8</w:t>
                  </w:r>
                  <w:r>
                    <w:rPr>
                      <w:rFonts w:hint="eastAsia" w:ascii="宋体" w:hAnsi="宋体" w:eastAsia="宋体" w:cs="宋体"/>
                      <w:color w:val="auto"/>
                      <w:sz w:val="24"/>
                      <w:szCs w:val="24"/>
                      <w:highlight w:val="none"/>
                    </w:rPr>
                    <w:t>%</w:t>
                  </w:r>
                </w:p>
              </w:tc>
              <w:tc>
                <w:tcPr>
                  <w:tcW w:w="2666" w:type="dxa"/>
                  <w:vAlign w:val="center"/>
                </w:tcPr>
                <w:p w14:paraId="3DF8903E">
                  <w:pPr>
                    <w:keepNext w:val="0"/>
                    <w:keepLines w:val="0"/>
                    <w:pageBreakBefore w:val="0"/>
                    <w:widowControl w:val="0"/>
                    <w:kinsoku/>
                    <w:wordWrap/>
                    <w:overflowPunct/>
                    <w:topLinePunct w:val="0"/>
                    <w:autoSpaceDE w:val="0"/>
                    <w:autoSpaceDN w:val="0"/>
                    <w:bidi w:val="0"/>
                    <w:adjustRightInd w:val="0"/>
                    <w:snapToGrid w:val="0"/>
                    <w:spacing w:line="420" w:lineRule="exact"/>
                    <w:ind w:left="113" w:right="113"/>
                    <w:jc w:val="center"/>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7</w:t>
                  </w:r>
                </w:p>
              </w:tc>
            </w:tr>
          </w:tbl>
          <w:p w14:paraId="7BD705E0">
            <w:pPr>
              <w:keepNext w:val="0"/>
              <w:keepLines w:val="0"/>
              <w:pageBreakBefore w:val="0"/>
              <w:widowControl w:val="0"/>
              <w:wordWrap/>
              <w:overflowPunct/>
              <w:topLinePunct w:val="0"/>
              <w:autoSpaceDE w:val="0"/>
              <w:autoSpaceDN w:val="0"/>
              <w:bidi w:val="0"/>
              <w:adjustRightInd w:val="0"/>
              <w:snapToGrid w:val="0"/>
              <w:spacing w:before="40" w:line="360" w:lineRule="auto"/>
              <w:ind w:left="0"/>
              <w:jc w:val="both"/>
              <w:rPr>
                <w:rFonts w:ascii="宋体" w:hAnsi="宋体" w:eastAsia="宋体" w:cs="宋体"/>
                <w:color w:val="auto"/>
                <w:sz w:val="24"/>
                <w:szCs w:val="24"/>
                <w:highlight w:val="none"/>
                <w:lang w:eastAsia="zh-CN"/>
              </w:rPr>
            </w:pPr>
          </w:p>
        </w:tc>
      </w:tr>
      <w:tr w14:paraId="54174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 w:type="dxa"/>
          <w:trHeight w:val="567" w:hRule="atLeast"/>
          <w:jc w:val="center"/>
        </w:trPr>
        <w:tc>
          <w:tcPr>
            <w:tcW w:w="9485" w:type="dxa"/>
            <w:gridSpan w:val="5"/>
            <w:vAlign w:val="bottom"/>
          </w:tcPr>
          <w:p w14:paraId="0AC8883B">
            <w:pPr>
              <w:keepNext w:val="0"/>
              <w:keepLines w:val="0"/>
              <w:pageBreakBefore w:val="0"/>
              <w:widowControl w:val="0"/>
              <w:wordWrap/>
              <w:overflowPunct/>
              <w:topLinePunct w:val="0"/>
              <w:autoSpaceDE w:val="0"/>
              <w:autoSpaceDN w:val="0"/>
              <w:bidi w:val="0"/>
              <w:adjustRightInd w:val="0"/>
              <w:snapToGrid w:val="0"/>
              <w:spacing w:before="40" w:line="360" w:lineRule="auto"/>
              <w:ind w:left="113"/>
              <w:jc w:val="left"/>
              <w:rPr>
                <w:rFonts w:hint="eastAsia" w:ascii="宋体" w:hAnsi="宋体" w:eastAsia="宋体" w:cs="宋体"/>
                <w:i w:val="0"/>
                <w:iCs w:val="0"/>
                <w:color w:val="auto"/>
                <w:sz w:val="24"/>
                <w:szCs w:val="24"/>
                <w:highlight w:val="none"/>
                <w:lang w:eastAsia="zh-CN"/>
              </w:rPr>
            </w:pPr>
            <w:r>
              <w:rPr>
                <w:rFonts w:hint="eastAsia" w:ascii="宋体" w:hAnsi="宋体" w:eastAsia="宋体" w:cs="宋体"/>
                <w:i w:val="0"/>
                <w:iCs w:val="0"/>
                <w:color w:val="auto"/>
                <w:sz w:val="24"/>
                <w:szCs w:val="24"/>
                <w:highlight w:val="none"/>
                <w:lang w:eastAsia="zh-CN"/>
              </w:rPr>
              <w:t>已签订政府采购合同的且有融资需求企业，可在金融服务系统发起政采贷业务需求申请</w:t>
            </w:r>
            <w:r>
              <w:rPr>
                <w:rFonts w:hint="eastAsia" w:ascii="方正小标宋简体" w:hAnsi="方正小标宋简体" w:eastAsia="方正小标宋简体" w:cs="方正小标宋简体"/>
                <w:i w:val="0"/>
                <w:iCs w:val="0"/>
                <w:color w:val="auto"/>
                <w:sz w:val="24"/>
                <w:szCs w:val="24"/>
                <w:highlight w:val="none"/>
                <w:lang w:eastAsia="zh-CN"/>
              </w:rPr>
              <w:t>。</w:t>
            </w:r>
          </w:p>
        </w:tc>
      </w:tr>
    </w:tbl>
    <w:p w14:paraId="39BA33E6">
      <w:pPr>
        <w:keepNext w:val="0"/>
        <w:keepLines w:val="0"/>
        <w:pageBreakBefore w:val="0"/>
        <w:widowControl w:val="0"/>
        <w:wordWrap/>
        <w:overflowPunct/>
        <w:topLinePunct w:val="0"/>
        <w:autoSpaceDE w:val="0"/>
        <w:autoSpaceDN w:val="0"/>
        <w:bidi w:val="0"/>
        <w:adjustRightInd w:val="0"/>
        <w:snapToGrid w:val="0"/>
        <w:rPr>
          <w:color w:val="auto"/>
          <w:highlight w:val="none"/>
          <w:lang w:eastAsia="zh-CN"/>
        </w:rPr>
        <w:sectPr>
          <w:pgSz w:w="11906" w:h="16839"/>
          <w:pgMar w:top="1440" w:right="1800" w:bottom="1440" w:left="1800" w:header="0" w:footer="1200" w:gutter="0"/>
          <w:pgNumType w:fmt="decimal" w:start="1"/>
          <w:cols w:space="720" w:num="1"/>
        </w:sectPr>
      </w:pPr>
    </w:p>
    <w:p w14:paraId="5D678417">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z w:val="24"/>
          <w:szCs w:val="24"/>
          <w:highlight w:val="none"/>
          <w:lang w:eastAsia="zh-CN"/>
        </w:rPr>
      </w:pPr>
      <w:bookmarkStart w:id="15" w:name="_Toc14353"/>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92"/>
          <w:sz w:val="24"/>
          <w:szCs w:val="24"/>
          <w:highlight w:val="none"/>
          <w:lang w:eastAsia="zh-CN"/>
        </w:rPr>
        <w:t xml:space="preserve"> </w:t>
      </w: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磋商文件</w:t>
      </w:r>
      <w:bookmarkEnd w:id="15"/>
    </w:p>
    <w:p w14:paraId="0A1E0CA5">
      <w:pPr>
        <w:pageBreakBefore w:val="0"/>
        <w:widowControl w:val="0"/>
        <w:wordWrap/>
        <w:overflowPunct/>
        <w:topLinePunct w:val="0"/>
        <w:bidi w:val="0"/>
        <w:spacing w:beforeAutospacing="0" w:line="363" w:lineRule="auto"/>
        <w:rPr>
          <w:color w:val="auto"/>
          <w:highlight w:val="none"/>
          <w:lang w:eastAsia="zh-CN"/>
        </w:rPr>
      </w:pPr>
    </w:p>
    <w:p w14:paraId="45526DD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6" w:name="_Toc1225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1.适用范围</w:t>
      </w:r>
      <w:bookmarkEnd w:id="16"/>
    </w:p>
    <w:p w14:paraId="39D2A3F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1.1 本</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仅适用于本“</w:t>
      </w:r>
      <w:r>
        <w:rPr>
          <w:rFonts w:hint="eastAsia" w:ascii="宋体" w:hAnsi="宋体" w:eastAsia="宋体" w:cs="宋体"/>
          <w:color w:val="auto"/>
          <w:spacing w:val="0"/>
          <w:position w:val="0"/>
          <w:sz w:val="24"/>
          <w:szCs w:val="24"/>
          <w:highlight w:val="none"/>
          <w:lang w:eastAsia="zh-CN"/>
        </w:rPr>
        <w:t>磋商邀请</w:t>
      </w:r>
      <w:r>
        <w:rPr>
          <w:rFonts w:ascii="宋体" w:hAnsi="宋体" w:eastAsia="宋体" w:cs="宋体"/>
          <w:color w:val="auto"/>
          <w:spacing w:val="0"/>
          <w:position w:val="0"/>
          <w:sz w:val="24"/>
          <w:szCs w:val="24"/>
          <w:highlight w:val="none"/>
          <w:lang w:eastAsia="zh-CN"/>
        </w:rPr>
        <w:t>”中所述服务的采购。</w:t>
      </w:r>
    </w:p>
    <w:p w14:paraId="3DE93F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7" w:name="_Toc1085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2.定义</w:t>
      </w:r>
      <w:bookmarkEnd w:id="17"/>
    </w:p>
    <w:p w14:paraId="515AA53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2.1 采购人：详见“</w:t>
      </w:r>
      <w:r>
        <w:rPr>
          <w:rFonts w:hint="eastAsia" w:ascii="宋体" w:hAnsi="宋体" w:cs="宋体"/>
          <w:color w:val="auto"/>
          <w:spacing w:val="0"/>
          <w:position w:val="0"/>
          <w:sz w:val="24"/>
          <w:szCs w:val="24"/>
          <w:highlight w:val="none"/>
        </w:rPr>
        <w:t xml:space="preserve">第一章 </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邀请</w:t>
      </w:r>
      <w:r>
        <w:rPr>
          <w:rFonts w:ascii="宋体" w:hAnsi="宋体" w:eastAsia="宋体" w:cs="宋体"/>
          <w:color w:val="auto"/>
          <w:spacing w:val="0"/>
          <w:position w:val="0"/>
          <w:sz w:val="24"/>
          <w:szCs w:val="24"/>
          <w:highlight w:val="none"/>
          <w:lang w:eastAsia="zh-CN"/>
        </w:rPr>
        <w:t xml:space="preserve"> ”。</w:t>
      </w:r>
    </w:p>
    <w:p w14:paraId="5E244591">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2.2 采购代理机构：详见“</w:t>
      </w:r>
      <w:r>
        <w:rPr>
          <w:rFonts w:hint="eastAsia" w:ascii="宋体" w:hAnsi="宋体" w:cs="宋体"/>
          <w:color w:val="auto"/>
          <w:spacing w:val="0"/>
          <w:position w:val="0"/>
          <w:sz w:val="24"/>
          <w:szCs w:val="24"/>
          <w:highlight w:val="none"/>
        </w:rPr>
        <w:t xml:space="preserve">第一章 </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邀请</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w:t>
      </w:r>
    </w:p>
    <w:p w14:paraId="592A541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leftChars="0" w:hanging="480" w:hangingChars="200"/>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2.3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：是指</w:t>
      </w:r>
      <w:r>
        <w:rPr>
          <w:rFonts w:hint="eastAsia" w:ascii="宋体" w:hAnsi="宋体" w:eastAsia="宋体" w:cs="宋体"/>
          <w:color w:val="auto"/>
          <w:spacing w:val="0"/>
          <w:position w:val="0"/>
          <w:sz w:val="24"/>
          <w:szCs w:val="24"/>
          <w:highlight w:val="none"/>
          <w:lang w:val="en-US" w:eastAsia="zh-CN"/>
        </w:rPr>
        <w:t>向采购人提供</w:t>
      </w:r>
      <w:r>
        <w:rPr>
          <w:rFonts w:hint="eastAsia" w:ascii="宋体" w:hAnsi="宋体" w:cs="宋体"/>
          <w:color w:val="auto"/>
          <w:spacing w:val="0"/>
          <w:position w:val="0"/>
          <w:sz w:val="24"/>
          <w:szCs w:val="24"/>
          <w:highlight w:val="none"/>
        </w:rPr>
        <w:t xml:space="preserve">“第一章 </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邀请”中采购内容</w:t>
      </w:r>
      <w:r>
        <w:rPr>
          <w:rFonts w:ascii="宋体" w:hAnsi="宋体" w:eastAsia="宋体" w:cs="宋体"/>
          <w:color w:val="auto"/>
          <w:spacing w:val="0"/>
          <w:position w:val="0"/>
          <w:sz w:val="24"/>
          <w:szCs w:val="24"/>
          <w:highlight w:val="none"/>
          <w:lang w:eastAsia="zh-CN"/>
        </w:rPr>
        <w:t>的法人、其他组织或者自然人。</w:t>
      </w:r>
    </w:p>
    <w:p w14:paraId="64C0786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8" w:name="_Toc2923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3.合格</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bookmarkEnd w:id="18"/>
    </w:p>
    <w:p w14:paraId="3D62123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3.1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 xml:space="preserve">的资格条件：详见“第一章 </w:t>
      </w:r>
      <w:r>
        <w:rPr>
          <w:rFonts w:hint="eastAsia" w:ascii="宋体" w:hAnsi="宋体" w:eastAsia="宋体" w:cs="宋体"/>
          <w:color w:val="auto"/>
          <w:spacing w:val="0"/>
          <w:position w:val="0"/>
          <w:sz w:val="24"/>
          <w:szCs w:val="24"/>
          <w:highlight w:val="none"/>
          <w:lang w:eastAsia="zh-CN"/>
        </w:rPr>
        <w:t>磋商邀请</w:t>
      </w:r>
      <w:r>
        <w:rPr>
          <w:rFonts w:ascii="宋体" w:hAnsi="宋体" w:eastAsia="宋体" w:cs="宋体"/>
          <w:color w:val="auto"/>
          <w:spacing w:val="0"/>
          <w:position w:val="0"/>
          <w:sz w:val="24"/>
          <w:szCs w:val="24"/>
          <w:highlight w:val="none"/>
          <w:lang w:eastAsia="zh-CN"/>
        </w:rPr>
        <w:t>”。</w:t>
      </w:r>
    </w:p>
    <w:p w14:paraId="73BBBAE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 联合体</w:t>
      </w:r>
      <w:r>
        <w:rPr>
          <w:rFonts w:hint="eastAsia" w:ascii="宋体" w:hAnsi="宋体" w:eastAsia="宋体" w:cs="宋体"/>
          <w:color w:val="auto"/>
          <w:spacing w:val="0"/>
          <w:position w:val="0"/>
          <w:sz w:val="24"/>
          <w:szCs w:val="24"/>
          <w:highlight w:val="none"/>
          <w:lang w:val="en-US" w:eastAsia="zh-CN"/>
        </w:rPr>
        <w:t>参加磋商。</w:t>
      </w:r>
    </w:p>
    <w:p w14:paraId="653678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3.2.1 是否接受联合体</w:t>
      </w:r>
      <w:r>
        <w:rPr>
          <w:rFonts w:hint="eastAsia" w:ascii="宋体" w:hAnsi="宋体" w:eastAsia="宋体" w:cs="宋体"/>
          <w:color w:val="auto"/>
          <w:spacing w:val="0"/>
          <w:position w:val="0"/>
          <w:sz w:val="24"/>
          <w:szCs w:val="24"/>
          <w:highlight w:val="none"/>
          <w:lang w:val="en-US" w:eastAsia="zh-CN"/>
        </w:rPr>
        <w:t>参加磋商</w:t>
      </w:r>
      <w:r>
        <w:rPr>
          <w:rFonts w:ascii="宋体" w:hAnsi="宋体" w:eastAsia="宋体" w:cs="宋体"/>
          <w:color w:val="auto"/>
          <w:spacing w:val="0"/>
          <w:position w:val="0"/>
          <w:sz w:val="24"/>
          <w:szCs w:val="24"/>
          <w:highlight w:val="none"/>
          <w:lang w:eastAsia="zh-CN"/>
        </w:rPr>
        <w:t>：详见“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7DF060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3.2.2 两个以上的自然人、法人或者其他组织可以组成一个联合体，以一个供应商的身份共同参加政府采购。以联合体形式进行政府采购的，参加联合体的供应商均应当具备</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769248D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3.2.3 联合体各方均应当满足相应的资格条件，项目中有特定资质要求的，联合体当中承担此项工作的供应商必须具备相应的资质。</w:t>
      </w:r>
      <w:r>
        <w:rPr>
          <w:rFonts w:hint="eastAsia" w:ascii="宋体" w:hAnsi="宋体" w:eastAsia="宋体" w:cs="宋体"/>
          <w:color w:val="auto"/>
          <w:spacing w:val="0"/>
          <w:position w:val="0"/>
          <w:sz w:val="24"/>
          <w:szCs w:val="24"/>
          <w:highlight w:val="none"/>
          <w:lang w:eastAsia="zh-CN"/>
        </w:rPr>
        <w:t>联合体</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后，必须由联合体中具备“相应 ”资质的供应商承担，否则将承担违约责任，并赔偿因违约给采购人造成的一切损失。</w:t>
      </w:r>
    </w:p>
    <w:p w14:paraId="33F9081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cs="仿宋" w:asciiTheme="minorEastAsia" w:hAnsiTheme="minorEastAsia" w:eastAsiaTheme="minorEastAsia"/>
          <w:color w:val="auto"/>
          <w:spacing w:val="0"/>
          <w:position w:val="0"/>
          <w:sz w:val="24"/>
          <w:szCs w:val="24"/>
          <w:highlight w:val="none"/>
        </w:rPr>
        <w:t>3.2.</w:t>
      </w:r>
      <w:r>
        <w:rPr>
          <w:rFonts w:hint="eastAsia" w:cs="仿宋" w:asciiTheme="minorEastAsia" w:hAnsiTheme="minorEastAsia" w:eastAsiaTheme="minorEastAsia"/>
          <w:color w:val="auto"/>
          <w:spacing w:val="0"/>
          <w:position w:val="0"/>
          <w:sz w:val="24"/>
          <w:szCs w:val="24"/>
          <w:highlight w:val="none"/>
          <w:lang w:val="en-US" w:eastAsia="zh-CN"/>
        </w:rPr>
        <w:t xml:space="preserve">4 </w:t>
      </w:r>
      <w:r>
        <w:rPr>
          <w:rFonts w:hint="eastAsia" w:cs="仿宋" w:asciiTheme="minorEastAsia" w:hAnsiTheme="minorEastAsia" w:eastAsiaTheme="minorEastAsia"/>
          <w:color w:val="auto"/>
          <w:spacing w:val="0"/>
          <w:position w:val="0"/>
          <w:sz w:val="24"/>
          <w:szCs w:val="24"/>
          <w:highlight w:val="none"/>
        </w:rPr>
        <w:t>以联合体参加</w:t>
      </w:r>
      <w:r>
        <w:rPr>
          <w:rFonts w:hint="eastAsia" w:cs="仿宋" w:asciiTheme="minorEastAsia" w:hAnsiTheme="minorEastAsia" w:eastAsiaTheme="minorEastAsia"/>
          <w:color w:val="auto"/>
          <w:spacing w:val="0"/>
          <w:position w:val="0"/>
          <w:sz w:val="24"/>
          <w:szCs w:val="24"/>
          <w:highlight w:val="none"/>
          <w:lang w:val="en-US" w:eastAsia="zh-CN"/>
        </w:rPr>
        <w:t>磋商</w:t>
      </w:r>
      <w:r>
        <w:rPr>
          <w:rFonts w:hint="eastAsia" w:cs="仿宋" w:asciiTheme="minorEastAsia" w:hAnsiTheme="minorEastAsia" w:eastAsiaTheme="minorEastAsia"/>
          <w:color w:val="auto"/>
          <w:spacing w:val="0"/>
          <w:position w:val="0"/>
          <w:sz w:val="24"/>
          <w:szCs w:val="24"/>
          <w:highlight w:val="none"/>
        </w:rPr>
        <w:t>的，联合体中有同类资质的</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按联合体分工承担相同工作的，应当按照资质等级较低的</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确定资质等级。</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CA04F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cs="仿宋" w:asciiTheme="minorEastAsia" w:hAnsiTheme="minorEastAsia" w:eastAsiaTheme="minorEastAsia"/>
          <w:color w:val="auto"/>
          <w:spacing w:val="0"/>
          <w:position w:val="0"/>
          <w:sz w:val="24"/>
          <w:szCs w:val="24"/>
          <w:highlight w:val="none"/>
        </w:rPr>
        <w:t>3.2.</w:t>
      </w:r>
      <w:r>
        <w:rPr>
          <w:rFonts w:hint="eastAsia" w:cs="仿宋" w:asciiTheme="minorEastAsia" w:hAnsiTheme="minorEastAsia" w:eastAsiaTheme="minorEastAsia"/>
          <w:color w:val="auto"/>
          <w:spacing w:val="0"/>
          <w:position w:val="0"/>
          <w:sz w:val="24"/>
          <w:szCs w:val="24"/>
          <w:highlight w:val="none"/>
          <w:lang w:val="en-US" w:eastAsia="zh-CN"/>
        </w:rPr>
        <w:t xml:space="preserve">5 </w:t>
      </w:r>
      <w:r>
        <w:rPr>
          <w:rFonts w:hint="eastAsia" w:cs="仿宋" w:asciiTheme="minorEastAsia" w:hAnsiTheme="minorEastAsia" w:eastAsiaTheme="minorEastAsia"/>
          <w:color w:val="auto"/>
          <w:spacing w:val="0"/>
          <w:position w:val="0"/>
          <w:sz w:val="24"/>
          <w:szCs w:val="24"/>
          <w:highlight w:val="none"/>
        </w:rPr>
        <w:t>联合体各方不得再单独参加或者与其他</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另外组成联合体参加同一合同项下的政府采购活动。</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0FE4825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9" w:name="_Toc749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费用</w:t>
      </w:r>
      <w:bookmarkEnd w:id="19"/>
    </w:p>
    <w:p w14:paraId="4C7D6D7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8" w:leftChars="0" w:hanging="409" w:firstLineChars="0"/>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 xml:space="preserve">4.1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应自行承担所有与准备和参加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有关的全部费用。不论</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的结果如何，采</w:t>
      </w:r>
      <w:r>
        <w:rPr>
          <w:rFonts w:hint="eastAsia" w:ascii="宋体" w:hAnsi="宋体" w:eastAsia="宋体" w:cs="宋体"/>
          <w:color w:val="auto"/>
          <w:spacing w:val="0"/>
          <w:position w:val="0"/>
          <w:sz w:val="24"/>
          <w:szCs w:val="24"/>
          <w:highlight w:val="none"/>
          <w:lang w:val="en-US" w:eastAsia="zh-CN"/>
        </w:rPr>
        <w:t>购代理机构均无义务和责任承担这些费用。</w:t>
      </w:r>
    </w:p>
    <w:p w14:paraId="672CE0A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20" w:name="_Toc2335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代表</w:t>
      </w:r>
      <w:bookmarkEnd w:id="20"/>
    </w:p>
    <w:p w14:paraId="1DD4AF9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0" w:hanging="480" w:firstLineChars="0"/>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5.1 指全权代表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活动并签署</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的人。如果</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代表不是法定代表人，须持有《法定代表人授权书》。</w:t>
      </w:r>
    </w:p>
    <w:p w14:paraId="41BF418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2" w:leftChars="1"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21" w:name="_Toc20408"/>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磋商文件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bookmarkEnd w:id="21"/>
    </w:p>
    <w:p w14:paraId="1317C87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6.1 要求提供的服务、</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过程和合同条款在</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中均有说明。</w:t>
      </w:r>
    </w:p>
    <w:p w14:paraId="74FCD9B2">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79" w:leftChars="228" w:firstLine="0" w:firstLineChars="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共</w:t>
      </w:r>
      <w:r>
        <w:rPr>
          <w:rFonts w:hint="eastAsia" w:ascii="宋体" w:hAnsi="宋体" w:eastAsia="宋体" w:cs="宋体"/>
          <w:color w:val="auto"/>
          <w:spacing w:val="0"/>
          <w:position w:val="0"/>
          <w:sz w:val="24"/>
          <w:szCs w:val="24"/>
          <w:highlight w:val="none"/>
          <w:lang w:val="en-US" w:eastAsia="zh-CN"/>
        </w:rPr>
        <w:t>六</w:t>
      </w:r>
      <w:r>
        <w:rPr>
          <w:rFonts w:ascii="宋体" w:hAnsi="宋体" w:eastAsia="宋体" w:cs="宋体"/>
          <w:color w:val="auto"/>
          <w:spacing w:val="0"/>
          <w:position w:val="0"/>
          <w:sz w:val="24"/>
          <w:szCs w:val="24"/>
          <w:highlight w:val="none"/>
          <w:lang w:eastAsia="zh-CN"/>
        </w:rPr>
        <w:t>章，各章的内容如下：</w:t>
      </w:r>
    </w:p>
    <w:p w14:paraId="4EB58B24">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第一章 </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邀请</w:t>
      </w:r>
    </w:p>
    <w:p w14:paraId="27199E0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第二章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w:t>
      </w:r>
    </w:p>
    <w:p w14:paraId="478A11E5">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第三章 拟签订的合同文本</w:t>
      </w:r>
    </w:p>
    <w:p w14:paraId="1B06DB8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w:t>
      </w:r>
    </w:p>
    <w:p w14:paraId="0A68E4B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第五章 采购需求</w:t>
      </w:r>
      <w:r>
        <w:rPr>
          <w:rFonts w:hint="eastAsia" w:ascii="宋体" w:hAnsi="宋体" w:eastAsia="宋体" w:cs="宋体"/>
          <w:color w:val="auto"/>
          <w:spacing w:val="0"/>
          <w:position w:val="0"/>
          <w:sz w:val="24"/>
          <w:szCs w:val="24"/>
          <w:highlight w:val="none"/>
          <w:lang w:val="en-US" w:eastAsia="zh-CN"/>
        </w:rPr>
        <w:t>表及采购要求</w:t>
      </w:r>
    </w:p>
    <w:p w14:paraId="51B3424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snapToGrid w:val="0"/>
          <w:color w:val="auto"/>
          <w:spacing w:val="0"/>
          <w:position w:val="0"/>
          <w:sz w:val="24"/>
          <w:szCs w:val="24"/>
          <w:highlight w:val="none"/>
          <w:lang w:val="en-US" w:eastAsia="zh-CN" w:bidi="ar-SA"/>
        </w:rPr>
        <w:t>第六章 评审标准</w:t>
      </w:r>
    </w:p>
    <w:p w14:paraId="39331F7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6.2 除非有特殊要求，</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不单独提供</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服务使用地的自然环境、气候条件、公用设施等情况，</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被视为熟悉上述与履行合同有关的一切情况。</w:t>
      </w:r>
    </w:p>
    <w:p w14:paraId="1F9A62E0">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78" w:leftChars="37"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22" w:name="_Toc25386"/>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应当提交的资格、资信证明文件</w:t>
      </w:r>
      <w:bookmarkEnd w:id="22"/>
    </w:p>
    <w:p w14:paraId="107D4D5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7.1 </w:t>
      </w:r>
      <w:r>
        <w:rPr>
          <w:rFonts w:ascii="宋体" w:hAnsi="宋体" w:eastAsia="宋体" w:cs="宋体"/>
          <w:color w:val="auto"/>
          <w:spacing w:val="0"/>
          <w:position w:val="0"/>
          <w:sz w:val="24"/>
          <w:szCs w:val="24"/>
          <w:highlight w:val="none"/>
          <w:lang w:eastAsia="zh-CN"/>
        </w:rPr>
        <w:t>具有独立承担民事责任的能力的资格证明文件</w:t>
      </w:r>
      <w:r>
        <w:rPr>
          <w:rFonts w:hint="eastAsia" w:ascii="宋体" w:hAnsi="宋体" w:eastAsia="宋体" w:cs="宋体"/>
          <w:color w:val="auto"/>
          <w:spacing w:val="0"/>
          <w:position w:val="0"/>
          <w:sz w:val="24"/>
          <w:szCs w:val="24"/>
          <w:highlight w:val="none"/>
          <w:lang w:val="en-US" w:eastAsia="zh-CN"/>
        </w:rPr>
        <w:t>；</w:t>
      </w:r>
    </w:p>
    <w:p w14:paraId="56B001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具有良好的商业信誉和健全的财务会计制度的证明文件</w:t>
      </w:r>
      <w:r>
        <w:rPr>
          <w:rFonts w:hint="eastAsia" w:ascii="宋体" w:hAnsi="宋体" w:eastAsia="宋体" w:cs="宋体"/>
          <w:color w:val="auto"/>
          <w:spacing w:val="0"/>
          <w:position w:val="0"/>
          <w:sz w:val="24"/>
          <w:szCs w:val="24"/>
          <w:highlight w:val="none"/>
          <w:lang w:eastAsia="zh-CN"/>
        </w:rPr>
        <w:t>；</w:t>
      </w:r>
    </w:p>
    <w:p w14:paraId="31A4E69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具有履行合同所必需的设备和专业技术能力的证明文件</w:t>
      </w:r>
      <w:r>
        <w:rPr>
          <w:rFonts w:hint="eastAsia" w:ascii="宋体" w:hAnsi="宋体" w:eastAsia="宋体" w:cs="宋体"/>
          <w:color w:val="auto"/>
          <w:spacing w:val="0"/>
          <w:position w:val="0"/>
          <w:sz w:val="24"/>
          <w:szCs w:val="24"/>
          <w:highlight w:val="none"/>
          <w:lang w:eastAsia="zh-CN"/>
        </w:rPr>
        <w:t>；</w:t>
      </w:r>
    </w:p>
    <w:p w14:paraId="557531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4 </w:t>
      </w:r>
      <w:r>
        <w:rPr>
          <w:rFonts w:ascii="宋体" w:hAnsi="宋体" w:eastAsia="宋体" w:cs="宋体"/>
          <w:color w:val="auto"/>
          <w:spacing w:val="0"/>
          <w:position w:val="0"/>
          <w:sz w:val="24"/>
          <w:szCs w:val="24"/>
          <w:highlight w:val="none"/>
          <w:lang w:eastAsia="zh-CN"/>
        </w:rPr>
        <w:t>有依法缴纳税收和社会保障资金的良好记录的证明文件</w:t>
      </w:r>
      <w:r>
        <w:rPr>
          <w:rFonts w:hint="eastAsia" w:ascii="宋体" w:hAnsi="宋体" w:eastAsia="宋体" w:cs="宋体"/>
          <w:color w:val="auto"/>
          <w:spacing w:val="0"/>
          <w:position w:val="0"/>
          <w:sz w:val="24"/>
          <w:szCs w:val="24"/>
          <w:highlight w:val="none"/>
          <w:lang w:eastAsia="zh-CN"/>
        </w:rPr>
        <w:t>；</w:t>
      </w:r>
    </w:p>
    <w:p w14:paraId="39EAA5B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参加政府采购</w:t>
      </w:r>
      <w:r>
        <w:rPr>
          <w:rFonts w:hint="eastAsia" w:ascii="宋体" w:hAnsi="宋体" w:eastAsia="宋体" w:cs="宋体"/>
          <w:color w:val="auto"/>
          <w:spacing w:val="0"/>
          <w:position w:val="0"/>
          <w:sz w:val="24"/>
          <w:szCs w:val="24"/>
          <w:highlight w:val="none"/>
          <w:lang w:val="en-US" w:eastAsia="zh-CN"/>
        </w:rPr>
        <w:t>活动</w:t>
      </w:r>
      <w:r>
        <w:rPr>
          <w:rFonts w:ascii="宋体" w:hAnsi="宋体" w:eastAsia="宋体" w:cs="宋体"/>
          <w:color w:val="auto"/>
          <w:spacing w:val="0"/>
          <w:position w:val="0"/>
          <w:sz w:val="24"/>
          <w:szCs w:val="24"/>
          <w:highlight w:val="none"/>
          <w:lang w:eastAsia="zh-CN"/>
        </w:rPr>
        <w:t>前三年内，在经营活动中没有重大违法记录的证明文件</w:t>
      </w:r>
      <w:r>
        <w:rPr>
          <w:rFonts w:hint="eastAsia" w:ascii="宋体" w:hAnsi="宋体" w:eastAsia="宋体" w:cs="宋体"/>
          <w:color w:val="auto"/>
          <w:spacing w:val="0"/>
          <w:position w:val="0"/>
          <w:sz w:val="24"/>
          <w:szCs w:val="24"/>
          <w:highlight w:val="none"/>
          <w:lang w:eastAsia="zh-CN"/>
        </w:rPr>
        <w:t>；</w:t>
      </w:r>
    </w:p>
    <w:p w14:paraId="4D67A6E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6 </w:t>
      </w:r>
      <w:r>
        <w:rPr>
          <w:rFonts w:ascii="宋体" w:hAnsi="宋体" w:eastAsia="宋体" w:cs="宋体"/>
          <w:color w:val="auto"/>
          <w:spacing w:val="0"/>
          <w:position w:val="0"/>
          <w:sz w:val="24"/>
          <w:szCs w:val="24"/>
          <w:highlight w:val="none"/>
          <w:lang w:eastAsia="zh-CN"/>
        </w:rPr>
        <w:t>法定代表人授权书</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w:t>
      </w:r>
    </w:p>
    <w:p w14:paraId="13B2807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7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的资格声明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w:t>
      </w:r>
    </w:p>
    <w:p w14:paraId="7EB854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8 </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凭证</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w:t>
      </w:r>
    </w:p>
    <w:p w14:paraId="0E8BAFB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61" w:hanging="480" w:hanging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7.9 联合体协议；（格式详见“第四章响应文件格式 7-6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58FEED0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7.1</w:t>
      </w:r>
      <w:r>
        <w:rPr>
          <w:rFonts w:hint="eastAsia" w:ascii="宋体" w:hAnsi="宋体" w:eastAsia="宋体" w:cs="宋体"/>
          <w:color w:val="auto"/>
          <w:spacing w:val="0"/>
          <w:position w:val="0"/>
          <w:sz w:val="24"/>
          <w:szCs w:val="24"/>
          <w:highlight w:val="none"/>
          <w:lang w:val="en-US" w:eastAsia="zh-CN"/>
        </w:rPr>
        <w:t xml:space="preserve">0 </w:t>
      </w:r>
      <w:r>
        <w:rPr>
          <w:rFonts w:hint="eastAsia" w:ascii="宋体" w:hAnsi="宋体" w:eastAsia="宋体" w:cs="宋体"/>
          <w:b w:val="0"/>
          <w:bCs/>
          <w:color w:val="auto"/>
          <w:spacing w:val="0"/>
          <w:position w:val="0"/>
          <w:sz w:val="24"/>
          <w:szCs w:val="24"/>
          <w:highlight w:val="none"/>
        </w:rPr>
        <w:t>本项目的特定资格证明材料</w:t>
      </w:r>
      <w:r>
        <w:rPr>
          <w:rFonts w:hint="eastAsia" w:ascii="宋体" w:hAnsi="宋体" w:eastAsia="宋体" w:cs="宋体"/>
          <w:b w:val="0"/>
          <w:bCs/>
          <w:color w:val="auto"/>
          <w:spacing w:val="0"/>
          <w:position w:val="0"/>
          <w:sz w:val="24"/>
          <w:szCs w:val="24"/>
          <w:highlight w:val="none"/>
          <w:lang w:eastAsia="zh-CN"/>
        </w:rPr>
        <w:t>。</w:t>
      </w:r>
    </w:p>
    <w:p w14:paraId="68A5BDEA">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78" w:leftChars="37" w:firstLine="0" w:firstLineChars="0"/>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3" w:name="_Toc862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须提供的证明材料</w:t>
      </w:r>
      <w:bookmarkEnd w:id="23"/>
    </w:p>
    <w:p w14:paraId="1A64F0E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79" w:firstLineChars="3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p>
    <w:p w14:paraId="01EE4D4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80" w:leftChars="38"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8.1.1 中小企业（含中型、小型、微型企业，下同）应当符合以下条件：</w:t>
      </w:r>
    </w:p>
    <w:p w14:paraId="5534ED33">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558" w:leftChars="188" w:right="0" w:hanging="163" w:hangingChars="68"/>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44DCB1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3" w:leftChars="200" w:right="2" w:hanging="153" w:hangingChars="6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小型、微型企业</w:t>
      </w:r>
      <w:r>
        <w:rPr>
          <w:rFonts w:hint="eastAsia" w:ascii="宋体" w:hAnsi="宋体" w:eastAsia="宋体" w:cs="宋体"/>
          <w:color w:val="auto"/>
          <w:spacing w:val="0"/>
          <w:position w:val="0"/>
          <w:sz w:val="24"/>
          <w:szCs w:val="24"/>
          <w:highlight w:val="none"/>
          <w:lang w:val="en-US" w:eastAsia="zh-CN"/>
        </w:rPr>
        <w:t>作为代理商，</w:t>
      </w:r>
      <w:r>
        <w:rPr>
          <w:rFonts w:ascii="宋体" w:hAnsi="宋体" w:eastAsia="宋体" w:cs="宋体"/>
          <w:color w:val="auto"/>
          <w:spacing w:val="0"/>
          <w:position w:val="0"/>
          <w:sz w:val="24"/>
          <w:szCs w:val="24"/>
          <w:highlight w:val="none"/>
          <w:lang w:eastAsia="zh-CN"/>
        </w:rPr>
        <w:t>中型企业</w:t>
      </w:r>
      <w:r>
        <w:rPr>
          <w:rFonts w:hint="eastAsia" w:ascii="宋体" w:hAnsi="宋体" w:eastAsia="宋体" w:cs="宋体"/>
          <w:color w:val="auto"/>
          <w:spacing w:val="0"/>
          <w:position w:val="0"/>
          <w:sz w:val="24"/>
          <w:szCs w:val="24"/>
          <w:highlight w:val="none"/>
          <w:lang w:val="en-US" w:eastAsia="zh-CN"/>
        </w:rPr>
        <w:t>作为本项目服务承接商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视同为中型企业；</w:t>
      </w:r>
    </w:p>
    <w:p w14:paraId="1F253DC6">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573" w:leftChars="200" w:hanging="153" w:hangingChars="64"/>
        <w:jc w:val="both"/>
        <w:textAlignment w:val="baseline"/>
        <w:rPr>
          <w:rFonts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（3）在服务采购项目中，服务由中小企业承接，即提供服务的人员为中小企业依照《中华人民共和国劳动合同法》订立劳动合同的从业人员；</w:t>
      </w:r>
    </w:p>
    <w:p w14:paraId="6559B3A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73" w:leftChars="200" w:right="2" w:hanging="153" w:hangingChars="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）以联合体形式参加政府采购活动，联合体各方均为中小企业的，联合体视同中</w:t>
      </w:r>
      <w:r>
        <w:rPr>
          <w:rFonts w:hint="eastAsia" w:ascii="宋体" w:hAnsi="宋体" w:eastAsia="宋体" w:cs="宋体"/>
          <w:color w:val="auto"/>
          <w:spacing w:val="0"/>
          <w:position w:val="0"/>
          <w:sz w:val="24"/>
          <w:szCs w:val="24"/>
          <w:highlight w:val="none"/>
          <w:lang w:eastAsia="zh-CN"/>
        </w:rPr>
        <w:t>小企业。其中，联合体各方均为小微企业的，联合体视同小微企业；（适用于联合体</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w:t>
      </w:r>
    </w:p>
    <w:p w14:paraId="55E8E6D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178" w:right="80" w:hanging="151" w:hangingChars="6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）组成联合体或者接受分包合同的中小企业与联合体内其他企业、分包企业之间不得存在直接控股、管理关系。</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(适用于涉及中小企业的联合体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或者允许合同分</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9F5751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0" w:right="80" w:hanging="525" w:hangingChars="21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8.1.2 </w:t>
      </w:r>
      <w:r>
        <w:rPr>
          <w:rFonts w:hint="eastAsia" w:ascii="宋体" w:hAnsi="宋体" w:eastAsia="宋体" w:cs="宋体"/>
          <w:color w:val="auto"/>
          <w:spacing w:val="0"/>
          <w:position w:val="0"/>
          <w:sz w:val="24"/>
          <w:szCs w:val="24"/>
          <w:highlight w:val="none"/>
          <w:lang w:eastAsia="zh-CN"/>
        </w:rPr>
        <w:t>供应商提供中小企业服务的</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时</w:t>
      </w:r>
      <w:r>
        <w:rPr>
          <w:rFonts w:hint="eastAsia" w:ascii="宋体" w:hAnsi="宋体" w:eastAsia="宋体" w:cs="宋体"/>
          <w:color w:val="auto"/>
          <w:spacing w:val="0"/>
          <w:position w:val="0"/>
          <w:sz w:val="24"/>
          <w:szCs w:val="24"/>
          <w:highlight w:val="none"/>
          <w:lang w:eastAsia="zh-CN"/>
        </w:rPr>
        <w:t>提供</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文件</w:t>
      </w:r>
      <w:r>
        <w:rPr>
          <w:rFonts w:hint="eastAsia" w:ascii="宋体" w:hAnsi="宋体" w:eastAsia="宋体" w:cs="宋体"/>
          <w:color w:val="auto"/>
          <w:spacing w:val="0"/>
          <w:position w:val="0"/>
          <w:sz w:val="24"/>
          <w:szCs w:val="24"/>
          <w:highlight w:val="none"/>
          <w:lang w:val="en-US" w:eastAsia="zh-CN"/>
        </w:rPr>
        <w:t>规定的</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中小企业声明</w:t>
      </w:r>
      <w:r>
        <w:rPr>
          <w:rFonts w:hint="eastAsia" w:ascii="宋体" w:hAnsi="宋体" w:eastAsia="宋体" w:cs="宋体"/>
          <w:color w:val="auto"/>
          <w:spacing w:val="0"/>
          <w:position w:val="0"/>
          <w:sz w:val="24"/>
          <w:szCs w:val="24"/>
          <w:highlight w:val="none"/>
          <w:lang w:eastAsia="zh-CN"/>
        </w:rPr>
        <w:t>函》</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8-1 ”）</w:t>
      </w:r>
      <w:r>
        <w:rPr>
          <w:rFonts w:hint="eastAsia" w:ascii="宋体" w:hAnsi="宋体" w:eastAsia="宋体" w:cs="宋体"/>
          <w:color w:val="auto"/>
          <w:spacing w:val="0"/>
          <w:position w:val="0"/>
          <w:sz w:val="24"/>
          <w:szCs w:val="24"/>
          <w:highlight w:val="none"/>
          <w:lang w:eastAsia="zh-CN"/>
        </w:rPr>
        <w:t>，并对声明函的真实性负责，</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供应商提供的《</w:t>
      </w:r>
      <w:r>
        <w:rPr>
          <w:rFonts w:hint="eastAsia" w:ascii="宋体" w:hAnsi="宋体" w:eastAsia="宋体" w:cs="宋体"/>
          <w:color w:val="auto"/>
          <w:spacing w:val="0"/>
          <w:position w:val="0"/>
          <w:sz w:val="24"/>
          <w:szCs w:val="24"/>
          <w:highlight w:val="none"/>
          <w:lang w:val="en-US" w:eastAsia="zh-CN"/>
        </w:rPr>
        <w:t>中小企业</w:t>
      </w:r>
      <w:r>
        <w:rPr>
          <w:rFonts w:hint="eastAsia" w:ascii="宋体" w:hAnsi="宋体" w:eastAsia="宋体" w:cs="宋体"/>
          <w:color w:val="auto"/>
          <w:spacing w:val="0"/>
          <w:position w:val="0"/>
          <w:sz w:val="24"/>
          <w:szCs w:val="24"/>
          <w:highlight w:val="none"/>
          <w:lang w:eastAsia="zh-CN"/>
        </w:rPr>
        <w:t>声明函》与事实不符的，依照《政府采购法》第七十七条第一款的规定追究法律责任。</w:t>
      </w:r>
    </w:p>
    <w:p w14:paraId="5FFB928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p>
    <w:p w14:paraId="27311C4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8.2.1 监狱企业应当符合以下条件</w:t>
      </w:r>
    </w:p>
    <w:p w14:paraId="58802A3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2" w:leftChars="258" w:right="8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5F74C8C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8.2.2 监狱企业参加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须提供的证明材料</w:t>
      </w:r>
    </w:p>
    <w:p w14:paraId="2334AF2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7" w:leftChars="270" w:right="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监狱企业参加政府采购活动时，提供由省级以上监狱管理局、戒毒管理局（含新疆生产建设兵团）出具的属于监狱企业的证明文件（格式详见“第四章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8-2 ”）</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p>
    <w:p w14:paraId="6C43917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p>
    <w:p w14:paraId="0B84989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8.3.1 享受政府采购支持政策的残疾人福利性单位应当同时满足以下条件：</w:t>
      </w:r>
    </w:p>
    <w:p w14:paraId="70314D25">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39" w:leftChars="30" w:hanging="576" w:hangingChars="24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（1）安置的残疾人占本单位在职职工人数的比例不低于 25%（含 25%），并且安置的</w:t>
      </w:r>
      <w:r>
        <w:rPr>
          <w:rFonts w:hint="eastAsia" w:ascii="宋体" w:hAnsi="宋体" w:eastAsia="宋体" w:cs="宋体"/>
          <w:color w:val="auto"/>
          <w:spacing w:val="0"/>
          <w:position w:val="0"/>
          <w:sz w:val="24"/>
          <w:szCs w:val="24"/>
          <w:highlight w:val="none"/>
          <w:lang w:eastAsia="zh-CN"/>
        </w:rPr>
        <w:t>残疾人人数不少于 10 人（含 10 人）；</w:t>
      </w:r>
    </w:p>
    <w:p w14:paraId="5349B429">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03" w:leftChars="30" w:hanging="540" w:hangingChars="22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（2）依法与安置的每位残疾人签订了一年以上（含一年）的劳动合同或服务协议；</w:t>
      </w:r>
    </w:p>
    <w:p w14:paraId="46EE2C5F">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41" w:leftChars="30" w:hanging="578" w:hangingChars="24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（3）为安置的每位残疾人按月足额缴纳了基本养老保险、基本医疗保险、失业保险</w:t>
      </w:r>
      <w:r>
        <w:rPr>
          <w:rFonts w:hint="eastAsia" w:ascii="宋体" w:hAnsi="宋体" w:eastAsia="宋体" w:cs="宋体"/>
          <w:color w:val="auto"/>
          <w:spacing w:val="0"/>
          <w:position w:val="0"/>
          <w:sz w:val="24"/>
          <w:szCs w:val="24"/>
          <w:highlight w:val="none"/>
          <w:lang w:eastAsia="zh-CN"/>
        </w:rPr>
        <w:t>、工伤保险和生育保险等社会保险费；</w:t>
      </w:r>
    </w:p>
    <w:p w14:paraId="79AD3AE1">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41" w:leftChars="30" w:hanging="578" w:hangingChars="24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（4）通过银行等金融机构向安置的每位残疾人，按月支付了不低于单位所在区县</w:t>
      </w:r>
      <w:r>
        <w:rPr>
          <w:rFonts w:hint="eastAsia" w:ascii="宋体" w:hAnsi="宋体" w:eastAsia="宋体" w:cs="宋体"/>
          <w:color w:val="auto"/>
          <w:spacing w:val="0"/>
          <w:position w:val="0"/>
          <w:sz w:val="24"/>
          <w:szCs w:val="24"/>
          <w:highlight w:val="none"/>
          <w:lang w:val="en-US" w:eastAsia="zh-CN"/>
        </w:rPr>
        <w:t>适</w:t>
      </w:r>
      <w:r>
        <w:rPr>
          <w:rFonts w:hint="eastAsia" w:ascii="宋体" w:hAnsi="宋体" w:eastAsia="宋体" w:cs="宋体"/>
          <w:color w:val="auto"/>
          <w:spacing w:val="0"/>
          <w:position w:val="0"/>
          <w:sz w:val="24"/>
          <w:szCs w:val="24"/>
          <w:highlight w:val="none"/>
          <w:lang w:eastAsia="zh-CN"/>
        </w:rPr>
        <w:t>用的经省级人民政府批准的月最低工资标准的工资；</w:t>
      </w:r>
    </w:p>
    <w:p w14:paraId="38402756">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03" w:leftChars="30" w:hanging="540" w:hangingChars="225"/>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position w:val="0"/>
          <w:sz w:val="24"/>
          <w:szCs w:val="24"/>
          <w:highlight w:val="none"/>
          <w:lang w:val="en-US" w:eastAsia="zh-CN"/>
        </w:rPr>
        <w:t>物）。</w:t>
      </w:r>
    </w:p>
    <w:p w14:paraId="4E89EF07">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50" w:leftChars="0" w:hanging="650" w:hangingChars="271"/>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8.3.2 前款所称残疾人是指法定劳动年龄内，持有《中华人民共和国残疾人证》或者《</w:t>
      </w:r>
      <w:r>
        <w:rPr>
          <w:rFonts w:hint="eastAsia" w:ascii="宋体" w:hAnsi="宋体" w:eastAsia="宋体" w:cs="宋体"/>
          <w:color w:val="auto"/>
          <w:spacing w:val="0"/>
          <w:position w:val="0"/>
          <w:sz w:val="24"/>
          <w:szCs w:val="24"/>
          <w:highlight w:val="none"/>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1D62C85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8.3.3 残疾人福利性单位参加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须提供的证明材料：</w:t>
      </w:r>
    </w:p>
    <w:p w14:paraId="73867E79">
      <w:pPr>
        <w:keepNext w:val="0"/>
        <w:keepLines w:val="0"/>
        <w:pageBreakBefore w:val="0"/>
        <w:widowControl w:val="0"/>
        <w:kinsoku w:val="0"/>
        <w:wordWrap/>
        <w:overflowPunct/>
        <w:topLinePunct w:val="0"/>
        <w:autoSpaceDE w:val="0"/>
        <w:autoSpaceDN w:val="0"/>
        <w:bidi w:val="0"/>
        <w:adjustRightInd w:val="0"/>
        <w:snapToGrid w:val="0"/>
        <w:spacing w:line="360" w:lineRule="auto"/>
        <w:ind w:left="609" w:leftChars="0" w:right="105" w:hanging="609" w:hangingChars="25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（1）符合条件的残疾人福利性单位在参加政府采购活动时，提供《残疾人福利性单位声明函》（格式详见“第四章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8-3 ”），并对声明函的真实性负</w:t>
      </w:r>
      <w:r>
        <w:rPr>
          <w:rFonts w:hint="eastAsia" w:ascii="宋体" w:hAnsi="宋体" w:eastAsia="宋体" w:cs="宋体"/>
          <w:color w:val="auto"/>
          <w:spacing w:val="0"/>
          <w:position w:val="0"/>
          <w:sz w:val="24"/>
          <w:szCs w:val="24"/>
          <w:highlight w:val="none"/>
          <w:lang w:val="en-US" w:eastAsia="zh-CN"/>
        </w:rPr>
        <w:t>责，未提供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hint="eastAsia" w:ascii="宋体" w:hAnsi="宋体" w:eastAsia="宋体" w:cs="宋体"/>
          <w:color w:val="auto"/>
          <w:spacing w:val="0"/>
          <w:position w:val="0"/>
          <w:sz w:val="24"/>
          <w:szCs w:val="24"/>
          <w:highlight w:val="none"/>
          <w:lang w:val="en-US" w:eastAsia="zh-CN"/>
        </w:rPr>
        <w:t>；</w:t>
      </w:r>
    </w:p>
    <w:p w14:paraId="4BB923F2">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09" w:leftChars="0" w:hanging="609" w:hangingChars="254"/>
        <w:jc w:val="left"/>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提供的《残疾人福利性单位声明函》与事实不符的，依照《政府采购</w:t>
      </w:r>
      <w:bookmarkStart w:id="24" w:name="bookmark26"/>
      <w:bookmarkEnd w:id="24"/>
      <w:r>
        <w:rPr>
          <w:rFonts w:hint="eastAsia" w:ascii="宋体" w:hAnsi="宋体" w:eastAsia="宋体" w:cs="宋体"/>
          <w:color w:val="auto"/>
          <w:spacing w:val="0"/>
          <w:position w:val="0"/>
          <w:sz w:val="24"/>
          <w:szCs w:val="24"/>
          <w:highlight w:val="none"/>
          <w:lang w:val="en-US" w:eastAsia="zh-CN"/>
        </w:rPr>
        <w:t>法》第七十七条第一款的规定追究法律责任。</w:t>
      </w:r>
    </w:p>
    <w:p w14:paraId="3A9AB60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527" w:leftChars="228" w:hanging="48" w:hangingChars="2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09681C86">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59D9C1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（适用于非专门面向或未预留份额专门面向中小企业。对于专门面向或预留份额专门面向中小企业采购的项目或者采购包，不再执行价格评审优惠，享受政策内容详见第二章“供应商须知前附表”）</w:t>
      </w:r>
    </w:p>
    <w:p w14:paraId="466C207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ascii="宋体" w:hAnsi="宋体" w:eastAsia="宋体" w:cs="宋体"/>
          <w:color w:val="auto"/>
          <w:spacing w:val="0"/>
          <w:position w:val="0"/>
          <w:sz w:val="24"/>
          <w:szCs w:val="24"/>
          <w:lang w:eastAsia="zh-CN"/>
        </w:rPr>
        <w:t>监狱企业视同小型、微型企业，享受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1614415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ascii="宋体" w:hAnsi="宋体" w:eastAsia="宋体" w:cs="宋体"/>
          <w:color w:val="auto"/>
          <w:spacing w:val="0"/>
          <w:position w:val="0"/>
          <w:sz w:val="24"/>
          <w:szCs w:val="24"/>
          <w:lang w:eastAsia="zh-CN"/>
        </w:rPr>
        <w:t>残疾人福利性单位视同小型、微型企业，享受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等政府促进中小企业发展的政府采购政策。福利性单位属于小型、微型企业的，不重复享受政策。</w:t>
      </w:r>
    </w:p>
    <w:p w14:paraId="010AFC0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3143A07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230" w:right="40" w:firstLine="0" w:firstLineChars="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79F65F1D">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83" w:leftChars="230" w:firstLine="0" w:firstLineChars="0"/>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2BBE52B5">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p>
    <w:p w14:paraId="719711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6" w:leftChars="0" w:right="105" w:hanging="606"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0FE2A56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6" w:leftChars="0" w:right="105" w:hanging="606"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6979FDE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4" w:leftChars="0" w:right="105" w:hanging="604" w:hangingChars="25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如本项目采购产品属于实施政府强制采购品目清单范围的节能产品，则供应商所</w:t>
      </w:r>
      <w:r>
        <w:rPr>
          <w:rFonts w:hint="eastAsia" w:ascii="宋体" w:hAnsi="宋体" w:eastAsia="宋体" w:cs="宋体"/>
          <w:color w:val="auto"/>
          <w:spacing w:val="0"/>
          <w:position w:val="0"/>
          <w:sz w:val="24"/>
          <w:szCs w:val="24"/>
          <w:highlight w:val="none"/>
          <w:lang w:val="en-US" w:eastAsia="zh-CN"/>
        </w:rPr>
        <w:t>投</w:t>
      </w:r>
      <w:r>
        <w:rPr>
          <w:rFonts w:hint="eastAsia" w:ascii="宋体" w:hAnsi="宋体" w:eastAsia="宋体" w:cs="宋体"/>
          <w:color w:val="auto"/>
          <w:spacing w:val="0"/>
          <w:position w:val="0"/>
          <w:sz w:val="24"/>
          <w:szCs w:val="24"/>
          <w:highlight w:val="none"/>
          <w:lang w:eastAsia="zh-CN"/>
        </w:rPr>
        <w:t>产品必须获得国家确定的认证机构出具的、处于有效期之内的节能产品认证证书</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扫描件，否则响应无效；</w:t>
      </w:r>
    </w:p>
    <w:p w14:paraId="7871230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4" w:leftChars="0" w:right="105" w:hanging="604" w:hangingChars="252"/>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非政府强制采购的节能产品或环境标志产品，依据品目清单和认证证书实施政府优先采购。优先采购的具体规定见第</w:t>
      </w:r>
      <w:r>
        <w:rPr>
          <w:rFonts w:hint="eastAsia" w:ascii="宋体" w:hAnsi="宋体" w:eastAsia="宋体" w:cs="宋体"/>
          <w:color w:val="auto"/>
          <w:spacing w:val="0"/>
          <w:position w:val="0"/>
          <w:sz w:val="24"/>
          <w:szCs w:val="24"/>
          <w:highlight w:val="none"/>
          <w:lang w:val="en-US" w:eastAsia="zh-CN"/>
        </w:rPr>
        <w:t>六</w:t>
      </w:r>
      <w:r>
        <w:rPr>
          <w:rFonts w:hint="eastAsia" w:ascii="宋体" w:hAnsi="宋体" w:eastAsia="宋体" w:cs="宋体"/>
          <w:color w:val="auto"/>
          <w:spacing w:val="0"/>
          <w:position w:val="0"/>
          <w:sz w:val="24"/>
          <w:szCs w:val="24"/>
          <w:highlight w:val="none"/>
          <w:lang w:eastAsia="zh-CN"/>
        </w:rPr>
        <w:t>章《评标</w:t>
      </w:r>
      <w:r>
        <w:rPr>
          <w:rFonts w:hint="eastAsia" w:ascii="宋体" w:hAnsi="宋体" w:eastAsia="宋体" w:cs="宋体"/>
          <w:color w:val="auto"/>
          <w:spacing w:val="0"/>
          <w:position w:val="0"/>
          <w:sz w:val="24"/>
          <w:szCs w:val="24"/>
          <w:highlight w:val="none"/>
          <w:lang w:val="en-US" w:eastAsia="zh-CN"/>
        </w:rPr>
        <w:t>方法</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（如涉及）</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5D21D35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default" w:ascii="宋体" w:hAnsi="宋体" w:eastAsia="宋体" w:cs="宋体"/>
          <w:color w:val="auto"/>
          <w:spacing w:val="0"/>
          <w:w w:val="100"/>
          <w:position w:val="0"/>
          <w:sz w:val="24"/>
          <w:szCs w:val="24"/>
          <w:lang w:val="en-US" w:eastAsia="zh-CN"/>
        </w:rPr>
      </w:pPr>
      <w:r>
        <w:rPr>
          <w:rFonts w:hint="default" w:ascii="宋体" w:hAnsi="宋体" w:eastAsia="宋体" w:cs="宋体"/>
          <w:color w:val="auto"/>
          <w:spacing w:val="0"/>
          <w:w w:val="100"/>
          <w:position w:val="0"/>
          <w:sz w:val="24"/>
          <w:szCs w:val="24"/>
          <w:lang w:val="en-US" w:eastAsia="zh-CN"/>
        </w:rPr>
        <w:t>8.6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本国产品参加磋商（本条款仅适用于含货物的服务采购项目）</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default"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①</w:t>
      </w:r>
      <w:r>
        <w:rPr>
          <w:rFonts w:hint="default" w:ascii="宋体" w:hAnsi="宋体" w:eastAsia="宋体" w:cs="宋体"/>
          <w:i w:val="0"/>
          <w:iCs w:val="0"/>
          <w:caps w:val="0"/>
          <w:color w:val="auto"/>
          <w:spacing w:val="0"/>
          <w:sz w:val="24"/>
          <w:szCs w:val="24"/>
          <w:shd w:val="clear" w:fill="FFFFFF"/>
          <w:vertAlign w:val="baseline"/>
          <w:lang w:eastAsia="zh-CN"/>
        </w:rPr>
        <w:t>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②</w:t>
      </w:r>
      <w:r>
        <w:rPr>
          <w:rFonts w:hint="default" w:ascii="宋体" w:hAnsi="宋体" w:eastAsia="宋体" w:cs="宋体"/>
          <w:i w:val="0"/>
          <w:iCs w:val="0"/>
          <w:caps w:val="0"/>
          <w:color w:val="auto"/>
          <w:spacing w:val="0"/>
          <w:sz w:val="24"/>
          <w:szCs w:val="24"/>
          <w:shd w:val="clear" w:fill="FFFFFF"/>
          <w:vertAlign w:val="baseline"/>
          <w:lang w:eastAsia="zh-CN"/>
        </w:rPr>
        <w:t>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③</w:t>
      </w:r>
      <w:r>
        <w:rPr>
          <w:rFonts w:hint="default"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④</w:t>
      </w:r>
      <w:r>
        <w:rPr>
          <w:rFonts w:hint="default"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⑤</w:t>
      </w:r>
      <w:r>
        <w:rPr>
          <w:rFonts w:hint="default" w:ascii="宋体" w:hAnsi="宋体" w:eastAsia="宋体" w:cs="宋体"/>
          <w:i w:val="0"/>
          <w:iCs w:val="0"/>
          <w:caps w:val="0"/>
          <w:color w:val="auto"/>
          <w:spacing w:val="0"/>
          <w:sz w:val="24"/>
          <w:szCs w:val="24"/>
          <w:shd w:val="clear" w:fill="FFFFFF"/>
          <w:vertAlign w:val="baseline"/>
          <w:lang w:eastAsia="zh-CN"/>
        </w:rPr>
        <w:t>其他不属于属性改变的情形。</w:t>
      </w:r>
    </w:p>
    <w:p w14:paraId="6A43E10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w:t>
      </w:r>
      <w:r>
        <w:rPr>
          <w:rFonts w:hint="default"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8.6.1.3</w:t>
      </w:r>
      <w:r>
        <w:rPr>
          <w:rFonts w:hint="default"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default" w:ascii="宋体" w:hAnsi="宋体" w:eastAsia="宋体" w:cs="宋体"/>
          <w:i w:val="0"/>
          <w:iCs w:val="0"/>
          <w:caps w:val="0"/>
          <w:color w:val="auto"/>
          <w:spacing w:val="0"/>
          <w:sz w:val="24"/>
          <w:szCs w:val="24"/>
          <w:shd w:val="clear" w:fill="FFFFFF"/>
          <w:vertAlign w:val="baseline"/>
          <w:lang w:val="en-US" w:eastAsia="zh-CN"/>
        </w:rPr>
        <w:t>待</w:t>
      </w:r>
      <w:r>
        <w:rPr>
          <w:rFonts w:hint="default"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default"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default"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参加磋商享受的政策</w:t>
      </w:r>
      <w:r>
        <w:rPr>
          <w:rFonts w:hint="default"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default"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default"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本国产品参加磋商时提供的</w:t>
      </w:r>
      <w:r>
        <w:rPr>
          <w:rFonts w:hint="default"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default"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default" w:ascii="宋体" w:hAnsi="宋体" w:eastAsia="宋体" w:cs="宋体"/>
          <w:i w:val="0"/>
          <w:iCs w:val="0"/>
          <w:caps w:val="0"/>
          <w:color w:val="auto"/>
          <w:spacing w:val="0"/>
          <w:sz w:val="24"/>
          <w:szCs w:val="24"/>
          <w:shd w:val="clear" w:fill="FFFFFF"/>
          <w:vertAlign w:val="baseline"/>
          <w:lang w:eastAsia="zh-CN"/>
        </w:rPr>
        <w:t>的,投标时提供</w:t>
      </w:r>
      <w:r>
        <w:rPr>
          <w:rFonts w:hint="eastAsia" w:ascii="宋体" w:hAnsi="宋体" w:eastAsia="宋体" w:cs="宋体"/>
          <w:i w:val="0"/>
          <w:iCs w:val="0"/>
          <w:caps w:val="0"/>
          <w:color w:val="auto"/>
          <w:spacing w:val="0"/>
          <w:sz w:val="24"/>
          <w:szCs w:val="24"/>
          <w:shd w:val="clear" w:fill="FFFFFF"/>
          <w:vertAlign w:val="baseline"/>
          <w:lang w:val="en-US" w:eastAsia="zh-CN"/>
        </w:rPr>
        <w:t>采购</w:t>
      </w:r>
      <w:r>
        <w:rPr>
          <w:rFonts w:hint="default" w:ascii="宋体" w:hAnsi="宋体" w:eastAsia="宋体" w:cs="宋体"/>
          <w:i w:val="0"/>
          <w:iCs w:val="0"/>
          <w:caps w:val="0"/>
          <w:color w:val="auto"/>
          <w:spacing w:val="0"/>
          <w:sz w:val="24"/>
          <w:szCs w:val="24"/>
          <w:shd w:val="clear" w:fill="FFFFFF"/>
          <w:vertAlign w:val="baseline"/>
          <w:lang w:eastAsia="zh-CN"/>
        </w:rPr>
        <w:t>文件规定的《关于符合本国产品标准的声明函》（</w:t>
      </w:r>
      <w:r>
        <w:rPr>
          <w:rFonts w:ascii="宋体" w:hAnsi="宋体" w:eastAsia="宋体" w:cs="宋体"/>
          <w:color w:val="auto"/>
          <w:spacing w:val="0"/>
          <w:w w:val="100"/>
          <w:position w:val="0"/>
          <w:sz w:val="24"/>
          <w:szCs w:val="24"/>
          <w:lang w:eastAsia="zh-CN"/>
        </w:rPr>
        <w:t>格式详见“第四章</w:t>
      </w:r>
      <w:r>
        <w:rPr>
          <w:rFonts w:hint="eastAsia" w:ascii="宋体" w:hAnsi="宋体" w:eastAsia="宋体" w:cs="宋体"/>
          <w:color w:val="auto"/>
          <w:spacing w:val="0"/>
          <w:w w:val="100"/>
          <w:position w:val="0"/>
          <w:sz w:val="24"/>
          <w:szCs w:val="24"/>
          <w:lang w:val="en-US" w:eastAsia="zh-CN"/>
        </w:rPr>
        <w:t>响应</w:t>
      </w:r>
      <w:r>
        <w:rPr>
          <w:rFonts w:ascii="宋体" w:hAnsi="宋体" w:eastAsia="宋体" w:cs="宋体"/>
          <w:color w:val="auto"/>
          <w:spacing w:val="0"/>
          <w:w w:val="100"/>
          <w:position w:val="0"/>
          <w:sz w:val="24"/>
          <w:szCs w:val="24"/>
          <w:lang w:eastAsia="zh-CN"/>
        </w:rPr>
        <w:t>文件格式8-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 ”</w:t>
      </w:r>
      <w:r>
        <w:rPr>
          <w:rFonts w:hint="default"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default"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0583723B">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8.6.4</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w:t>
      </w:r>
      <w:r>
        <w:rPr>
          <w:rFonts w:hint="default" w:ascii="宋体" w:hAnsi="宋体" w:eastAsia="宋体" w:cs="宋体"/>
          <w:i w:val="0"/>
          <w:iCs w:val="0"/>
          <w:caps w:val="0"/>
          <w:color w:val="auto"/>
          <w:spacing w:val="0"/>
          <w:sz w:val="24"/>
          <w:szCs w:val="24"/>
          <w:shd w:val="clear" w:fill="FFFFFF"/>
          <w:vertAlign w:val="baseline"/>
          <w:lang w:val="en-US" w:eastAsia="zh-CN"/>
        </w:rPr>
        <w:t>标准</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的适用范围</w:t>
      </w: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标准适用于货物，包括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1897631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25" w:name="_Toc2283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采购需求标准</w:t>
      </w:r>
      <w:bookmarkEnd w:id="25"/>
    </w:p>
    <w:p w14:paraId="25A6903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9.1 商品包装、快递包装政府采购需求标准（试行）</w:t>
      </w:r>
    </w:p>
    <w:p w14:paraId="76091C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6" w:leftChars="236"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1927B1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9.2 绿色数据中心政府采购需求标准（试行）</w:t>
      </w:r>
    </w:p>
    <w:p w14:paraId="5111ED4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64" w:leftChars="221" w:firstLine="0" w:firstLineChars="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3542428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0" w:leftChars="19" w:firstLine="0" w:firstLineChars="0"/>
        <w:jc w:val="both"/>
        <w:textAlignment w:val="baseline"/>
        <w:outlineLvl w:val="1"/>
        <w:rPr>
          <w:rFonts w:ascii="宋体" w:hAnsi="宋体" w:eastAsia="宋体" w:cs="宋体"/>
          <w:color w:val="auto"/>
          <w:spacing w:val="0"/>
          <w:position w:val="0"/>
          <w:sz w:val="24"/>
          <w:szCs w:val="24"/>
          <w:highlight w:val="none"/>
          <w:lang w:eastAsia="zh-CN"/>
        </w:rPr>
      </w:pPr>
      <w:bookmarkStart w:id="26" w:name="_Toc6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磋商文件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的修改</w:t>
      </w:r>
      <w:bookmarkEnd w:id="26"/>
    </w:p>
    <w:p w14:paraId="43BF4D55">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53" w:leftChars="0" w:hanging="407" w:firstLineChars="0"/>
        <w:jc w:val="both"/>
        <w:textAlignment w:val="baseline"/>
        <w:rPr>
          <w:rFonts w:hint="eastAsia" w:ascii="宋体" w:hAnsi="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 xml:space="preserve">10.1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提交首次响应文件截止时间前的任何时候，采购代理机构可以对已发出的</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文件进行必要的澄清或者修改，澄清或者修改的内容作为</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文件的组成部分。</w:t>
      </w:r>
    </w:p>
    <w:p w14:paraId="0E8461F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53" w:leftChars="0" w:hanging="413"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10.2 </w:t>
      </w:r>
      <w:r>
        <w:rPr>
          <w:rFonts w:ascii="宋体" w:hAnsi="宋体" w:eastAsia="宋体" w:cs="宋体"/>
          <w:color w:val="auto"/>
          <w:spacing w:val="0"/>
          <w:position w:val="0"/>
          <w:sz w:val="24"/>
          <w:szCs w:val="24"/>
          <w:highlight w:val="none"/>
          <w:lang w:eastAsia="zh-CN"/>
        </w:rPr>
        <w:t>采购代理机构可以对已发出的</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进行必要澄清或者修改，澄清或者修改的内容可能影响</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编制的，采购代理机构在</w:t>
      </w:r>
      <w:r>
        <w:rPr>
          <w:rFonts w:hint="eastAsia" w:ascii="宋体" w:hAnsi="宋体" w:eastAsia="宋体" w:cs="宋体"/>
          <w:color w:val="auto"/>
          <w:spacing w:val="0"/>
          <w:position w:val="0"/>
          <w:sz w:val="24"/>
          <w:szCs w:val="24"/>
          <w:highlight w:val="none"/>
          <w:lang w:eastAsia="zh-CN"/>
        </w:rPr>
        <w:t>提交</w:t>
      </w:r>
      <w:r>
        <w:rPr>
          <w:rFonts w:hint="eastAsia" w:ascii="宋体" w:hAnsi="宋体" w:eastAsia="宋体" w:cs="宋体"/>
          <w:color w:val="auto"/>
          <w:spacing w:val="0"/>
          <w:position w:val="0"/>
          <w:sz w:val="24"/>
          <w:szCs w:val="24"/>
          <w:highlight w:val="none"/>
          <w:lang w:val="en-US" w:eastAsia="zh-CN"/>
        </w:rPr>
        <w:t>首次</w:t>
      </w:r>
      <w:r>
        <w:rPr>
          <w:rFonts w:hint="eastAsia" w:ascii="宋体" w:hAnsi="宋体" w:eastAsia="宋体" w:cs="宋体"/>
          <w:color w:val="auto"/>
          <w:spacing w:val="0"/>
          <w:position w:val="0"/>
          <w:sz w:val="24"/>
          <w:szCs w:val="24"/>
          <w:highlight w:val="none"/>
          <w:lang w:eastAsia="zh-CN"/>
        </w:rPr>
        <w:t>响应文件截止时间</w:t>
      </w:r>
      <w:r>
        <w:rPr>
          <w:rFonts w:ascii="宋体" w:hAnsi="宋体" w:eastAsia="宋体" w:cs="宋体"/>
          <w:color w:val="auto"/>
          <w:spacing w:val="0"/>
          <w:position w:val="0"/>
          <w:sz w:val="24"/>
          <w:szCs w:val="24"/>
          <w:highlight w:val="none"/>
          <w:lang w:eastAsia="zh-CN"/>
        </w:rPr>
        <w:t>至少</w:t>
      </w:r>
      <w:r>
        <w:rPr>
          <w:rFonts w:hint="eastAsia" w:ascii="宋体" w:hAnsi="宋体" w:eastAsia="宋体" w:cs="宋体"/>
          <w:color w:val="auto"/>
          <w:spacing w:val="0"/>
          <w:position w:val="0"/>
          <w:sz w:val="24"/>
          <w:szCs w:val="24"/>
          <w:highlight w:val="none"/>
          <w:lang w:val="en-US" w:eastAsia="zh-CN"/>
        </w:rPr>
        <w:t>5日</w:t>
      </w:r>
      <w:r>
        <w:rPr>
          <w:rFonts w:ascii="宋体" w:hAnsi="宋体" w:eastAsia="宋体" w:cs="宋体"/>
          <w:color w:val="auto"/>
          <w:spacing w:val="0"/>
          <w:position w:val="0"/>
          <w:sz w:val="24"/>
          <w:szCs w:val="24"/>
          <w:highlight w:val="none"/>
          <w:lang w:eastAsia="zh-CN"/>
        </w:rPr>
        <w:t>前，在</w:t>
      </w:r>
      <w:r>
        <w:rPr>
          <w:rFonts w:hint="eastAsia" w:ascii="宋体" w:hAnsi="宋体" w:eastAsia="宋体" w:cs="宋体"/>
          <w:strike w:val="0"/>
          <w:dstrike w:val="0"/>
          <w:color w:val="auto"/>
          <w:spacing w:val="0"/>
          <w:position w:val="0"/>
          <w:sz w:val="24"/>
          <w:szCs w:val="24"/>
          <w:highlight w:val="none"/>
          <w:lang w:val="en-US" w:eastAsia="zh-CN"/>
        </w:rPr>
        <w:t>原公告发布媒体</w:t>
      </w:r>
      <w:r>
        <w:rPr>
          <w:rFonts w:ascii="宋体" w:hAnsi="宋体" w:eastAsia="宋体" w:cs="宋体"/>
          <w:color w:val="auto"/>
          <w:spacing w:val="0"/>
          <w:position w:val="0"/>
          <w:sz w:val="24"/>
          <w:szCs w:val="24"/>
          <w:highlight w:val="none"/>
          <w:lang w:eastAsia="zh-CN"/>
        </w:rPr>
        <w:t>上发布更正公告，上传答疑澄清文件。不足</w:t>
      </w:r>
      <w:r>
        <w:rPr>
          <w:rFonts w:hint="eastAsia" w:ascii="宋体" w:hAnsi="宋体" w:eastAsia="宋体" w:cs="宋体"/>
          <w:color w:val="auto"/>
          <w:spacing w:val="0"/>
          <w:position w:val="0"/>
          <w:sz w:val="24"/>
          <w:szCs w:val="24"/>
          <w:highlight w:val="none"/>
          <w:lang w:val="en-US" w:eastAsia="zh-CN"/>
        </w:rPr>
        <w:t>5日</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采购代理机构应当顺延提交</w:t>
      </w:r>
      <w:r>
        <w:rPr>
          <w:rFonts w:hint="eastAsia" w:ascii="宋体" w:hAnsi="宋体" w:cs="宋体"/>
          <w:color w:val="auto"/>
          <w:spacing w:val="0"/>
          <w:position w:val="0"/>
          <w:sz w:val="24"/>
          <w:szCs w:val="24"/>
          <w:highlight w:val="none"/>
        </w:rPr>
        <w:t>首次</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的截止时间。</w:t>
      </w:r>
    </w:p>
    <w:p w14:paraId="0155960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63" w:leftChars="14" w:right="42" w:hanging="434" w:hangingChars="18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 已下载</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上下载答疑澄清文件。</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因未下载答疑澄清文件、由此可能引起的</w:t>
      </w:r>
      <w:r>
        <w:rPr>
          <w:rFonts w:hint="eastAsia" w:ascii="宋体" w:hAnsi="宋体" w:eastAsia="宋体" w:cs="宋体"/>
          <w:color w:val="auto"/>
          <w:spacing w:val="0"/>
          <w:position w:val="0"/>
          <w:sz w:val="24"/>
          <w:szCs w:val="24"/>
          <w:highlight w:val="none"/>
          <w:lang w:eastAsia="zh-CN"/>
        </w:rPr>
        <w:t>响应文件提交</w:t>
      </w:r>
      <w:r>
        <w:rPr>
          <w:rFonts w:ascii="宋体" w:hAnsi="宋体" w:eastAsia="宋体" w:cs="宋体"/>
          <w:color w:val="auto"/>
          <w:spacing w:val="0"/>
          <w:position w:val="0"/>
          <w:sz w:val="24"/>
          <w:szCs w:val="24"/>
          <w:highlight w:val="none"/>
          <w:lang w:eastAsia="zh-CN"/>
        </w:rPr>
        <w:t>失败、解密失败、内容缺失等相关后果由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自行承担。</w:t>
      </w:r>
    </w:p>
    <w:p w14:paraId="626484A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2" w:leftChars="2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10.3 当</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和澄清文件在同一内容的表述上不一致时，以最后发出的文件为准。</w:t>
      </w:r>
    </w:p>
    <w:p w14:paraId="49FDB5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2" w:leftChars="20" w:hanging="480" w:hangingChars="20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10.4 更正或者修改的内容是</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的组成部分，并对</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具有约束力。</w:t>
      </w:r>
    </w:p>
    <w:p w14:paraId="572AC437">
      <w:pPr>
        <w:keepNext w:val="0"/>
        <w:keepLines w:val="0"/>
        <w:pageBreakBefore w:val="0"/>
        <w:widowControl w:val="0"/>
        <w:kinsoku w:val="0"/>
        <w:wordWrap/>
        <w:overflowPunct/>
        <w:topLinePunct w:val="0"/>
        <w:autoSpaceDE w:val="0"/>
        <w:autoSpaceDN w:val="0"/>
        <w:bidi w:val="0"/>
        <w:adjustRightInd w:val="0"/>
        <w:snapToGrid w:val="0"/>
        <w:spacing w:before="0" w:beforeLines="182" w:beforeAutospacing="0" w:after="0" w:afterLines="150" w:afterAutospacing="0" w:line="360" w:lineRule="auto"/>
        <w:jc w:val="center"/>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7" w:name="_Toc2804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响应文件的编制与提交</w:t>
      </w:r>
      <w:bookmarkEnd w:id="27"/>
    </w:p>
    <w:p w14:paraId="62ECB68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ascii="宋体" w:hAnsi="宋体" w:eastAsia="宋体" w:cs="宋体"/>
          <w:color w:val="auto"/>
          <w:spacing w:val="0"/>
          <w:position w:val="0"/>
          <w:sz w:val="24"/>
          <w:szCs w:val="24"/>
          <w:highlight w:val="none"/>
          <w:lang w:eastAsia="zh-CN"/>
        </w:rPr>
      </w:pPr>
      <w:bookmarkStart w:id="28" w:name="_Toc2378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11.</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的编制</w:t>
      </w:r>
      <w:bookmarkEnd w:id="28"/>
    </w:p>
    <w:p w14:paraId="47512F37">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0" w:hanging="480" w:hanging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11.1 供应商应当按照磋商文件的要求编制响应文件。响应文件应当对磋商文件提出的要求和条件做出明确响应。</w:t>
      </w:r>
    </w:p>
    <w:p w14:paraId="2E1DD120">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0" w:hanging="480" w:hanging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11.2 磋商文件中注明不可以采购进口产品的（见“第一章 磋商邀请”），不允许提供进口产品参与采购活动。提供进口产品参与采购活动的，</w:t>
      </w:r>
      <w:r>
        <w:rPr>
          <w:rFonts w:hint="eastAsia" w:ascii="宋体" w:hAnsi="宋体" w:eastAsia="宋体" w:cs="宋体"/>
          <w:b/>
          <w:bCs/>
          <w:color w:val="auto"/>
          <w:spacing w:val="0"/>
          <w:position w:val="0"/>
          <w:sz w:val="24"/>
          <w:szCs w:val="24"/>
          <w:highlight w:val="none"/>
          <w:lang w:val="en-US" w:eastAsia="zh-CN"/>
        </w:rPr>
        <w:t>其响应文件被视为无效。</w:t>
      </w:r>
    </w:p>
    <w:p w14:paraId="40D86FB2">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0" w:hanging="480" w:hanging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11.3 磋商文件中注明进口产品的，有符合条件的国产产品可以参与采购活动。</w:t>
      </w:r>
    </w:p>
    <w:p w14:paraId="481462DA">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0" w:hanging="480" w:hanging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供应商提交的响应文件以及供应商与采购代理机构所有来往书面文件均须使用中文。响应文件中如附有外文资料，必须逐一对应翻译成中文。</w:t>
      </w:r>
    </w:p>
    <w:p w14:paraId="5A7FC297">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0" w:hanging="480" w:hanging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翻译的中文资料与外文资料如果出现差异和矛盾时，以中文为准。</w:t>
      </w:r>
    </w:p>
    <w:p w14:paraId="368F066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60" w:firstLineChars="25"/>
        <w:jc w:val="both"/>
        <w:textAlignment w:val="baseline"/>
        <w:outlineLvl w:val="1"/>
        <w:rPr>
          <w:rFonts w:ascii="宋体" w:hAnsi="宋体" w:eastAsia="宋体" w:cs="宋体"/>
          <w:color w:val="auto"/>
          <w:spacing w:val="0"/>
          <w:position w:val="0"/>
          <w:sz w:val="24"/>
          <w:szCs w:val="24"/>
          <w:highlight w:val="none"/>
          <w:lang w:eastAsia="zh-CN"/>
        </w:rPr>
      </w:pPr>
      <w:bookmarkStart w:id="29" w:name="_Toc351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12.</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计量单位</w:t>
      </w:r>
      <w:bookmarkEnd w:id="29"/>
    </w:p>
    <w:p w14:paraId="4D11450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1" w:leftChars="28" w:hanging="432" w:hangingChars="1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12.1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中所使用的计量单位, 除</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中有特殊要求外，均应采用国家法定</w:t>
      </w:r>
      <w:r>
        <w:rPr>
          <w:rFonts w:hint="eastAsia" w:ascii="宋体" w:hAnsi="宋体" w:eastAsia="宋体" w:cs="宋体"/>
          <w:color w:val="auto"/>
          <w:spacing w:val="0"/>
          <w:position w:val="0"/>
          <w:sz w:val="24"/>
          <w:szCs w:val="24"/>
          <w:highlight w:val="none"/>
          <w:lang w:eastAsia="zh-CN"/>
        </w:rPr>
        <w:t>计量单位。</w:t>
      </w:r>
    </w:p>
    <w:p w14:paraId="6EDE0090">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1"/>
        <w:rPr>
          <w:rFonts w:ascii="宋体" w:hAnsi="宋体" w:eastAsia="宋体" w:cs="宋体"/>
          <w:color w:val="auto"/>
          <w:spacing w:val="0"/>
          <w:position w:val="0"/>
          <w:sz w:val="24"/>
          <w:szCs w:val="24"/>
          <w:highlight w:val="none"/>
          <w:lang w:eastAsia="zh-CN"/>
        </w:rPr>
      </w:pPr>
      <w:bookmarkStart w:id="30" w:name="_Toc20587"/>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bookmarkEnd w:id="30"/>
    </w:p>
    <w:p w14:paraId="65EC804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 xml:space="preserve">应由下列部分构成。（格式详见“第四章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w:t>
      </w:r>
    </w:p>
    <w:p w14:paraId="0BD542A1">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1）磋商</w:t>
      </w:r>
      <w:r>
        <w:rPr>
          <w:rFonts w:hint="eastAsia" w:ascii="宋体" w:hAnsi="宋体" w:cs="宋体"/>
          <w:color w:val="auto"/>
          <w:spacing w:val="0"/>
          <w:position w:val="0"/>
          <w:sz w:val="24"/>
          <w:szCs w:val="24"/>
          <w:highlight w:val="none"/>
        </w:rPr>
        <w:t>响应书</w:t>
      </w:r>
    </w:p>
    <w:p w14:paraId="5EAF292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一览表</w:t>
      </w:r>
    </w:p>
    <w:p w14:paraId="1BCAB9C5">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（3）分项报价表</w:t>
      </w:r>
    </w:p>
    <w:p w14:paraId="4D65C10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一览明细表</w:t>
      </w:r>
    </w:p>
    <w:p w14:paraId="098C6AE0">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服务要</w:t>
      </w:r>
      <w:r>
        <w:rPr>
          <w:rFonts w:hint="eastAsia" w:ascii="宋体" w:hAnsi="宋体" w:eastAsia="宋体" w:cs="宋体"/>
          <w:color w:val="auto"/>
          <w:spacing w:val="0"/>
          <w:position w:val="0"/>
          <w:sz w:val="24"/>
          <w:szCs w:val="24"/>
          <w:highlight w:val="none"/>
          <w:lang w:eastAsia="zh-CN"/>
        </w:rPr>
        <w:t>求响应/偏离表</w:t>
      </w:r>
    </w:p>
    <w:p w14:paraId="36930FA6">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（6）商务条件响应/偏离表</w:t>
      </w:r>
    </w:p>
    <w:p w14:paraId="379D2D7A">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（7）供应商应当提交的资格、资信证明文件</w:t>
      </w:r>
    </w:p>
    <w:p w14:paraId="53AB3EA0">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（8）为落实政府采购政策供应商须提供的证明材料</w:t>
      </w:r>
    </w:p>
    <w:p w14:paraId="2CBB5248">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（9）技术文件</w:t>
      </w:r>
    </w:p>
    <w:p w14:paraId="03B38C56">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（10）其他资料</w:t>
      </w:r>
    </w:p>
    <w:p w14:paraId="540168E7">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.2 供应商应编写响应文件目录及页码。</w:t>
      </w:r>
    </w:p>
    <w:p w14:paraId="6E436582">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31" w:name="_Toc2125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14</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报价</w:t>
      </w:r>
      <w:bookmarkEnd w:id="31"/>
    </w:p>
    <w:p w14:paraId="203AE0E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8" w:leftChars="0" w:right="61" w:hanging="629"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报价</w:t>
      </w:r>
      <w:r>
        <w:rPr>
          <w:rFonts w:ascii="宋体" w:hAnsi="宋体" w:eastAsia="宋体" w:cs="宋体"/>
          <w:color w:val="auto"/>
          <w:spacing w:val="0"/>
          <w:position w:val="0"/>
          <w:sz w:val="24"/>
          <w:szCs w:val="24"/>
          <w:highlight w:val="none"/>
          <w:lang w:eastAsia="zh-CN"/>
        </w:rPr>
        <w:t>均以人民币报价，报价内容包含</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规定的服</w:t>
      </w:r>
      <w:r>
        <w:rPr>
          <w:rFonts w:hint="eastAsia" w:ascii="宋体" w:hAnsi="宋体" w:eastAsia="宋体" w:cs="宋体"/>
          <w:color w:val="auto"/>
          <w:spacing w:val="0"/>
          <w:position w:val="0"/>
          <w:sz w:val="24"/>
          <w:szCs w:val="24"/>
          <w:highlight w:val="none"/>
          <w:lang w:eastAsia="zh-CN"/>
        </w:rPr>
        <w:t>务所需的设备、人员、培训、技术支持、税费等一切相关费用</w:t>
      </w:r>
    </w:p>
    <w:p w14:paraId="4A5884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8" w:leftChars="0" w:hanging="628" w:firstLineChars="0"/>
        <w:jc w:val="both"/>
        <w:textAlignment w:val="baseline"/>
        <w:rPr>
          <w:rFonts w:ascii="宋体" w:hAnsi="宋体" w:eastAsia="宋体" w:cs="宋体"/>
          <w:b/>
          <w:bCs/>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要按</w:t>
      </w:r>
      <w:r>
        <w:rPr>
          <w:rFonts w:hint="eastAsia" w:ascii="宋体" w:hAnsi="宋体" w:cs="宋体"/>
          <w:color w:val="auto"/>
          <w:spacing w:val="0"/>
          <w:position w:val="0"/>
          <w:sz w:val="24"/>
          <w:szCs w:val="24"/>
          <w:highlight w:val="none"/>
        </w:rPr>
        <w:t>报价</w:t>
      </w:r>
      <w:r>
        <w:rPr>
          <w:rFonts w:hint="eastAsia" w:ascii="宋体" w:hAnsi="宋体" w:eastAsia="宋体" w:cs="宋体"/>
          <w:color w:val="auto"/>
          <w:spacing w:val="0"/>
          <w:position w:val="0"/>
          <w:sz w:val="24"/>
          <w:szCs w:val="24"/>
          <w:highlight w:val="none"/>
          <w:lang w:val="en-US" w:eastAsia="zh-CN"/>
        </w:rPr>
        <w:t>一览</w:t>
      </w:r>
      <w:r>
        <w:rPr>
          <w:rFonts w:hint="eastAsia" w:ascii="宋体" w:hAnsi="宋体" w:cs="宋体"/>
          <w:color w:val="auto"/>
          <w:spacing w:val="0"/>
          <w:position w:val="0"/>
          <w:sz w:val="24"/>
          <w:szCs w:val="24"/>
          <w:highlight w:val="none"/>
        </w:rPr>
        <w:t>表</w:t>
      </w:r>
      <w:r>
        <w:rPr>
          <w:rFonts w:ascii="宋体" w:hAnsi="宋体" w:eastAsia="宋体" w:cs="宋体"/>
          <w:color w:val="auto"/>
          <w:spacing w:val="0"/>
          <w:position w:val="0"/>
          <w:sz w:val="24"/>
          <w:szCs w:val="24"/>
          <w:highlight w:val="none"/>
          <w:lang w:eastAsia="zh-CN"/>
        </w:rPr>
        <w:t>（统一格式）和分项报价表（统一格式）、</w:t>
      </w:r>
      <w:r>
        <w:rPr>
          <w:rFonts w:hint="eastAsia" w:ascii="宋体" w:hAnsi="宋体" w:eastAsia="宋体" w:cs="宋体"/>
          <w:color w:val="auto"/>
          <w:spacing w:val="0"/>
          <w:position w:val="0"/>
          <w:sz w:val="24"/>
          <w:szCs w:val="24"/>
          <w:highlight w:val="none"/>
          <w:lang w:val="en-US" w:eastAsia="zh-CN"/>
        </w:rPr>
        <w:t>报价</w:t>
      </w:r>
      <w:r>
        <w:rPr>
          <w:rFonts w:ascii="宋体" w:hAnsi="宋体" w:eastAsia="宋体" w:cs="宋体"/>
          <w:color w:val="auto"/>
          <w:spacing w:val="0"/>
          <w:position w:val="0"/>
          <w:sz w:val="24"/>
          <w:szCs w:val="24"/>
          <w:highlight w:val="none"/>
          <w:lang w:eastAsia="zh-CN"/>
        </w:rPr>
        <w:t>一览明细表的内容填写产品单价、总价及其他事项。</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报价</w:t>
      </w:r>
      <w:r>
        <w:rPr>
          <w:rFonts w:ascii="宋体" w:hAnsi="宋体" w:eastAsia="宋体" w:cs="宋体"/>
          <w:color w:val="auto"/>
          <w:spacing w:val="0"/>
          <w:position w:val="0"/>
          <w:sz w:val="24"/>
          <w:szCs w:val="24"/>
          <w:highlight w:val="none"/>
          <w:lang w:eastAsia="zh-CN"/>
        </w:rPr>
        <w:t>中不得包含</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要求以外的内容，否则，在</w:t>
      </w:r>
      <w:r>
        <w:rPr>
          <w:rFonts w:hint="eastAsia" w:ascii="宋体" w:hAnsi="宋体" w:eastAsia="宋体" w:cs="宋体"/>
          <w:color w:val="auto"/>
          <w:spacing w:val="0"/>
          <w:position w:val="0"/>
          <w:sz w:val="24"/>
          <w:szCs w:val="24"/>
          <w:highlight w:val="none"/>
          <w:lang w:val="en-US" w:eastAsia="zh-CN"/>
        </w:rPr>
        <w:t>评审</w:t>
      </w:r>
      <w:r>
        <w:rPr>
          <w:rFonts w:ascii="宋体" w:hAnsi="宋体" w:eastAsia="宋体" w:cs="宋体"/>
          <w:color w:val="auto"/>
          <w:spacing w:val="0"/>
          <w:position w:val="0"/>
          <w:sz w:val="24"/>
          <w:szCs w:val="24"/>
          <w:highlight w:val="none"/>
          <w:lang w:eastAsia="zh-CN"/>
        </w:rPr>
        <w:t>时不予核减。若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18FF62B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6" w:leftChars="0" w:hanging="576"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报价</w:t>
      </w:r>
      <w:r>
        <w:rPr>
          <w:rFonts w:ascii="宋体" w:hAnsi="宋体" w:eastAsia="宋体" w:cs="宋体"/>
          <w:color w:val="auto"/>
          <w:spacing w:val="0"/>
          <w:position w:val="0"/>
          <w:sz w:val="24"/>
          <w:szCs w:val="24"/>
          <w:highlight w:val="none"/>
          <w:lang w:eastAsia="zh-CN"/>
        </w:rPr>
        <w:t>中如缺漏</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所要求的内容，</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后须提供，且</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价以</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报价为准。若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3D57A2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6" w:leftChars="0" w:hanging="576"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.4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val="en-US" w:eastAsia="zh-CN"/>
        </w:rPr>
        <w:t>磋商报</w:t>
      </w:r>
      <w:r>
        <w:rPr>
          <w:rFonts w:ascii="宋体" w:hAnsi="宋体" w:eastAsia="宋体" w:cs="宋体"/>
          <w:color w:val="auto"/>
          <w:spacing w:val="0"/>
          <w:position w:val="0"/>
          <w:sz w:val="24"/>
          <w:szCs w:val="24"/>
          <w:highlight w:val="none"/>
          <w:lang w:eastAsia="zh-CN"/>
        </w:rPr>
        <w:t>价在合同执行过程中是固定不变的</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color w:val="auto"/>
          <w:spacing w:val="0"/>
          <w:position w:val="0"/>
          <w:sz w:val="24"/>
          <w:szCs w:val="24"/>
          <w:highlight w:val="none"/>
          <w:lang w:eastAsia="zh-CN"/>
        </w:rPr>
        <w:t>不得以任何理由予以变更。</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应对所有</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内容进行</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，且只提供最优方案一套，</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提交任何包含价格调整要求的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将按非实质性响应，</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E645C7A">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32" w:name="_Toc1961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保证金</w:t>
      </w:r>
      <w:bookmarkEnd w:id="32"/>
    </w:p>
    <w:p w14:paraId="23E532F9">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0" w:right="62" w:hanging="651"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eastAsia="zh-CN"/>
        </w:rPr>
        <w:t>供应商须在响应文件提交截止时间之前提交</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保证金，并作为其响应文件的一部分，详见“供应商须知前附表 ”。联合体</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的，可以由联合体中的一方或者共同提交</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保证金，以一方名义提交</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保证金的，对联合体各方均具有约束力。（适用联合体</w:t>
      </w:r>
      <w:r>
        <w:rPr>
          <w:rFonts w:hint="eastAsia" w:ascii="宋体" w:hAnsi="宋体" w:eastAsia="宋体" w:cs="宋体"/>
          <w:color w:val="auto"/>
          <w:spacing w:val="0"/>
          <w:position w:val="0"/>
          <w:sz w:val="24"/>
          <w:szCs w:val="24"/>
          <w:highlight w:val="none"/>
          <w:lang w:val="en-US" w:eastAsia="zh-CN"/>
        </w:rPr>
        <w:t>参加磋商</w:t>
      </w:r>
      <w:r>
        <w:rPr>
          <w:rFonts w:hint="eastAsia" w:ascii="宋体" w:hAnsi="宋体" w:eastAsia="宋体" w:cs="宋体"/>
          <w:color w:val="auto"/>
          <w:spacing w:val="0"/>
          <w:position w:val="0"/>
          <w:sz w:val="24"/>
          <w:szCs w:val="24"/>
          <w:highlight w:val="none"/>
          <w:lang w:eastAsia="zh-CN"/>
        </w:rPr>
        <w:t>）</w:t>
      </w:r>
    </w:p>
    <w:p w14:paraId="072A896B">
      <w:pPr>
        <w:keepNext w:val="0"/>
        <w:keepLines w:val="0"/>
        <w:pageBreakBefore w:val="0"/>
        <w:widowControl w:val="0"/>
        <w:shd w:val="clear"/>
        <w:kinsoku w:val="0"/>
        <w:wordWrap/>
        <w:overflowPunct/>
        <w:topLinePunct w:val="0"/>
        <w:autoSpaceDE w:val="0"/>
        <w:autoSpaceDN w:val="0"/>
        <w:bidi w:val="0"/>
        <w:adjustRightInd w:val="0"/>
        <w:snapToGrid w:val="0"/>
        <w:spacing w:beforeAutospacing="0" w:afterAutospacing="0" w:line="360" w:lineRule="auto"/>
        <w:ind w:left="575" w:leftChars="0" w:hanging="575"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任何未按“供应商须知第1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.1 条 ”要求提交</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保证金的响应文件，</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lang w:eastAsia="zh-CN"/>
        </w:rPr>
        <w:t>响应文件被视为无效。</w:t>
      </w:r>
    </w:p>
    <w:p w14:paraId="25333F6C">
      <w:pPr>
        <w:keepNext w:val="0"/>
        <w:keepLines w:val="0"/>
        <w:pageBreakBefore w:val="0"/>
        <w:widowControl w:val="0"/>
        <w:kinsoku w:val="0"/>
        <w:wordWrap/>
        <w:overflowPunct/>
        <w:topLinePunct w:val="0"/>
        <w:autoSpaceDE w:val="0"/>
        <w:autoSpaceDN w:val="0"/>
        <w:bidi w:val="0"/>
        <w:adjustRightInd w:val="0"/>
        <w:snapToGrid w:val="0"/>
        <w:spacing w:line="360" w:lineRule="auto"/>
        <w:ind w:left="620" w:leftChars="0" w:right="61" w:hanging="621"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自</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通知书发出之日起5个工作日内退还未</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的磋商保证金，自采购合同签订之日起5个工作日内退还</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的磋商保证金。</w:t>
      </w:r>
    </w:p>
    <w:p w14:paraId="15CA9F40">
      <w:pPr>
        <w:keepNext w:val="0"/>
        <w:keepLines w:val="0"/>
        <w:pageBreakBefore w:val="0"/>
        <w:widowControl w:val="0"/>
        <w:kinsoku w:val="0"/>
        <w:wordWrap/>
        <w:overflowPunct/>
        <w:topLinePunct w:val="0"/>
        <w:autoSpaceDE w:val="0"/>
        <w:autoSpaceDN w:val="0"/>
        <w:bidi w:val="0"/>
        <w:adjustRightInd w:val="0"/>
        <w:snapToGrid w:val="0"/>
        <w:spacing w:line="360" w:lineRule="auto"/>
        <w:ind w:left="620" w:leftChars="0" w:right="61" w:hanging="621"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供应商在提交响应文件截止</w:t>
      </w:r>
      <w:r>
        <w:rPr>
          <w:rFonts w:hint="eastAsia" w:ascii="宋体" w:hAnsi="宋体" w:eastAsia="宋体" w:cs="宋体"/>
          <w:color w:val="auto"/>
          <w:spacing w:val="0"/>
          <w:position w:val="0"/>
          <w:sz w:val="24"/>
          <w:szCs w:val="24"/>
          <w:highlight w:val="none"/>
          <w:lang w:val="en-US" w:eastAsia="zh-CN"/>
        </w:rPr>
        <w:t>时间</w:t>
      </w:r>
      <w:r>
        <w:rPr>
          <w:rFonts w:hint="eastAsia" w:ascii="宋体" w:hAnsi="宋体" w:eastAsia="宋体" w:cs="宋体"/>
          <w:color w:val="auto"/>
          <w:spacing w:val="0"/>
          <w:position w:val="0"/>
          <w:sz w:val="24"/>
          <w:szCs w:val="24"/>
          <w:highlight w:val="none"/>
          <w:lang w:eastAsia="zh-CN"/>
        </w:rPr>
        <w:t>前撤回已提交的响应文件的，采购代理机构应当自提交响应文件截止之日起5个工作日内，退还已收取的磋商保证金，但因供应商自身原因导致无法及时退还的除外。</w:t>
      </w:r>
    </w:p>
    <w:p w14:paraId="560D935C">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.5 下列任何情况发生时，</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不予退</w:t>
      </w:r>
      <w:r>
        <w:rPr>
          <w:rFonts w:hint="eastAsia" w:ascii="宋体" w:hAnsi="宋体" w:eastAsia="宋体" w:cs="宋体"/>
          <w:color w:val="auto"/>
          <w:spacing w:val="0"/>
          <w:position w:val="0"/>
          <w:sz w:val="24"/>
          <w:szCs w:val="24"/>
          <w:highlight w:val="none"/>
          <w:lang w:val="en-US" w:eastAsia="zh-CN"/>
        </w:rPr>
        <w:t>还</w:t>
      </w:r>
      <w:r>
        <w:rPr>
          <w:rFonts w:ascii="宋体" w:hAnsi="宋体" w:eastAsia="宋体" w:cs="宋体"/>
          <w:color w:val="auto"/>
          <w:spacing w:val="0"/>
          <w:position w:val="0"/>
          <w:sz w:val="24"/>
          <w:szCs w:val="24"/>
          <w:highlight w:val="none"/>
          <w:lang w:eastAsia="zh-CN"/>
        </w:rPr>
        <w:t xml:space="preserve">： </w:t>
      </w:r>
    </w:p>
    <w:p w14:paraId="4956E0C8">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eastAsia="zh-CN"/>
        </w:rPr>
        <w:t>供应商在提交响应文件截止时间后撤回响应文件的；</w:t>
      </w:r>
    </w:p>
    <w:p w14:paraId="2EFD4C1A">
      <w:pPr>
        <w:keepNext w:val="0"/>
        <w:keepLines w:val="0"/>
        <w:pageBreakBefore w:val="0"/>
        <w:widowControl w:val="0"/>
        <w:kinsoku w:val="0"/>
        <w:wordWrap/>
        <w:overflowPunct/>
        <w:topLinePunct w:val="0"/>
        <w:autoSpaceDE w:val="0"/>
        <w:autoSpaceDN w:val="0"/>
        <w:bidi w:val="0"/>
        <w:adjustRightInd w:val="0"/>
        <w:snapToGrid w:val="0"/>
        <w:spacing w:line="360" w:lineRule="auto"/>
        <w:ind w:left="616" w:leftChars="179" w:hanging="240" w:hangingChars="1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cs="宋体"/>
          <w:color w:val="auto"/>
          <w:spacing w:val="0"/>
          <w:position w:val="0"/>
          <w:sz w:val="24"/>
          <w:szCs w:val="24"/>
          <w:highlight w:val="none"/>
        </w:rPr>
        <w:t>除因不可抗力或</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文件认可的情形以外，成交供应商不与采购人签订合同的；</w:t>
      </w:r>
    </w:p>
    <w:p w14:paraId="3AA3611B">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磋商文件规定支付</w:t>
      </w:r>
      <w:r>
        <w:rPr>
          <w:rFonts w:ascii="宋体" w:hAnsi="宋体" w:eastAsia="宋体" w:cs="宋体"/>
          <w:color w:val="auto"/>
          <w:spacing w:val="0"/>
          <w:position w:val="0"/>
          <w:sz w:val="24"/>
          <w:szCs w:val="24"/>
          <w:highlight w:val="none"/>
          <w:lang w:eastAsia="zh-CN"/>
        </w:rPr>
        <w:t>采购代理服务费；</w:t>
      </w:r>
    </w:p>
    <w:p w14:paraId="48C9EC13">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ascii="宋体" w:hAnsi="宋体" w:eastAsia="宋体" w:cs="宋体"/>
          <w:color w:val="auto"/>
          <w:spacing w:val="0"/>
          <w:position w:val="0"/>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磋商文件</w:t>
      </w:r>
      <w:r>
        <w:rPr>
          <w:rFonts w:ascii="宋体" w:hAnsi="宋体" w:eastAsia="宋体" w:cs="宋体"/>
          <w:color w:val="auto"/>
          <w:spacing w:val="0"/>
          <w:position w:val="0"/>
          <w:sz w:val="24"/>
          <w:szCs w:val="24"/>
          <w:highlight w:val="none"/>
          <w:lang w:eastAsia="zh-CN"/>
        </w:rPr>
        <w:t>规定提交履约保证金；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如要求提供履约保证金</w:t>
      </w:r>
      <w:r>
        <w:rPr>
          <w:rFonts w:hint="eastAsia" w:ascii="宋体" w:hAnsi="宋体" w:eastAsia="宋体" w:cs="宋体"/>
          <w:color w:val="auto"/>
          <w:spacing w:val="0"/>
          <w:position w:val="0"/>
          <w:sz w:val="24"/>
          <w:szCs w:val="24"/>
          <w:highlight w:val="none"/>
          <w:lang w:eastAsia="zh-CN"/>
        </w:rPr>
        <w:t>）</w:t>
      </w:r>
    </w:p>
    <w:p w14:paraId="193DA1FE">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（5)</w:t>
      </w:r>
      <w:r>
        <w:rPr>
          <w:rFonts w:hint="eastAsia" w:ascii="宋体" w:hAnsi="宋体" w:cs="宋体"/>
          <w:color w:val="auto"/>
          <w:spacing w:val="0"/>
          <w:position w:val="0"/>
          <w:sz w:val="24"/>
          <w:szCs w:val="24"/>
          <w:highlight w:val="none"/>
        </w:rPr>
        <w:t>供应商在响应文件中提供虚假材料的；</w:t>
      </w:r>
    </w:p>
    <w:p w14:paraId="1481973C">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）供应商与采购人、其他供应商或者采购代理机构恶意串通的。</w:t>
      </w:r>
    </w:p>
    <w:p w14:paraId="0906DE8A">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33" w:name="_Toc3052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有效期</w:t>
      </w:r>
      <w:bookmarkEnd w:id="33"/>
    </w:p>
    <w:p w14:paraId="0F3C019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35" w:leftChars="0" w:right="77" w:hanging="63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有效期从提交</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的截止之日起算。</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有效期应不少于</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有效期。并在</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有效期内保持有效。</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有效期不足的</w:t>
      </w:r>
      <w:r>
        <w:rPr>
          <w:rFonts w:hint="eastAsia" w:ascii="宋体" w:hAnsi="宋体" w:cs="宋体"/>
          <w:color w:val="auto"/>
          <w:spacing w:val="0"/>
          <w:position w:val="0"/>
          <w:sz w:val="24"/>
          <w:szCs w:val="24"/>
          <w:highlight w:val="none"/>
        </w:rPr>
        <w:t>响应文件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被视为无效</w:t>
      </w:r>
      <w:r>
        <w:rPr>
          <w:rFonts w:ascii="宋体" w:hAnsi="宋体" w:eastAsia="宋体" w:cs="宋体"/>
          <w:color w:val="auto"/>
          <w:spacing w:val="0"/>
          <w:position w:val="0"/>
          <w:sz w:val="24"/>
          <w:szCs w:val="24"/>
          <w:highlight w:val="none"/>
          <w:lang w:eastAsia="zh-CN"/>
        </w:rPr>
        <w:t>。</w:t>
      </w:r>
    </w:p>
    <w:p w14:paraId="45AD070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5" w:leftChars="0" w:hanging="635"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.2 在特殊情况下，采购代理机构可延长</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有效期。延长</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发布，延期函以网上公告的形式通知所有已参加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。已参加</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应以书面形式答复采购代理机构，同意延长有效期的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不能修改其</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，有关</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的规定在</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有效期的延长期内继续有效。</w:t>
      </w:r>
    </w:p>
    <w:p w14:paraId="3B10074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34" w:name="_Toc777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提交</w:t>
      </w:r>
      <w:bookmarkEnd w:id="34"/>
    </w:p>
    <w:p w14:paraId="0D6A4ED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文件提交</w:t>
      </w:r>
    </w:p>
    <w:p w14:paraId="0F522EC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right="82" w:hanging="560" w:firstLineChars="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17.1.1 提交响应文件截止时间</w:t>
      </w:r>
      <w:r>
        <w:rPr>
          <w:rFonts w:ascii="宋体" w:hAnsi="宋体" w:eastAsia="宋体" w:cs="宋体"/>
          <w:color w:val="auto"/>
          <w:spacing w:val="0"/>
          <w:position w:val="0"/>
          <w:sz w:val="24"/>
          <w:szCs w:val="24"/>
          <w:highlight w:val="none"/>
          <w:lang w:eastAsia="zh-CN"/>
        </w:rPr>
        <w:t xml:space="preserve">：详见“第一章 </w:t>
      </w:r>
      <w:r>
        <w:rPr>
          <w:rFonts w:hint="eastAsia" w:ascii="宋体" w:hAnsi="宋体" w:eastAsia="宋体" w:cs="宋体"/>
          <w:color w:val="auto"/>
          <w:spacing w:val="0"/>
          <w:position w:val="0"/>
          <w:sz w:val="24"/>
          <w:szCs w:val="24"/>
          <w:highlight w:val="none"/>
          <w:lang w:eastAsia="zh-CN"/>
        </w:rPr>
        <w:t>磋商邀请</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w:t>
      </w:r>
    </w:p>
    <w:p w14:paraId="1DDC7CF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82" w:hanging="62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电子版</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必须在</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规定的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前上传到江西省公共资源交易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w:t>
      </w:r>
    </w:p>
    <w:p w14:paraId="53D7DA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采购代理机构推迟</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发布延期公告，延期函以网上公告的形式通知所有已下载</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。在这种情况下，采购代理机构、采购人和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受</w:t>
      </w:r>
      <w:r>
        <w:rPr>
          <w:rFonts w:hint="eastAsia" w:ascii="宋体" w:hAnsi="宋体" w:eastAsia="宋体" w:cs="宋体"/>
          <w:color w:val="auto"/>
          <w:spacing w:val="0"/>
          <w:position w:val="0"/>
          <w:sz w:val="24"/>
          <w:szCs w:val="24"/>
          <w:highlight w:val="none"/>
          <w:lang w:eastAsia="zh-CN"/>
        </w:rPr>
        <w:t>提交响应文件截止时间</w:t>
      </w:r>
      <w:r>
        <w:rPr>
          <w:rFonts w:ascii="宋体" w:hAnsi="宋体" w:eastAsia="宋体" w:cs="宋体"/>
          <w:color w:val="auto"/>
          <w:spacing w:val="0"/>
          <w:position w:val="0"/>
          <w:sz w:val="24"/>
          <w:szCs w:val="24"/>
          <w:highlight w:val="none"/>
          <w:lang w:eastAsia="zh-CN"/>
        </w:rPr>
        <w:t>制约的所有权利和义务均应延长至新的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w:t>
      </w:r>
    </w:p>
    <w:p w14:paraId="4BBC577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.2 迟交的</w:t>
      </w:r>
      <w:r>
        <w:rPr>
          <w:rFonts w:hint="eastAsia" w:ascii="宋体" w:hAnsi="宋体" w:eastAsia="宋体" w:cs="宋体"/>
          <w:color w:val="auto"/>
          <w:spacing w:val="0"/>
          <w:position w:val="0"/>
          <w:sz w:val="24"/>
          <w:szCs w:val="24"/>
          <w:highlight w:val="none"/>
          <w:lang w:eastAsia="zh-CN"/>
        </w:rPr>
        <w:t>响应文件</w:t>
      </w:r>
    </w:p>
    <w:p w14:paraId="4740CD14">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45" w:leftChars="0" w:hanging="645" w:hangingChars="269"/>
        <w:textAlignment w:val="baseline"/>
        <w:rPr>
          <w:rFonts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kern w:val="0"/>
          <w:position w:val="0"/>
          <w:sz w:val="24"/>
          <w:szCs w:val="24"/>
          <w:highlight w:val="none"/>
          <w:lang w:val="en-US" w:eastAsia="zh-CN" w:bidi="ar-SA"/>
        </w:rPr>
        <w:t>17.2.1 在提交响应文件截止时间以后送达的CA数字证书，采购代理机构将拒绝接收。</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34AFC3F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5" w:leftChars="0" w:hanging="645" w:hangingChars="269"/>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17.2.2 未在</w:t>
      </w:r>
      <w:r>
        <w:rPr>
          <w:rFonts w:hint="eastAsia" w:ascii="宋体" w:hAnsi="宋体" w:eastAsia="宋体" w:cs="宋体"/>
          <w:snapToGrid w:val="0"/>
          <w:color w:val="auto"/>
          <w:spacing w:val="0"/>
          <w:kern w:val="0"/>
          <w:position w:val="0"/>
          <w:sz w:val="24"/>
          <w:szCs w:val="24"/>
          <w:highlight w:val="none"/>
          <w:lang w:val="en-US" w:eastAsia="zh-CN" w:bidi="ar-SA"/>
        </w:rPr>
        <w:t>提交响应文件截止时间</w:t>
      </w:r>
      <w:r>
        <w:rPr>
          <w:rFonts w:hint="eastAsia" w:ascii="宋体" w:hAnsi="宋体" w:eastAsia="宋体" w:cs="宋体"/>
          <w:color w:val="auto"/>
          <w:spacing w:val="0"/>
          <w:position w:val="0"/>
          <w:sz w:val="24"/>
          <w:szCs w:val="24"/>
          <w:highlight w:val="none"/>
          <w:lang w:val="en-US" w:eastAsia="zh-CN"/>
        </w:rPr>
        <w:t>前进行网上在线签到的，</w:t>
      </w:r>
      <w:r>
        <w:rPr>
          <w:rFonts w:hint="eastAsia" w:ascii="宋体" w:hAnsi="宋体" w:eastAsia="宋体" w:cs="宋体"/>
          <w:b/>
          <w:bCs/>
          <w:color w:val="auto"/>
          <w:spacing w:val="0"/>
          <w:position w:val="0"/>
          <w:sz w:val="24"/>
          <w:szCs w:val="24"/>
          <w:highlight w:val="none"/>
          <w:lang w:val="en-US" w:eastAsia="zh-CN"/>
        </w:rPr>
        <w:t>视为响应无效</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2F6F9793">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的修改和撤回</w:t>
      </w:r>
    </w:p>
    <w:p w14:paraId="3464117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0" w:leftChars="0" w:right="80" w:hanging="64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.3.1 在</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修改或撤回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可以在江西省公共资源交易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上重新上传修改后的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或撤回其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w:t>
      </w:r>
    </w:p>
    <w:p w14:paraId="382AB1E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0" w:leftChars="0" w:right="80" w:hanging="641"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.3.2 </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有效期期满这段时间内，</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不得撤</w:t>
      </w:r>
      <w:r>
        <w:rPr>
          <w:rFonts w:hint="eastAsia" w:ascii="宋体" w:hAnsi="宋体" w:eastAsia="宋体" w:cs="宋体"/>
          <w:color w:val="auto"/>
          <w:spacing w:val="0"/>
          <w:position w:val="0"/>
          <w:sz w:val="24"/>
          <w:szCs w:val="24"/>
          <w:highlight w:val="none"/>
          <w:lang w:val="en-US" w:eastAsia="zh-CN"/>
        </w:rPr>
        <w:t>回</w:t>
      </w:r>
      <w:r>
        <w:rPr>
          <w:rFonts w:ascii="宋体" w:hAnsi="宋体" w:eastAsia="宋体" w:cs="宋体"/>
          <w:color w:val="auto"/>
          <w:spacing w:val="0"/>
          <w:position w:val="0"/>
          <w:sz w:val="24"/>
          <w:szCs w:val="24"/>
          <w:highlight w:val="none"/>
          <w:lang w:eastAsia="zh-CN"/>
        </w:rPr>
        <w:t>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，否则不予退还其交纳的</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w:t>
      </w:r>
    </w:p>
    <w:p w14:paraId="2E377B29">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640" w:leftChars="0" w:hanging="640" w:hangingChars="267"/>
        <w:textAlignment w:val="baseline"/>
        <w:rPr>
          <w:rFonts w:hint="default"/>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val="en-US" w:eastAsia="zh-CN"/>
        </w:rPr>
        <w:t>17.4 原件及演示提交要求：磋商文件要求提供材料原件、演示佐证的，必须将原件或演示材料在响应文件提交截止时间前提交至磋商地点，逾期不予接收。具体要求详见“供应商须知前附表”。</w:t>
      </w:r>
    </w:p>
    <w:p w14:paraId="1ABE489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35" w:name="_Toc1161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.分包的规定</w:t>
      </w:r>
      <w:bookmarkEnd w:id="35"/>
    </w:p>
    <w:p w14:paraId="06B19DF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 本项目是否允许分包：详见“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235C164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4" w:leftChars="0" w:right="61" w:hanging="62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在</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后将</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项目的非主体、非关键性工作分包的，应当在</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中载明分包承担主体，分包承担主体应当具备相应资质条件且不得再次分包</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（适用于允许分包）</w:t>
      </w:r>
    </w:p>
    <w:p w14:paraId="561926DF">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4" w:leftChars="0" w:right="61" w:hanging="620" w:firstLineChars="0"/>
        <w:jc w:val="both"/>
        <w:textAlignment w:val="baseline"/>
        <w:rPr>
          <w:rFonts w:hint="default"/>
          <w:color w:val="auto"/>
          <w:spacing w:val="0"/>
          <w:position w:val="0"/>
          <w:highlight w:val="none"/>
          <w:lang w:val="en-US" w:eastAsia="zh-CN"/>
        </w:rPr>
      </w:pPr>
      <w:bookmarkStart w:id="36" w:name="bookmark33"/>
      <w:bookmarkEnd w:id="36"/>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（适用于允许分包）</w:t>
      </w:r>
    </w:p>
    <w:p w14:paraId="1780C8E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26" w:beforeAutospacing="0" w:after="0" w:afterLines="126"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7" w:name="_Toc1830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四、磋商</w:t>
      </w:r>
      <w:bookmarkEnd w:id="37"/>
    </w:p>
    <w:p w14:paraId="7D597F9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38" w:name="_Toc26164"/>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19</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.磋商组织</w:t>
      </w:r>
      <w:bookmarkEnd w:id="38"/>
    </w:p>
    <w:p w14:paraId="3B896890">
      <w:pPr>
        <w:keepNext w:val="0"/>
        <w:keepLines w:val="0"/>
        <w:pageBreakBefore w:val="0"/>
        <w:kinsoku w:val="0"/>
        <w:wordWrap/>
        <w:overflowPunct/>
        <w:topLinePunct w:val="0"/>
        <w:autoSpaceDE w:val="0"/>
        <w:autoSpaceDN w:val="0"/>
        <w:bidi w:val="0"/>
        <w:adjustRightInd w:val="0"/>
        <w:snapToGrid w:val="0"/>
        <w:spacing w:line="360" w:lineRule="auto"/>
        <w:ind w:left="631" w:leftChars="0" w:hanging="631" w:hangingChars="263"/>
        <w:textAlignment w:val="baseline"/>
        <w:rPr>
          <w:rFonts w:cs="仿宋" w:asciiTheme="minorEastAsia" w:hAnsiTheme="minorEastAsia" w:eastAsiaTheme="minorEastAsia"/>
          <w:b w:val="0"/>
          <w:bCs/>
          <w:color w:val="auto"/>
          <w:spacing w:val="0"/>
          <w:kern w:val="0"/>
          <w:position w:val="0"/>
          <w:sz w:val="24"/>
          <w:szCs w:val="24"/>
          <w:highlight w:val="none"/>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lang w:val="en-GB"/>
        </w:rPr>
        <w:t>.1</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w:t>
      </w:r>
      <w:r>
        <w:rPr>
          <w:rFonts w:hint="eastAsia" w:cs="仿宋" w:asciiTheme="minorEastAsia" w:hAnsiTheme="minorEastAsia" w:eastAsiaTheme="minorEastAsia"/>
          <w:b w:val="0"/>
          <w:bCs/>
          <w:color w:val="auto"/>
          <w:spacing w:val="0"/>
          <w:position w:val="0"/>
          <w:sz w:val="24"/>
          <w:szCs w:val="24"/>
          <w:highlight w:val="none"/>
        </w:rPr>
        <w:t xml:space="preserve">采购代理机构在“第一章 </w:t>
      </w:r>
      <w:r>
        <w:rPr>
          <w:rFonts w:hint="eastAsia" w:cs="仿宋" w:asciiTheme="minorEastAsia" w:hAnsiTheme="minorEastAsia" w:eastAsiaTheme="minorEastAsia"/>
          <w:b w:val="0"/>
          <w:bCs/>
          <w:color w:val="auto"/>
          <w:spacing w:val="0"/>
          <w:position w:val="0"/>
          <w:sz w:val="24"/>
          <w:szCs w:val="24"/>
          <w:highlight w:val="none"/>
          <w:lang w:val="en-US" w:eastAsia="zh-CN"/>
        </w:rPr>
        <w:t>磋商</w:t>
      </w:r>
      <w:r>
        <w:rPr>
          <w:rFonts w:hint="eastAsia" w:cs="仿宋" w:asciiTheme="minorEastAsia" w:hAnsiTheme="minorEastAsia" w:eastAsiaTheme="minorEastAsia"/>
          <w:b w:val="0"/>
          <w:bCs/>
          <w:color w:val="auto"/>
          <w:spacing w:val="0"/>
          <w:position w:val="0"/>
          <w:sz w:val="24"/>
          <w:szCs w:val="24"/>
          <w:highlight w:val="none"/>
        </w:rPr>
        <w:t>邀请”中规定的时间和地点组织</w:t>
      </w:r>
      <w:r>
        <w:rPr>
          <w:rFonts w:hint="eastAsia" w:cs="仿宋" w:asciiTheme="minorEastAsia" w:hAnsiTheme="minorEastAsia" w:eastAsiaTheme="minorEastAsia"/>
          <w:b w:val="0"/>
          <w:bCs/>
          <w:color w:val="auto"/>
          <w:spacing w:val="0"/>
          <w:position w:val="0"/>
          <w:sz w:val="24"/>
          <w:szCs w:val="24"/>
          <w:highlight w:val="none"/>
          <w:lang w:val="en-US" w:eastAsia="zh-CN"/>
        </w:rPr>
        <w:t>磋商</w:t>
      </w:r>
      <w:r>
        <w:rPr>
          <w:rFonts w:hint="eastAsia" w:cs="仿宋" w:asciiTheme="minorEastAsia" w:hAnsiTheme="minorEastAsia" w:eastAsiaTheme="minorEastAsia"/>
          <w:b w:val="0"/>
          <w:bCs/>
          <w:color w:val="auto"/>
          <w:spacing w:val="0"/>
          <w:position w:val="0"/>
          <w:sz w:val="24"/>
          <w:szCs w:val="24"/>
          <w:highlight w:val="none"/>
        </w:rPr>
        <w:t>。</w:t>
      </w:r>
      <w:r>
        <w:rPr>
          <w:rFonts w:hint="eastAsia" w:ascii="宋体" w:hAnsi="宋体" w:eastAsia="宋体" w:cs="宋体"/>
          <w:i w:val="0"/>
          <w:iCs w:val="0"/>
          <w:color w:val="auto"/>
          <w:spacing w:val="0"/>
          <w:position w:val="0"/>
          <w:sz w:val="24"/>
          <w:szCs w:val="24"/>
          <w:highlight w:val="none"/>
        </w:rPr>
        <w:t>参加磋商的</w:t>
      </w:r>
      <w:r>
        <w:rPr>
          <w:rFonts w:hint="eastAsia" w:ascii="宋体" w:hAnsi="宋体" w:cs="宋体"/>
          <w:i w:val="0"/>
          <w:iCs w:val="0"/>
          <w:color w:val="auto"/>
          <w:spacing w:val="0"/>
          <w:position w:val="0"/>
          <w:sz w:val="24"/>
          <w:szCs w:val="24"/>
          <w:highlight w:val="none"/>
          <w:lang w:val="en-US" w:eastAsia="zh-CN"/>
        </w:rPr>
        <w:t>供应商须保持在线签到</w:t>
      </w:r>
      <w:r>
        <w:rPr>
          <w:rFonts w:hint="eastAsia" w:ascii="宋体" w:hAnsi="宋体" w:eastAsia="宋体" w:cs="宋体"/>
          <w:i w:val="0"/>
          <w:iCs w:val="0"/>
          <w:color w:val="auto"/>
          <w:spacing w:val="0"/>
          <w:position w:val="0"/>
          <w:sz w:val="24"/>
          <w:szCs w:val="24"/>
          <w:highlight w:val="none"/>
        </w:rPr>
        <w:t>以证明其出席。</w:t>
      </w:r>
    </w:p>
    <w:p w14:paraId="1C17F1AB">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textAlignment w:val="baseline"/>
        <w:rPr>
          <w:rFonts w:cs="仿宋" w:asciiTheme="minorEastAsia" w:hAnsiTheme="minorEastAsia" w:eastAsiaTheme="minorEastAsia"/>
          <w:b w:val="0"/>
          <w:bCs/>
          <w:color w:val="auto"/>
          <w:spacing w:val="0"/>
          <w:position w:val="0"/>
          <w:sz w:val="24"/>
          <w:szCs w:val="24"/>
          <w:highlight w:val="none"/>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rPr>
        <w:t>.2</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磋商</w:t>
      </w:r>
      <w:r>
        <w:rPr>
          <w:rFonts w:hint="eastAsia" w:cs="仿宋" w:asciiTheme="minorEastAsia" w:hAnsiTheme="minorEastAsia" w:eastAsiaTheme="minorEastAsia"/>
          <w:b w:val="0"/>
          <w:bCs/>
          <w:color w:val="auto"/>
          <w:spacing w:val="0"/>
          <w:position w:val="0"/>
          <w:sz w:val="24"/>
          <w:szCs w:val="24"/>
          <w:highlight w:val="none"/>
        </w:rPr>
        <w:t>由采购人或者采购代理机构主持，邀请</w:t>
      </w:r>
      <w:r>
        <w:rPr>
          <w:rFonts w:hint="eastAsia" w:cs="仿宋" w:asciiTheme="minorEastAsia" w:hAnsiTheme="minorEastAsia" w:eastAsiaTheme="minorEastAsia"/>
          <w:b w:val="0"/>
          <w:bCs/>
          <w:color w:val="auto"/>
          <w:spacing w:val="0"/>
          <w:position w:val="0"/>
          <w:sz w:val="24"/>
          <w:szCs w:val="24"/>
          <w:highlight w:val="none"/>
          <w:lang w:eastAsia="zh-CN"/>
        </w:rPr>
        <w:t>供应商</w:t>
      </w:r>
      <w:r>
        <w:rPr>
          <w:rFonts w:hint="eastAsia" w:cs="仿宋" w:asciiTheme="minorEastAsia" w:hAnsiTheme="minorEastAsia" w:eastAsiaTheme="minorEastAsia"/>
          <w:b w:val="0"/>
          <w:bCs/>
          <w:color w:val="auto"/>
          <w:spacing w:val="0"/>
          <w:position w:val="0"/>
          <w:sz w:val="24"/>
          <w:szCs w:val="24"/>
          <w:highlight w:val="none"/>
          <w:lang w:val="en-US" w:eastAsia="zh-CN"/>
        </w:rPr>
        <w:t>在线</w:t>
      </w:r>
      <w:r>
        <w:rPr>
          <w:rFonts w:hint="eastAsia" w:cs="仿宋" w:asciiTheme="minorEastAsia" w:hAnsiTheme="minorEastAsia" w:eastAsiaTheme="minorEastAsia"/>
          <w:b w:val="0"/>
          <w:bCs/>
          <w:color w:val="auto"/>
          <w:spacing w:val="0"/>
          <w:position w:val="0"/>
          <w:sz w:val="24"/>
          <w:szCs w:val="24"/>
          <w:highlight w:val="none"/>
        </w:rPr>
        <w:t>参加。</w:t>
      </w:r>
    </w:p>
    <w:p w14:paraId="1C62941E">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default"/>
          <w:lang w:val="en-US"/>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rPr>
        <w:t>.3</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磋商</w:t>
      </w:r>
      <w:r>
        <w:rPr>
          <w:rFonts w:hint="eastAsia" w:cs="仿宋" w:asciiTheme="minorEastAsia" w:hAnsiTheme="minorEastAsia" w:eastAsiaTheme="minorEastAsia"/>
          <w:b w:val="0"/>
          <w:bCs/>
          <w:color w:val="auto"/>
          <w:spacing w:val="0"/>
          <w:position w:val="0"/>
          <w:sz w:val="24"/>
          <w:szCs w:val="24"/>
          <w:highlight w:val="none"/>
        </w:rPr>
        <w:t>截止时间前</w:t>
      </w:r>
      <w:r>
        <w:rPr>
          <w:rFonts w:hint="eastAsia" w:cs="仿宋" w:asciiTheme="minorEastAsia" w:hAnsiTheme="minorEastAsia" w:eastAsiaTheme="minorEastAsia"/>
          <w:b w:val="0"/>
          <w:bCs/>
          <w:color w:val="auto"/>
          <w:spacing w:val="0"/>
          <w:position w:val="0"/>
          <w:sz w:val="24"/>
          <w:szCs w:val="24"/>
          <w:highlight w:val="none"/>
          <w:lang w:eastAsia="zh-CN"/>
        </w:rPr>
        <w:t>供应商</w:t>
      </w:r>
      <w:r>
        <w:rPr>
          <w:rFonts w:hint="eastAsia" w:ascii="宋体" w:hAnsi="宋体" w:eastAsia="宋体" w:cs="仿宋"/>
          <w:color w:val="auto"/>
          <w:spacing w:val="0"/>
          <w:position w:val="0"/>
          <w:sz w:val="24"/>
          <w:szCs w:val="24"/>
          <w:highlight w:val="none"/>
          <w:lang w:val="en-US" w:eastAsia="zh-CN"/>
        </w:rPr>
        <w:t>未进行网上在线签到的或CA数字证书未在规定时间内完成解密</w:t>
      </w:r>
      <w:r>
        <w:rPr>
          <w:rFonts w:hint="eastAsia" w:ascii="宋体" w:hAnsi="宋体" w:cs="仿宋"/>
          <w:color w:val="auto"/>
          <w:spacing w:val="0"/>
          <w:position w:val="0"/>
          <w:sz w:val="24"/>
          <w:szCs w:val="24"/>
          <w:highlight w:val="none"/>
          <w:lang w:val="en-US" w:eastAsia="zh-CN"/>
        </w:rPr>
        <w:t>响应</w:t>
      </w:r>
      <w:r>
        <w:rPr>
          <w:rFonts w:hint="eastAsia" w:ascii="宋体" w:hAnsi="宋体" w:eastAsia="宋体" w:cs="仿宋"/>
          <w:color w:val="auto"/>
          <w:spacing w:val="0"/>
          <w:position w:val="0"/>
          <w:sz w:val="24"/>
          <w:szCs w:val="24"/>
          <w:highlight w:val="none"/>
          <w:lang w:val="en-US" w:eastAsia="zh-CN"/>
        </w:rPr>
        <w:t>文件的，</w:t>
      </w:r>
      <w:r>
        <w:rPr>
          <w:rFonts w:hint="eastAsia" w:ascii="宋体" w:hAnsi="宋体" w:cs="仿宋"/>
          <w:b/>
          <w:bCs/>
          <w:color w:val="auto"/>
          <w:spacing w:val="0"/>
          <w:position w:val="0"/>
          <w:sz w:val="24"/>
          <w:szCs w:val="24"/>
          <w:highlight w:val="none"/>
          <w:lang w:val="en-US" w:eastAsia="zh-CN"/>
        </w:rPr>
        <w:t>响应</w:t>
      </w:r>
      <w:r>
        <w:rPr>
          <w:rFonts w:hint="eastAsia" w:ascii="宋体" w:hAnsi="宋体" w:eastAsia="宋体" w:cs="仿宋"/>
          <w:b/>
          <w:bCs/>
          <w:color w:val="auto"/>
          <w:spacing w:val="0"/>
          <w:position w:val="0"/>
          <w:sz w:val="24"/>
          <w:szCs w:val="24"/>
          <w:highlight w:val="none"/>
          <w:lang w:val="en-US" w:eastAsia="zh-CN"/>
        </w:rPr>
        <w:t>无效。</w:t>
      </w:r>
    </w:p>
    <w:p w14:paraId="1F35470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9" w:name="_Toc15031"/>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20.磋商小组</w:t>
      </w:r>
      <w:bookmarkEnd w:id="39"/>
    </w:p>
    <w:p w14:paraId="12D8BFD7">
      <w:pPr>
        <w:keepNext w:val="0"/>
        <w:keepLines w:val="0"/>
        <w:pageBreakBefore w:val="0"/>
        <w:widowControl w:val="0"/>
        <w:kinsoku w:val="0"/>
        <w:wordWrap/>
        <w:overflowPunct/>
        <w:topLinePunct w:val="0"/>
        <w:autoSpaceDE w:val="0"/>
        <w:autoSpaceDN w:val="0"/>
        <w:bidi w:val="0"/>
        <w:adjustRightInd w:val="0"/>
        <w:snapToGrid w:val="0"/>
        <w:spacing w:line="360" w:lineRule="auto"/>
        <w:ind w:left="614" w:leftChars="0" w:hanging="614" w:hangingChars="256"/>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20.1 </w:t>
      </w:r>
      <w:r>
        <w:rPr>
          <w:rFonts w:hint="eastAsia" w:ascii="宋体" w:hAnsi="宋体" w:cs="宋体"/>
          <w:color w:val="auto"/>
          <w:spacing w:val="0"/>
          <w:position w:val="0"/>
          <w:sz w:val="24"/>
          <w:szCs w:val="24"/>
          <w:highlight w:val="none"/>
          <w:lang w:val="en-GB"/>
        </w:rPr>
        <w:t>在相关的政府采购评审专家库中随机抽取评审专家，依法成立</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小组。评审工作由</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小组负责。</w:t>
      </w:r>
    </w:p>
    <w:p w14:paraId="20162E8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0" w:name="_Toc91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21.磋商程序</w:t>
      </w:r>
      <w:bookmarkEnd w:id="40"/>
    </w:p>
    <w:p w14:paraId="4D65C8A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 xml:space="preserve"> 响应文件的审查 </w:t>
      </w:r>
    </w:p>
    <w:p w14:paraId="7C9B461B">
      <w:pPr>
        <w:keepNext w:val="0"/>
        <w:keepLines w:val="0"/>
        <w:pageBreakBefore w:val="0"/>
        <w:kinsoku w:val="0"/>
        <w:wordWrap/>
        <w:overflowPunct/>
        <w:topLinePunct w:val="0"/>
        <w:autoSpaceDE w:val="0"/>
        <w:autoSpaceDN w:val="0"/>
        <w:bidi w:val="0"/>
        <w:adjustRightInd w:val="0"/>
        <w:snapToGrid w:val="0"/>
        <w:spacing w:line="360" w:lineRule="auto"/>
        <w:ind w:left="600" w:hanging="600" w:hangingChars="25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xml:space="preserve">（1）磋商小组在对响应文件的有效性、完整性和响应程度进行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 </w:t>
      </w:r>
    </w:p>
    <w:p w14:paraId="115ADF73">
      <w:pPr>
        <w:keepNext w:val="0"/>
        <w:keepLines w:val="0"/>
        <w:pageBreakBefore w:val="0"/>
        <w:kinsoku w:val="0"/>
        <w:wordWrap/>
        <w:overflowPunct/>
        <w:topLinePunct w:val="0"/>
        <w:autoSpaceDE w:val="0"/>
        <w:autoSpaceDN w:val="0"/>
        <w:bidi w:val="0"/>
        <w:adjustRightInd w:val="0"/>
        <w:snapToGrid w:val="0"/>
        <w:spacing w:line="360" w:lineRule="auto"/>
        <w:ind w:left="600" w:leftChars="0" w:hanging="600" w:hangingChars="25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（2）磋商期间</w:t>
      </w:r>
      <w:r>
        <w:rPr>
          <w:rFonts w:hint="eastAsia" w:ascii="宋体" w:hAnsi="宋体" w:eastAsia="宋体" w:cs="宋体"/>
          <w:color w:val="auto"/>
          <w:spacing w:val="0"/>
          <w:kern w:val="2"/>
          <w:position w:val="0"/>
          <w:sz w:val="24"/>
          <w:szCs w:val="24"/>
          <w:highlight w:val="none"/>
          <w:lang w:val="en-US" w:eastAsia="zh-CN" w:bidi="ar-SA"/>
        </w:rPr>
        <w:t>通过“信用中国”</w:t>
      </w:r>
      <w:r>
        <w:rPr>
          <w:rFonts w:hint="eastAsia" w:ascii="宋体" w:hAnsi="宋体" w:cs="宋体"/>
          <w:color w:val="auto"/>
          <w:spacing w:val="0"/>
          <w:kern w:val="2"/>
          <w:position w:val="0"/>
          <w:sz w:val="24"/>
          <w:szCs w:val="24"/>
          <w:highlight w:val="none"/>
          <w:lang w:val="en-US" w:eastAsia="zh-CN" w:bidi="ar-SA"/>
        </w:rPr>
        <w:t>和</w:t>
      </w:r>
      <w:r>
        <w:rPr>
          <w:rFonts w:hint="eastAsia" w:ascii="宋体" w:hAnsi="宋体" w:eastAsia="宋体" w:cs="宋体"/>
          <w:color w:val="auto"/>
          <w:spacing w:val="0"/>
          <w:kern w:val="2"/>
          <w:position w:val="0"/>
          <w:sz w:val="24"/>
          <w:szCs w:val="24"/>
          <w:highlight w:val="none"/>
          <w:lang w:val="en-US" w:eastAsia="zh-CN" w:bidi="ar-SA"/>
        </w:rPr>
        <w:t>“中国政府采购网”查询相关主体信用记录，被列入失信被执行人、</w:t>
      </w:r>
      <w:r>
        <w:rPr>
          <w:rFonts w:hint="eastAsia" w:ascii="宋体" w:hAnsi="宋体" w:eastAsia="宋体" w:cs="宋体"/>
          <w:color w:val="auto"/>
          <w:spacing w:val="0"/>
          <w:position w:val="0"/>
          <w:sz w:val="24"/>
          <w:szCs w:val="24"/>
          <w:highlight w:val="none"/>
          <w:lang w:val="en-US" w:eastAsia="zh-CN"/>
        </w:rPr>
        <w:t>重大税收违法失信主体</w:t>
      </w:r>
      <w:r>
        <w:rPr>
          <w:rFonts w:hint="eastAsia" w:ascii="宋体" w:hAnsi="宋体" w:eastAsia="宋体" w:cs="宋体"/>
          <w:color w:val="auto"/>
          <w:spacing w:val="0"/>
          <w:kern w:val="2"/>
          <w:position w:val="0"/>
          <w:sz w:val="24"/>
          <w:szCs w:val="24"/>
          <w:highlight w:val="none"/>
          <w:lang w:val="en-US" w:eastAsia="zh-CN" w:bidi="ar-SA"/>
        </w:rPr>
        <w:t>、政府采购严重违法失信行为记录名单的供应商（处罚期限尚未届满的）</w:t>
      </w:r>
      <w:r>
        <w:rPr>
          <w:rFonts w:hint="eastAsia" w:ascii="宋体" w:hAnsi="宋体" w:eastAsia="宋体" w:cs="宋体"/>
          <w:color w:val="auto"/>
          <w:spacing w:val="0"/>
          <w:position w:val="0"/>
          <w:sz w:val="24"/>
          <w:szCs w:val="24"/>
          <w:highlight w:val="none"/>
        </w:rPr>
        <w:t>的，其</w:t>
      </w:r>
      <w:r>
        <w:rPr>
          <w:rFonts w:hint="eastAsia" w:ascii="宋体" w:hAnsi="宋体" w:eastAsia="宋体" w:cs="宋体"/>
          <w:b/>
          <w:color w:val="auto"/>
          <w:spacing w:val="0"/>
          <w:position w:val="0"/>
          <w:sz w:val="24"/>
          <w:szCs w:val="24"/>
          <w:highlight w:val="none"/>
        </w:rPr>
        <w:t>响应无效</w:t>
      </w:r>
      <w:r>
        <w:rPr>
          <w:rFonts w:hint="eastAsia" w:ascii="宋体" w:hAnsi="宋体" w:eastAsia="宋体" w:cs="宋体"/>
          <w:color w:val="auto"/>
          <w:spacing w:val="0"/>
          <w:position w:val="0"/>
          <w:sz w:val="24"/>
          <w:szCs w:val="24"/>
          <w:highlight w:val="none"/>
        </w:rPr>
        <w:t>；查询的记录随采购文件存档。</w:t>
      </w:r>
    </w:p>
    <w:p w14:paraId="2D3392DA">
      <w:pPr>
        <w:keepNext w:val="0"/>
        <w:keepLines w:val="0"/>
        <w:pageBreakBefore w:val="0"/>
        <w:kinsoku w:val="0"/>
        <w:wordWrap/>
        <w:overflowPunct/>
        <w:topLinePunct w:val="0"/>
        <w:autoSpaceDE w:val="0"/>
        <w:autoSpaceDN w:val="0"/>
        <w:bidi w:val="0"/>
        <w:adjustRightInd w:val="0"/>
        <w:snapToGrid w:val="0"/>
        <w:spacing w:line="360" w:lineRule="auto"/>
        <w:ind w:left="600" w:leftChars="0" w:hanging="600" w:hangingChars="25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rPr>
        <w:t>（3）磋商小组要求供应商澄清、说明或者更正响应文件应当以书面形式做出</w:t>
      </w:r>
      <w:r>
        <w:rPr>
          <w:rFonts w:hint="eastAsia" w:ascii="宋体" w:hAnsi="宋体" w:cs="宋体"/>
          <w:i w:val="0"/>
          <w:iCs w:val="0"/>
          <w:color w:val="auto"/>
          <w:spacing w:val="0"/>
          <w:position w:val="0"/>
          <w:sz w:val="24"/>
          <w:szCs w:val="24"/>
          <w:highlight w:val="none"/>
          <w:lang w:val="en-US" w:eastAsia="zh-CN"/>
        </w:rPr>
        <w:t>并扫描上传线上回复至采购代理机构</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供应商的澄清、说明或者更正应当由法定代表人或其授权代表签字或者加盖公章。由授权代表签字的，应当附法定</w:t>
      </w:r>
      <w:r>
        <w:rPr>
          <w:rFonts w:hint="eastAsia" w:ascii="宋体" w:hAnsi="宋体" w:eastAsia="宋体" w:cs="宋体"/>
          <w:color w:val="auto"/>
          <w:spacing w:val="0"/>
          <w:position w:val="0"/>
          <w:sz w:val="24"/>
          <w:szCs w:val="24"/>
          <w:highlight w:val="none"/>
          <w:lang w:val="en-GB"/>
        </w:rPr>
        <w:t>代表人授权书。供应商为自然人的，应当由本人签字并附身份证明。</w:t>
      </w:r>
    </w:p>
    <w:p w14:paraId="05A00C47">
      <w:pPr>
        <w:keepNext w:val="0"/>
        <w:keepLines w:val="0"/>
        <w:pageBreakBefore w:val="0"/>
        <w:kinsoku w:val="0"/>
        <w:wordWrap/>
        <w:overflowPunct/>
        <w:topLinePunct w:val="0"/>
        <w:autoSpaceDE w:val="0"/>
        <w:autoSpaceDN w:val="0"/>
        <w:bidi w:val="0"/>
        <w:adjustRightInd w:val="0"/>
        <w:snapToGrid w:val="0"/>
        <w:spacing w:line="360" w:lineRule="auto"/>
        <w:ind w:left="600" w:hanging="600" w:hangingChars="250"/>
        <w:jc w:val="both"/>
        <w:textAlignment w:val="baseline"/>
        <w:rPr>
          <w:rFonts w:hint="eastAsia" w:ascii="宋体" w:hAnsi="宋体" w:eastAsia="宋体" w:cs="宋体"/>
          <w:color w:val="auto"/>
          <w:spacing w:val="0"/>
          <w:position w:val="0"/>
          <w:sz w:val="24"/>
          <w:szCs w:val="24"/>
          <w:highlight w:val="yellow"/>
          <w:lang w:eastAsia="zh-CN"/>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GB"/>
        </w:rPr>
        <w:t>磋商小组对各供应商的响应文件进行审查，并确定磋商内容。在有效性审查中出现下列情况者，</w:t>
      </w:r>
      <w:r>
        <w:rPr>
          <w:rFonts w:hint="eastAsia" w:ascii="宋体" w:hAnsi="宋体" w:eastAsia="宋体" w:cs="宋体"/>
          <w:b/>
          <w:bCs/>
          <w:color w:val="auto"/>
          <w:spacing w:val="0"/>
          <w:position w:val="0"/>
          <w:sz w:val="24"/>
          <w:szCs w:val="24"/>
          <w:highlight w:val="none"/>
          <w:lang w:val="en-GB"/>
        </w:rPr>
        <w:t>响应文件被视为无效</w:t>
      </w:r>
      <w:r>
        <w:rPr>
          <w:rFonts w:hint="eastAsia" w:ascii="宋体" w:hAnsi="宋体" w:eastAsia="宋体" w:cs="宋体"/>
          <w:b/>
          <w:bCs/>
          <w:color w:val="auto"/>
          <w:spacing w:val="0"/>
          <w:position w:val="0"/>
          <w:sz w:val="24"/>
          <w:szCs w:val="24"/>
          <w:highlight w:val="none"/>
          <w:lang w:val="en-GB" w:eastAsia="zh-CN"/>
        </w:rPr>
        <w:t>：</w:t>
      </w:r>
    </w:p>
    <w:p w14:paraId="51705529">
      <w:pPr>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661" w:leftChars="229" w:hanging="180" w:hangingChars="7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GB"/>
        </w:rPr>
        <w:t>未提交磋商响应书；</w:t>
      </w:r>
    </w:p>
    <w:p w14:paraId="32E83160">
      <w:pPr>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661" w:leftChars="229" w:hanging="180" w:hangingChars="7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GB"/>
        </w:rPr>
        <w:t>未提交开标一览表、分项报价表、报价一览明细表的；</w:t>
      </w:r>
    </w:p>
    <w:p w14:paraId="0397F1CA">
      <w:pPr>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661" w:leftChars="229" w:hanging="180" w:hangingChars="7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GB"/>
        </w:rPr>
        <w:t>未提供磋商保证金或金额不足，磋商保证金形式不符合磋商文件要求的；</w:t>
      </w:r>
    </w:p>
    <w:p w14:paraId="05263540">
      <w:pPr>
        <w:keepNext w:val="0"/>
        <w:keepLines w:val="0"/>
        <w:pageBreakBefore w:val="0"/>
        <w:widowControl w:val="0"/>
        <w:kinsoku/>
        <w:wordWrap/>
        <w:overflowPunct/>
        <w:topLinePunct w:val="0"/>
        <w:autoSpaceDE w:val="0"/>
        <w:autoSpaceDN w:val="0"/>
        <w:bidi w:val="0"/>
        <w:adjustRightInd w:val="0"/>
        <w:snapToGrid w:val="0"/>
        <w:spacing w:line="360" w:lineRule="auto"/>
        <w:ind w:left="658" w:leftChars="229" w:hanging="177" w:hangingChars="74"/>
        <w:jc w:val="both"/>
        <w:textAlignment w:val="baseline"/>
        <w:rPr>
          <w:rFonts w:hint="eastAsia" w:ascii="宋体" w:hAnsi="宋体" w:eastAsia="宋体" w:cs="宋体"/>
          <w:color w:val="auto"/>
          <w:spacing w:val="0"/>
          <w:position w:val="0"/>
          <w:sz w:val="24"/>
          <w:szCs w:val="24"/>
          <w:highlight w:val="none"/>
          <w:bdr w:val="single" w:color="auto" w:sz="4" w:space="0"/>
          <w:lang w:val="en-GB"/>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GB"/>
        </w:rPr>
        <w:t>未按磋商</w:t>
      </w:r>
      <w:r>
        <w:rPr>
          <w:rFonts w:hint="eastAsia" w:ascii="宋体" w:hAnsi="宋体" w:eastAsia="宋体" w:cs="宋体"/>
          <w:color w:val="auto"/>
          <w:spacing w:val="0"/>
          <w:position w:val="0"/>
          <w:sz w:val="24"/>
          <w:szCs w:val="24"/>
          <w:highlight w:val="none"/>
        </w:rPr>
        <w:t>文件“第四章 响应文件格式”的规定提供</w:t>
      </w:r>
      <w:r>
        <w:rPr>
          <w:rFonts w:hint="eastAsia" w:ascii="宋体" w:hAnsi="宋体" w:eastAsia="宋体" w:cs="宋体"/>
          <w:color w:val="auto"/>
          <w:spacing w:val="0"/>
          <w:position w:val="0"/>
          <w:sz w:val="24"/>
          <w:szCs w:val="24"/>
          <w:highlight w:val="none"/>
          <w:lang w:val="en-GB"/>
        </w:rPr>
        <w:t>资格、资信证明文件的；</w:t>
      </w:r>
    </w:p>
    <w:p w14:paraId="61DAECE8">
      <w:pPr>
        <w:keepNext w:val="0"/>
        <w:keepLines w:val="0"/>
        <w:pageBreakBefore w:val="0"/>
        <w:kinsoku w:val="0"/>
        <w:wordWrap/>
        <w:overflowPunct/>
        <w:topLinePunct w:val="0"/>
        <w:autoSpaceDE w:val="0"/>
        <w:autoSpaceDN w:val="0"/>
        <w:bidi w:val="0"/>
        <w:adjustRightInd w:val="0"/>
        <w:snapToGrid w:val="0"/>
        <w:spacing w:line="360" w:lineRule="auto"/>
        <w:ind w:left="657" w:leftChars="255" w:hanging="122" w:hangingChars="51"/>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未按磋商文件要求签字、签章的，或签字（签章）人无法定代表人有效委托的；</w:t>
      </w:r>
    </w:p>
    <w:p w14:paraId="34256E9D">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磋商文件规定为国产产品，提供进口产品参加磋商的</w:t>
      </w:r>
      <w:r>
        <w:rPr>
          <w:rFonts w:hint="eastAsia" w:ascii="宋体" w:hAnsi="宋体" w:eastAsia="宋体" w:cs="宋体"/>
          <w:color w:val="auto"/>
          <w:spacing w:val="0"/>
          <w:position w:val="0"/>
          <w:sz w:val="24"/>
          <w:szCs w:val="24"/>
          <w:highlight w:val="none"/>
          <w:lang w:eastAsia="zh-CN"/>
        </w:rPr>
        <w:t>；</w:t>
      </w:r>
    </w:p>
    <w:p w14:paraId="7A6530BB">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GB"/>
        </w:rPr>
        <w:t>磋商有效期响应不足的；</w:t>
      </w:r>
    </w:p>
    <w:p w14:paraId="28262839">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b w:val="0"/>
          <w:bCs w:val="0"/>
          <w:color w:val="auto"/>
          <w:spacing w:val="0"/>
          <w:position w:val="0"/>
          <w:sz w:val="24"/>
          <w:szCs w:val="24"/>
          <w:highlight w:val="none"/>
          <w:lang w:val="en-GB"/>
        </w:rPr>
      </w:pP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lang w:val="en-US" w:eastAsia="zh-CN"/>
        </w:rPr>
        <w:t>8</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lang w:val="en-US" w:eastAsia="zh-CN"/>
        </w:rPr>
        <w:t>服务要求</w:t>
      </w:r>
      <w:r>
        <w:rPr>
          <w:rFonts w:hint="eastAsia" w:ascii="宋体" w:hAnsi="宋体" w:eastAsia="宋体" w:cs="宋体"/>
          <w:b w:val="0"/>
          <w:bCs w:val="0"/>
          <w:color w:val="auto"/>
          <w:spacing w:val="0"/>
          <w:position w:val="0"/>
          <w:sz w:val="24"/>
          <w:szCs w:val="24"/>
          <w:highlight w:val="none"/>
          <w:lang w:val="en-GB"/>
        </w:rPr>
        <w:t>的响应与事实不符或虚假响应的；</w:t>
      </w:r>
    </w:p>
    <w:p w14:paraId="00619385">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超过了采购项目预算</w:t>
      </w:r>
      <w:r>
        <w:rPr>
          <w:rFonts w:hint="eastAsia" w:ascii="宋体" w:hAnsi="宋体" w:eastAsia="宋体" w:cs="宋体"/>
          <w:color w:val="auto"/>
          <w:spacing w:val="0"/>
          <w:position w:val="0"/>
          <w:sz w:val="24"/>
          <w:szCs w:val="24"/>
          <w:highlight w:val="none"/>
          <w:lang w:val="en-US" w:eastAsia="zh-CN"/>
        </w:rPr>
        <w:t>金额</w:t>
      </w:r>
      <w:r>
        <w:rPr>
          <w:rFonts w:hint="eastAsia" w:ascii="宋体" w:hAnsi="宋体" w:eastAsia="宋体" w:cs="宋体"/>
          <w:color w:val="auto"/>
          <w:spacing w:val="0"/>
          <w:position w:val="0"/>
          <w:sz w:val="24"/>
          <w:szCs w:val="24"/>
          <w:highlight w:val="none"/>
        </w:rPr>
        <w:t>或最高限价的；</w:t>
      </w:r>
    </w:p>
    <w:p w14:paraId="7A1CCD91">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10</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磋商文件规定的其他响应无效条款。</w:t>
      </w:r>
    </w:p>
    <w:p w14:paraId="622D7BFE">
      <w:pPr>
        <w:keepNext w:val="0"/>
        <w:keepLines w:val="0"/>
        <w:pageBreakBefore w:val="0"/>
        <w:kinsoku w:val="0"/>
        <w:wordWrap/>
        <w:overflowPunct/>
        <w:topLinePunct w:val="0"/>
        <w:autoSpaceDE w:val="0"/>
        <w:autoSpaceDN w:val="0"/>
        <w:bidi w:val="0"/>
        <w:adjustRightInd w:val="0"/>
        <w:snapToGrid w:val="0"/>
        <w:spacing w:line="360" w:lineRule="auto"/>
        <w:ind w:left="0" w:leftChars="0" w:firstLine="583" w:firstLineChars="243"/>
        <w:jc w:val="both"/>
        <w:textAlignment w:val="baseline"/>
        <w:rPr>
          <w:rFonts w:hint="eastAsia"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lang w:val="en-US" w:eastAsia="zh-CN"/>
        </w:rPr>
        <w:t>11</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lang w:val="en-US" w:eastAsia="zh-CN"/>
        </w:rPr>
        <w:t>磋商小组在评审过程中，如果发现供应商得分出现畸高畸低情况，磋商小组需对本次采购是否具备竞争性进行审查，对不具备竞争性的采购，磋商小组有权否决所有投标。</w:t>
      </w:r>
    </w:p>
    <w:p w14:paraId="42EB4298">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21.3 </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在政府采购项目中存在以下情形之一的</w:t>
      </w:r>
      <w:r>
        <w:rPr>
          <w:rFonts w:hint="eastAsia" w:ascii="宋体" w:hAnsi="宋体" w:eastAsia="宋体" w:cs="宋体"/>
          <w:b/>
          <w:bCs/>
          <w:color w:val="auto"/>
          <w:spacing w:val="0"/>
          <w:position w:val="0"/>
          <w:sz w:val="24"/>
          <w:szCs w:val="24"/>
          <w:lang w:val="en-US" w:eastAsia="zh-CN"/>
        </w:rPr>
        <w:t>，其响应无效：</w:t>
      </w:r>
    </w:p>
    <w:p w14:paraId="16D127C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626" w:leftChars="298" w:firstLine="10" w:firstLineChars="0"/>
        <w:jc w:val="both"/>
        <w:textAlignment w:val="baseline"/>
        <w:rPr>
          <w:rFonts w:hint="eastAsia"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电子响应文件的创建标识码信息相同的；</w:t>
      </w:r>
    </w:p>
    <w:p w14:paraId="014CC47E">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727" w:leftChars="303" w:hanging="91" w:hangingChars="38"/>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上传或编制电子响应文件的机器码(计算机网卡MAC 地址、主板序列号、CPU 序列号、硬盘序列号)等硬件信息相同的；</w:t>
      </w:r>
    </w:p>
    <w:p w14:paraId="07FA5B90">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818" w:leftChars="0" w:hanging="182"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lang w:val="en-US" w:eastAsia="zh-CN"/>
        </w:rPr>
        <w:t>（3）不同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上传电子响应文件的计算机IP地址相同且不能提供合理说明</w:t>
      </w:r>
      <w:r>
        <w:rPr>
          <w:rFonts w:hint="eastAsia" w:ascii="宋体" w:hAnsi="宋体" w:eastAsia="宋体" w:cs="宋体"/>
          <w:color w:val="auto"/>
          <w:spacing w:val="0"/>
          <w:position w:val="0"/>
          <w:sz w:val="24"/>
          <w:szCs w:val="24"/>
          <w:highlight w:val="none"/>
          <w:lang w:val="en-US" w:eastAsia="zh-CN"/>
        </w:rPr>
        <w:t>的；</w:t>
      </w:r>
    </w:p>
    <w:p w14:paraId="7CB57EC4">
      <w:pPr>
        <w:keepNext w:val="0"/>
        <w:keepLines w:val="0"/>
        <w:pageBreakBefore w:val="0"/>
        <w:kinsoku w:val="0"/>
        <w:wordWrap/>
        <w:overflowPunct/>
        <w:topLinePunct w:val="0"/>
        <w:autoSpaceDE w:val="0"/>
        <w:autoSpaceDN w:val="0"/>
        <w:bidi w:val="0"/>
        <w:adjustRightInd w:val="0"/>
        <w:snapToGrid w:val="0"/>
        <w:spacing w:line="360" w:lineRule="auto"/>
        <w:ind w:left="626" w:leftChars="298" w:firstLine="10" w:firstLineChars="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（4）政府采购法律法规规定的其他恶意串通、视同串通投标情形的。</w:t>
      </w:r>
    </w:p>
    <w:p w14:paraId="5E883AFE">
      <w:pPr>
        <w:keepNext w:val="0"/>
        <w:keepLines w:val="0"/>
        <w:pageBreakBefore w:val="0"/>
        <w:kinsoku w:val="0"/>
        <w:wordWrap/>
        <w:overflowPunct/>
        <w:topLinePunct w:val="0"/>
        <w:autoSpaceDE w:val="0"/>
        <w:autoSpaceDN w:val="0"/>
        <w:bidi w:val="0"/>
        <w:adjustRightInd w:val="0"/>
        <w:snapToGrid w:val="0"/>
        <w:spacing w:line="360" w:lineRule="auto"/>
        <w:ind w:left="718" w:leftChars="342" w:firstLine="0" w:firstLineChars="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文件的文件创建标识码或上传、编制电子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文件的机器码等硬件信息相同或属于政府采购法律法规规定的其他恶意串通、视同串通投标情形的，</w:t>
      </w:r>
      <w:r>
        <w:rPr>
          <w:rFonts w:hint="eastAsia" w:ascii="宋体" w:hAnsi="宋体" w:eastAsia="宋体" w:cs="宋体"/>
          <w:color w:val="auto"/>
          <w:spacing w:val="0"/>
          <w:position w:val="0"/>
          <w:sz w:val="24"/>
          <w:szCs w:val="24"/>
          <w:highlight w:val="none"/>
          <w:lang w:val="en-US" w:eastAsia="zh-CN"/>
        </w:rPr>
        <w:t>磋商小组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无效。对不同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上传的电子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文件计算机的IP地址相同的，</w:t>
      </w:r>
      <w:r>
        <w:rPr>
          <w:rFonts w:hint="eastAsia" w:ascii="宋体" w:hAnsi="宋体" w:eastAsia="宋体" w:cs="宋体"/>
          <w:color w:val="auto"/>
          <w:spacing w:val="0"/>
          <w:position w:val="0"/>
          <w:sz w:val="24"/>
          <w:szCs w:val="24"/>
          <w:highlight w:val="none"/>
          <w:lang w:val="en-US" w:eastAsia="zh-CN"/>
        </w:rPr>
        <w:t>磋商小组</w:t>
      </w:r>
      <w:r>
        <w:rPr>
          <w:rFonts w:hint="eastAsia" w:ascii="宋体" w:hAnsi="宋体" w:eastAsia="宋体" w:cs="宋体"/>
          <w:color w:val="auto"/>
          <w:spacing w:val="0"/>
          <w:position w:val="0"/>
          <w:sz w:val="24"/>
          <w:szCs w:val="24"/>
          <w:highlight w:val="none"/>
          <w:lang w:eastAsia="zh-CN"/>
        </w:rPr>
        <w:t>应当要求相关</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不能证明其合理性的，</w:t>
      </w:r>
      <w:r>
        <w:rPr>
          <w:rFonts w:hint="eastAsia" w:ascii="宋体" w:hAnsi="宋体" w:eastAsia="宋体" w:cs="宋体"/>
          <w:color w:val="auto"/>
          <w:spacing w:val="0"/>
          <w:position w:val="0"/>
          <w:sz w:val="24"/>
          <w:szCs w:val="24"/>
          <w:highlight w:val="none"/>
          <w:lang w:val="en-US" w:eastAsia="zh-CN"/>
        </w:rPr>
        <w:t>磋商小组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284363F7">
      <w:pPr>
        <w:keepNext w:val="0"/>
        <w:keepLines w:val="0"/>
        <w:pageBreakBefore w:val="0"/>
        <w:kinsoku w:val="0"/>
        <w:wordWrap/>
        <w:overflowPunct/>
        <w:topLinePunct w:val="0"/>
        <w:autoSpaceDE w:val="0"/>
        <w:autoSpaceDN w:val="0"/>
        <w:bidi w:val="0"/>
        <w:adjustRightInd w:val="0"/>
        <w:snapToGrid w:val="0"/>
        <w:spacing w:line="360" w:lineRule="auto"/>
        <w:ind w:left="660" w:leftChars="0" w:hanging="660" w:hangingChars="275"/>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 xml:space="preserve">4 </w:t>
      </w:r>
      <w:r>
        <w:rPr>
          <w:rFonts w:hint="eastAsia" w:asciiTheme="minorEastAsia" w:hAnsiTheme="minorEastAsia" w:eastAsiaTheme="minorEastAsia" w:cstheme="minorEastAsia"/>
          <w:color w:val="auto"/>
          <w:spacing w:val="0"/>
          <w:position w:val="0"/>
          <w:sz w:val="24"/>
          <w:szCs w:val="24"/>
          <w:highlight w:val="none"/>
        </w:rPr>
        <w:t>磋商小组所有成员集中与单一供应商分别进行</w:t>
      </w:r>
      <w:r>
        <w:rPr>
          <w:rFonts w:hint="eastAsia" w:asciiTheme="minorEastAsia" w:hAnsiTheme="minorEastAsia" w:eastAsiaTheme="minorEastAsia" w:cstheme="minorEastAsia"/>
          <w:color w:val="auto"/>
          <w:spacing w:val="0"/>
          <w:position w:val="0"/>
          <w:sz w:val="24"/>
          <w:szCs w:val="24"/>
          <w:highlight w:val="none"/>
          <w:lang w:val="en-US" w:eastAsia="zh-CN"/>
        </w:rPr>
        <w:t>在线</w:t>
      </w:r>
      <w:r>
        <w:rPr>
          <w:rFonts w:hint="eastAsia" w:asciiTheme="minorEastAsia" w:hAnsiTheme="minorEastAsia" w:eastAsiaTheme="minorEastAsia" w:cstheme="minorEastAsia"/>
          <w:color w:val="auto"/>
          <w:spacing w:val="0"/>
          <w:position w:val="0"/>
          <w:sz w:val="24"/>
          <w:szCs w:val="24"/>
          <w:highlight w:val="none"/>
        </w:rPr>
        <w:t>磋商，并给予所有参加磋商的供应商平等的磋商机会。</w:t>
      </w:r>
      <w:r>
        <w:rPr>
          <w:rFonts w:hint="eastAsia" w:ascii="宋体" w:hAnsi="宋体" w:eastAsia="宋体" w:cs="宋体"/>
          <w:color w:val="auto"/>
          <w:spacing w:val="0"/>
          <w:position w:val="0"/>
          <w:sz w:val="24"/>
          <w:szCs w:val="24"/>
          <w:highlight w:val="none"/>
        </w:rPr>
        <w:t xml:space="preserve"> </w:t>
      </w:r>
    </w:p>
    <w:p w14:paraId="4BA63368">
      <w:pPr>
        <w:keepNext w:val="0"/>
        <w:keepLines w:val="0"/>
        <w:pageBreakBefore w:val="0"/>
        <w:kinsoku w:val="0"/>
        <w:wordWrap/>
        <w:overflowPunct/>
        <w:topLinePunct w:val="0"/>
        <w:autoSpaceDE w:val="0"/>
        <w:autoSpaceDN w:val="0"/>
        <w:bidi w:val="0"/>
        <w:adjustRightInd w:val="0"/>
        <w:snapToGrid w:val="0"/>
        <w:spacing w:line="360" w:lineRule="auto"/>
        <w:ind w:left="660" w:leftChars="0" w:hanging="660" w:hangingChars="27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 xml:space="preserve">5 </w:t>
      </w:r>
      <w:r>
        <w:rPr>
          <w:rFonts w:hint="eastAsia" w:ascii="宋体" w:hAnsi="宋体" w:eastAsia="宋体" w:cs="宋体"/>
          <w:color w:val="auto"/>
          <w:spacing w:val="0"/>
          <w:position w:val="0"/>
          <w:sz w:val="24"/>
          <w:szCs w:val="24"/>
          <w:highlight w:val="none"/>
        </w:rPr>
        <w:t xml:space="preserve">在磋商过程中，磋商小组可以根据磋商文件和磋商情况实质性变动采购需求中的技术、服务要求以及合同草案条款，但不得变动磋商文件中的其他内容。实质性变动的内容，须经采购人代表确认。 </w:t>
      </w:r>
    </w:p>
    <w:p w14:paraId="5A14DC7C">
      <w:pPr>
        <w:keepNext w:val="0"/>
        <w:keepLines w:val="0"/>
        <w:pageBreakBefore w:val="0"/>
        <w:kinsoku w:val="0"/>
        <w:wordWrap/>
        <w:overflowPunct/>
        <w:topLinePunct w:val="0"/>
        <w:autoSpaceDE w:val="0"/>
        <w:autoSpaceDN w:val="0"/>
        <w:bidi w:val="0"/>
        <w:adjustRightInd w:val="0"/>
        <w:snapToGrid w:val="0"/>
        <w:spacing w:line="360" w:lineRule="auto"/>
        <w:ind w:left="660" w:leftChars="0" w:hanging="660" w:hangingChars="27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（1）对磋商文件做出的实质性变动是磋商文件的有效组成部分，磋商小组应当及时以书面形式同时</w:t>
      </w:r>
      <w:r>
        <w:rPr>
          <w:rFonts w:hint="eastAsia" w:ascii="宋体" w:hAnsi="宋体" w:cs="宋体"/>
          <w:i w:val="0"/>
          <w:iCs w:val="0"/>
          <w:color w:val="auto"/>
          <w:spacing w:val="0"/>
          <w:position w:val="0"/>
          <w:sz w:val="24"/>
          <w:szCs w:val="24"/>
          <w:highlight w:val="none"/>
          <w:lang w:val="en-US" w:eastAsia="zh-CN"/>
        </w:rPr>
        <w:t>线上回复</w:t>
      </w:r>
      <w:r>
        <w:rPr>
          <w:rFonts w:hint="eastAsia" w:ascii="宋体" w:hAnsi="宋体" w:eastAsia="宋体" w:cs="宋体"/>
          <w:color w:val="auto"/>
          <w:spacing w:val="0"/>
          <w:position w:val="0"/>
          <w:sz w:val="24"/>
          <w:szCs w:val="24"/>
          <w:highlight w:val="none"/>
        </w:rPr>
        <w:t xml:space="preserve">通知所有参加磋商的供应商。 </w:t>
      </w:r>
    </w:p>
    <w:p w14:paraId="166A2939">
      <w:pPr>
        <w:keepNext w:val="0"/>
        <w:keepLines w:val="0"/>
        <w:pageBreakBefore w:val="0"/>
        <w:kinsoku w:val="0"/>
        <w:wordWrap/>
        <w:overflowPunct/>
        <w:topLinePunct w:val="0"/>
        <w:autoSpaceDE w:val="0"/>
        <w:autoSpaceDN w:val="0"/>
        <w:bidi w:val="0"/>
        <w:adjustRightInd w:val="0"/>
        <w:snapToGrid w:val="0"/>
        <w:spacing w:line="360" w:lineRule="auto"/>
        <w:ind w:left="614" w:leftChars="0" w:hanging="614" w:hangingChars="256"/>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（2）供应商应当按照磋商文件的变动情况和磋商小组的要求重新提交磋商采购响应文件，并由其法定代表人或授权代表签字或者加盖公章</w:t>
      </w:r>
      <w:r>
        <w:rPr>
          <w:rFonts w:hint="eastAsia" w:ascii="宋体" w:hAnsi="宋体" w:cs="宋体"/>
          <w:i w:val="0"/>
          <w:iCs w:val="0"/>
          <w:color w:val="auto"/>
          <w:spacing w:val="0"/>
          <w:position w:val="0"/>
          <w:sz w:val="24"/>
          <w:szCs w:val="24"/>
          <w:highlight w:val="none"/>
          <w:lang w:val="en-US" w:eastAsia="zh-CN"/>
        </w:rPr>
        <w:t>并扫描上传线上回复至采购代理机构</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。由授权代表签字的，应当附法定代表人授权书。供应商为自然人的，应当由本人签字并附身份证明。</w:t>
      </w:r>
    </w:p>
    <w:p w14:paraId="508A62D6">
      <w:pPr>
        <w:keepNext w:val="0"/>
        <w:keepLines w:val="0"/>
        <w:pageBreakBefore w:val="0"/>
        <w:kinsoku w:val="0"/>
        <w:wordWrap/>
        <w:overflowPunct/>
        <w:topLinePunct w:val="0"/>
        <w:autoSpaceDE w:val="0"/>
        <w:autoSpaceDN w:val="0"/>
        <w:bidi w:val="0"/>
        <w:adjustRightInd w:val="0"/>
        <w:snapToGrid w:val="0"/>
        <w:spacing w:line="360" w:lineRule="auto"/>
        <w:ind w:left="567" w:hanging="567"/>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rPr>
        <w:t xml:space="preserve"> 最后报价</w:t>
      </w:r>
    </w:p>
    <w:p w14:paraId="11D1F5C5">
      <w:pPr>
        <w:keepNext w:val="0"/>
        <w:keepLines w:val="0"/>
        <w:pageBreakBefore w:val="0"/>
        <w:widowControl w:val="0"/>
        <w:kinsoku/>
        <w:wordWrap/>
        <w:overflowPunct/>
        <w:topLinePunct w:val="0"/>
        <w:autoSpaceDE w:val="0"/>
        <w:autoSpaceDN w:val="0"/>
        <w:bidi w:val="0"/>
        <w:adjustRightInd w:val="0"/>
        <w:snapToGrid w:val="0"/>
        <w:spacing w:line="360" w:lineRule="auto"/>
        <w:ind w:left="636" w:leftChars="0" w:hanging="636" w:hangingChars="265"/>
        <w:jc w:val="both"/>
        <w:textAlignment w:val="baseline"/>
        <w:rPr>
          <w:rFonts w:hint="eastAsia" w:ascii="宋体" w:hAnsi="宋体" w:eastAsia="宋体" w:cs="宋体"/>
          <w:b/>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（1）磋商文件能够详细列明采购标的技术、服务要求的，磋商结束后，磋商小组应当要求所有实质性响应的供应商在规定时间内</w:t>
      </w:r>
      <w:r>
        <w:rPr>
          <w:rFonts w:hint="eastAsia" w:asciiTheme="minorEastAsia" w:hAnsiTheme="minorEastAsia" w:eastAsiaTheme="minorEastAsia" w:cstheme="minorEastAsia"/>
          <w:color w:val="auto"/>
          <w:spacing w:val="0"/>
          <w:position w:val="0"/>
          <w:sz w:val="24"/>
          <w:szCs w:val="24"/>
          <w:highlight w:val="none"/>
          <w:lang w:val="en-US" w:eastAsia="zh-CN"/>
        </w:rPr>
        <w:t>在线</w:t>
      </w:r>
      <w:r>
        <w:rPr>
          <w:rFonts w:hint="eastAsia" w:ascii="宋体" w:hAnsi="宋体" w:eastAsia="宋体" w:cs="宋体"/>
          <w:color w:val="auto"/>
          <w:spacing w:val="0"/>
          <w:position w:val="0"/>
          <w:sz w:val="24"/>
          <w:szCs w:val="24"/>
          <w:highlight w:val="none"/>
        </w:rPr>
        <w:t>提交最后报价，提交最后报价的供应商不得少于3家；</w:t>
      </w:r>
      <w:r>
        <w:rPr>
          <w:rFonts w:hint="eastAsia" w:ascii="宋体" w:hAnsi="宋体" w:eastAsia="宋体" w:cs="宋体"/>
          <w:b/>
          <w:color w:val="auto"/>
          <w:spacing w:val="0"/>
          <w:position w:val="0"/>
          <w:sz w:val="24"/>
          <w:szCs w:val="24"/>
          <w:highlight w:val="none"/>
        </w:rPr>
        <w:t>政府购买服务项目（含政府和社会资本合作项目），在采购过程中符合要求的供应商（社会资本）只有2家的，磋商采购活动可以继续进行，采购过程中符合要求的供应商（社会资本）只有1家的，采购人或者采购代理机构应当终止磋商采购活动，发布项目终止公告并说明原因，重新开展采购活动。</w:t>
      </w:r>
    </w:p>
    <w:p w14:paraId="61161B1E">
      <w:pPr>
        <w:keepNext w:val="0"/>
        <w:keepLines w:val="0"/>
        <w:pageBreakBefore w:val="0"/>
        <w:kinsoku w:val="0"/>
        <w:wordWrap/>
        <w:overflowPunct/>
        <w:topLinePunct w:val="0"/>
        <w:autoSpaceDE w:val="0"/>
        <w:autoSpaceDN w:val="0"/>
        <w:bidi w:val="0"/>
        <w:adjustRightInd w:val="0"/>
        <w:snapToGrid w:val="0"/>
        <w:spacing w:line="360" w:lineRule="auto"/>
        <w:ind w:left="636" w:leftChars="0" w:hanging="636" w:hangingChars="26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磋商文件不能详细列明采购标的技术、服务要求，需经磋商由供应商提供最终设计方案或解决方案的，磋商结束后，磋商小组应当按照少数服从多数的原则投票推荐3家以上供应商的设计方案或者解决方案，并要求其在规定时间内提交最后报价。</w:t>
      </w:r>
    </w:p>
    <w:p w14:paraId="4C100460">
      <w:pPr>
        <w:keepNext w:val="0"/>
        <w:keepLines w:val="0"/>
        <w:pageBreakBefore w:val="0"/>
        <w:kinsoku w:val="0"/>
        <w:wordWrap/>
        <w:overflowPunct/>
        <w:topLinePunct w:val="0"/>
        <w:autoSpaceDE w:val="0"/>
        <w:autoSpaceDN w:val="0"/>
        <w:bidi w:val="0"/>
        <w:adjustRightInd w:val="0"/>
        <w:snapToGrid w:val="0"/>
        <w:spacing w:line="360" w:lineRule="auto"/>
        <w:ind w:left="636" w:leftChars="0" w:hanging="636" w:hangingChars="26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（3）最后报价是供应商响应文件的有效组成部分，并作为评审依据。最后报价即为合同成交价，在合同履行过程中不得更改。</w:t>
      </w:r>
    </w:p>
    <w:p w14:paraId="184AA91E">
      <w:pPr>
        <w:keepNext w:val="0"/>
        <w:keepLines w:val="0"/>
        <w:pageBreakBefore w:val="0"/>
        <w:kinsoku w:val="0"/>
        <w:wordWrap/>
        <w:overflowPunct/>
        <w:topLinePunct w:val="0"/>
        <w:autoSpaceDE w:val="0"/>
        <w:autoSpaceDN w:val="0"/>
        <w:bidi w:val="0"/>
        <w:adjustRightInd w:val="0"/>
        <w:snapToGrid w:val="0"/>
        <w:spacing w:line="360" w:lineRule="auto"/>
        <w:ind w:left="636" w:leftChars="0" w:hanging="636" w:hangingChars="26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（4）若没有对采购需求中的技术、服务要求以及合同草案条款做实质性修改或对采购需求中的技术、服务要求以及合同草案条款进行了实质性修改，但没有提高要求，最后报价(含分项报价)不得高于上一轮报价；</w:t>
      </w:r>
      <w:r>
        <w:rPr>
          <w:rFonts w:hint="eastAsia" w:ascii="宋体" w:hAnsi="宋体" w:eastAsia="宋体" w:cs="宋体"/>
          <w:b/>
          <w:bCs/>
          <w:color w:val="auto"/>
          <w:spacing w:val="0"/>
          <w:position w:val="0"/>
          <w:sz w:val="24"/>
          <w:szCs w:val="24"/>
          <w:highlight w:val="none"/>
        </w:rPr>
        <w:t>否则，视为无效响应</w:t>
      </w:r>
      <w:r>
        <w:rPr>
          <w:rFonts w:hint="eastAsia" w:ascii="宋体" w:hAnsi="宋体" w:eastAsia="宋体" w:cs="宋体"/>
          <w:color w:val="auto"/>
          <w:spacing w:val="0"/>
          <w:position w:val="0"/>
          <w:sz w:val="24"/>
          <w:szCs w:val="24"/>
          <w:highlight w:val="none"/>
        </w:rPr>
        <w:t>。</w:t>
      </w:r>
    </w:p>
    <w:p w14:paraId="4B69FFAE">
      <w:pPr>
        <w:keepNext w:val="0"/>
        <w:keepLines w:val="0"/>
        <w:pageBreakBefore w:val="0"/>
        <w:kinsoku w:val="0"/>
        <w:wordWrap/>
        <w:overflowPunct/>
        <w:topLinePunct w:val="0"/>
        <w:autoSpaceDE w:val="0"/>
        <w:autoSpaceDN w:val="0"/>
        <w:bidi w:val="0"/>
        <w:adjustRightInd w:val="0"/>
        <w:snapToGrid w:val="0"/>
        <w:spacing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（5）最后报价未作分项报价的，其分项报价则按总报价的降价比例计算。</w:t>
      </w:r>
    </w:p>
    <w:p w14:paraId="6674DDF3">
      <w:pPr>
        <w:keepNext w:val="0"/>
        <w:keepLines w:val="0"/>
        <w:pageBreakBefore w:val="0"/>
        <w:widowControl w:val="0"/>
        <w:kinsoku/>
        <w:wordWrap/>
        <w:overflowPunct/>
        <w:topLinePunct w:val="0"/>
        <w:autoSpaceDE w:val="0"/>
        <w:autoSpaceDN w:val="0"/>
        <w:bidi w:val="0"/>
        <w:adjustRightInd w:val="0"/>
        <w:snapToGrid w:val="0"/>
        <w:spacing w:line="360" w:lineRule="auto"/>
        <w:ind w:left="600" w:leftChars="0" w:hanging="600" w:hangingChars="25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（6）已提交响应文件的供应商，在提交最后报价之前，可以根据磋商情况退出磋商。采购人、采购代理机构应当退还退出磋商的供应商的保证金。</w:t>
      </w:r>
    </w:p>
    <w:p w14:paraId="4949818A">
      <w:pPr>
        <w:keepNext w:val="0"/>
        <w:keepLines w:val="0"/>
        <w:pageBreakBefore w:val="0"/>
        <w:kinsoku/>
        <w:wordWrap/>
        <w:overflowPunct/>
        <w:topLinePunct w:val="0"/>
        <w:autoSpaceDE w:val="0"/>
        <w:autoSpaceDN w:val="0"/>
        <w:bidi w:val="0"/>
        <w:adjustRightInd w:val="0"/>
        <w:snapToGrid w:val="0"/>
        <w:spacing w:line="360" w:lineRule="auto"/>
        <w:ind w:left="600" w:leftChars="0" w:hanging="600" w:hangingChars="25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cs="宋体"/>
          <w:color w:val="auto"/>
          <w:spacing w:val="0"/>
          <w:position w:val="0"/>
          <w:sz w:val="24"/>
          <w:szCs w:val="24"/>
          <w:highlight w:val="none"/>
          <w:lang w:val="en-US" w:eastAsia="zh-CN"/>
        </w:rPr>
        <w:t xml:space="preserve">21.7 </w:t>
      </w:r>
      <w:r>
        <w:rPr>
          <w:rFonts w:hint="eastAsia" w:ascii="宋体" w:hAnsi="宋体" w:eastAsia="宋体" w:cs="宋体"/>
          <w:b/>
          <w:bCs/>
          <w:i w:val="0"/>
          <w:iCs w:val="0"/>
          <w:color w:val="auto"/>
          <w:spacing w:val="0"/>
          <w:position w:val="0"/>
          <w:sz w:val="24"/>
          <w:szCs w:val="24"/>
          <w:highlight w:val="none"/>
        </w:rPr>
        <w:t>本项目采用电子化</w:t>
      </w:r>
      <w:r>
        <w:rPr>
          <w:rFonts w:hint="eastAsia" w:ascii="宋体" w:hAnsi="宋体" w:eastAsia="宋体" w:cs="宋体"/>
          <w:b/>
          <w:bCs/>
          <w:i w:val="0"/>
          <w:iCs w:val="0"/>
          <w:color w:val="auto"/>
          <w:spacing w:val="0"/>
          <w:position w:val="0"/>
          <w:sz w:val="24"/>
          <w:szCs w:val="24"/>
          <w:highlight w:val="none"/>
          <w:lang w:eastAsia="zh-CN"/>
        </w:rPr>
        <w:t>磋商</w:t>
      </w:r>
      <w:r>
        <w:rPr>
          <w:rFonts w:hint="eastAsia" w:ascii="宋体" w:hAnsi="宋体" w:eastAsia="宋体" w:cs="宋体"/>
          <w:b/>
          <w:bCs/>
          <w:i w:val="0"/>
          <w:iCs w:val="0"/>
          <w:color w:val="auto"/>
          <w:spacing w:val="0"/>
          <w:position w:val="0"/>
          <w:sz w:val="24"/>
          <w:szCs w:val="24"/>
          <w:highlight w:val="none"/>
        </w:rPr>
        <w:t>模式，各</w:t>
      </w:r>
      <w:r>
        <w:rPr>
          <w:rFonts w:hint="eastAsia" w:ascii="宋体" w:hAnsi="宋体" w:eastAsia="宋体" w:cs="宋体"/>
          <w:b/>
          <w:bCs/>
          <w:i w:val="0"/>
          <w:iCs w:val="0"/>
          <w:color w:val="auto"/>
          <w:spacing w:val="0"/>
          <w:position w:val="0"/>
          <w:sz w:val="24"/>
          <w:szCs w:val="24"/>
          <w:highlight w:val="none"/>
          <w:lang w:eastAsia="zh-CN"/>
        </w:rPr>
        <w:t>供应商</w:t>
      </w:r>
      <w:r>
        <w:rPr>
          <w:rFonts w:hint="eastAsia" w:ascii="宋体" w:hAnsi="宋体" w:eastAsia="宋体" w:cs="宋体"/>
          <w:b/>
          <w:bCs/>
          <w:i w:val="0"/>
          <w:iCs w:val="0"/>
          <w:color w:val="auto"/>
          <w:spacing w:val="0"/>
          <w:position w:val="0"/>
          <w:sz w:val="24"/>
          <w:szCs w:val="24"/>
          <w:highlight w:val="none"/>
          <w:lang w:val="en-US" w:eastAsia="zh-CN"/>
        </w:rPr>
        <w:t>需</w:t>
      </w:r>
      <w:r>
        <w:rPr>
          <w:rFonts w:hint="eastAsia" w:ascii="宋体" w:hAnsi="宋体" w:cs="宋体"/>
          <w:b/>
          <w:bCs/>
          <w:i w:val="0"/>
          <w:iCs w:val="0"/>
          <w:color w:val="auto"/>
          <w:spacing w:val="0"/>
          <w:position w:val="0"/>
          <w:sz w:val="24"/>
          <w:szCs w:val="24"/>
          <w:highlight w:val="none"/>
          <w:lang w:val="en-US" w:eastAsia="zh-CN"/>
        </w:rPr>
        <w:t>保持在线进行线上报价，</w:t>
      </w:r>
      <w:r>
        <w:rPr>
          <w:rFonts w:hint="eastAsia" w:ascii="宋体" w:hAnsi="宋体" w:eastAsia="宋体" w:cs="宋体"/>
          <w:b/>
          <w:bCs/>
          <w:i w:val="0"/>
          <w:iCs w:val="0"/>
          <w:color w:val="auto"/>
          <w:spacing w:val="0"/>
          <w:position w:val="0"/>
          <w:sz w:val="24"/>
          <w:szCs w:val="24"/>
          <w:highlight w:val="none"/>
        </w:rPr>
        <w:t>二次报价时间</w:t>
      </w:r>
      <w:r>
        <w:rPr>
          <w:rFonts w:hint="eastAsia" w:ascii="宋体" w:hAnsi="宋体" w:eastAsia="宋体" w:cs="宋体"/>
          <w:b/>
          <w:bCs/>
          <w:i w:val="0"/>
          <w:iCs w:val="0"/>
          <w:color w:val="auto"/>
          <w:spacing w:val="0"/>
          <w:position w:val="0"/>
          <w:sz w:val="24"/>
          <w:szCs w:val="24"/>
          <w:highlight w:val="none"/>
          <w:lang w:val="en-US" w:eastAsia="zh-CN"/>
        </w:rPr>
        <w:t>在磋商现场宣布</w:t>
      </w:r>
      <w:r>
        <w:rPr>
          <w:rFonts w:hint="eastAsia" w:ascii="宋体" w:hAnsi="宋体" w:eastAsia="宋体" w:cs="宋体"/>
          <w:b/>
          <w:bCs/>
          <w:i w:val="0"/>
          <w:iCs w:val="0"/>
          <w:color w:val="auto"/>
          <w:spacing w:val="0"/>
          <w:position w:val="0"/>
          <w:sz w:val="24"/>
          <w:szCs w:val="24"/>
          <w:highlight w:val="none"/>
        </w:rPr>
        <w:t>，</w:t>
      </w:r>
      <w:r>
        <w:rPr>
          <w:rFonts w:hint="eastAsia" w:ascii="宋体" w:hAnsi="宋体" w:eastAsia="宋体" w:cs="宋体"/>
          <w:b/>
          <w:bCs/>
          <w:i w:val="0"/>
          <w:iCs w:val="0"/>
          <w:color w:val="auto"/>
          <w:spacing w:val="0"/>
          <w:position w:val="0"/>
          <w:sz w:val="24"/>
          <w:szCs w:val="24"/>
          <w:highlight w:val="none"/>
          <w:lang w:val="en-US" w:eastAsia="zh-CN"/>
        </w:rPr>
        <w:t>未在规定时间内报价者</w:t>
      </w:r>
      <w:r>
        <w:rPr>
          <w:rFonts w:hint="eastAsia" w:ascii="宋体" w:hAnsi="宋体" w:eastAsia="宋体" w:cs="宋体"/>
          <w:b/>
          <w:bCs/>
          <w:i w:val="0"/>
          <w:iCs w:val="0"/>
          <w:color w:val="auto"/>
          <w:spacing w:val="0"/>
          <w:position w:val="0"/>
          <w:sz w:val="24"/>
          <w:szCs w:val="24"/>
          <w:highlight w:val="none"/>
        </w:rPr>
        <w:t>视为退出</w:t>
      </w:r>
      <w:r>
        <w:rPr>
          <w:rFonts w:hint="eastAsia" w:ascii="宋体" w:hAnsi="宋体" w:eastAsia="宋体" w:cs="宋体"/>
          <w:b/>
          <w:bCs/>
          <w:i w:val="0"/>
          <w:iCs w:val="0"/>
          <w:color w:val="auto"/>
          <w:spacing w:val="0"/>
          <w:position w:val="0"/>
          <w:sz w:val="24"/>
          <w:szCs w:val="24"/>
          <w:highlight w:val="none"/>
          <w:lang w:eastAsia="zh-CN"/>
        </w:rPr>
        <w:t>磋商</w:t>
      </w:r>
      <w:r>
        <w:rPr>
          <w:rFonts w:hint="eastAsia" w:ascii="宋体" w:hAnsi="宋体" w:eastAsia="宋体" w:cs="宋体"/>
          <w:b/>
          <w:bCs/>
          <w:i w:val="0"/>
          <w:iCs w:val="0"/>
          <w:color w:val="auto"/>
          <w:spacing w:val="0"/>
          <w:position w:val="0"/>
          <w:sz w:val="24"/>
          <w:szCs w:val="24"/>
          <w:highlight w:val="none"/>
        </w:rPr>
        <w:t>。</w:t>
      </w:r>
    </w:p>
    <w:p w14:paraId="275D58E0">
      <w:pPr>
        <w:keepNext w:val="0"/>
        <w:keepLines w:val="0"/>
        <w:pageBreakBefore w:val="0"/>
        <w:kinsoku/>
        <w:wordWrap/>
        <w:overflowPunct/>
        <w:topLinePunct w:val="0"/>
        <w:autoSpaceDE w:val="0"/>
        <w:autoSpaceDN w:val="0"/>
        <w:bidi w:val="0"/>
        <w:adjustRightInd w:val="0"/>
        <w:snapToGrid w:val="0"/>
        <w:spacing w:line="360" w:lineRule="auto"/>
        <w:ind w:left="641" w:leftChars="0" w:hanging="641" w:hangingChars="266"/>
        <w:jc w:val="both"/>
        <w:textAlignment w:val="baseline"/>
        <w:rPr>
          <w:rFonts w:hint="eastAsia" w:ascii="宋体" w:hAnsi="宋体" w:eastAsia="宋体" w:cs="宋体"/>
          <w:b/>
          <w:bCs/>
          <w:i w:val="0"/>
          <w:iCs w:val="0"/>
          <w:color w:val="auto"/>
          <w:spacing w:val="0"/>
          <w:position w:val="0"/>
          <w:sz w:val="24"/>
          <w:szCs w:val="24"/>
          <w:highlight w:val="none"/>
          <w:lang w:eastAsia="zh-CN"/>
        </w:rPr>
      </w:pPr>
      <w:r>
        <w:rPr>
          <w:rFonts w:hint="eastAsia" w:ascii="宋体" w:hAnsi="宋体" w:eastAsia="宋体" w:cs="宋体"/>
          <w:b/>
          <w:bCs/>
          <w:i w:val="0"/>
          <w:iCs w:val="0"/>
          <w:color w:val="auto"/>
          <w:spacing w:val="0"/>
          <w:position w:val="0"/>
          <w:sz w:val="24"/>
          <w:szCs w:val="24"/>
          <w:highlight w:val="none"/>
          <w:lang w:val="en-US" w:eastAsia="zh-CN"/>
        </w:rPr>
        <w:t>21.8</w:t>
      </w:r>
      <w:r>
        <w:rPr>
          <w:rFonts w:hint="eastAsia" w:ascii="宋体" w:hAnsi="宋体" w:eastAsia="宋体" w:cs="宋体"/>
          <w:b/>
          <w:bCs/>
          <w:i w:val="0"/>
          <w:iCs w:val="0"/>
          <w:color w:val="auto"/>
          <w:spacing w:val="0"/>
          <w:position w:val="0"/>
          <w:sz w:val="24"/>
          <w:szCs w:val="24"/>
          <w:highlight w:val="none"/>
          <w:lang w:eastAsia="zh-CN"/>
        </w:rPr>
        <w:t xml:space="preserve"> 异常低价审查</w:t>
      </w:r>
    </w:p>
    <w:p w14:paraId="32B57C8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 xml:space="preserve">21.8.1 </w:t>
      </w: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评审中出现</w:t>
      </w: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下列情形之一的，磋商小组应当启动异常低价投标审查程序：</w:t>
      </w:r>
    </w:p>
    <w:p w14:paraId="6D50C44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（1）响应报价低于全部通过符合性审查供应商响应报价平均值50%的，即响应报价&lt;全部通过符合性审查供应商响应报价平均值×50%；</w:t>
      </w:r>
    </w:p>
    <w:p w14:paraId="5044EE0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（2）响应报价低于通过符合性审查的次低报价供应商响应报价50%的，即响应报价&lt;通过符合性审查的次低报价供应商响应报价×50%；</w:t>
      </w:r>
    </w:p>
    <w:p w14:paraId="04BAE47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（3）响应报价低于采购项目最高限价45%的，即响应报价&lt;采购项目最高限价×45%；</w:t>
      </w:r>
    </w:p>
    <w:p w14:paraId="44FD5DF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（4）磋商小组认为供应商报价过低，有可能影响产品质量或者不能诚信履约的其他情形。</w:t>
      </w:r>
    </w:p>
    <w:p w14:paraId="70A03F0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right="0" w:firstLine="480" w:firstLineChars="200"/>
        <w:jc w:val="both"/>
        <w:textAlignment w:val="baseline"/>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相关法律法规对供应商报价有规定的，从其规定。</w:t>
      </w:r>
    </w:p>
    <w:p w14:paraId="60FFBC50">
      <w:pPr>
        <w:pStyle w:val="2"/>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default"/>
          <w:lang w:val="en-US"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以上“响应报价”未特别说明的，均指“最后报价”。</w:t>
      </w:r>
    </w:p>
    <w:p w14:paraId="5C6AFC9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21.8.2 磋商小组启动异常低价审查后，应当要求相关供应商在评审现场合理的时间内对响应报价作出解释，提供项目具体成本测算等与报价合理性相关的书面说明及必要的证明材料。磋商小组结合同类项目的中标价格、在主要电商平台的价格、行业薪资水平等情况，依据专业经验对报价合理性进行判断。供应商不能提供书面说明、证明材料，或者提供的书面说明、证明材料不能证明其报价合理性的，磋商小组应当将其作为无效投标（响应）处理，并在评审报告中记录审查相关情况。</w:t>
      </w:r>
    </w:p>
    <w:p w14:paraId="6B9D891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b/>
          <w:color w:val="auto"/>
          <w:spacing w:val="0"/>
          <w:position w:val="0"/>
          <w:sz w:val="24"/>
          <w:szCs w:val="24"/>
          <w:highlight w:val="none"/>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采购人应当为磋商小组在评审现场及时获取采购项目中标（成交）价格、市场价格水平、行业薪资水平等相关信息资料提供便利。</w:t>
      </w:r>
    </w:p>
    <w:p w14:paraId="2F39FC04">
      <w:pPr>
        <w:keepNext w:val="0"/>
        <w:keepLines w:val="0"/>
        <w:pageBreakBefore w:val="0"/>
        <w:kinsoku w:val="0"/>
        <w:wordWrap/>
        <w:overflowPunct/>
        <w:topLinePunct w:val="0"/>
        <w:autoSpaceDE w:val="0"/>
        <w:autoSpaceDN w:val="0"/>
        <w:bidi w:val="0"/>
        <w:adjustRightInd w:val="0"/>
        <w:snapToGrid w:val="0"/>
        <w:spacing w:line="360" w:lineRule="auto"/>
        <w:ind w:left="482" w:hanging="482" w:hangingChars="20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color w:val="auto"/>
          <w:spacing w:val="0"/>
          <w:position w:val="0"/>
          <w:sz w:val="24"/>
          <w:szCs w:val="24"/>
          <w:highlight w:val="none"/>
        </w:rPr>
        <w:t>2</w:t>
      </w:r>
      <w:r>
        <w:rPr>
          <w:rFonts w:hint="eastAsia" w:ascii="宋体" w:hAnsi="宋体" w:eastAsia="宋体" w:cs="宋体"/>
          <w:b/>
          <w:color w:val="auto"/>
          <w:spacing w:val="0"/>
          <w:position w:val="0"/>
          <w:sz w:val="24"/>
          <w:szCs w:val="24"/>
          <w:highlight w:val="none"/>
          <w:lang w:val="en-US" w:eastAsia="zh-CN"/>
        </w:rPr>
        <w:t>1</w:t>
      </w:r>
      <w:r>
        <w:rPr>
          <w:rFonts w:hint="eastAsia" w:ascii="宋体" w:hAnsi="宋体" w:eastAsia="宋体" w:cs="宋体"/>
          <w:b/>
          <w:color w:val="auto"/>
          <w:spacing w:val="0"/>
          <w:position w:val="0"/>
          <w:sz w:val="24"/>
          <w:szCs w:val="24"/>
          <w:highlight w:val="none"/>
        </w:rPr>
        <w:t>.</w:t>
      </w:r>
      <w:r>
        <w:rPr>
          <w:rFonts w:hint="eastAsia" w:ascii="宋体" w:hAnsi="宋体" w:eastAsia="宋体" w:cs="宋体"/>
          <w:b/>
          <w:color w:val="auto"/>
          <w:spacing w:val="0"/>
          <w:position w:val="0"/>
          <w:sz w:val="24"/>
          <w:szCs w:val="24"/>
          <w:highlight w:val="none"/>
          <w:lang w:val="en-US" w:eastAsia="zh-CN"/>
        </w:rPr>
        <w:t>9</w:t>
      </w:r>
      <w:r>
        <w:rPr>
          <w:rFonts w:hint="eastAsia" w:ascii="宋体" w:hAnsi="宋体" w:cs="宋体"/>
          <w:b/>
          <w:color w:val="auto"/>
          <w:spacing w:val="0"/>
          <w:position w:val="0"/>
          <w:sz w:val="24"/>
          <w:szCs w:val="24"/>
          <w:highlight w:val="none"/>
          <w:lang w:val="en-US" w:eastAsia="zh-CN"/>
        </w:rPr>
        <w:t xml:space="preserve"> </w:t>
      </w:r>
      <w:r>
        <w:rPr>
          <w:rFonts w:hint="eastAsia" w:ascii="宋体" w:hAnsi="宋体" w:eastAsia="宋体" w:cs="宋体"/>
          <w:b/>
          <w:color w:val="auto"/>
          <w:spacing w:val="0"/>
          <w:position w:val="0"/>
          <w:sz w:val="24"/>
          <w:szCs w:val="24"/>
          <w:highlight w:val="none"/>
        </w:rPr>
        <w:t>评审方法</w:t>
      </w:r>
    </w:p>
    <w:p w14:paraId="00911F1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pacing w:val="0"/>
          <w:position w:val="0"/>
          <w:sz w:val="24"/>
          <w:szCs w:val="24"/>
          <w:highlight w:val="none"/>
          <w:lang w:eastAsia="zh-CN"/>
        </w:rPr>
      </w:pPr>
      <w:r>
        <w:rPr>
          <w:rFonts w:hint="eastAsia" w:ascii="宋体" w:hAnsi="宋体" w:eastAsia="宋体" w:cs="宋体"/>
          <w:b/>
          <w:color w:val="auto"/>
          <w:spacing w:val="0"/>
          <w:position w:val="0"/>
          <w:sz w:val="24"/>
          <w:szCs w:val="24"/>
          <w:highlight w:val="none"/>
        </w:rPr>
        <w:t>（1）评审采取综合评分法（详见“第六章 评审</w:t>
      </w:r>
      <w:r>
        <w:rPr>
          <w:rFonts w:hint="eastAsia" w:ascii="宋体" w:hAnsi="宋体" w:eastAsia="宋体" w:cs="宋体"/>
          <w:b/>
          <w:color w:val="auto"/>
          <w:spacing w:val="0"/>
          <w:position w:val="0"/>
          <w:sz w:val="24"/>
          <w:szCs w:val="24"/>
          <w:highlight w:val="none"/>
          <w:lang w:val="en-US" w:eastAsia="zh-CN"/>
        </w:rPr>
        <w:t>标准</w:t>
      </w:r>
      <w:r>
        <w:rPr>
          <w:rFonts w:hint="eastAsia" w:ascii="宋体" w:hAnsi="宋体" w:eastAsia="宋体" w:cs="宋体"/>
          <w:b/>
          <w:color w:val="auto"/>
          <w:spacing w:val="0"/>
          <w:position w:val="0"/>
          <w:sz w:val="24"/>
          <w:szCs w:val="24"/>
          <w:highlight w:val="none"/>
        </w:rPr>
        <w:t>”）</w:t>
      </w:r>
      <w:r>
        <w:rPr>
          <w:rFonts w:hint="eastAsia" w:ascii="宋体" w:hAnsi="宋体" w:eastAsia="宋体" w:cs="宋体"/>
          <w:b/>
          <w:color w:val="auto"/>
          <w:spacing w:val="0"/>
          <w:position w:val="0"/>
          <w:sz w:val="24"/>
          <w:szCs w:val="24"/>
          <w:highlight w:val="none"/>
          <w:lang w:eastAsia="zh-CN"/>
        </w:rPr>
        <w:t>；</w:t>
      </w:r>
    </w:p>
    <w:p w14:paraId="17F7CFD0">
      <w:pPr>
        <w:keepNext w:val="0"/>
        <w:keepLines w:val="0"/>
        <w:pageBreakBefore w:val="0"/>
        <w:kinsoku w:val="0"/>
        <w:wordWrap/>
        <w:overflowPunct/>
        <w:topLinePunct w:val="0"/>
        <w:autoSpaceDE w:val="0"/>
        <w:autoSpaceDN w:val="0"/>
        <w:bidi w:val="0"/>
        <w:adjustRightInd w:val="0"/>
        <w:snapToGrid w:val="0"/>
        <w:spacing w:line="360" w:lineRule="auto"/>
        <w:ind w:left="640" w:leftChars="0" w:hanging="640" w:hangingChars="267"/>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b/>
          <w:color w:val="auto"/>
          <w:spacing w:val="0"/>
          <w:position w:val="0"/>
          <w:sz w:val="24"/>
          <w:szCs w:val="24"/>
          <w:highlight w:val="none"/>
        </w:rPr>
        <w:t>综合评分法，是指响应文件满足磋商文件全部实质性要求且按评审因素的量化指标评审得分最高的供应商为成交候选供应商的评审方法</w:t>
      </w:r>
      <w:r>
        <w:rPr>
          <w:rFonts w:hint="eastAsia" w:ascii="宋体" w:hAnsi="宋体" w:eastAsia="宋体" w:cs="宋体"/>
          <w:b/>
          <w:color w:val="auto"/>
          <w:spacing w:val="0"/>
          <w:position w:val="0"/>
          <w:sz w:val="24"/>
          <w:szCs w:val="24"/>
          <w:highlight w:val="none"/>
          <w:lang w:eastAsia="zh-CN"/>
        </w:rPr>
        <w:t>；</w:t>
      </w:r>
    </w:p>
    <w:p w14:paraId="30F2F1F2">
      <w:pPr>
        <w:keepNext w:val="0"/>
        <w:keepLines w:val="0"/>
        <w:pageBreakBefore w:val="0"/>
        <w:kinsoku w:val="0"/>
        <w:wordWrap/>
        <w:overflowPunct/>
        <w:topLinePunct w:val="0"/>
        <w:autoSpaceDE w:val="0"/>
        <w:autoSpaceDN w:val="0"/>
        <w:bidi w:val="0"/>
        <w:adjustRightInd w:val="0"/>
        <w:snapToGrid w:val="0"/>
        <w:spacing w:line="360" w:lineRule="auto"/>
        <w:ind w:left="580" w:leftChars="0" w:hanging="580" w:hangingChars="242"/>
        <w:textAlignment w:val="baseline"/>
        <w:rPr>
          <w:rFonts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（3）经磋商确定最终采购需求和提交最后报价的供应商后，由磋商小组采用综合评分法对提交最后报价的供应商的响应文件和最后报价进行综合评分。</w:t>
      </w:r>
    </w:p>
    <w:p w14:paraId="5793BA7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1" w:name="_Toc3381"/>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22.与磋商小组的接触</w:t>
      </w:r>
      <w:bookmarkEnd w:id="41"/>
    </w:p>
    <w:p w14:paraId="4294A8A0">
      <w:pPr>
        <w:keepNext w:val="0"/>
        <w:keepLines w:val="0"/>
        <w:pageBreakBefore w:val="0"/>
        <w:kinsoku w:val="0"/>
        <w:wordWrap/>
        <w:overflowPunct/>
        <w:topLinePunct w:val="0"/>
        <w:autoSpaceDE w:val="0"/>
        <w:autoSpaceDN w:val="0"/>
        <w:bidi w:val="0"/>
        <w:adjustRightInd w:val="0"/>
        <w:snapToGrid w:val="0"/>
        <w:spacing w:line="360" w:lineRule="auto"/>
        <w:ind w:left="600" w:leftChars="0" w:hanging="600" w:hangingChars="250"/>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.1 除按本须知“第24条”规定外，从</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之日起至授予合同期间，供应商不得就其</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有关事项与</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小组私下接触。</w:t>
      </w:r>
    </w:p>
    <w:p w14:paraId="2AED3BA4">
      <w:pPr>
        <w:keepNext w:val="0"/>
        <w:keepLines w:val="0"/>
        <w:pageBreakBefore w:val="0"/>
        <w:kinsoku w:val="0"/>
        <w:wordWrap/>
        <w:overflowPunct/>
        <w:topLinePunct w:val="0"/>
        <w:autoSpaceDE w:val="0"/>
        <w:autoSpaceDN w:val="0"/>
        <w:bidi w:val="0"/>
        <w:adjustRightInd w:val="0"/>
        <w:snapToGrid w:val="0"/>
        <w:spacing w:line="360" w:lineRule="auto"/>
        <w:ind w:left="600" w:leftChars="0" w:hanging="600" w:hangingChars="250"/>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.2 供应商试图对</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小组的评审施加任何影响，都可能导致其响应文件作无效处理。</w:t>
      </w:r>
    </w:p>
    <w:p w14:paraId="0A5D1C9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2" w:name="_Toc2389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23.终止磋商采购活动的情形</w:t>
      </w:r>
      <w:bookmarkEnd w:id="42"/>
    </w:p>
    <w:p w14:paraId="0C623105">
      <w:pPr>
        <w:keepNext w:val="0"/>
        <w:keepLines w:val="0"/>
        <w:pageBreakBefore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US" w:eastAsia="zh-CN"/>
        </w:rPr>
        <w:t xml:space="preserve">23.1 </w:t>
      </w:r>
      <w:r>
        <w:rPr>
          <w:rFonts w:hint="eastAsia" w:ascii="宋体" w:hAnsi="宋体" w:cs="宋体"/>
          <w:color w:val="auto"/>
          <w:spacing w:val="0"/>
          <w:position w:val="0"/>
          <w:sz w:val="24"/>
          <w:szCs w:val="24"/>
          <w:highlight w:val="none"/>
          <w:lang w:val="en-GB"/>
        </w:rPr>
        <w:t>出现下列情形之一的，终止</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采购活动</w:t>
      </w:r>
      <w:r>
        <w:rPr>
          <w:rFonts w:hint="eastAsia" w:ascii="宋体" w:hAnsi="宋体" w:eastAsia="宋体" w:cs="宋体"/>
          <w:color w:val="auto"/>
          <w:spacing w:val="0"/>
          <w:position w:val="0"/>
          <w:sz w:val="24"/>
          <w:szCs w:val="24"/>
          <w:highlight w:val="none"/>
          <w:lang w:val="en-GB" w:eastAsia="zh-CN"/>
        </w:rPr>
        <w:t>：</w:t>
      </w:r>
    </w:p>
    <w:p w14:paraId="00BA7E04">
      <w:pPr>
        <w:keepNext w:val="0"/>
        <w:keepLines w:val="0"/>
        <w:pageBreakBefore w:val="0"/>
        <w:kinsoku w:val="0"/>
        <w:wordWrap/>
        <w:overflowPunct/>
        <w:topLinePunct w:val="0"/>
        <w:autoSpaceDE w:val="0"/>
        <w:autoSpaceDN w:val="0"/>
        <w:bidi w:val="0"/>
        <w:adjustRightInd w:val="0"/>
        <w:snapToGrid w:val="0"/>
        <w:spacing w:line="360" w:lineRule="auto"/>
        <w:ind w:firstLine="540" w:firstLineChars="22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（1）因情况变化，不再符合规定的</w:t>
      </w:r>
      <w:r>
        <w:rPr>
          <w:rFonts w:hint="eastAsia" w:ascii="宋体" w:hAnsi="宋体" w:eastAsia="宋体" w:cs="宋体"/>
          <w:color w:val="auto"/>
          <w:spacing w:val="0"/>
          <w:position w:val="0"/>
          <w:sz w:val="24"/>
          <w:szCs w:val="24"/>
          <w:highlight w:val="none"/>
          <w:lang w:eastAsia="zh-CN"/>
        </w:rPr>
        <w:t>磋商</w:t>
      </w:r>
      <w:r>
        <w:rPr>
          <w:rFonts w:hint="eastAsia" w:ascii="宋体" w:hAnsi="宋体" w:cs="宋体"/>
          <w:color w:val="auto"/>
          <w:spacing w:val="0"/>
          <w:position w:val="0"/>
          <w:sz w:val="24"/>
          <w:szCs w:val="24"/>
          <w:highlight w:val="none"/>
        </w:rPr>
        <w:t>采购方式适用情形的；</w:t>
      </w:r>
    </w:p>
    <w:p w14:paraId="3BE8D4C4">
      <w:pPr>
        <w:keepNext w:val="0"/>
        <w:keepLines w:val="0"/>
        <w:pageBreakBefore w:val="0"/>
        <w:kinsoku w:val="0"/>
        <w:wordWrap/>
        <w:overflowPunct/>
        <w:topLinePunct w:val="0"/>
        <w:autoSpaceDE w:val="0"/>
        <w:autoSpaceDN w:val="0"/>
        <w:bidi w:val="0"/>
        <w:adjustRightInd w:val="0"/>
        <w:snapToGrid w:val="0"/>
        <w:spacing w:line="360" w:lineRule="auto"/>
        <w:ind w:firstLine="540" w:firstLineChars="22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rPr>
        <w:t>（2）出现影响采购公正的违法、违规行为的</w:t>
      </w:r>
      <w:r>
        <w:rPr>
          <w:rFonts w:hint="eastAsia" w:ascii="宋体" w:hAnsi="宋体" w:eastAsia="宋体" w:cs="宋体"/>
          <w:color w:val="auto"/>
          <w:spacing w:val="0"/>
          <w:position w:val="0"/>
          <w:sz w:val="24"/>
          <w:szCs w:val="24"/>
          <w:highlight w:val="none"/>
          <w:lang w:eastAsia="zh-CN"/>
        </w:rPr>
        <w:t>；</w:t>
      </w:r>
    </w:p>
    <w:p w14:paraId="26F6183C">
      <w:pPr>
        <w:keepNext w:val="0"/>
        <w:keepLines w:val="0"/>
        <w:pageBreakBefore w:val="0"/>
        <w:kinsoku w:val="0"/>
        <w:wordWrap/>
        <w:overflowPunct/>
        <w:topLinePunct w:val="0"/>
        <w:autoSpaceDE w:val="0"/>
        <w:autoSpaceDN w:val="0"/>
        <w:bidi w:val="0"/>
        <w:adjustRightInd w:val="0"/>
        <w:snapToGrid w:val="0"/>
        <w:spacing w:afterAutospacing="0" w:line="360" w:lineRule="auto"/>
        <w:ind w:left="1140" w:leftChars="257" w:hanging="600" w:hangingChars="250"/>
        <w:jc w:val="both"/>
        <w:textAlignment w:val="baseline"/>
        <w:rPr>
          <w:rFonts w:hint="default"/>
          <w:color w:val="auto"/>
          <w:spacing w:val="0"/>
          <w:position w:val="0"/>
          <w:highlight w:val="none"/>
          <w:lang w:val="en-US" w:eastAsia="zh-CN"/>
        </w:rPr>
      </w:pPr>
      <w:r>
        <w:rPr>
          <w:rFonts w:hint="eastAsia" w:ascii="宋体" w:hAnsi="宋体" w:cs="宋体"/>
          <w:color w:val="auto"/>
          <w:spacing w:val="0"/>
          <w:position w:val="0"/>
          <w:sz w:val="24"/>
          <w:szCs w:val="24"/>
          <w:highlight w:val="none"/>
        </w:rPr>
        <w:t>（3）在采购过程中符合竞争要求的供应商或者报价未超过采购预算的供应商不足3家的</w:t>
      </w:r>
      <w:r>
        <w:rPr>
          <w:rFonts w:hint="eastAsia" w:ascii="宋体" w:hAnsi="宋体" w:eastAsia="宋体" w:cs="宋体"/>
          <w:color w:val="auto"/>
          <w:spacing w:val="0"/>
          <w:position w:val="0"/>
          <w:sz w:val="24"/>
          <w:szCs w:val="24"/>
          <w:highlight w:val="none"/>
          <w:lang w:eastAsia="zh-CN"/>
        </w:rPr>
        <w:t>。政府购买服务项目（含政府和社会资本合作项目），在采购过程中符合要求的供应商（社会资本）只有2家的，磋商采购活动可以继续进行，采购过程中符合要求的供应商（社会资本）只有1家的，采购人或者采购代理机构应当终止磋商采购活动。</w:t>
      </w:r>
    </w:p>
    <w:p w14:paraId="309115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50" w:beforeAutospacing="0" w:after="0" w:afterLines="100" w:afterAutospacing="0" w:line="360" w:lineRule="auto"/>
        <w:jc w:val="center"/>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3" w:name="_Toc636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意外情况的情形和处理</w:t>
      </w:r>
      <w:bookmarkEnd w:id="43"/>
    </w:p>
    <w:p w14:paraId="4545623C">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44" w:name="_Toc1885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w:t>
      </w:r>
      <w:bookmarkEnd w:id="44"/>
    </w:p>
    <w:p w14:paraId="55CC77C4">
      <w:pPr>
        <w:keepNext w:val="0"/>
        <w:keepLines w:val="0"/>
        <w:pageBreakBefore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24.1 </w:t>
      </w:r>
      <w:r>
        <w:rPr>
          <w:rFonts w:hint="eastAsia" w:ascii="宋体" w:hAnsi="宋体" w:eastAsia="宋体" w:cs="宋体"/>
          <w:color w:val="auto"/>
          <w:spacing w:val="0"/>
          <w:position w:val="0"/>
          <w:sz w:val="24"/>
          <w:szCs w:val="24"/>
          <w:highlight w:val="none"/>
          <w:lang w:eastAsia="zh-CN"/>
        </w:rPr>
        <w:t>因客观原因造成电子化政府采购系统无法正常运行或者无法保证采购活动信息安全，应采取意外情况的处理措施。意外情况包括以下情形：</w:t>
      </w:r>
    </w:p>
    <w:p w14:paraId="3D181B5C">
      <w:pPr>
        <w:keepNext w:val="0"/>
        <w:keepLines w:val="0"/>
        <w:pageBreakBefore w:val="0"/>
        <w:kinsoku w:val="0"/>
        <w:wordWrap/>
        <w:overflowPunct/>
        <w:topLinePunct w:val="0"/>
        <w:autoSpaceDE w:val="0"/>
        <w:autoSpaceDN w:val="0"/>
        <w:bidi w:val="0"/>
        <w:adjustRightInd w:val="0"/>
        <w:snapToGrid w:val="0"/>
        <w:spacing w:afterAutospacing="0" w:line="360" w:lineRule="auto"/>
        <w:ind w:left="1140" w:leftChars="257" w:hanging="600" w:hangingChars="250"/>
        <w:jc w:val="both"/>
        <w:textAlignment w:val="baseline"/>
        <w:rPr>
          <w:rFonts w:hint="eastAsia" w:ascii="宋体" w:hAnsi="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（1）网络系统</w:t>
      </w:r>
      <w:r>
        <w:rPr>
          <w:rFonts w:hint="eastAsia" w:ascii="宋体" w:hAnsi="宋体" w:cs="宋体"/>
          <w:color w:val="auto"/>
          <w:spacing w:val="0"/>
          <w:position w:val="0"/>
          <w:sz w:val="24"/>
          <w:szCs w:val="24"/>
          <w:highlight w:val="none"/>
          <w:lang w:eastAsia="zh-CN"/>
        </w:rPr>
        <w:t>及其他设备发生故障，导致无法访问网站或无法使用电子化政府采购系统的；</w:t>
      </w:r>
    </w:p>
    <w:p w14:paraId="24F0A5D6">
      <w:pPr>
        <w:keepNext w:val="0"/>
        <w:keepLines w:val="0"/>
        <w:pageBreakBefore w:val="0"/>
        <w:kinsoku w:val="0"/>
        <w:wordWrap/>
        <w:overflowPunct/>
        <w:topLinePunct w:val="0"/>
        <w:autoSpaceDE w:val="0"/>
        <w:autoSpaceDN w:val="0"/>
        <w:bidi w:val="0"/>
        <w:adjustRightInd w:val="0"/>
        <w:snapToGrid w:val="0"/>
        <w:spacing w:afterAutospacing="0" w:line="360" w:lineRule="auto"/>
        <w:ind w:left="1140" w:leftChars="257" w:hanging="600" w:hangingChars="250"/>
        <w:jc w:val="both"/>
        <w:textAlignment w:val="baseline"/>
        <w:rPr>
          <w:rFonts w:hint="eastAsia" w:ascii="宋体" w:hAnsi="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lang w:eastAsia="zh-CN"/>
        </w:rPr>
        <w:t>（2）电子化政府采购系统的软件或网络数据库出现错误，导致无法正常操作的；</w:t>
      </w:r>
    </w:p>
    <w:p w14:paraId="09448F7B">
      <w:pPr>
        <w:keepNext w:val="0"/>
        <w:keepLines w:val="0"/>
        <w:pageBreakBefore w:val="0"/>
        <w:kinsoku w:val="0"/>
        <w:wordWrap/>
        <w:overflowPunct/>
        <w:topLinePunct w:val="0"/>
        <w:autoSpaceDE w:val="0"/>
        <w:autoSpaceDN w:val="0"/>
        <w:bidi w:val="0"/>
        <w:adjustRightInd w:val="0"/>
        <w:snapToGrid w:val="0"/>
        <w:spacing w:afterAutospacing="0" w:line="360" w:lineRule="auto"/>
        <w:ind w:left="1140" w:leftChars="257" w:hanging="600" w:hangingChars="250"/>
        <w:jc w:val="both"/>
        <w:textAlignment w:val="baseline"/>
        <w:rPr>
          <w:rFonts w:hint="eastAsia" w:ascii="宋体" w:hAnsi="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lang w:eastAsia="zh-CN"/>
        </w:rPr>
        <w:t>（3）电子化政府采购系统发现有安全漏洞，有潜在泄密危险的；</w:t>
      </w:r>
    </w:p>
    <w:p w14:paraId="1BD47E4D">
      <w:pPr>
        <w:keepNext w:val="0"/>
        <w:keepLines w:val="0"/>
        <w:pageBreakBefore w:val="0"/>
        <w:kinsoku w:val="0"/>
        <w:wordWrap/>
        <w:overflowPunct/>
        <w:topLinePunct w:val="0"/>
        <w:autoSpaceDE w:val="0"/>
        <w:autoSpaceDN w:val="0"/>
        <w:bidi w:val="0"/>
        <w:adjustRightInd w:val="0"/>
        <w:snapToGrid w:val="0"/>
        <w:spacing w:afterAutospacing="0" w:line="360" w:lineRule="auto"/>
        <w:ind w:left="1140" w:leftChars="257" w:hanging="600" w:hangingChars="250"/>
        <w:jc w:val="both"/>
        <w:textAlignment w:val="baseline"/>
        <w:rPr>
          <w:color w:val="auto"/>
          <w:spacing w:val="0"/>
          <w:position w:val="0"/>
          <w:highlight w:val="none"/>
          <w:lang w:eastAsia="zh-CN"/>
        </w:rPr>
      </w:pPr>
      <w:r>
        <w:rPr>
          <w:rFonts w:hint="eastAsia" w:ascii="宋体" w:hAnsi="宋体" w:cs="宋体"/>
          <w:color w:val="auto"/>
          <w:spacing w:val="0"/>
          <w:position w:val="0"/>
          <w:sz w:val="24"/>
          <w:szCs w:val="24"/>
          <w:highlight w:val="none"/>
          <w:lang w:eastAsia="zh-CN"/>
        </w:rPr>
        <w:t>（4）其他无法保证</w:t>
      </w:r>
      <w:r>
        <w:rPr>
          <w:rFonts w:hint="eastAsia" w:ascii="宋体" w:hAnsi="宋体" w:eastAsia="宋体" w:cs="宋体"/>
          <w:color w:val="auto"/>
          <w:spacing w:val="0"/>
          <w:position w:val="0"/>
          <w:sz w:val="24"/>
          <w:szCs w:val="24"/>
          <w:highlight w:val="none"/>
          <w:lang w:eastAsia="zh-CN"/>
        </w:rPr>
        <w:t>采购活动正常进行的。</w:t>
      </w:r>
    </w:p>
    <w:p w14:paraId="2DA001EF">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5" w:name="_Toc603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意外情况的处理</w:t>
      </w:r>
      <w:bookmarkEnd w:id="45"/>
    </w:p>
    <w:p w14:paraId="6DD707C8">
      <w:pPr>
        <w:keepNext w:val="0"/>
        <w:keepLines w:val="0"/>
        <w:pageBreakBefore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 xml:space="preserve">25.1 </w:t>
      </w:r>
      <w:r>
        <w:rPr>
          <w:rFonts w:hint="eastAsia" w:ascii="宋体" w:hAnsi="宋体" w:eastAsia="宋体" w:cs="宋体"/>
          <w:color w:val="auto"/>
          <w:spacing w:val="0"/>
          <w:position w:val="0"/>
          <w:sz w:val="24"/>
          <w:szCs w:val="24"/>
          <w:highlight w:val="none"/>
          <w:lang w:eastAsia="zh-CN"/>
        </w:rPr>
        <w:t>出现</w:t>
      </w:r>
      <w:r>
        <w:rPr>
          <w:rFonts w:hint="eastAsia" w:ascii="宋体" w:hAnsi="宋体" w:eastAsia="宋体" w:cs="宋体"/>
          <w:color w:val="auto"/>
          <w:spacing w:val="0"/>
          <w:position w:val="0"/>
          <w:sz w:val="24"/>
          <w:szCs w:val="24"/>
          <w:highlight w:val="none"/>
          <w:lang w:val="en-US" w:eastAsia="zh-CN"/>
        </w:rPr>
        <w:t>24.1</w:t>
      </w:r>
      <w:r>
        <w:rPr>
          <w:rFonts w:hint="eastAsia" w:ascii="宋体" w:hAnsi="宋体" w:eastAsia="宋体" w:cs="宋体"/>
          <w:color w:val="auto"/>
          <w:spacing w:val="0"/>
          <w:position w:val="0"/>
          <w:sz w:val="24"/>
          <w:szCs w:val="24"/>
          <w:highlight w:val="none"/>
          <w:lang w:eastAsia="zh-CN"/>
        </w:rPr>
        <w:t>情况，故障当日（工作时间内）可排除的，电子化政府采购恢复进行；如故障当日无法排除的，采购活动终止，重新组织采购活动。</w:t>
      </w:r>
    </w:p>
    <w:p w14:paraId="1D542A88">
      <w:pPr>
        <w:keepNext w:val="0"/>
        <w:keepLines w:val="0"/>
        <w:pageBreakBefore w:val="0"/>
        <w:widowControl w:val="0"/>
        <w:kinsoku w:val="0"/>
        <w:wordWrap/>
        <w:overflowPunct/>
        <w:topLinePunct w:val="0"/>
        <w:autoSpaceDE w:val="0"/>
        <w:autoSpaceDN w:val="0"/>
        <w:bidi w:val="0"/>
        <w:adjustRightInd w:val="0"/>
        <w:snapToGrid w:val="0"/>
        <w:spacing w:before="0" w:beforeLines="133" w:beforeAutospacing="0" w:after="0" w:afterLines="132" w:afterAutospacing="0" w:line="360" w:lineRule="auto"/>
        <w:ind w:left="479" w:leftChars="228" w:firstLine="0" w:firstLineChars="0"/>
        <w:jc w:val="center"/>
        <w:textAlignment w:val="baseline"/>
        <w:outlineLvl w:val="1"/>
        <w:rPr>
          <w:color w:val="auto"/>
          <w:spacing w:val="0"/>
          <w:position w:val="0"/>
          <w:highlight w:val="none"/>
          <w:lang w:eastAsia="zh-CN"/>
        </w:rPr>
      </w:pPr>
      <w:bookmarkStart w:id="46" w:name="_Toc1167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合同</w:t>
      </w:r>
      <w:bookmarkEnd w:id="46"/>
    </w:p>
    <w:p w14:paraId="240810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7" w:name="_Toc1900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26.推荐成交候选供应商方法</w:t>
      </w:r>
      <w:bookmarkEnd w:id="47"/>
    </w:p>
    <w:p w14:paraId="7D26C260">
      <w:pPr>
        <w:keepNext w:val="0"/>
        <w:keepLines w:val="0"/>
        <w:pageBreakBefore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rPr>
        <w:t>磋商小组根据综合评分情况，按照评审得分由高到低顺序推荐3名以上成交候选供应商，并编写评审报告。</w:t>
      </w:r>
    </w:p>
    <w:p w14:paraId="49107F58">
      <w:pPr>
        <w:keepNext w:val="0"/>
        <w:keepLines w:val="0"/>
        <w:pageBreakBefore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享受落实政府采购政策的供应商，最后报价用按规定比例扣除后的价格参与评审。</w:t>
      </w:r>
    </w:p>
    <w:p w14:paraId="00A06912">
      <w:pPr>
        <w:keepNext w:val="0"/>
        <w:keepLines w:val="0"/>
        <w:pageBreakBefore w:val="0"/>
        <w:kinsoku w:val="0"/>
        <w:wordWrap/>
        <w:overflowPunct/>
        <w:topLinePunct w:val="0"/>
        <w:autoSpaceDE w:val="0"/>
        <w:autoSpaceDN w:val="0"/>
        <w:bidi w:val="0"/>
        <w:adjustRightInd w:val="0"/>
        <w:snapToGrid w:val="0"/>
        <w:spacing w:line="360" w:lineRule="auto"/>
        <w:ind w:left="588" w:leftChars="0" w:hanging="588" w:hangingChars="245"/>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3 </w:t>
      </w:r>
      <w:r>
        <w:rPr>
          <w:rFonts w:hint="eastAsia" w:ascii="宋体" w:hAnsi="宋体" w:cs="宋体"/>
          <w:color w:val="auto"/>
          <w:spacing w:val="0"/>
          <w:position w:val="0"/>
          <w:sz w:val="24"/>
          <w:szCs w:val="24"/>
          <w:highlight w:val="none"/>
          <w:lang w:val="en-GB"/>
        </w:rPr>
        <w:t>评审得分相同的，按照最后报价由低到高的顺序推荐。评审得分且最后报价相同的，按照技术指标优劣顺序推荐。评审得分且最后报价相同以及技术指标都相同的，按节能产品、环境标志产品金额占最后报价比例（简称“比例”）由高到低顺序推荐；评审得分、最后报价、技术指标优劣、“比例”均相同的，由磋商小组随机抽取确定推荐。</w:t>
      </w:r>
    </w:p>
    <w:p w14:paraId="766105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jc w:val="both"/>
        <w:textAlignment w:val="baseline"/>
        <w:outlineLvl w:val="1"/>
        <w:rPr>
          <w:rFonts w:hint="default"/>
          <w:color w:val="auto"/>
          <w:spacing w:val="0"/>
          <w:position w:val="0"/>
          <w:highlight w:val="none"/>
          <w:lang w:val="en-US" w:eastAsia="zh-CN"/>
        </w:rPr>
      </w:pPr>
      <w:bookmarkStart w:id="48" w:name="_Toc3234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确定成交供应商</w:t>
      </w:r>
      <w:bookmarkEnd w:id="48"/>
    </w:p>
    <w:p w14:paraId="49E324BF">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jc w:val="both"/>
        <w:textAlignment w:val="baseline"/>
        <w:rPr>
          <w:rFonts w:hint="eastAsia"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US" w:eastAsia="zh-CN"/>
        </w:rPr>
        <w:t>28</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采购代理机构在</w:t>
      </w:r>
      <w:r>
        <w:rPr>
          <w:rFonts w:hint="eastAsia" w:ascii="宋体" w:hAnsi="宋体" w:eastAsia="宋体" w:cs="宋体"/>
          <w:color w:val="auto"/>
          <w:spacing w:val="0"/>
          <w:position w:val="0"/>
          <w:sz w:val="24"/>
          <w:szCs w:val="24"/>
          <w:highlight w:val="none"/>
          <w:lang w:val="en-GB" w:eastAsia="zh-CN"/>
        </w:rPr>
        <w:t>磋商</w:t>
      </w:r>
      <w:r>
        <w:rPr>
          <w:rFonts w:hint="eastAsia" w:ascii="宋体" w:hAnsi="宋体" w:cs="宋体"/>
          <w:color w:val="auto"/>
          <w:spacing w:val="0"/>
          <w:position w:val="0"/>
          <w:sz w:val="24"/>
          <w:szCs w:val="24"/>
          <w:highlight w:val="none"/>
          <w:lang w:val="en-GB"/>
        </w:rPr>
        <w:t>结束后将评审报告送采购人。</w:t>
      </w:r>
    </w:p>
    <w:p w14:paraId="4955408F">
      <w:pPr>
        <w:keepNext w:val="0"/>
        <w:keepLines w:val="0"/>
        <w:pageBreakBefore w:val="0"/>
        <w:kinsoku w:val="0"/>
        <w:wordWrap/>
        <w:overflowPunct/>
        <w:topLinePunct w:val="0"/>
        <w:autoSpaceDE w:val="0"/>
        <w:autoSpaceDN w:val="0"/>
        <w:bidi w:val="0"/>
        <w:adjustRightInd w:val="0"/>
        <w:snapToGrid w:val="0"/>
        <w:spacing w:line="360" w:lineRule="auto"/>
        <w:ind w:left="590" w:leftChars="0" w:hanging="590" w:hangingChars="246"/>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cs="宋体"/>
          <w:color w:val="auto"/>
          <w:spacing w:val="0"/>
          <w:position w:val="0"/>
          <w:sz w:val="24"/>
          <w:szCs w:val="24"/>
          <w:highlight w:val="none"/>
          <w:lang w:val="en-US" w:eastAsia="zh-CN"/>
        </w:rPr>
        <w:t>28</w:t>
      </w:r>
      <w:r>
        <w:rPr>
          <w:rFonts w:hint="eastAsia" w:ascii="宋体" w:hAnsi="宋体" w:cs="宋体"/>
          <w:color w:val="auto"/>
          <w:spacing w:val="0"/>
          <w:position w:val="0"/>
          <w:sz w:val="24"/>
          <w:szCs w:val="24"/>
          <w:highlight w:val="none"/>
          <w:lang w:val="en-GB" w:eastAsia="zh-CN"/>
        </w:rPr>
        <w:t>.2</w:t>
      </w:r>
      <w:r>
        <w:rPr>
          <w:rFonts w:hint="eastAsia" w:ascii="宋体" w:hAnsi="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eastAsia="zh-CN"/>
        </w:rPr>
        <w:t>采购人收到评审报告后，按照评审报告推荐的成交候选人顺序确定成交供应商。也可以事先授权磋商小组直接确定成交供应商。</w:t>
      </w:r>
    </w:p>
    <w:p w14:paraId="50523CB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jc w:val="both"/>
        <w:textAlignment w:val="baseline"/>
        <w:outlineLvl w:val="1"/>
        <w:rPr>
          <w:rFonts w:ascii="宋体" w:hAnsi="宋体" w:eastAsia="宋体" w:cs="宋体"/>
          <w:color w:val="auto"/>
          <w:spacing w:val="0"/>
          <w:position w:val="0"/>
          <w:sz w:val="24"/>
          <w:szCs w:val="24"/>
          <w:highlight w:val="none"/>
          <w:lang w:eastAsia="zh-CN"/>
        </w:rPr>
      </w:pPr>
      <w:bookmarkStart w:id="49" w:name="_Toc441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成交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结果公告</w:t>
      </w:r>
      <w:bookmarkEnd w:id="49"/>
    </w:p>
    <w:p w14:paraId="1901FD3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6" w:leftChars="0" w:right="80" w:hanging="586" w:firstLineChars="0"/>
        <w:jc w:val="both"/>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28.1 </w:t>
      </w:r>
      <w:r>
        <w:rPr>
          <w:rFonts w:hint="eastAsia" w:ascii="宋体" w:hAnsi="宋体" w:cs="宋体"/>
          <w:color w:val="auto"/>
          <w:spacing w:val="0"/>
          <w:position w:val="0"/>
          <w:sz w:val="24"/>
          <w:szCs w:val="24"/>
          <w:highlight w:val="none"/>
        </w:rPr>
        <w:t>成交供应商</w:t>
      </w:r>
      <w:r>
        <w:rPr>
          <w:rFonts w:ascii="宋体" w:hAnsi="宋体" w:eastAsia="宋体" w:cs="宋体"/>
          <w:color w:val="auto"/>
          <w:spacing w:val="0"/>
          <w:position w:val="0"/>
          <w:sz w:val="24"/>
          <w:szCs w:val="24"/>
          <w:highlight w:val="none"/>
          <w:lang w:eastAsia="zh-CN"/>
        </w:rPr>
        <w:t>确定后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 xml:space="preserve">网址 </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b w:val="0"/>
          <w:bCs w:val="0"/>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 xml:space="preserve"> ）和江西省政府采购</w:t>
      </w:r>
      <w:r>
        <w:rPr>
          <w:rFonts w:hint="eastAsia" w:ascii="宋体" w:hAnsi="宋体" w:eastAsia="宋体" w:cs="宋体"/>
          <w:color w:val="auto"/>
          <w:spacing w:val="0"/>
          <w:position w:val="0"/>
          <w:sz w:val="24"/>
          <w:szCs w:val="24"/>
          <w:highlight w:val="none"/>
          <w:lang w:val="en-US" w:eastAsia="zh-CN"/>
        </w:rPr>
        <w:t>网</w:t>
      </w:r>
      <w:r>
        <w:rPr>
          <w:rFonts w:ascii="宋体" w:hAnsi="宋体" w:eastAsia="宋体" w:cs="宋体"/>
          <w:color w:val="auto"/>
          <w:spacing w:val="0"/>
          <w:position w:val="0"/>
          <w:sz w:val="24"/>
          <w:szCs w:val="24"/>
          <w:highlight w:val="none"/>
          <w:lang w:eastAsia="zh-CN"/>
        </w:rPr>
        <w:t>（网址：</w:t>
      </w:r>
      <w:r>
        <w:rPr>
          <w:rFonts w:ascii="宋体" w:hAnsi="宋体" w:eastAsia="宋体" w:cs="宋体"/>
          <w:color w:val="auto"/>
          <w:spacing w:val="0"/>
          <w:position w:val="0"/>
          <w:sz w:val="24"/>
          <w:szCs w:val="24"/>
          <w:highlight w:val="none"/>
          <w:u w:val="single"/>
          <w:lang w:eastAsia="zh-CN"/>
        </w:rPr>
        <w:t xml:space="preserve"> </w:t>
      </w:r>
      <w:r>
        <w:rPr>
          <w:color w:val="auto"/>
          <w:spacing w:val="0"/>
          <w:position w:val="0"/>
          <w:highlight w:val="none"/>
          <w:u w:val="single"/>
        </w:rPr>
        <w:fldChar w:fldCharType="begin"/>
      </w:r>
      <w:r>
        <w:rPr>
          <w:color w:val="auto"/>
          <w:spacing w:val="0"/>
          <w:position w:val="0"/>
          <w:highlight w:val="none"/>
          <w:u w:val="single"/>
        </w:rPr>
        <w:instrText xml:space="preserve"> HYPERLINK "http://www.ccgp-jiangxi.gov.cn/web/" </w:instrText>
      </w:r>
      <w:r>
        <w:rPr>
          <w:color w:val="auto"/>
          <w:spacing w:val="0"/>
          <w:position w:val="0"/>
          <w:highlight w:val="none"/>
          <w:u w:val="single"/>
        </w:rPr>
        <w:fldChar w:fldCharType="separate"/>
      </w:r>
      <w:r>
        <w:rPr>
          <w:rFonts w:ascii="宋体" w:hAnsi="宋体" w:eastAsia="宋体" w:cs="宋体"/>
          <w:color w:val="auto"/>
          <w:spacing w:val="0"/>
          <w:position w:val="0"/>
          <w:sz w:val="24"/>
          <w:szCs w:val="24"/>
          <w:highlight w:val="none"/>
          <w:u w:val="single"/>
          <w:lang w:eastAsia="zh-CN"/>
        </w:rPr>
        <w:t>http://www.ccgp-jiangxi.gov.cn/web/</w:t>
      </w:r>
      <w:r>
        <w:rPr>
          <w:rFonts w:ascii="宋体" w:hAnsi="宋体" w:eastAsia="宋体" w:cs="宋体"/>
          <w:color w:val="auto"/>
          <w:spacing w:val="0"/>
          <w:position w:val="0"/>
          <w:sz w:val="24"/>
          <w:szCs w:val="24"/>
          <w:highlight w:val="none"/>
          <w:u w:val="single"/>
          <w:lang w:eastAsia="zh-CN"/>
        </w:rPr>
        <w:fldChar w:fldCharType="end"/>
      </w:r>
      <w:r>
        <w:rPr>
          <w:rFonts w:ascii="宋体" w:hAnsi="宋体" w:eastAsia="宋体" w:cs="宋体"/>
          <w:color w:val="auto"/>
          <w:spacing w:val="0"/>
          <w:position w:val="0"/>
          <w:sz w:val="24"/>
          <w:szCs w:val="24"/>
          <w:highlight w:val="none"/>
          <w:lang w:eastAsia="zh-CN"/>
        </w:rPr>
        <w:t>）上公告</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w:t>
      </w:r>
      <w:r>
        <w:rPr>
          <w:rFonts w:hint="eastAsia" w:ascii="宋体" w:hAnsi="宋体" w:eastAsia="宋体" w:cs="宋体"/>
          <w:color w:val="auto"/>
          <w:spacing w:val="0"/>
          <w:position w:val="0"/>
          <w:sz w:val="24"/>
          <w:szCs w:val="24"/>
          <w:highlight w:val="none"/>
          <w:lang w:val="en-US" w:eastAsia="zh-CN"/>
        </w:rPr>
        <w:t>及成交通知书</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公告期限为 1 个工作日。</w:t>
      </w:r>
    </w:p>
    <w:p w14:paraId="75890652">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4"/>
        <w:jc w:val="both"/>
        <w:textAlignment w:val="baseline"/>
        <w:outlineLvl w:val="1"/>
        <w:rPr>
          <w:rFonts w:ascii="宋体" w:hAnsi="宋体" w:eastAsia="宋体" w:cs="宋体"/>
          <w:color w:val="auto"/>
          <w:spacing w:val="0"/>
          <w:position w:val="0"/>
          <w:sz w:val="24"/>
          <w:szCs w:val="24"/>
          <w:highlight w:val="none"/>
          <w:lang w:eastAsia="zh-CN"/>
        </w:rPr>
      </w:pPr>
      <w:bookmarkStart w:id="50" w:name="_Toc887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.履约保证金</w:t>
      </w:r>
      <w:bookmarkEnd w:id="50"/>
    </w:p>
    <w:p w14:paraId="7378559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29</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成交供应商</w:t>
      </w:r>
      <w:r>
        <w:rPr>
          <w:rFonts w:hint="eastAsia" w:cs="仿宋" w:asciiTheme="minorEastAsia" w:hAnsiTheme="minorEastAsia" w:eastAsiaTheme="minorEastAsia"/>
          <w:color w:val="auto"/>
          <w:spacing w:val="0"/>
          <w:position w:val="0"/>
          <w:sz w:val="24"/>
          <w:szCs w:val="24"/>
          <w:highlight w:val="none"/>
        </w:rPr>
        <w:t>在与采购人签订采购合同</w:t>
      </w:r>
      <w:r>
        <w:rPr>
          <w:rFonts w:hint="eastAsia" w:cs="仿宋" w:asciiTheme="minorEastAsia" w:hAnsiTheme="minorEastAsia" w:eastAsiaTheme="minorEastAsia"/>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rPr>
        <w:t>，应向采购人提交“供应商须知前附表”规定的履约保证金。履约保证金按采购人的要求汇入采购人指定账户。</w:t>
      </w:r>
    </w:p>
    <w:p w14:paraId="0E05208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29</w:t>
      </w: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履约保证金用于补偿因成交供应商不能完成其合同义务而使采购人蒙受的损失</w:t>
      </w:r>
      <w:r>
        <w:rPr>
          <w:rFonts w:hint="eastAsia" w:ascii="宋体" w:hAnsi="宋体" w:eastAsia="宋体" w:cs="宋体"/>
          <w:color w:val="auto"/>
          <w:spacing w:val="0"/>
          <w:position w:val="0"/>
          <w:sz w:val="24"/>
          <w:szCs w:val="24"/>
          <w:highlight w:val="none"/>
          <w:lang w:eastAsia="zh-CN"/>
        </w:rPr>
        <w:t>。</w:t>
      </w:r>
    </w:p>
    <w:p w14:paraId="498CA893">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outlineLvl w:val="1"/>
        <w:rPr>
          <w:rFonts w:ascii="宋体" w:hAnsi="宋体" w:eastAsia="宋体" w:cs="宋体"/>
          <w:color w:val="auto"/>
          <w:spacing w:val="0"/>
          <w:position w:val="0"/>
          <w:sz w:val="24"/>
          <w:szCs w:val="24"/>
          <w:highlight w:val="none"/>
          <w:lang w:eastAsia="zh-CN"/>
        </w:rPr>
      </w:pPr>
      <w:bookmarkStart w:id="51" w:name="_Toc1869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30</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.签订合同</w:t>
      </w:r>
      <w:bookmarkEnd w:id="51"/>
    </w:p>
    <w:p w14:paraId="1715DFDF">
      <w:pPr>
        <w:keepNext w:val="0"/>
        <w:keepLines w:val="0"/>
        <w:pageBreakBefore w:val="0"/>
        <w:widowControl w:val="0"/>
        <w:kinsoku w:val="0"/>
        <w:wordWrap/>
        <w:overflowPunct/>
        <w:topLinePunct w:val="0"/>
        <w:autoSpaceDE w:val="0"/>
        <w:autoSpaceDN w:val="0"/>
        <w:bidi w:val="0"/>
        <w:adjustRightInd w:val="0"/>
        <w:snapToGrid w:val="0"/>
        <w:spacing w:line="360" w:lineRule="auto"/>
        <w:ind w:left="581" w:leftChars="6" w:right="80" w:hanging="568" w:hangingChars="237"/>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应按</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规定的时间与采购人签订合同，否则按拒绝签订合同处理。</w:t>
      </w:r>
    </w:p>
    <w:p w14:paraId="442EE5CE">
      <w:pPr>
        <w:keepNext w:val="0"/>
        <w:keepLines w:val="0"/>
        <w:pageBreakBefore w:val="0"/>
        <w:widowControl w:val="0"/>
        <w:kinsoku w:val="0"/>
        <w:wordWrap/>
        <w:overflowPunct/>
        <w:topLinePunct w:val="0"/>
        <w:autoSpaceDE w:val="0"/>
        <w:autoSpaceDN w:val="0"/>
        <w:bidi w:val="0"/>
        <w:adjustRightInd w:val="0"/>
        <w:snapToGrid w:val="0"/>
        <w:spacing w:line="360" w:lineRule="auto"/>
        <w:ind w:left="581" w:leftChars="6" w:hanging="568" w:hangingChars="237"/>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及</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过程中有关澄清文件均为签订合同的依据。</w:t>
      </w:r>
    </w:p>
    <w:p w14:paraId="4D2186FD">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是合同的一个组成部分。</w:t>
      </w:r>
    </w:p>
    <w:p w14:paraId="735BFB6A">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.4 采购人与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应当根据合同的约定依法履行合同义务。</w:t>
      </w:r>
    </w:p>
    <w:p w14:paraId="4B60DEE1">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政府采购合同的履行、违约责任和解决争议的方法等适用《中华人民共和国民法典》。</w:t>
      </w:r>
    </w:p>
    <w:p w14:paraId="0D8CAFF0">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.5 采购人应当加强对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的履约管理，并按照采购合同约定，及时向</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支付采购资金。对于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违反采购合同约定的行为，采购人应当及时处理，依法追究其违约责任。</w:t>
      </w:r>
    </w:p>
    <w:p w14:paraId="612EBB7F">
      <w:pPr>
        <w:keepNext w:val="0"/>
        <w:keepLines w:val="0"/>
        <w:pageBreakBefore w:val="0"/>
        <w:widowControl w:val="0"/>
        <w:kinsoku w:val="0"/>
        <w:wordWrap/>
        <w:overflowPunct/>
        <w:topLinePunct w:val="0"/>
        <w:autoSpaceDE w:val="0"/>
        <w:autoSpaceDN w:val="0"/>
        <w:bidi w:val="0"/>
        <w:adjustRightInd w:val="0"/>
        <w:snapToGrid w:val="0"/>
        <w:spacing w:line="360" w:lineRule="auto"/>
        <w:ind w:left="586" w:leftChars="0" w:hanging="586" w:firstLineChars="0"/>
        <w:jc w:val="both"/>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.6 合同履行中，采购人需追加与合同标的相同的</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lang w:eastAsia="zh-CN"/>
        </w:rPr>
        <w:t>的，在不改变合同其他条款的前提下，可以与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协商签订补充合同，但所有补充合同的采购金额不得超过原合同采购金额的百分之十。</w:t>
      </w:r>
    </w:p>
    <w:p w14:paraId="1AFAFD5F">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.7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拒绝与采购人签订合同的，采购人可以按照评审报告推荐的</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候选人名单排序，确定下一候选人为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，也可以重新开展政府采购活动；拒绝签订政府采购合同的</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视为撤</w:t>
      </w:r>
      <w:r>
        <w:rPr>
          <w:rFonts w:hint="eastAsia" w:ascii="宋体" w:hAnsi="宋体" w:eastAsia="宋体" w:cs="宋体"/>
          <w:color w:val="auto"/>
          <w:spacing w:val="0"/>
          <w:position w:val="0"/>
          <w:sz w:val="24"/>
          <w:szCs w:val="24"/>
          <w:highlight w:val="none"/>
          <w:lang w:val="en-US" w:eastAsia="zh-CN"/>
        </w:rPr>
        <w:t>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，不予退还其交纳的</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w:t>
      </w:r>
    </w:p>
    <w:p w14:paraId="2B3C1FD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与采购人签订合同</w:t>
      </w:r>
      <w:r>
        <w:rPr>
          <w:rFonts w:hint="eastAsia" w:ascii="宋体" w:hAnsi="宋体" w:eastAsia="宋体" w:cs="宋体"/>
          <w:color w:val="auto"/>
          <w:spacing w:val="0"/>
          <w:position w:val="0"/>
          <w:sz w:val="24"/>
          <w:szCs w:val="24"/>
          <w:highlight w:val="none"/>
          <w:lang w:val="en-US" w:eastAsia="zh-CN"/>
        </w:rPr>
        <w:t>后两个工作日内</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将采购合同扫描件交予采购代理机构备案，以便退还磋商保证金</w:t>
      </w:r>
      <w:r>
        <w:rPr>
          <w:rFonts w:ascii="宋体" w:hAnsi="宋体" w:eastAsia="宋体" w:cs="宋体"/>
          <w:color w:val="auto"/>
          <w:spacing w:val="0"/>
          <w:position w:val="0"/>
          <w:sz w:val="24"/>
          <w:szCs w:val="24"/>
          <w:highlight w:val="none"/>
          <w:lang w:eastAsia="zh-CN"/>
        </w:rPr>
        <w:t>。</w:t>
      </w:r>
    </w:p>
    <w:p w14:paraId="29C632D1">
      <w:pPr>
        <w:keepNext w:val="0"/>
        <w:keepLines w:val="0"/>
        <w:pageBreakBefore w:val="0"/>
        <w:widowControl w:val="0"/>
        <w:kinsoku w:val="0"/>
        <w:wordWrap/>
        <w:overflowPunct/>
        <w:topLinePunct w:val="0"/>
        <w:autoSpaceDE w:val="0"/>
        <w:autoSpaceDN w:val="0"/>
        <w:bidi w:val="0"/>
        <w:adjustRightInd w:val="0"/>
        <w:snapToGrid w:val="0"/>
        <w:spacing w:before="0" w:beforeLines="169" w:beforeAutospacing="0" w:after="0" w:afterLines="120" w:afterAutospacing="0" w:line="360" w:lineRule="auto"/>
        <w:ind w:left="0" w:leftChars="0" w:firstLine="0" w:firstLineChars="0"/>
        <w:jc w:val="center"/>
        <w:textAlignment w:val="baseline"/>
        <w:outlineLvl w:val="1"/>
        <w:rPr>
          <w:color w:val="auto"/>
          <w:spacing w:val="0"/>
          <w:position w:val="0"/>
          <w:highlight w:val="none"/>
          <w:lang w:eastAsia="zh-CN"/>
        </w:rPr>
      </w:pPr>
      <w:bookmarkStart w:id="52" w:name="_Toc2334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七</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、询问和质疑</w:t>
      </w:r>
      <w:bookmarkEnd w:id="52"/>
    </w:p>
    <w:p w14:paraId="504474C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jc w:val="both"/>
        <w:textAlignment w:val="baseline"/>
        <w:outlineLvl w:val="1"/>
        <w:rPr>
          <w:rFonts w:ascii="宋体" w:hAnsi="宋体" w:eastAsia="宋体" w:cs="宋体"/>
          <w:color w:val="auto"/>
          <w:spacing w:val="0"/>
          <w:position w:val="0"/>
          <w:sz w:val="24"/>
          <w:szCs w:val="24"/>
          <w:highlight w:val="none"/>
          <w:lang w:eastAsia="zh-CN"/>
        </w:rPr>
      </w:pPr>
      <w:bookmarkStart w:id="53" w:name="_Toc546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w:t>
      </w:r>
      <w:bookmarkEnd w:id="53"/>
    </w:p>
    <w:p w14:paraId="2447C32E">
      <w:pPr>
        <w:keepNext w:val="0"/>
        <w:keepLines w:val="0"/>
        <w:pageBreakBefore w:val="0"/>
        <w:widowControl w:val="0"/>
        <w:kinsoku w:val="0"/>
        <w:wordWrap/>
        <w:overflowPunct/>
        <w:topLinePunct w:val="0"/>
        <w:autoSpaceDE w:val="0"/>
        <w:autoSpaceDN w:val="0"/>
        <w:bidi w:val="0"/>
        <w:adjustRightInd w:val="0"/>
        <w:snapToGrid w:val="0"/>
        <w:spacing w:line="360" w:lineRule="auto"/>
        <w:ind w:left="616" w:leftChars="0" w:right="2" w:hanging="616" w:hangingChars="257"/>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对政府采购活动事项有疑问的，可以向采购人或者采购代理机构提出询问，采</w:t>
      </w:r>
      <w:r>
        <w:rPr>
          <w:rFonts w:hint="eastAsia" w:ascii="宋体" w:hAnsi="宋体" w:eastAsia="宋体" w:cs="宋体"/>
          <w:color w:val="auto"/>
          <w:spacing w:val="0"/>
          <w:position w:val="0"/>
          <w:sz w:val="24"/>
          <w:szCs w:val="24"/>
          <w:highlight w:val="none"/>
          <w:lang w:val="en-US" w:eastAsia="zh-CN"/>
        </w:rPr>
        <w:t>购代理机构应当在3个工作日内对供应商依法提出的询问做出答复。</w:t>
      </w:r>
    </w:p>
    <w:p w14:paraId="0899287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jc w:val="both"/>
        <w:textAlignment w:val="baseline"/>
        <w:outlineLvl w:val="1"/>
        <w:rPr>
          <w:rFonts w:ascii="宋体" w:hAnsi="宋体" w:eastAsia="宋体" w:cs="宋体"/>
          <w:color w:val="auto"/>
          <w:spacing w:val="0"/>
          <w:position w:val="0"/>
          <w:sz w:val="24"/>
          <w:szCs w:val="24"/>
          <w:highlight w:val="none"/>
          <w:lang w:eastAsia="zh-CN"/>
        </w:rPr>
      </w:pPr>
      <w:bookmarkStart w:id="54" w:name="_Toc2144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质疑</w:t>
      </w:r>
      <w:bookmarkEnd w:id="54"/>
    </w:p>
    <w:p w14:paraId="28B9FC29">
      <w:pPr>
        <w:keepNext w:val="0"/>
        <w:keepLines w:val="0"/>
        <w:pageBreakBefore w:val="0"/>
        <w:widowControl w:val="0"/>
        <w:kinsoku w:val="0"/>
        <w:wordWrap/>
        <w:overflowPunct/>
        <w:topLinePunct w:val="0"/>
        <w:autoSpaceDE w:val="0"/>
        <w:autoSpaceDN w:val="0"/>
        <w:bidi w:val="0"/>
        <w:adjustRightInd w:val="0"/>
        <w:snapToGrid w:val="0"/>
        <w:spacing w:line="360" w:lineRule="auto"/>
        <w:ind w:left="631" w:leftChars="0" w:right="2" w:hanging="631" w:hangingChars="26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认为</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过程、</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结果使自己的权益受到损害的，可以在知道或者应知其权益受到损害之日起7个工作日内，以书面形式向采购人、采购代理机构提出质疑。</w:t>
      </w:r>
    </w:p>
    <w:p w14:paraId="43D16E47">
      <w:pPr>
        <w:keepNext w:val="0"/>
        <w:keepLines w:val="0"/>
        <w:pageBreakBefore w:val="0"/>
        <w:widowControl w:val="0"/>
        <w:kinsoku w:val="0"/>
        <w:wordWrap/>
        <w:overflowPunct/>
        <w:topLinePunct w:val="0"/>
        <w:autoSpaceDE w:val="0"/>
        <w:autoSpaceDN w:val="0"/>
        <w:bidi w:val="0"/>
        <w:adjustRightInd w:val="0"/>
        <w:snapToGrid w:val="0"/>
        <w:spacing w:line="360" w:lineRule="auto"/>
        <w:ind w:left="631" w:leftChars="232" w:hanging="144" w:hangingChars="6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对可以质疑的磋商文件提出质疑的，为收到磋商文件之日或者磋商文件公告期限届满之日起7个工作日内；</w:t>
      </w:r>
    </w:p>
    <w:p w14:paraId="289BFCE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526" w:leftChars="165" w:hanging="180" w:hangingChars="7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 （2）</w:t>
      </w:r>
      <w:r>
        <w:rPr>
          <w:rFonts w:hint="eastAsia" w:ascii="宋体" w:hAnsi="宋体" w:eastAsia="宋体" w:cs="宋体"/>
          <w:color w:val="auto"/>
          <w:spacing w:val="0"/>
          <w:position w:val="0"/>
          <w:sz w:val="24"/>
          <w:szCs w:val="24"/>
          <w:highlight w:val="none"/>
          <w:lang w:eastAsia="zh-CN"/>
        </w:rPr>
        <w:t>对</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过程提出质疑的，为各</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程序环节结束之日起7个工作日内；</w:t>
      </w:r>
    </w:p>
    <w:p w14:paraId="6EED3DF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对</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结果提出质疑的，为</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结果公告期限届满之日起7个工作日内。</w:t>
      </w:r>
    </w:p>
    <w:p w14:paraId="7121BC73">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应在法定质疑期内一次性提出针对同一采购程序环节的质疑。</w:t>
      </w:r>
    </w:p>
    <w:p w14:paraId="5A47DAB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.3 提出质疑的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应当是参与所质疑项目采购活动的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w:t>
      </w:r>
    </w:p>
    <w:p w14:paraId="51F78747">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.4 潜在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已依法获取其可质疑的</w:t>
      </w:r>
      <w:r>
        <w:rPr>
          <w:rFonts w:hint="eastAsia" w:ascii="宋体" w:hAnsi="宋体" w:eastAsia="宋体" w:cs="宋体"/>
          <w:color w:val="auto"/>
          <w:spacing w:val="0"/>
          <w:position w:val="0"/>
          <w:sz w:val="24"/>
          <w:szCs w:val="24"/>
          <w:highlight w:val="none"/>
          <w:lang w:eastAsia="zh-CN"/>
        </w:rPr>
        <w:t>磋商文件</w:t>
      </w:r>
      <w:r>
        <w:rPr>
          <w:rFonts w:ascii="宋体" w:hAnsi="宋体" w:eastAsia="宋体" w:cs="宋体"/>
          <w:color w:val="auto"/>
          <w:spacing w:val="0"/>
          <w:position w:val="0"/>
          <w:sz w:val="24"/>
          <w:szCs w:val="24"/>
          <w:highlight w:val="none"/>
          <w:lang w:eastAsia="zh-CN"/>
        </w:rPr>
        <w:t>的，可以对该文件提出质疑。</w:t>
      </w:r>
    </w:p>
    <w:p w14:paraId="7EC208D4">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.5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提出质疑应当提交质疑函和必要的证明材料。质疑函应当包括下列内容</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要求）：</w:t>
      </w:r>
    </w:p>
    <w:p w14:paraId="639AD7D4">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（一）</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的姓名或者名称、地址、邮编、联系人及联系电话；</w:t>
      </w:r>
    </w:p>
    <w:p w14:paraId="31018442">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（二）质疑项目的名称、编号；</w:t>
      </w:r>
    </w:p>
    <w:p w14:paraId="05B1D975">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（三）具体、明确的质疑事项和与质疑事项相关的请求；</w:t>
      </w:r>
    </w:p>
    <w:p w14:paraId="4DFCD66C">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（四）事实依据；</w:t>
      </w:r>
    </w:p>
    <w:p w14:paraId="225E0727">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（五）必要的法律依据；</w:t>
      </w:r>
    </w:p>
    <w:p w14:paraId="79B3A4B4">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（六）提出质疑的日期。</w:t>
      </w:r>
    </w:p>
    <w:p w14:paraId="183C6D25">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供应商为自然人的，应当由本人签字；供应商为法人或者其他组织的，应当由法定代表人、主要负责人，或者其授权代表签字或者盖章，并加盖公章。</w:t>
      </w:r>
      <w:r>
        <w:rPr>
          <w:rFonts w:hint="eastAsia" w:ascii="宋体" w:hAnsi="宋体" w:eastAsia="宋体" w:cs="宋体"/>
          <w:color w:val="auto"/>
          <w:spacing w:val="0"/>
          <w:position w:val="0"/>
          <w:sz w:val="24"/>
          <w:szCs w:val="24"/>
          <w:highlight w:val="none"/>
          <w:lang w:val="en-US" w:eastAsia="zh-CN"/>
        </w:rPr>
        <w:t>并</w:t>
      </w:r>
      <w:r>
        <w:rPr>
          <w:rFonts w:hint="eastAsia" w:ascii="宋体" w:hAnsi="宋体" w:eastAsia="宋体" w:cs="宋体"/>
          <w:color w:val="auto"/>
          <w:spacing w:val="0"/>
          <w:position w:val="0"/>
          <w:sz w:val="24"/>
          <w:szCs w:val="24"/>
          <w:highlight w:val="none"/>
          <w:lang w:eastAsia="zh-CN"/>
        </w:rPr>
        <w:t>同时提供下载磋商文件的凭证。</w:t>
      </w:r>
    </w:p>
    <w:p w14:paraId="2067BB9D">
      <w:pPr>
        <w:keepNext w:val="0"/>
        <w:keepLines w:val="0"/>
        <w:pageBreakBefore w:val="0"/>
        <w:widowControl w:val="0"/>
        <w:kinsoku w:val="0"/>
        <w:wordWrap/>
        <w:overflowPunct/>
        <w:topLinePunct w:val="0"/>
        <w:autoSpaceDE w:val="0"/>
        <w:autoSpaceDN w:val="0"/>
        <w:bidi w:val="0"/>
        <w:adjustRightInd w:val="0"/>
        <w:snapToGrid w:val="0"/>
        <w:spacing w:line="360" w:lineRule="auto"/>
        <w:ind w:left="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.6 质疑函接收方式</w:t>
      </w:r>
    </w:p>
    <w:p w14:paraId="0670A571">
      <w:pPr>
        <w:keepNext w:val="0"/>
        <w:keepLines w:val="0"/>
        <w:pageBreakBefore w:val="0"/>
        <w:widowControl w:val="0"/>
        <w:kinsoku w:val="0"/>
        <w:wordWrap/>
        <w:overflowPunct/>
        <w:topLinePunct w:val="0"/>
        <w:autoSpaceDE w:val="0"/>
        <w:autoSpaceDN w:val="0"/>
        <w:bidi w:val="0"/>
        <w:adjustRightInd w:val="0"/>
        <w:snapToGrid w:val="0"/>
        <w:spacing w:line="360" w:lineRule="auto"/>
        <w:ind w:left="631" w:leftChars="232" w:hanging="144" w:hangingChars="6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详见“供应商须知前附表”</w:t>
      </w:r>
      <w:bookmarkStart w:id="55" w:name="bookmark25"/>
      <w:bookmarkEnd w:id="55"/>
      <w:bookmarkStart w:id="56" w:name="bookmark32"/>
      <w:bookmarkEnd w:id="56"/>
      <w:bookmarkStart w:id="57" w:name="bookmark41"/>
      <w:bookmarkEnd w:id="57"/>
      <w:bookmarkStart w:id="58" w:name="bookmark36"/>
      <w:bookmarkEnd w:id="58"/>
      <w:r>
        <w:rPr>
          <w:rFonts w:hint="eastAsia" w:ascii="宋体" w:hAnsi="宋体" w:eastAsia="宋体" w:cs="宋体"/>
          <w:color w:val="auto"/>
          <w:spacing w:val="0"/>
          <w:position w:val="0"/>
          <w:sz w:val="24"/>
          <w:szCs w:val="24"/>
          <w:highlight w:val="none"/>
          <w:lang w:val="en-US" w:eastAsia="zh-CN"/>
        </w:rPr>
        <w:t>。</w:t>
      </w:r>
    </w:p>
    <w:p w14:paraId="6EAFC461">
      <w:pPr>
        <w:keepNext w:val="0"/>
        <w:keepLines w:val="0"/>
        <w:pageBreakBefore w:val="0"/>
        <w:widowControl w:val="0"/>
        <w:kinsoku w:val="0"/>
        <w:wordWrap/>
        <w:overflowPunct/>
        <w:topLinePunct w:val="0"/>
        <w:autoSpaceDE w:val="0"/>
        <w:autoSpaceDN w:val="0"/>
        <w:bidi w:val="0"/>
        <w:adjustRightInd w:val="0"/>
        <w:snapToGrid w:val="0"/>
        <w:spacing w:before="0" w:beforeLines="120" w:beforeAutospacing="0" w:after="0" w:afterLines="119" w:afterAutospacing="0" w:line="360" w:lineRule="auto"/>
        <w:jc w:val="center"/>
        <w:textAlignment w:val="baseline"/>
        <w:outlineLvl w:val="1"/>
        <w:rPr>
          <w:color w:val="auto"/>
          <w:spacing w:val="0"/>
          <w:position w:val="0"/>
          <w:highlight w:val="none"/>
          <w:lang w:eastAsia="zh-CN"/>
        </w:rPr>
      </w:pPr>
      <w:bookmarkStart w:id="59" w:name="_Toc2201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八</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其他事项</w:t>
      </w:r>
      <w:bookmarkEnd w:id="59"/>
    </w:p>
    <w:p w14:paraId="74007B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60" w:name="_Toc1918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.采购代理服务费</w:t>
      </w:r>
      <w:bookmarkEnd w:id="60"/>
    </w:p>
    <w:p w14:paraId="2B8212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0" w:leftChars="0" w:hanging="600" w:hangingChars="25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.1 如为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支付采购代理服务费，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在领取</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时须按“</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须知前附表”规定的收费标准，向采购代理机构缴纳采购代理服务费。</w:t>
      </w:r>
    </w:p>
    <w:p w14:paraId="19D66A4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0" w:hanging="525" w:hangingChars="21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.2 采购代理服务费采用银行转账、支票、汇票、本票等非现金形式交纳。</w:t>
      </w:r>
    </w:p>
    <w:p w14:paraId="76EE634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2" w:leftChars="0" w:hanging="602" w:hangingChars="25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如未按本须知“第 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.1 条 ”规定办理，采购代理机构将按本须知“第 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.5 </w:t>
      </w:r>
      <w:bookmarkStart w:id="61" w:name="bookmark52"/>
      <w:bookmarkEnd w:id="61"/>
      <w:r>
        <w:rPr>
          <w:rFonts w:ascii="宋体" w:hAnsi="宋体" w:eastAsia="宋体" w:cs="宋体"/>
          <w:color w:val="auto"/>
          <w:spacing w:val="0"/>
          <w:position w:val="0"/>
          <w:sz w:val="24"/>
          <w:szCs w:val="24"/>
          <w:highlight w:val="none"/>
          <w:lang w:eastAsia="zh-CN"/>
        </w:rPr>
        <w:t>条 ”规定不予退还其</w:t>
      </w:r>
      <w:r>
        <w:rPr>
          <w:rFonts w:hint="eastAsia" w:ascii="宋体" w:hAnsi="宋体" w:eastAsia="宋体" w:cs="宋体"/>
          <w:color w:val="auto"/>
          <w:spacing w:val="0"/>
          <w:position w:val="0"/>
          <w:sz w:val="24"/>
          <w:szCs w:val="24"/>
          <w:highlight w:val="none"/>
          <w:lang w:eastAsia="zh-CN"/>
        </w:rPr>
        <w:t>磋商保证金</w:t>
      </w:r>
      <w:r>
        <w:rPr>
          <w:rFonts w:ascii="宋体" w:hAnsi="宋体" w:eastAsia="宋体" w:cs="宋体"/>
          <w:color w:val="auto"/>
          <w:spacing w:val="0"/>
          <w:position w:val="0"/>
          <w:sz w:val="24"/>
          <w:szCs w:val="24"/>
          <w:highlight w:val="none"/>
          <w:lang w:eastAsia="zh-CN"/>
        </w:rPr>
        <w:t>。</w:t>
      </w:r>
    </w:p>
    <w:p w14:paraId="78F263A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62" w:name="_Toc7297"/>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34.适用法律</w:t>
      </w:r>
      <w:bookmarkEnd w:id="62"/>
    </w:p>
    <w:p w14:paraId="453BD461">
      <w:pPr>
        <w:pStyle w:val="11"/>
        <w:keepNext w:val="0"/>
        <w:keepLines w:val="0"/>
        <w:pageBreakBefore w:val="0"/>
        <w:widowControl w:val="0"/>
        <w:kinsoku/>
        <w:wordWrap/>
        <w:overflowPunct/>
        <w:topLinePunct w:val="0"/>
        <w:autoSpaceDE w:val="0"/>
        <w:autoSpaceDN w:val="0"/>
        <w:bidi w:val="0"/>
        <w:adjustRightInd w:val="0"/>
        <w:snapToGrid w:val="0"/>
        <w:spacing w:line="360" w:lineRule="auto"/>
        <w:ind w:left="631" w:leftChars="0" w:hanging="631" w:hangingChars="263"/>
        <w:jc w:val="both"/>
        <w:textAlignment w:val="baseline"/>
        <w:rPr>
          <w:rFonts w:hint="eastAsia" w:ascii="宋体" w:hAnsi="宋体" w:eastAsia="宋体" w:cs="宋体"/>
          <w:bCs/>
          <w:color w:val="auto"/>
          <w:spacing w:val="0"/>
          <w:position w:val="0"/>
          <w:sz w:val="24"/>
          <w:szCs w:val="24"/>
          <w:highlight w:val="none"/>
        </w:rPr>
      </w:pPr>
      <w:r>
        <w:rPr>
          <w:rFonts w:hint="eastAsia" w:hAnsi="宋体" w:eastAsia="宋体" w:cs="宋体"/>
          <w:bCs/>
          <w:color w:val="auto"/>
          <w:spacing w:val="0"/>
          <w:position w:val="0"/>
          <w:sz w:val="24"/>
          <w:szCs w:val="24"/>
          <w:highlight w:val="none"/>
          <w:lang w:val="en-US" w:eastAsia="zh-CN"/>
        </w:rPr>
        <w:t xml:space="preserve">34.1 </w:t>
      </w:r>
      <w:r>
        <w:rPr>
          <w:rFonts w:hint="eastAsia" w:ascii="宋体" w:hAnsi="宋体" w:eastAsia="宋体" w:cs="宋体"/>
          <w:bCs/>
          <w:color w:val="auto"/>
          <w:spacing w:val="0"/>
          <w:position w:val="0"/>
          <w:sz w:val="24"/>
          <w:szCs w:val="24"/>
          <w:highlight w:val="none"/>
        </w:rPr>
        <w:t>采购代理机构及</w:t>
      </w:r>
      <w:r>
        <w:rPr>
          <w:rFonts w:hint="eastAsia" w:hAnsi="宋体" w:eastAsia="宋体" w:cs="宋体"/>
          <w:bCs/>
          <w:color w:val="auto"/>
          <w:spacing w:val="0"/>
          <w:position w:val="0"/>
          <w:sz w:val="24"/>
          <w:szCs w:val="24"/>
          <w:highlight w:val="none"/>
          <w:lang w:eastAsia="zh-CN"/>
        </w:rPr>
        <w:t>供应商</w:t>
      </w:r>
      <w:r>
        <w:rPr>
          <w:rFonts w:hint="eastAsia" w:ascii="宋体" w:hAnsi="宋体" w:eastAsia="宋体" w:cs="宋体"/>
          <w:bCs/>
          <w:color w:val="auto"/>
          <w:spacing w:val="0"/>
          <w:position w:val="0"/>
          <w:sz w:val="24"/>
          <w:szCs w:val="24"/>
          <w:highlight w:val="none"/>
        </w:rPr>
        <w:t>的一切</w:t>
      </w:r>
      <w:r>
        <w:rPr>
          <w:rFonts w:hint="eastAsia" w:hAnsi="宋体" w:eastAsia="宋体" w:cs="宋体"/>
          <w:bCs/>
          <w:color w:val="auto"/>
          <w:spacing w:val="0"/>
          <w:position w:val="0"/>
          <w:sz w:val="24"/>
          <w:szCs w:val="24"/>
          <w:highlight w:val="none"/>
          <w:lang w:val="en-US" w:eastAsia="zh-CN"/>
        </w:rPr>
        <w:t>采购</w:t>
      </w:r>
      <w:r>
        <w:rPr>
          <w:rFonts w:hint="eastAsia" w:ascii="宋体" w:hAnsi="宋体" w:eastAsia="宋体" w:cs="宋体"/>
          <w:bCs/>
          <w:color w:val="auto"/>
          <w:spacing w:val="0"/>
          <w:position w:val="0"/>
          <w:sz w:val="24"/>
          <w:szCs w:val="24"/>
          <w:highlight w:val="none"/>
        </w:rPr>
        <w:t>活动均适用于《中华人民共和国政府采购</w:t>
      </w:r>
      <w:r>
        <w:rPr>
          <w:rFonts w:hint="eastAsia" w:ascii="宋体" w:hAnsi="宋体" w:eastAsia="宋体" w:cs="宋体"/>
          <w:bCs/>
          <w:color w:val="auto"/>
          <w:spacing w:val="0"/>
          <w:position w:val="0"/>
          <w:sz w:val="24"/>
          <w:szCs w:val="24"/>
          <w:highlight w:val="none"/>
          <w:lang w:val="en-US" w:eastAsia="zh-CN"/>
        </w:rPr>
        <w:t>法</w:t>
      </w:r>
      <w:r>
        <w:rPr>
          <w:rFonts w:hint="eastAsia" w:ascii="宋体" w:hAnsi="宋体" w:eastAsia="宋体" w:cs="宋体"/>
          <w:bCs/>
          <w:color w:val="auto"/>
          <w:spacing w:val="0"/>
          <w:position w:val="0"/>
          <w:sz w:val="24"/>
          <w:szCs w:val="24"/>
          <w:highlight w:val="none"/>
        </w:rPr>
        <w:t>》及相关规定。</w:t>
      </w:r>
    </w:p>
    <w:p w14:paraId="0DCDB43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63" w:name="_Toc27757"/>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35.解释权</w:t>
      </w:r>
      <w:bookmarkEnd w:id="63"/>
    </w:p>
    <w:p w14:paraId="4F78E1BD">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jc w:val="both"/>
        <w:textAlignment w:val="baseline"/>
        <w:rPr>
          <w:rFonts w:hint="default"/>
          <w:color w:val="auto"/>
          <w:spacing w:val="0"/>
          <w:position w:val="0"/>
          <w:highlight w:val="none"/>
          <w:u w:val="single"/>
          <w:lang w:val="en-US" w:eastAsia="zh-CN"/>
        </w:rPr>
        <w:sectPr>
          <w:footerReference r:id="rId7" w:type="default"/>
          <w:pgSz w:w="11906" w:h="16839"/>
          <w:pgMar w:top="1440" w:right="1380" w:bottom="1440" w:left="1706" w:header="0" w:footer="1200" w:gutter="0"/>
          <w:pgNumType w:fmt="decimal"/>
          <w:cols w:space="720" w:num="1"/>
        </w:sectPr>
      </w:pPr>
      <w:r>
        <w:rPr>
          <w:rFonts w:hint="eastAsia" w:ascii="宋体" w:hAnsi="宋体" w:eastAsia="宋体" w:cs="宋体"/>
          <w:bCs/>
          <w:color w:val="auto"/>
          <w:spacing w:val="0"/>
          <w:position w:val="0"/>
          <w:sz w:val="24"/>
          <w:szCs w:val="24"/>
          <w:highlight w:val="none"/>
          <w:lang w:val="en-US" w:eastAsia="zh-CN"/>
        </w:rPr>
        <w:t xml:space="preserve">35.1 </w:t>
      </w:r>
      <w:r>
        <w:rPr>
          <w:rFonts w:hint="eastAsia" w:ascii="宋体" w:hAnsi="宋体" w:eastAsia="宋体" w:cs="宋体"/>
          <w:bCs/>
          <w:color w:val="auto"/>
          <w:spacing w:val="0"/>
          <w:position w:val="0"/>
          <w:sz w:val="24"/>
          <w:szCs w:val="24"/>
          <w:highlight w:val="none"/>
        </w:rPr>
        <w:t>本</w:t>
      </w:r>
      <w:r>
        <w:rPr>
          <w:rFonts w:hint="eastAsia" w:ascii="宋体" w:hAnsi="宋体" w:eastAsia="宋体" w:cs="宋体"/>
          <w:bCs/>
          <w:color w:val="auto"/>
          <w:spacing w:val="0"/>
          <w:position w:val="0"/>
          <w:sz w:val="24"/>
          <w:szCs w:val="24"/>
          <w:highlight w:val="none"/>
          <w:lang w:eastAsia="zh-CN"/>
        </w:rPr>
        <w:t>磋商文件</w:t>
      </w:r>
      <w:r>
        <w:rPr>
          <w:rFonts w:hint="eastAsia" w:ascii="宋体" w:hAnsi="宋体" w:eastAsia="宋体" w:cs="宋体"/>
          <w:bCs/>
          <w:color w:val="auto"/>
          <w:spacing w:val="0"/>
          <w:position w:val="0"/>
          <w:sz w:val="24"/>
          <w:szCs w:val="24"/>
          <w:highlight w:val="none"/>
        </w:rPr>
        <w:t>是根据国家有关法律、法规以及政府采购管理有关规定编制，</w:t>
      </w:r>
      <w:r>
        <w:rPr>
          <w:rFonts w:hint="eastAsia" w:ascii="宋体" w:hAnsi="宋体" w:eastAsia="宋体" w:cs="宋体"/>
          <w:bCs/>
          <w:color w:val="auto"/>
          <w:spacing w:val="0"/>
          <w:position w:val="0"/>
          <w:sz w:val="24"/>
          <w:szCs w:val="24"/>
          <w:highlight w:val="none"/>
          <w:lang w:eastAsia="zh-CN"/>
        </w:rPr>
        <w:t>磋商文件</w:t>
      </w:r>
      <w:r>
        <w:rPr>
          <w:rFonts w:hint="eastAsia" w:ascii="宋体" w:hAnsi="宋体" w:eastAsia="宋体" w:cs="宋体"/>
          <w:bCs/>
          <w:color w:val="auto"/>
          <w:spacing w:val="0"/>
          <w:position w:val="0"/>
          <w:sz w:val="24"/>
          <w:szCs w:val="24"/>
          <w:highlight w:val="none"/>
        </w:rPr>
        <w:t>的最终解释权</w:t>
      </w:r>
      <w:bookmarkStart w:id="64" w:name="_Hlk99122309"/>
      <w:r>
        <w:rPr>
          <w:rFonts w:hint="eastAsia" w:ascii="宋体" w:hAnsi="宋体" w:eastAsia="宋体" w:cs="宋体"/>
          <w:bCs/>
          <w:color w:val="auto"/>
          <w:spacing w:val="0"/>
          <w:position w:val="0"/>
          <w:sz w:val="24"/>
          <w:szCs w:val="24"/>
          <w:highlight w:val="none"/>
        </w:rPr>
        <w:t>属于采购人、采购代理机构。</w:t>
      </w:r>
      <w:bookmarkEnd w:id="64"/>
    </w:p>
    <w:p w14:paraId="5E206055">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65" w:name="bookmark53"/>
      <w:bookmarkEnd w:id="65"/>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 xml:space="preserve"> </w:t>
      </w:r>
      <w:bookmarkStart w:id="66" w:name="_Toc28081"/>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 xml:space="preserve">第三章 </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拟签订</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的合同文本</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bookmarkEnd w:id="66"/>
    </w:p>
    <w:p w14:paraId="2993C4B5">
      <w:pPr>
        <w:pStyle w:val="2"/>
        <w:numPr>
          <w:ilvl w:val="0"/>
          <w:numId w:val="0"/>
        </w:numPr>
        <w:spacing w:afterAutospacing="0" w:line="360" w:lineRule="auto"/>
        <w:jc w:val="both"/>
        <w:rPr>
          <w:color w:val="auto"/>
          <w:highlight w:val="none"/>
          <w:lang w:eastAsia="zh-CN"/>
        </w:rPr>
      </w:pPr>
    </w:p>
    <w:p w14:paraId="6469C13D">
      <w:pPr>
        <w:pStyle w:val="4"/>
        <w:numPr>
          <w:ilvl w:val="1"/>
          <w:numId w:val="0"/>
        </w:numPr>
        <w:spacing w:line="360" w:lineRule="auto"/>
        <w:jc w:val="both"/>
        <w:rPr>
          <w:highlight w:val="none"/>
        </w:rPr>
      </w:pPr>
      <w:bookmarkStart w:id="67" w:name="_Toc21551"/>
      <w:r>
        <w:rPr>
          <w:rFonts w:hint="eastAsia" w:ascii="宋体" w:hAnsi="宋体" w:eastAsia="宋体" w:cs="宋体"/>
          <w:sz w:val="21"/>
          <w:szCs w:val="21"/>
          <w:highlight w:val="none"/>
        </w:rPr>
        <w:t>合同基本条款（参考）</w:t>
      </w:r>
      <w:bookmarkEnd w:id="67"/>
    </w:p>
    <w:p w14:paraId="3DBEB805">
      <w:pPr>
        <w:widowControl/>
        <w:spacing w:line="360" w:lineRule="auto"/>
        <w:rPr>
          <w:rFonts w:hint="eastAsia" w:ascii="宋体" w:hAnsi="宋体" w:cs="宋体"/>
          <w:color w:val="121212"/>
          <w:szCs w:val="21"/>
          <w:highlight w:val="none"/>
        </w:rPr>
      </w:pPr>
      <w:r>
        <w:rPr>
          <w:rFonts w:hint="eastAsia" w:ascii="宋体" w:hAnsi="宋体" w:cs="宋体"/>
          <w:color w:val="121212"/>
          <w:szCs w:val="21"/>
          <w:highlight w:val="none"/>
        </w:rPr>
        <w:t>一、说明</w:t>
      </w:r>
    </w:p>
    <w:p w14:paraId="2C637000">
      <w:pPr>
        <w:widowControl/>
        <w:spacing w:line="360" w:lineRule="auto"/>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项目名称：</w:t>
      </w:r>
    </w:p>
    <w:p w14:paraId="58E9D48D">
      <w:pPr>
        <w:widowControl/>
        <w:spacing w:line="360" w:lineRule="auto"/>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合同编号：</w:t>
      </w:r>
    </w:p>
    <w:p w14:paraId="4D368317">
      <w:pPr>
        <w:widowControl/>
        <w:spacing w:line="360" w:lineRule="auto"/>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签订日期：</w:t>
      </w:r>
    </w:p>
    <w:p w14:paraId="3C2A2F1D">
      <w:pPr>
        <w:widowControl/>
        <w:spacing w:line="360" w:lineRule="auto"/>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签订合同地点：江西现代职业技术学院（采购人指定地点）</w:t>
      </w:r>
    </w:p>
    <w:p w14:paraId="7CC5F0F8">
      <w:pPr>
        <w:widowControl/>
        <w:spacing w:line="360" w:lineRule="auto"/>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本合同由</w:t>
      </w:r>
      <w:r>
        <w:rPr>
          <w:rFonts w:hint="eastAsia" w:ascii="宋体" w:hAnsi="宋体" w:cs="宋体"/>
          <w:color w:val="121212"/>
          <w:szCs w:val="21"/>
          <w:highlight w:val="none"/>
          <w:u w:val="single"/>
        </w:rPr>
        <w:t xml:space="preserve">          </w:t>
      </w:r>
      <w:r>
        <w:rPr>
          <w:rFonts w:hint="eastAsia" w:ascii="宋体" w:hAnsi="宋体" w:cs="宋体"/>
          <w:color w:val="121212"/>
          <w:szCs w:val="21"/>
          <w:highlight w:val="none"/>
        </w:rPr>
        <w:t>采购方和</w:t>
      </w:r>
      <w:r>
        <w:rPr>
          <w:rFonts w:hint="eastAsia" w:ascii="宋体" w:hAnsi="宋体" w:cs="宋体"/>
          <w:color w:val="121212"/>
          <w:szCs w:val="21"/>
          <w:highlight w:val="none"/>
          <w:u w:val="none"/>
        </w:rPr>
        <w:t xml:space="preserve"> </w:t>
      </w:r>
      <w:r>
        <w:rPr>
          <w:rFonts w:hint="eastAsia" w:ascii="宋体" w:hAnsi="宋体" w:cs="宋体"/>
          <w:color w:val="121212"/>
          <w:szCs w:val="21"/>
          <w:highlight w:val="none"/>
          <w:u w:val="none"/>
          <w:lang w:val="en-US" w:eastAsia="zh-CN"/>
        </w:rPr>
        <w:t xml:space="preserve"> </w:t>
      </w:r>
      <w:r>
        <w:rPr>
          <w:rFonts w:hint="eastAsia" w:ascii="宋体" w:hAnsi="宋体" w:cs="宋体"/>
          <w:color w:val="121212"/>
          <w:kern w:val="2"/>
          <w:sz w:val="21"/>
          <w:szCs w:val="21"/>
          <w:highlight w:val="none"/>
          <w:u w:val="single"/>
          <w:lang w:bidi="ar"/>
        </w:rPr>
        <w:t>供应商</w:t>
      </w:r>
      <w:r>
        <w:rPr>
          <w:rFonts w:hint="eastAsia" w:ascii="宋体" w:hAnsi="宋体" w:cs="宋体"/>
          <w:color w:val="121212"/>
          <w:kern w:val="2"/>
          <w:sz w:val="21"/>
          <w:szCs w:val="21"/>
          <w:highlight w:val="none"/>
          <w:u w:val="single"/>
          <w:lang w:val="en-US" w:eastAsia="zh-CN" w:bidi="ar"/>
        </w:rPr>
        <w:t xml:space="preserve">  </w:t>
      </w:r>
      <w:r>
        <w:rPr>
          <w:rFonts w:hint="eastAsia" w:ascii="宋体" w:hAnsi="宋体" w:cs="宋体"/>
          <w:color w:val="121212"/>
          <w:szCs w:val="21"/>
          <w:highlight w:val="none"/>
        </w:rPr>
        <w:t>成交方共同签订。对于合同条款，双方应本着平等、自愿的原则协商制定。</w:t>
      </w:r>
    </w:p>
    <w:p w14:paraId="14617726">
      <w:pPr>
        <w:widowControl/>
        <w:spacing w:line="360" w:lineRule="auto"/>
        <w:ind w:firstLine="420" w:firstLineChars="200"/>
        <w:rPr>
          <w:rFonts w:hint="eastAsia" w:hAnsi="宋体" w:cs="宋体"/>
          <w:color w:val="121212"/>
          <w:szCs w:val="21"/>
          <w:highlight w:val="none"/>
        </w:rPr>
      </w:pPr>
      <w:r>
        <w:rPr>
          <w:rFonts w:hint="eastAsia" w:ascii="宋体" w:hAnsi="宋体" w:cs="宋体"/>
          <w:color w:val="121212"/>
          <w:szCs w:val="21"/>
          <w:highlight w:val="none"/>
        </w:rPr>
        <w:t>制定合同条款的依据是《中华人民共和国民法典》</w:t>
      </w:r>
      <w:r>
        <w:rPr>
          <w:rFonts w:hint="eastAsia" w:hAnsi="宋体" w:cs="宋体"/>
          <w:color w:val="121212"/>
          <w:szCs w:val="21"/>
          <w:highlight w:val="none"/>
        </w:rPr>
        <w:t>。</w:t>
      </w:r>
    </w:p>
    <w:p w14:paraId="1478A489">
      <w:pPr>
        <w:widowControl/>
        <w:spacing w:line="240" w:lineRule="auto"/>
        <w:rPr>
          <w:rFonts w:hint="eastAsia" w:ascii="宋体" w:hAnsi="宋体" w:cs="宋体"/>
          <w:color w:val="121212"/>
          <w:szCs w:val="21"/>
          <w:highlight w:val="none"/>
        </w:rPr>
      </w:pPr>
      <w:bookmarkStart w:id="68" w:name="_Toc136662216"/>
      <w:r>
        <w:rPr>
          <w:rFonts w:hint="eastAsia" w:ascii="宋体" w:hAnsi="宋体" w:cs="宋体"/>
          <w:color w:val="121212"/>
          <w:szCs w:val="21"/>
          <w:highlight w:val="none"/>
        </w:rPr>
        <w:t>二、采购范围</w:t>
      </w:r>
      <w:bookmarkEnd w:id="68"/>
    </w:p>
    <w:p w14:paraId="3E6F59C9">
      <w:pPr>
        <w:widowControl/>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详见磋商文件的内容。</w:t>
      </w:r>
    </w:p>
    <w:p w14:paraId="2A925FB3">
      <w:pPr>
        <w:widowControl/>
        <w:spacing w:line="400" w:lineRule="exact"/>
        <w:rPr>
          <w:rFonts w:hint="eastAsia" w:ascii="宋体" w:hAnsi="宋体" w:cs="宋体"/>
          <w:color w:val="121212"/>
          <w:szCs w:val="21"/>
          <w:highlight w:val="none"/>
        </w:rPr>
      </w:pPr>
      <w:bookmarkStart w:id="69" w:name="_Toc136662217"/>
      <w:r>
        <w:rPr>
          <w:rFonts w:hint="eastAsia" w:ascii="宋体" w:hAnsi="宋体" w:cs="宋体"/>
          <w:color w:val="121212"/>
          <w:szCs w:val="21"/>
          <w:highlight w:val="none"/>
        </w:rPr>
        <w:t>三、合同条款</w:t>
      </w:r>
      <w:bookmarkEnd w:id="69"/>
    </w:p>
    <w:p w14:paraId="5EA78C28">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1.应根据磋商文件、响应文件及采购方确认的采购技术要求、质量标准和数量及交货日期、交货地点、验收方式、付款方式为合同的基本条款。</w:t>
      </w:r>
    </w:p>
    <w:p w14:paraId="7155B2A3">
      <w:pPr>
        <w:widowControl/>
        <w:spacing w:line="400" w:lineRule="exact"/>
        <w:ind w:firstLine="420" w:firstLineChars="200"/>
        <w:jc w:val="left"/>
        <w:rPr>
          <w:rFonts w:hint="eastAsia" w:ascii="宋体" w:hAnsi="宋体" w:cs="宋体"/>
          <w:color w:val="121212"/>
          <w:kern w:val="2"/>
          <w:sz w:val="21"/>
          <w:szCs w:val="21"/>
          <w:highlight w:val="none"/>
          <w:lang w:bidi="ar"/>
        </w:rPr>
      </w:pPr>
      <w:r>
        <w:rPr>
          <w:rFonts w:hint="eastAsia" w:ascii="宋体" w:hAnsi="宋体" w:cs="宋体"/>
          <w:color w:val="121212"/>
          <w:szCs w:val="21"/>
          <w:highlight w:val="none"/>
          <w:lang w:val="en-US" w:eastAsia="zh-CN"/>
        </w:rPr>
        <w:t>3.</w:t>
      </w:r>
      <w:r>
        <w:rPr>
          <w:rFonts w:hint="eastAsia" w:ascii="宋体" w:hAnsi="宋体" w:cs="宋体"/>
          <w:color w:val="121212"/>
          <w:kern w:val="2"/>
          <w:sz w:val="21"/>
          <w:szCs w:val="21"/>
          <w:highlight w:val="none"/>
          <w:lang w:bidi="ar"/>
        </w:rPr>
        <w:t>付款方式及条件：</w:t>
      </w:r>
    </w:p>
    <w:p w14:paraId="795F08C8">
      <w:pPr>
        <w:widowControl/>
        <w:adjustRightInd w:val="0"/>
        <w:snapToGrid w:val="0"/>
        <w:spacing w:line="400" w:lineRule="exact"/>
        <w:ind w:firstLine="420" w:firstLineChars="200"/>
        <w:rPr>
          <w:rFonts w:hint="eastAsia" w:ascii="宋体" w:hAnsi="宋体" w:cs="宋体"/>
          <w:color w:val="121212"/>
          <w:kern w:val="2"/>
          <w:sz w:val="21"/>
          <w:szCs w:val="21"/>
          <w:highlight w:val="none"/>
          <w:lang w:bidi="ar"/>
        </w:rPr>
      </w:pPr>
      <w:r>
        <w:rPr>
          <w:rFonts w:hint="eastAsia" w:ascii="宋体" w:hAnsi="宋体" w:cs="宋体"/>
          <w:color w:val="121212"/>
          <w:kern w:val="2"/>
          <w:sz w:val="21"/>
          <w:szCs w:val="21"/>
          <w:highlight w:val="none"/>
          <w:lang w:bidi="ar"/>
        </w:rPr>
        <w:t>合同签订后的3个工作日内，成交供应商需向采购人缴纳履约保证金（金额为合同总价的5%，可采用支票、汇票、本票、网上银行支付，或金融机构、担保机构出具的保函、保险公司出具的保证保险等非现金形式）。</w:t>
      </w:r>
    </w:p>
    <w:p w14:paraId="77F6F645">
      <w:pPr>
        <w:widowControl/>
        <w:adjustRightInd w:val="0"/>
        <w:snapToGrid w:val="0"/>
        <w:spacing w:line="400" w:lineRule="exact"/>
        <w:ind w:firstLine="420" w:firstLineChars="200"/>
        <w:rPr>
          <w:rFonts w:hint="eastAsia" w:ascii="宋体" w:hAnsi="宋体" w:eastAsia="宋体" w:cs="宋体"/>
          <w:color w:val="121212"/>
          <w:szCs w:val="21"/>
          <w:highlight w:val="none"/>
          <w:lang w:val="en-US" w:eastAsia="zh-CN"/>
        </w:rPr>
      </w:pPr>
      <w:r>
        <w:rPr>
          <w:rFonts w:hint="eastAsia" w:ascii="宋体" w:hAnsi="宋体" w:cs="宋体"/>
          <w:color w:val="121212"/>
          <w:kern w:val="2"/>
          <w:sz w:val="21"/>
          <w:szCs w:val="21"/>
          <w:highlight w:val="none"/>
          <w:lang w:bidi="ar"/>
        </w:rPr>
        <w:t>待整个项目验收合格，且成交供应商向采购人提供正规的增值税发票后的10个工作日内，采购人将支付款项至合同总价的100%。此时，履约保证金在成交供应商已履行完本合同约定的全部权利义务事项后将一次性付清（不计利息）。支付前，成交供应商需向采购人提供正规增值税发票。</w:t>
      </w:r>
    </w:p>
    <w:p w14:paraId="0146FA6E">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lang w:val="en-US" w:eastAsia="zh-CN"/>
        </w:rPr>
        <w:t>4.</w:t>
      </w:r>
      <w:r>
        <w:rPr>
          <w:rFonts w:hint="eastAsia" w:ascii="宋体" w:hAnsi="宋体" w:cs="宋体"/>
          <w:color w:val="121212"/>
          <w:szCs w:val="21"/>
          <w:highlight w:val="none"/>
        </w:rPr>
        <w:t>服务的承诺。</w:t>
      </w:r>
    </w:p>
    <w:p w14:paraId="6ED89AC3">
      <w:pPr>
        <w:widowControl/>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lang w:val="en-US" w:eastAsia="zh-CN"/>
        </w:rPr>
        <w:t>5.</w:t>
      </w:r>
      <w:r>
        <w:rPr>
          <w:rFonts w:hint="eastAsia" w:ascii="宋体" w:hAnsi="宋体" w:cs="宋体"/>
          <w:color w:val="121212"/>
          <w:szCs w:val="21"/>
          <w:highlight w:val="none"/>
        </w:rPr>
        <w:t>本合同一式四份，以中文书写，采购人、成交供应商各执二份。</w:t>
      </w:r>
    </w:p>
    <w:p w14:paraId="3E9DE8EB">
      <w:pPr>
        <w:widowControl/>
        <w:spacing w:line="400" w:lineRule="exact"/>
        <w:rPr>
          <w:rFonts w:hint="eastAsia" w:ascii="宋体" w:hAnsi="宋体" w:cs="宋体"/>
          <w:color w:val="121212"/>
          <w:szCs w:val="21"/>
          <w:highlight w:val="none"/>
        </w:rPr>
      </w:pPr>
      <w:bookmarkStart w:id="70" w:name="_Toc136662218"/>
      <w:r>
        <w:rPr>
          <w:rFonts w:hint="eastAsia" w:ascii="宋体" w:hAnsi="宋体" w:cs="宋体"/>
          <w:color w:val="121212"/>
          <w:szCs w:val="21"/>
          <w:highlight w:val="none"/>
        </w:rPr>
        <w:t>四、合同文件</w:t>
      </w:r>
      <w:bookmarkEnd w:id="70"/>
    </w:p>
    <w:p w14:paraId="13695393">
      <w:pPr>
        <w:widowControl/>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下列文件为本合同不可分割的部分：</w:t>
      </w:r>
    </w:p>
    <w:p w14:paraId="2E08A214">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1.磋商文件</w:t>
      </w:r>
    </w:p>
    <w:p w14:paraId="115EE83D">
      <w:pPr>
        <w:widowControl/>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2.成交供应商的响应文件</w:t>
      </w:r>
    </w:p>
    <w:p w14:paraId="22260687">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3.成交通知书</w:t>
      </w:r>
    </w:p>
    <w:p w14:paraId="7BC2302A">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4.采购人在招标期间发出的所有补充文件</w:t>
      </w:r>
    </w:p>
    <w:p w14:paraId="53DBD427">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5.成交供应商在招标期间补充的所有书面文件</w:t>
      </w:r>
    </w:p>
    <w:p w14:paraId="750BBA97">
      <w:pPr>
        <w:widowControl/>
        <w:adjustRightInd w:val="0"/>
        <w:snapToGrid w:val="0"/>
        <w:spacing w:line="400" w:lineRule="exact"/>
        <w:ind w:firstLine="420" w:firstLineChars="200"/>
        <w:rPr>
          <w:rFonts w:hint="eastAsia" w:ascii="宋体" w:hAnsi="宋体" w:cs="宋体"/>
          <w:color w:val="121212"/>
          <w:szCs w:val="21"/>
          <w:highlight w:val="none"/>
        </w:rPr>
      </w:pPr>
      <w:r>
        <w:rPr>
          <w:rFonts w:hint="eastAsia" w:ascii="宋体" w:hAnsi="宋体" w:cs="宋体"/>
          <w:color w:val="121212"/>
          <w:szCs w:val="21"/>
          <w:highlight w:val="none"/>
        </w:rPr>
        <w:t>6.商洽本合同时，双方澄清、确认并共同签字的补充文件、技术协议（技术资料）。</w:t>
      </w:r>
    </w:p>
    <w:p w14:paraId="53408881">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采购人（公章）：                  成交方（公章）：</w:t>
      </w:r>
    </w:p>
    <w:p w14:paraId="60848F01">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法定代表人：                      法定代表人：</w:t>
      </w:r>
    </w:p>
    <w:p w14:paraId="6961638B">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委托代理人：                      委托代理人：</w:t>
      </w:r>
    </w:p>
    <w:p w14:paraId="7780D3CE">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电    话：                        电    话：</w:t>
      </w:r>
    </w:p>
    <w:p w14:paraId="566E0DC8">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传    真：                        传    真：</w:t>
      </w:r>
    </w:p>
    <w:p w14:paraId="6028DFD1">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邮政编码：                        邮政编码：</w:t>
      </w:r>
    </w:p>
    <w:p w14:paraId="56266653">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开户银行：                        开户银行：</w:t>
      </w:r>
    </w:p>
    <w:p w14:paraId="1010754C">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帐    号：                        帐    号：</w:t>
      </w:r>
    </w:p>
    <w:p w14:paraId="11A8B9F4">
      <w:pPr>
        <w:widowControl/>
        <w:spacing w:line="400" w:lineRule="exact"/>
        <w:ind w:firstLine="482"/>
        <w:rPr>
          <w:rFonts w:hint="eastAsia" w:ascii="宋体" w:hAnsi="宋体" w:cs="宋体"/>
          <w:color w:val="121212"/>
          <w:szCs w:val="21"/>
          <w:highlight w:val="none"/>
        </w:rPr>
      </w:pPr>
      <w:r>
        <w:rPr>
          <w:rFonts w:hint="eastAsia" w:ascii="宋体" w:hAnsi="宋体" w:cs="宋体"/>
          <w:color w:val="121212"/>
          <w:szCs w:val="21"/>
          <w:highlight w:val="none"/>
        </w:rPr>
        <w:t>税    号：                        税    号：</w:t>
      </w:r>
    </w:p>
    <w:p w14:paraId="34E0B168">
      <w:pPr>
        <w:pStyle w:val="8"/>
        <w:keepNext w:val="0"/>
        <w:keepLines w:val="0"/>
        <w:pageBreakBefore w:val="0"/>
        <w:kinsoku w:val="0"/>
        <w:wordWrap/>
        <w:overflowPunct/>
        <w:topLinePunct w:val="0"/>
        <w:autoSpaceDE w:val="0"/>
        <w:autoSpaceDN w:val="0"/>
        <w:bidi w:val="0"/>
        <w:adjustRightInd w:val="0"/>
        <w:snapToGrid w:val="0"/>
        <w:spacing w:line="360" w:lineRule="auto"/>
        <w:ind w:left="0" w:leftChars="0" w:right="344" w:rightChars="164" w:firstLine="480" w:firstLineChars="200"/>
        <w:jc w:val="both"/>
        <w:textAlignment w:val="baseline"/>
        <w:rPr>
          <w:rFonts w:hint="eastAsia" w:ascii="宋体" w:hAnsi="宋体" w:eastAsia="宋体" w:cs="宋体"/>
          <w:color w:val="auto"/>
          <w:sz w:val="24"/>
          <w:szCs w:val="24"/>
          <w:highlight w:val="none"/>
          <w:lang w:val="en-US" w:eastAsia="zh-CN"/>
        </w:rPr>
      </w:pPr>
    </w:p>
    <w:p w14:paraId="4ECCE7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p>
    <w:p w14:paraId="3CF604B3">
      <w:pP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bookmarkStart w:id="71" w:name="_Toc6655"/>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br w:type="page"/>
      </w:r>
    </w:p>
    <w:p w14:paraId="0F9D33ED">
      <w:pPr>
        <w:pageBreakBefore w:val="0"/>
        <w:widowControl w:val="0"/>
        <w:wordWrap/>
        <w:overflowPunct/>
        <w:topLinePunct w:val="0"/>
        <w:bidi w:val="0"/>
        <w:spacing w:before="83" w:line="224" w:lineRule="auto"/>
        <w:jc w:val="center"/>
        <w:outlineLvl w:val="0"/>
        <w:rPr>
          <w:rFonts w:ascii="宋体" w:hAnsi="宋体" w:eastAsia="宋体" w:cs="宋体"/>
          <w:color w:val="auto"/>
          <w:sz w:val="31"/>
          <w:szCs w:val="31"/>
          <w:highlight w:val="none"/>
          <w:lang w:eastAsia="zh-CN"/>
        </w:rPr>
      </w:pP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bookmarkEnd w:id="71"/>
    </w:p>
    <w:p w14:paraId="1896392F">
      <w:pPr>
        <w:pageBreakBefore w:val="0"/>
        <w:widowControl w:val="0"/>
        <w:wordWrap/>
        <w:overflowPunct/>
        <w:topLinePunct w:val="0"/>
        <w:bidi w:val="0"/>
        <w:spacing w:line="269" w:lineRule="auto"/>
        <w:jc w:val="center"/>
        <w:rPr>
          <w:color w:val="auto"/>
          <w:highlight w:val="none"/>
          <w:lang w:eastAsia="zh-CN"/>
        </w:rPr>
      </w:pPr>
    </w:p>
    <w:p w14:paraId="44C2EBD5">
      <w:pPr>
        <w:pageBreakBefore w:val="0"/>
        <w:widowControl w:val="0"/>
        <w:wordWrap/>
        <w:overflowPunct/>
        <w:topLinePunct w:val="0"/>
        <w:bidi w:val="0"/>
        <w:spacing w:line="269" w:lineRule="auto"/>
        <w:jc w:val="center"/>
        <w:rPr>
          <w:color w:val="auto"/>
          <w:highlight w:val="none"/>
          <w:lang w:eastAsia="zh-CN"/>
        </w:rPr>
      </w:pPr>
    </w:p>
    <w:p w14:paraId="06EA38BC">
      <w:pPr>
        <w:pageBreakBefore w:val="0"/>
        <w:widowControl w:val="0"/>
        <w:wordWrap/>
        <w:overflowPunct/>
        <w:topLinePunct w:val="0"/>
        <w:bidi w:val="0"/>
        <w:spacing w:line="269" w:lineRule="auto"/>
        <w:jc w:val="center"/>
        <w:rPr>
          <w:color w:val="auto"/>
          <w:highlight w:val="none"/>
          <w:lang w:eastAsia="zh-CN"/>
        </w:rPr>
      </w:pPr>
    </w:p>
    <w:p w14:paraId="54E68588">
      <w:pPr>
        <w:pageBreakBefore w:val="0"/>
        <w:widowControl w:val="0"/>
        <w:wordWrap/>
        <w:overflowPunct/>
        <w:topLinePunct w:val="0"/>
        <w:bidi w:val="0"/>
        <w:spacing w:line="269" w:lineRule="auto"/>
        <w:jc w:val="center"/>
        <w:rPr>
          <w:color w:val="auto"/>
          <w:highlight w:val="none"/>
          <w:lang w:eastAsia="zh-CN"/>
        </w:rPr>
      </w:pPr>
    </w:p>
    <w:p w14:paraId="0CB59ED8">
      <w:pPr>
        <w:pageBreakBefore w:val="0"/>
        <w:widowControl w:val="0"/>
        <w:wordWrap/>
        <w:overflowPunct/>
        <w:topLinePunct w:val="0"/>
        <w:bidi w:val="0"/>
        <w:spacing w:before="100" w:line="225"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磋 商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p>
    <w:p w14:paraId="61B32423">
      <w:pPr>
        <w:pageBreakBefore w:val="0"/>
        <w:widowControl w:val="0"/>
        <w:wordWrap/>
        <w:overflowPunct/>
        <w:topLinePunct w:val="0"/>
        <w:bidi w:val="0"/>
        <w:jc w:val="center"/>
        <w:rPr>
          <w:color w:val="auto"/>
          <w:highlight w:val="none"/>
          <w:lang w:eastAsia="zh-CN"/>
        </w:rPr>
      </w:pPr>
    </w:p>
    <w:p w14:paraId="2D9963E8">
      <w:pPr>
        <w:pageBreakBefore w:val="0"/>
        <w:widowControl w:val="0"/>
        <w:wordWrap/>
        <w:overflowPunct/>
        <w:topLinePunct w:val="0"/>
        <w:bidi w:val="0"/>
        <w:rPr>
          <w:color w:val="auto"/>
          <w:highlight w:val="none"/>
          <w:lang w:eastAsia="zh-CN"/>
        </w:rPr>
      </w:pPr>
    </w:p>
    <w:p w14:paraId="3E5C94A5">
      <w:pPr>
        <w:pageBreakBefore w:val="0"/>
        <w:widowControl w:val="0"/>
        <w:wordWrap/>
        <w:overflowPunct/>
        <w:topLinePunct w:val="0"/>
        <w:bidi w:val="0"/>
        <w:rPr>
          <w:color w:val="auto"/>
          <w:highlight w:val="none"/>
          <w:lang w:eastAsia="zh-CN"/>
        </w:rPr>
      </w:pPr>
    </w:p>
    <w:p w14:paraId="214F8F66">
      <w:pPr>
        <w:pageBreakBefore w:val="0"/>
        <w:widowControl w:val="0"/>
        <w:wordWrap/>
        <w:overflowPunct/>
        <w:topLinePunct w:val="0"/>
        <w:bidi w:val="0"/>
        <w:rPr>
          <w:color w:val="auto"/>
          <w:highlight w:val="none"/>
          <w:lang w:eastAsia="zh-CN"/>
        </w:rPr>
      </w:pPr>
    </w:p>
    <w:p w14:paraId="61934DFA">
      <w:pPr>
        <w:pageBreakBefore w:val="0"/>
        <w:widowControl w:val="0"/>
        <w:wordWrap/>
        <w:overflowPunct/>
        <w:topLinePunct w:val="0"/>
        <w:bidi w:val="0"/>
        <w:rPr>
          <w:color w:val="auto"/>
          <w:highlight w:val="none"/>
          <w:lang w:eastAsia="zh-CN"/>
        </w:rPr>
      </w:pPr>
    </w:p>
    <w:p w14:paraId="3F267FD2">
      <w:pPr>
        <w:pageBreakBefore w:val="0"/>
        <w:widowControl w:val="0"/>
        <w:wordWrap/>
        <w:overflowPunct/>
        <w:topLinePunct w:val="0"/>
        <w:bidi w:val="0"/>
        <w:rPr>
          <w:color w:val="auto"/>
          <w:highlight w:val="none"/>
          <w:lang w:eastAsia="zh-CN"/>
        </w:rPr>
      </w:pPr>
    </w:p>
    <w:p w14:paraId="61B3031B">
      <w:pPr>
        <w:pageBreakBefore w:val="0"/>
        <w:widowControl w:val="0"/>
        <w:wordWrap/>
        <w:overflowPunct/>
        <w:topLinePunct w:val="0"/>
        <w:bidi w:val="0"/>
        <w:rPr>
          <w:color w:val="auto"/>
          <w:highlight w:val="none"/>
          <w:lang w:eastAsia="zh-CN"/>
        </w:rPr>
      </w:pPr>
    </w:p>
    <w:p w14:paraId="0DDF134B">
      <w:pPr>
        <w:pageBreakBefore w:val="0"/>
        <w:widowControl w:val="0"/>
        <w:wordWrap/>
        <w:overflowPunct/>
        <w:topLinePunct w:val="0"/>
        <w:bidi w:val="0"/>
        <w:rPr>
          <w:color w:val="auto"/>
          <w:highlight w:val="none"/>
          <w:lang w:eastAsia="zh-CN"/>
        </w:rPr>
      </w:pPr>
    </w:p>
    <w:p w14:paraId="02361A39">
      <w:pPr>
        <w:pageBreakBefore w:val="0"/>
        <w:widowControl w:val="0"/>
        <w:wordWrap/>
        <w:overflowPunct/>
        <w:topLinePunct w:val="0"/>
        <w:bidi w:val="0"/>
        <w:spacing w:line="241" w:lineRule="auto"/>
        <w:rPr>
          <w:color w:val="auto"/>
          <w:highlight w:val="none"/>
          <w:lang w:eastAsia="zh-CN"/>
        </w:rPr>
      </w:pPr>
    </w:p>
    <w:p w14:paraId="5CFCEDBB">
      <w:pPr>
        <w:pageBreakBefore w:val="0"/>
        <w:widowControl w:val="0"/>
        <w:wordWrap/>
        <w:overflowPunct/>
        <w:topLinePunct w:val="0"/>
        <w:bidi w:val="0"/>
        <w:spacing w:line="241" w:lineRule="auto"/>
        <w:rPr>
          <w:color w:val="auto"/>
          <w:highlight w:val="none"/>
          <w:lang w:eastAsia="zh-CN"/>
        </w:rPr>
      </w:pPr>
    </w:p>
    <w:p w14:paraId="45B1F527">
      <w:pPr>
        <w:pageBreakBefore w:val="0"/>
        <w:widowControl w:val="0"/>
        <w:wordWrap/>
        <w:overflowPunct/>
        <w:topLinePunct w:val="0"/>
        <w:bidi w:val="0"/>
        <w:spacing w:line="241" w:lineRule="auto"/>
        <w:rPr>
          <w:color w:val="auto"/>
          <w:highlight w:val="none"/>
          <w:lang w:eastAsia="zh-CN"/>
        </w:rPr>
      </w:pPr>
    </w:p>
    <w:p w14:paraId="5901B773">
      <w:pPr>
        <w:pageBreakBefore w:val="0"/>
        <w:widowControl w:val="0"/>
        <w:wordWrap/>
        <w:overflowPunct/>
        <w:topLinePunct w:val="0"/>
        <w:bidi w:val="0"/>
        <w:spacing w:line="241" w:lineRule="auto"/>
        <w:rPr>
          <w:color w:val="auto"/>
          <w:highlight w:val="none"/>
          <w:lang w:eastAsia="zh-CN"/>
        </w:rPr>
      </w:pPr>
    </w:p>
    <w:p w14:paraId="2768AF40">
      <w:pPr>
        <w:pageBreakBefore w:val="0"/>
        <w:widowControl w:val="0"/>
        <w:wordWrap/>
        <w:overflowPunct/>
        <w:topLinePunct w:val="0"/>
        <w:bidi w:val="0"/>
        <w:spacing w:line="241" w:lineRule="auto"/>
        <w:rPr>
          <w:color w:val="auto"/>
          <w:highlight w:val="none"/>
          <w:lang w:eastAsia="zh-CN"/>
        </w:rPr>
      </w:pPr>
    </w:p>
    <w:p w14:paraId="4C3F60FC">
      <w:pPr>
        <w:pageBreakBefore w:val="0"/>
        <w:widowControl w:val="0"/>
        <w:wordWrap/>
        <w:overflowPunct/>
        <w:topLinePunct w:val="0"/>
        <w:bidi w:val="0"/>
        <w:spacing w:line="241" w:lineRule="auto"/>
        <w:rPr>
          <w:color w:val="auto"/>
          <w:highlight w:val="none"/>
          <w:lang w:eastAsia="zh-CN"/>
        </w:rPr>
      </w:pPr>
    </w:p>
    <w:p w14:paraId="66CB8F6C">
      <w:pPr>
        <w:pageBreakBefore w:val="0"/>
        <w:widowControl w:val="0"/>
        <w:wordWrap/>
        <w:overflowPunct/>
        <w:topLinePunct w:val="0"/>
        <w:bidi w:val="0"/>
        <w:spacing w:line="241" w:lineRule="auto"/>
        <w:rPr>
          <w:color w:val="auto"/>
          <w:highlight w:val="none"/>
          <w:lang w:eastAsia="zh-CN"/>
        </w:rPr>
      </w:pPr>
    </w:p>
    <w:p w14:paraId="7344F21C">
      <w:pPr>
        <w:pageBreakBefore w:val="0"/>
        <w:widowControl w:val="0"/>
        <w:wordWrap/>
        <w:overflowPunct/>
        <w:topLinePunct w:val="0"/>
        <w:bidi w:val="0"/>
        <w:spacing w:line="241" w:lineRule="auto"/>
        <w:rPr>
          <w:color w:val="auto"/>
          <w:highlight w:val="none"/>
          <w:lang w:eastAsia="zh-CN"/>
        </w:rPr>
      </w:pPr>
    </w:p>
    <w:p w14:paraId="4EE983A1">
      <w:pPr>
        <w:pageBreakBefore w:val="0"/>
        <w:widowControl w:val="0"/>
        <w:wordWrap/>
        <w:overflowPunct/>
        <w:topLinePunct w:val="0"/>
        <w:bidi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5B5D8D63">
      <w:pPr>
        <w:pageBreakBefore w:val="0"/>
        <w:widowControl w:val="0"/>
        <w:wordWrap/>
        <w:overflowPunct/>
        <w:topLinePunct w:val="0"/>
        <w:bidi w:val="0"/>
        <w:spacing w:line="258" w:lineRule="auto"/>
        <w:rPr>
          <w:color w:val="auto"/>
          <w:highlight w:val="none"/>
          <w:lang w:eastAsia="zh-CN"/>
        </w:rPr>
      </w:pPr>
    </w:p>
    <w:p w14:paraId="00384BD4">
      <w:pPr>
        <w:pageBreakBefore w:val="0"/>
        <w:widowControl w:val="0"/>
        <w:wordWrap/>
        <w:overflowPunct/>
        <w:topLinePunct w:val="0"/>
        <w:bidi w:val="0"/>
        <w:spacing w:line="258" w:lineRule="auto"/>
        <w:rPr>
          <w:color w:val="auto"/>
          <w:highlight w:val="none"/>
          <w:lang w:eastAsia="zh-CN"/>
        </w:rPr>
      </w:pPr>
    </w:p>
    <w:p w14:paraId="533FBAED">
      <w:pPr>
        <w:pageBreakBefore w:val="0"/>
        <w:widowControl w:val="0"/>
        <w:wordWrap/>
        <w:overflowPunct/>
        <w:topLinePunct w:val="0"/>
        <w:bidi w:val="0"/>
        <w:spacing w:line="258" w:lineRule="auto"/>
        <w:rPr>
          <w:color w:val="auto"/>
          <w:highlight w:val="none"/>
          <w:lang w:eastAsia="zh-CN"/>
        </w:rPr>
      </w:pPr>
    </w:p>
    <w:p w14:paraId="28BD37B6">
      <w:pPr>
        <w:pageBreakBefore w:val="0"/>
        <w:widowControl w:val="0"/>
        <w:wordWrap/>
        <w:overflowPunct/>
        <w:topLinePunct w:val="0"/>
        <w:bidi w:val="0"/>
        <w:spacing w:line="259" w:lineRule="auto"/>
        <w:rPr>
          <w:color w:val="auto"/>
          <w:highlight w:val="none"/>
          <w:lang w:eastAsia="zh-CN"/>
        </w:rPr>
      </w:pPr>
    </w:p>
    <w:p w14:paraId="5B70CEAF">
      <w:pPr>
        <w:pageBreakBefore w:val="0"/>
        <w:widowControl w:val="0"/>
        <w:wordWrap/>
        <w:overflowPunct/>
        <w:topLinePunct w:val="0"/>
        <w:bidi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1C45FC05">
      <w:pPr>
        <w:pageBreakBefore w:val="0"/>
        <w:widowControl w:val="0"/>
        <w:wordWrap/>
        <w:overflowPunct/>
        <w:topLinePunct w:val="0"/>
        <w:bidi w:val="0"/>
        <w:spacing w:line="245" w:lineRule="auto"/>
        <w:rPr>
          <w:color w:val="auto"/>
          <w:highlight w:val="none"/>
          <w:lang w:eastAsia="zh-CN"/>
        </w:rPr>
      </w:pPr>
    </w:p>
    <w:p w14:paraId="4D6068F5">
      <w:pPr>
        <w:pageBreakBefore w:val="0"/>
        <w:widowControl w:val="0"/>
        <w:wordWrap/>
        <w:overflowPunct/>
        <w:topLinePunct w:val="0"/>
        <w:bidi w:val="0"/>
        <w:spacing w:line="245" w:lineRule="auto"/>
        <w:rPr>
          <w:color w:val="auto"/>
          <w:highlight w:val="none"/>
          <w:lang w:eastAsia="zh-CN"/>
        </w:rPr>
      </w:pPr>
    </w:p>
    <w:p w14:paraId="76E21ED0">
      <w:pPr>
        <w:pageBreakBefore w:val="0"/>
        <w:widowControl w:val="0"/>
        <w:wordWrap/>
        <w:overflowPunct/>
        <w:topLinePunct w:val="0"/>
        <w:bidi w:val="0"/>
        <w:spacing w:line="245" w:lineRule="auto"/>
        <w:rPr>
          <w:color w:val="auto"/>
          <w:highlight w:val="none"/>
          <w:lang w:eastAsia="zh-CN"/>
        </w:rPr>
      </w:pPr>
    </w:p>
    <w:p w14:paraId="43181A7B">
      <w:pPr>
        <w:pageBreakBefore w:val="0"/>
        <w:widowControl w:val="0"/>
        <w:wordWrap/>
        <w:overflowPunct/>
        <w:topLinePunct w:val="0"/>
        <w:bidi w:val="0"/>
        <w:spacing w:line="245" w:lineRule="auto"/>
        <w:rPr>
          <w:color w:val="auto"/>
          <w:highlight w:val="none"/>
          <w:lang w:eastAsia="zh-CN"/>
        </w:rPr>
      </w:pPr>
    </w:p>
    <w:p w14:paraId="2CF8EE9E">
      <w:pPr>
        <w:pageBreakBefore w:val="0"/>
        <w:widowControl w:val="0"/>
        <w:wordWrap/>
        <w:overflowPunct/>
        <w:topLinePunct w:val="0"/>
        <w:bidi w:val="0"/>
        <w:spacing w:line="246" w:lineRule="auto"/>
        <w:rPr>
          <w:color w:val="auto"/>
          <w:highlight w:val="none"/>
          <w:lang w:eastAsia="zh-CN"/>
        </w:rPr>
      </w:pPr>
    </w:p>
    <w:p w14:paraId="4A79BBEA">
      <w:pPr>
        <w:pageBreakBefore w:val="0"/>
        <w:widowControl w:val="0"/>
        <w:wordWrap/>
        <w:overflowPunct/>
        <w:topLinePunct w:val="0"/>
        <w:bidi w:val="0"/>
        <w:spacing w:line="246" w:lineRule="auto"/>
        <w:rPr>
          <w:color w:val="auto"/>
          <w:highlight w:val="none"/>
          <w:lang w:eastAsia="zh-CN"/>
        </w:rPr>
      </w:pPr>
    </w:p>
    <w:p w14:paraId="78F637AD">
      <w:pPr>
        <w:pageBreakBefore w:val="0"/>
        <w:widowControl w:val="0"/>
        <w:wordWrap/>
        <w:overflowPunct/>
        <w:topLinePunct w:val="0"/>
        <w:bidi w:val="0"/>
        <w:spacing w:line="246" w:lineRule="auto"/>
        <w:rPr>
          <w:color w:val="auto"/>
          <w:highlight w:val="none"/>
          <w:lang w:eastAsia="zh-CN"/>
        </w:rPr>
      </w:pPr>
    </w:p>
    <w:p w14:paraId="1F46E441">
      <w:pPr>
        <w:pageBreakBefore w:val="0"/>
        <w:widowControl w:val="0"/>
        <w:wordWrap/>
        <w:overflowPunct/>
        <w:topLinePunct w:val="0"/>
        <w:bidi w:val="0"/>
        <w:spacing w:line="246" w:lineRule="auto"/>
        <w:rPr>
          <w:color w:val="auto"/>
          <w:highlight w:val="none"/>
          <w:lang w:eastAsia="zh-CN"/>
        </w:rPr>
      </w:pPr>
    </w:p>
    <w:p w14:paraId="64BC0934">
      <w:pPr>
        <w:pageBreakBefore w:val="0"/>
        <w:widowControl w:val="0"/>
        <w:wordWrap/>
        <w:overflowPunct/>
        <w:topLinePunct w:val="0"/>
        <w:bidi w:val="0"/>
        <w:spacing w:before="78" w:line="219" w:lineRule="auto"/>
        <w:ind w:left="3362"/>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2CB6D108">
      <w:pPr>
        <w:pageBreakBefore w:val="0"/>
        <w:widowControl w:val="0"/>
        <w:wordWrap/>
        <w:overflowPunct/>
        <w:topLinePunct w:val="0"/>
        <w:bidi w:val="0"/>
        <w:spacing w:line="285" w:lineRule="auto"/>
        <w:rPr>
          <w:color w:val="auto"/>
          <w:highlight w:val="none"/>
          <w:lang w:eastAsia="zh-CN"/>
        </w:rPr>
      </w:pPr>
    </w:p>
    <w:p w14:paraId="320A8B6F">
      <w:pPr>
        <w:pageBreakBefore w:val="0"/>
        <w:widowControl w:val="0"/>
        <w:wordWrap/>
        <w:overflowPunct/>
        <w:topLinePunct w:val="0"/>
        <w:bidi w:val="0"/>
        <w:spacing w:line="285" w:lineRule="auto"/>
        <w:rPr>
          <w:color w:val="auto"/>
          <w:highlight w:val="none"/>
          <w:lang w:eastAsia="zh-CN"/>
        </w:rPr>
      </w:pPr>
    </w:p>
    <w:p w14:paraId="5ADA4D86">
      <w:pPr>
        <w:pageBreakBefore w:val="0"/>
        <w:widowControl w:val="0"/>
        <w:wordWrap/>
        <w:overflowPunct/>
        <w:topLinePunct w:val="0"/>
        <w:bidi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721A498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8" w:type="default"/>
          <w:pgSz w:w="11906" w:h="16839"/>
          <w:pgMar w:top="1032" w:right="1157" w:bottom="1032" w:left="1174" w:header="0" w:footer="1200" w:gutter="0"/>
          <w:pgNumType w:fmt="decimal"/>
          <w:cols w:space="720" w:num="1"/>
        </w:sectPr>
      </w:pPr>
    </w:p>
    <w:p w14:paraId="1C5E66A1">
      <w:pPr>
        <w:pageBreakBefore w:val="0"/>
        <w:widowControl w:val="0"/>
        <w:wordWrap/>
        <w:overflowPunct/>
        <w:topLinePunct w:val="0"/>
        <w:bidi w:val="0"/>
        <w:spacing w:before="48" w:line="219" w:lineRule="auto"/>
        <w:ind w:left="3323"/>
        <w:outlineLvl w:val="1"/>
        <w:rPr>
          <w:rFonts w:ascii="宋体" w:hAnsi="宋体" w:eastAsia="宋体" w:cs="宋体"/>
          <w:color w:val="auto"/>
          <w:sz w:val="24"/>
          <w:szCs w:val="24"/>
          <w:highlight w:val="none"/>
          <w:lang w:eastAsia="zh-CN"/>
        </w:rPr>
      </w:pPr>
      <w:bookmarkStart w:id="72" w:name="bookmark54"/>
      <w:bookmarkEnd w:id="72"/>
      <w:bookmarkStart w:id="73" w:name="_Toc15156"/>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bookmarkEnd w:id="73"/>
    </w:p>
    <w:p w14:paraId="7A76435C">
      <w:pPr>
        <w:pageBreakBefore w:val="0"/>
        <w:widowControl w:val="0"/>
        <w:wordWrap/>
        <w:overflowPunct/>
        <w:topLinePunct w:val="0"/>
        <w:bidi w:val="0"/>
        <w:spacing w:beforeAutospacing="0" w:line="220" w:lineRule="auto"/>
        <w:ind w:left="1"/>
        <w:rPr>
          <w:rFonts w:ascii="宋体" w:hAnsi="宋体" w:eastAsia="宋体" w:cs="宋体"/>
          <w:b w:val="0"/>
          <w:bCs w:val="0"/>
          <w:color w:val="auto"/>
          <w:sz w:val="24"/>
          <w:szCs w:val="24"/>
          <w:highlight w:val="none"/>
          <w:lang w:eastAsia="zh-CN"/>
        </w:rPr>
      </w:pPr>
      <w:r>
        <w:rPr>
          <w:rFonts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2C807F5E">
      <w:pPr>
        <w:spacing w:line="400" w:lineRule="exact"/>
        <w:ind w:firstLine="480"/>
        <w:rPr>
          <w:rFonts w:ascii="宋体" w:hAnsi="宋体" w:eastAsia="宋体" w:cs="宋体"/>
          <w:i w:val="0"/>
          <w:iCs w:val="0"/>
          <w:color w:val="auto"/>
          <w:sz w:val="24"/>
          <w:szCs w:val="24"/>
          <w:highlight w:val="none"/>
          <w:lang w:eastAsia="zh-CN"/>
        </w:rPr>
      </w:pPr>
      <w:r>
        <w:rPr>
          <w:rFonts w:hint="eastAsia" w:ascii="宋体" w:hAnsi="宋体" w:cs="宋体"/>
          <w:i w:val="0"/>
          <w:iCs w:val="0"/>
          <w:color w:val="auto"/>
          <w:sz w:val="24"/>
          <w:highlight w:val="none"/>
        </w:rPr>
        <w:t>根据贵方为(</w:t>
      </w:r>
      <w:r>
        <w:rPr>
          <w:rFonts w:hint="eastAsia" w:ascii="宋体" w:hAnsi="宋体" w:cs="宋体"/>
          <w:i w:val="0"/>
          <w:iCs w:val="0"/>
          <w:color w:val="auto"/>
          <w:sz w:val="24"/>
          <w:highlight w:val="none"/>
          <w:u w:val="single"/>
        </w:rPr>
        <w:t>项目名称</w:t>
      </w:r>
      <w:r>
        <w:rPr>
          <w:rFonts w:hint="eastAsia" w:ascii="宋体" w:hAnsi="宋体" w:cs="宋体"/>
          <w:i w:val="0"/>
          <w:iCs w:val="0"/>
          <w:color w:val="auto"/>
          <w:sz w:val="24"/>
          <w:highlight w:val="none"/>
        </w:rPr>
        <w:t>)项目</w:t>
      </w:r>
      <w:r>
        <w:rPr>
          <w:rFonts w:hint="eastAsia" w:ascii="宋体" w:hAnsi="宋体" w:eastAsia="宋体" w:cs="宋体"/>
          <w:i w:val="0"/>
          <w:iCs w:val="0"/>
          <w:color w:val="auto"/>
          <w:sz w:val="24"/>
          <w:highlight w:val="none"/>
          <w:lang w:eastAsia="zh-CN"/>
        </w:rPr>
        <w:t>磋商</w:t>
      </w:r>
      <w:r>
        <w:rPr>
          <w:rFonts w:hint="eastAsia" w:ascii="宋体" w:hAnsi="宋体" w:cs="宋体"/>
          <w:i w:val="0"/>
          <w:iCs w:val="0"/>
          <w:color w:val="auto"/>
          <w:sz w:val="24"/>
          <w:highlight w:val="none"/>
        </w:rPr>
        <w:t>采购服务的</w:t>
      </w:r>
      <w:r>
        <w:rPr>
          <w:rFonts w:hint="eastAsia" w:ascii="宋体" w:hAnsi="宋体" w:eastAsia="宋体" w:cs="宋体"/>
          <w:i w:val="0"/>
          <w:iCs w:val="0"/>
          <w:color w:val="auto"/>
          <w:sz w:val="24"/>
          <w:highlight w:val="none"/>
          <w:lang w:eastAsia="zh-CN"/>
        </w:rPr>
        <w:t>磋商</w:t>
      </w:r>
      <w:r>
        <w:rPr>
          <w:rFonts w:hint="eastAsia" w:ascii="宋体" w:hAnsi="宋体" w:cs="宋体"/>
          <w:i w:val="0"/>
          <w:iCs w:val="0"/>
          <w:color w:val="auto"/>
          <w:sz w:val="24"/>
          <w:highlight w:val="none"/>
        </w:rPr>
        <w:t>邀请</w:t>
      </w:r>
      <w:r>
        <w:rPr>
          <w:rFonts w:hint="eastAsia" w:ascii="宋体" w:hAnsi="宋体" w:cs="宋体"/>
          <w:i w:val="0"/>
          <w:iCs w:val="0"/>
          <w:color w:val="auto"/>
          <w:sz w:val="24"/>
          <w:highlight w:val="none"/>
          <w:u w:val="single"/>
        </w:rPr>
        <w:t>(项目编号)</w:t>
      </w:r>
      <w:r>
        <w:rPr>
          <w:rFonts w:hint="eastAsia" w:ascii="宋体" w:hAnsi="宋体" w:cs="宋体"/>
          <w:i w:val="0"/>
          <w:iCs w:val="0"/>
          <w:color w:val="auto"/>
          <w:sz w:val="24"/>
          <w:highlight w:val="none"/>
        </w:rPr>
        <w:t>，签字代表(</w:t>
      </w:r>
      <w:r>
        <w:rPr>
          <w:rFonts w:hint="eastAsia" w:ascii="宋体" w:hAnsi="宋体" w:cs="宋体"/>
          <w:i w:val="0"/>
          <w:iCs w:val="0"/>
          <w:color w:val="auto"/>
          <w:sz w:val="24"/>
          <w:highlight w:val="none"/>
          <w:u w:val="single"/>
        </w:rPr>
        <w:t>姓名、职务</w:t>
      </w:r>
      <w:r>
        <w:rPr>
          <w:rFonts w:hint="eastAsia" w:ascii="宋体" w:hAnsi="宋体" w:cs="宋体"/>
          <w:i w:val="0"/>
          <w:iCs w:val="0"/>
          <w:color w:val="auto"/>
          <w:sz w:val="24"/>
          <w:highlight w:val="none"/>
        </w:rPr>
        <w:t>)经正式授权并代表我方</w:t>
      </w:r>
      <w:r>
        <w:rPr>
          <w:rFonts w:hint="eastAsia" w:ascii="宋体" w:hAnsi="宋体" w:cs="宋体"/>
          <w:i w:val="0"/>
          <w:iCs w:val="0"/>
          <w:color w:val="auto"/>
          <w:sz w:val="24"/>
          <w:highlight w:val="none"/>
          <w:u w:val="single"/>
        </w:rPr>
        <w:t>(</w:t>
      </w:r>
      <w:r>
        <w:rPr>
          <w:rFonts w:hint="eastAsia" w:ascii="宋体" w:hAnsi="宋体" w:eastAsia="宋体" w:cs="宋体"/>
          <w:i w:val="0"/>
          <w:iCs w:val="0"/>
          <w:color w:val="auto"/>
          <w:spacing w:val="-1"/>
          <w:sz w:val="24"/>
          <w:szCs w:val="24"/>
          <w:highlight w:val="none"/>
          <w:u w:val="single"/>
          <w:lang w:eastAsia="zh-CN"/>
        </w:rPr>
        <w:t>单位名称、地址)</w:t>
      </w:r>
      <w:r>
        <w:rPr>
          <w:rFonts w:hint="eastAsia" w:ascii="宋体" w:hAnsi="宋体" w:eastAsia="宋体" w:cs="宋体"/>
          <w:i w:val="0"/>
          <w:iCs w:val="0"/>
          <w:color w:val="auto"/>
          <w:spacing w:val="-1"/>
          <w:sz w:val="24"/>
          <w:szCs w:val="24"/>
          <w:highlight w:val="none"/>
          <w:lang w:eastAsia="zh-CN"/>
        </w:rPr>
        <w:t>提交下述文件:</w:t>
      </w:r>
      <w:r>
        <w:rPr>
          <w:rFonts w:ascii="宋体" w:hAnsi="宋体" w:eastAsia="宋体" w:cs="宋体"/>
          <w:i w:val="0"/>
          <w:iCs w:val="0"/>
          <w:color w:val="auto"/>
          <w:spacing w:val="-1"/>
          <w:sz w:val="24"/>
          <w:szCs w:val="24"/>
          <w:highlight w:val="none"/>
          <w:lang w:eastAsia="zh-CN"/>
        </w:rPr>
        <w:t>（电子版上传到江西省公共资源交易</w:t>
      </w:r>
      <w:r>
        <w:rPr>
          <w:rFonts w:hint="eastAsia" w:ascii="宋体" w:hAnsi="宋体" w:eastAsia="宋体" w:cs="宋体"/>
          <w:i w:val="0"/>
          <w:iCs w:val="0"/>
          <w:color w:val="auto"/>
          <w:spacing w:val="-1"/>
          <w:sz w:val="24"/>
          <w:szCs w:val="24"/>
          <w:highlight w:val="none"/>
          <w:lang w:val="en-US" w:eastAsia="zh-CN"/>
        </w:rPr>
        <w:t>平台</w:t>
      </w:r>
      <w:r>
        <w:rPr>
          <w:rFonts w:ascii="宋体" w:hAnsi="宋体" w:eastAsia="宋体" w:cs="宋体"/>
          <w:i w:val="0"/>
          <w:iCs w:val="0"/>
          <w:color w:val="auto"/>
          <w:spacing w:val="-1"/>
          <w:sz w:val="24"/>
          <w:szCs w:val="24"/>
          <w:highlight w:val="none"/>
          <w:lang w:eastAsia="zh-CN"/>
        </w:rPr>
        <w:t>）:</w:t>
      </w:r>
    </w:p>
    <w:p w14:paraId="08D29105">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磋商响应</w:t>
      </w:r>
      <w:r>
        <w:rPr>
          <w:rFonts w:hint="eastAsia" w:ascii="宋体" w:hAnsi="宋体" w:eastAsia="宋体" w:cs="宋体"/>
          <w:color w:val="auto"/>
          <w:sz w:val="24"/>
          <w:szCs w:val="24"/>
          <w:highlight w:val="none"/>
        </w:rPr>
        <w:t>书</w:t>
      </w:r>
    </w:p>
    <w:p w14:paraId="601AA003">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一览表</w:t>
      </w:r>
    </w:p>
    <w:p w14:paraId="4CEA5F7C">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3、分项报价表</w:t>
      </w:r>
    </w:p>
    <w:p w14:paraId="3F906FEB">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一览明细表（本项目不适用）</w:t>
      </w:r>
    </w:p>
    <w:p w14:paraId="4B3D0ADD">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需求响应/偏离表</w:t>
      </w:r>
    </w:p>
    <w:p w14:paraId="688F2B8F">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6、商务条件响应/偏离表</w:t>
      </w:r>
    </w:p>
    <w:p w14:paraId="7B44A9D2">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、为落实政府采购政策</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须提供的证明材料</w:t>
      </w:r>
    </w:p>
    <w:p w14:paraId="32E6A312">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、技术文件</w:t>
      </w:r>
    </w:p>
    <w:p w14:paraId="663468E9">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应当提交的资格、资信证明文件</w:t>
      </w:r>
    </w:p>
    <w:p w14:paraId="74203F3E">
      <w:pPr>
        <w:spacing w:line="380" w:lineRule="exact"/>
        <w:ind w:left="707" w:hanging="283"/>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其他证明资料</w:t>
      </w:r>
    </w:p>
    <w:p w14:paraId="149D3BDB">
      <w:pPr>
        <w:spacing w:line="40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、提交的</w:t>
      </w:r>
      <w:r>
        <w:rPr>
          <w:rFonts w:hint="eastAsia" w:ascii="宋体" w:hAnsi="宋体" w:eastAsia="宋体" w:cs="宋体"/>
          <w:color w:val="auto"/>
          <w:sz w:val="24"/>
          <w:szCs w:val="24"/>
          <w:highlight w:val="none"/>
          <w:lang w:eastAsia="zh-CN"/>
        </w:rPr>
        <w:t>磋商</w:t>
      </w:r>
      <w:r>
        <w:rPr>
          <w:rFonts w:hint="eastAsia" w:ascii="宋体" w:hAnsi="宋体" w:eastAsia="宋体" w:cs="宋体"/>
          <w:color w:val="auto"/>
          <w:sz w:val="24"/>
          <w:szCs w:val="24"/>
          <w:highlight w:val="none"/>
        </w:rPr>
        <w:t>保证金，金额为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w:t>
      </w:r>
    </w:p>
    <w:p w14:paraId="20C991E3">
      <w:pPr>
        <w:spacing w:line="400" w:lineRule="exact"/>
        <w:ind w:left="707" w:hanging="283"/>
        <w:rPr>
          <w:rFonts w:asciiTheme="minorEastAsia" w:hAnsiTheme="minorEastAsia" w:eastAsiaTheme="minorEastAsia" w:cstheme="minorEastAsia"/>
          <w:color w:val="auto"/>
          <w:sz w:val="24"/>
          <w:highlight w:val="none"/>
        </w:rPr>
      </w:pPr>
    </w:p>
    <w:p w14:paraId="31BDAC63">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据此函,签字代表宣布同意如下:</w:t>
      </w:r>
    </w:p>
    <w:p w14:paraId="3D42FA39">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 所附报价表中规定的应提供的服务总报价为</w:t>
      </w:r>
      <w:r>
        <w:rPr>
          <w:rFonts w:hint="eastAsia" w:ascii="宋体" w:hAnsi="宋体" w:eastAsia="宋体" w:cs="宋体"/>
          <w:color w:val="auto"/>
          <w:sz w:val="24"/>
          <w:szCs w:val="24"/>
          <w:highlight w:val="none"/>
          <w:u w:val="single"/>
          <w:lang w:val="en-US" w:eastAsia="zh-CN"/>
        </w:rPr>
        <w:t xml:space="preserve">         </w:t>
      </w:r>
      <w:r>
        <w:rPr>
          <w:rFonts w:hint="eastAsia" w:asciiTheme="minorEastAsia" w:hAnsiTheme="minorEastAsia" w:eastAsiaTheme="minorEastAsia" w:cstheme="minorEastAsia"/>
          <w:color w:val="auto"/>
          <w:sz w:val="24"/>
          <w:highlight w:val="none"/>
        </w:rPr>
        <w:t>（用文字和数字表示）。</w:t>
      </w:r>
    </w:p>
    <w:p w14:paraId="0968510B">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我方将按</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文件的规定履行合同责任和义务。</w:t>
      </w:r>
    </w:p>
    <w:p w14:paraId="68C9DC09">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我方已详细审查全部</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文件，包括第</w:t>
      </w:r>
      <w:r>
        <w:rPr>
          <w:rFonts w:hint="eastAsia" w:asciiTheme="minorEastAsia" w:hAnsiTheme="minorEastAsia" w:eastAsiaTheme="minorEastAsia" w:cstheme="minorEastAsia"/>
          <w:color w:val="auto"/>
          <w:sz w:val="24"/>
          <w:highlight w:val="none"/>
          <w:u w:val="single"/>
        </w:rPr>
        <w:t>(编号、补遗函)(如果有的话)。</w:t>
      </w:r>
      <w:r>
        <w:rPr>
          <w:rFonts w:hint="eastAsia" w:asciiTheme="minorEastAsia" w:hAnsiTheme="minorEastAsia" w:eastAsiaTheme="minorEastAsia" w:cstheme="minorEastAsia"/>
          <w:color w:val="auto"/>
          <w:sz w:val="24"/>
          <w:highlight w:val="none"/>
        </w:rPr>
        <w:t>我们完全理解并同意放弃对这方面有不明及误解的权力。</w:t>
      </w:r>
    </w:p>
    <w:p w14:paraId="506FD3DD">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本</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有效期为自</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之日起</w:t>
      </w:r>
      <w:r>
        <w:rPr>
          <w:rFonts w:hint="eastAsia" w:asciiTheme="minorEastAsia" w:hAnsiTheme="minorEastAsia" w:eastAsiaTheme="minorEastAsia" w:cstheme="minorEastAsia"/>
          <w:color w:val="auto"/>
          <w:sz w:val="24"/>
          <w:highlight w:val="none"/>
          <w:u w:val="single"/>
        </w:rPr>
        <w:t xml:space="preserve"> 90 </w:t>
      </w:r>
      <w:r>
        <w:rPr>
          <w:rFonts w:hint="eastAsia" w:asciiTheme="minorEastAsia" w:hAnsiTheme="minorEastAsia" w:eastAsiaTheme="minorEastAsia" w:cstheme="minorEastAsia"/>
          <w:color w:val="auto"/>
          <w:sz w:val="24"/>
          <w:highlight w:val="none"/>
        </w:rPr>
        <w:t>天。</w:t>
      </w:r>
    </w:p>
    <w:p w14:paraId="31179801">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如果在规定的</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时间后，我方在</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有效期内撤回响应文件，</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保证金不予退还。</w:t>
      </w:r>
    </w:p>
    <w:p w14:paraId="0D82F206">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 我方同意提供按照贵方可能要求的与其</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有关的一切数据或资料。</w:t>
      </w:r>
    </w:p>
    <w:p w14:paraId="6B4FFC15">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 与本</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有关的一切正式往来信函请寄:</w:t>
      </w:r>
    </w:p>
    <w:p w14:paraId="27F60FED">
      <w:pPr>
        <w:spacing w:line="400" w:lineRule="exact"/>
        <w:ind w:left="707" w:hanging="283"/>
        <w:rPr>
          <w:rFonts w:asciiTheme="minorEastAsia" w:hAnsiTheme="minorEastAsia" w:eastAsiaTheme="minorEastAsia" w:cstheme="minorEastAsia"/>
          <w:color w:val="auto"/>
          <w:sz w:val="24"/>
          <w:highlight w:val="none"/>
        </w:rPr>
      </w:pPr>
    </w:p>
    <w:p w14:paraId="0AADA30A">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地址传真</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79E1C9BF">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电话电子邮件</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2DE1EB32">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rPr>
        <w:t>供应商代表签字或签章</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u w:val="single"/>
          <w:lang w:val="en-US" w:eastAsia="zh-CN"/>
        </w:rPr>
        <w:t xml:space="preserve">              </w:t>
      </w:r>
    </w:p>
    <w:p w14:paraId="23AA6180">
      <w:pPr>
        <w:spacing w:line="432" w:lineRule="auto"/>
        <w:ind w:firstLine="480" w:firstLineChars="200"/>
        <w:rPr>
          <w:rFonts w:hint="default" w:asciiTheme="minorEastAsia" w:hAnsiTheme="minorEastAsia" w:eastAsiaTheme="minorEastAsia" w:cstheme="minorEastAsia"/>
          <w:color w:val="auto"/>
          <w:sz w:val="24"/>
          <w:highlight w:val="none"/>
          <w:u w:val="single"/>
          <w:lang w:val="en-US" w:eastAsia="zh-CN"/>
        </w:rPr>
      </w:pPr>
      <w:r>
        <w:rPr>
          <w:rFonts w:hint="eastAsia" w:asciiTheme="minorEastAsia" w:hAnsiTheme="minorEastAsia" w:eastAsiaTheme="minorEastAsia" w:cstheme="minorEastAsia"/>
          <w:color w:val="auto"/>
          <w:sz w:val="24"/>
          <w:highlight w:val="none"/>
          <w:lang w:eastAsia="zh-CN"/>
        </w:rPr>
        <w:t>供应商盖章：</w:t>
      </w:r>
      <w:r>
        <w:rPr>
          <w:rFonts w:hint="eastAsia" w:asciiTheme="minorEastAsia" w:hAnsiTheme="minorEastAsia" w:eastAsiaTheme="minorEastAsia" w:cstheme="minorEastAsia"/>
          <w:color w:val="auto"/>
          <w:sz w:val="24"/>
          <w:highlight w:val="none"/>
          <w:u w:val="single"/>
          <w:lang w:val="en-US" w:eastAsia="zh-CN"/>
        </w:rPr>
        <w:t xml:space="preserve">                        </w:t>
      </w:r>
    </w:p>
    <w:p w14:paraId="03330C16">
      <w:pPr>
        <w:pageBreakBefore w:val="0"/>
        <w:widowControl w:val="0"/>
        <w:wordWrap/>
        <w:overflowPunct/>
        <w:topLinePunct w:val="0"/>
        <w:bidi w:val="0"/>
        <w:spacing w:before="0" w:beforeLines="50" w:beforeAutospacing="0" w:line="220"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6A74F1CA">
      <w:pPr>
        <w:pageBreakBefore w:val="0"/>
        <w:widowControl w:val="0"/>
        <w:wordWrap/>
        <w:overflowPunct/>
        <w:topLinePunct w:val="0"/>
        <w:bidi w:val="0"/>
        <w:spacing w:line="220" w:lineRule="auto"/>
        <w:rPr>
          <w:rFonts w:ascii="宋体" w:hAnsi="宋体" w:eastAsia="宋体" w:cs="宋体"/>
          <w:color w:val="auto"/>
          <w:sz w:val="24"/>
          <w:szCs w:val="24"/>
          <w:highlight w:val="none"/>
          <w:lang w:eastAsia="zh-CN"/>
        </w:rPr>
        <w:sectPr>
          <w:footerReference r:id="rId9" w:type="default"/>
          <w:pgSz w:w="11906" w:h="16839"/>
          <w:pgMar w:top="1426" w:right="1054" w:bottom="1362" w:left="1425" w:header="0" w:footer="1200" w:gutter="0"/>
          <w:pgNumType w:fmt="decimal"/>
          <w:cols w:space="720" w:num="1"/>
        </w:sectPr>
      </w:pPr>
    </w:p>
    <w:p w14:paraId="6432C6DA">
      <w:pPr>
        <w:pageBreakBefore w:val="0"/>
        <w:widowControl w:val="0"/>
        <w:wordWrap/>
        <w:overflowPunct/>
        <w:topLinePunct w:val="0"/>
        <w:bidi w:val="0"/>
        <w:spacing w:before="48" w:line="219" w:lineRule="auto"/>
        <w:ind w:left="3323"/>
        <w:outlineLvl w:val="1"/>
        <w:rPr>
          <w:rFonts w:ascii="宋体" w:hAnsi="宋体" w:eastAsia="宋体" w:cs="宋体"/>
          <w:color w:val="auto"/>
          <w:sz w:val="24"/>
          <w:szCs w:val="24"/>
          <w:highlight w:val="none"/>
          <w:lang w:eastAsia="zh-CN"/>
        </w:rPr>
      </w:pPr>
      <w:bookmarkStart w:id="74" w:name="bookmark55"/>
      <w:bookmarkEnd w:id="74"/>
      <w:bookmarkStart w:id="75" w:name="_Toc488"/>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bookmarkEnd w:id="75"/>
    </w:p>
    <w:p w14:paraId="7FE798BD">
      <w:pPr>
        <w:pageBreakBefore w:val="0"/>
        <w:widowControl w:val="0"/>
        <w:wordWrap/>
        <w:overflowPunct/>
        <w:topLinePunct w:val="0"/>
        <w:bidi w:val="0"/>
        <w:spacing w:line="276" w:lineRule="auto"/>
        <w:rPr>
          <w:color w:val="auto"/>
          <w:highlight w:val="none"/>
          <w:lang w:eastAsia="zh-CN"/>
        </w:rPr>
      </w:pPr>
    </w:p>
    <w:p w14:paraId="343A2D98">
      <w:pPr>
        <w:pageBreakBefore w:val="0"/>
        <w:widowControl w:val="0"/>
        <w:wordWrap/>
        <w:overflowPunct/>
        <w:topLinePunct w:val="0"/>
        <w:bidi w:val="0"/>
        <w:spacing w:line="276" w:lineRule="auto"/>
        <w:rPr>
          <w:color w:val="auto"/>
          <w:highlight w:val="none"/>
          <w:lang w:eastAsia="zh-CN"/>
        </w:rPr>
      </w:pPr>
    </w:p>
    <w:p w14:paraId="77ED94F6">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2388ACD7">
      <w:pPr>
        <w:pageBreakBefore w:val="0"/>
        <w:widowControl w:val="0"/>
        <w:wordWrap/>
        <w:overflowPunct/>
        <w:topLinePunct w:val="0"/>
        <w:bidi w:val="0"/>
        <w:rPr>
          <w:color w:val="auto"/>
          <w:highlight w:val="none"/>
          <w:lang w:eastAsia="zh-CN"/>
        </w:rPr>
      </w:pPr>
    </w:p>
    <w:p w14:paraId="0FF3542A">
      <w:pPr>
        <w:pageBreakBefore w:val="0"/>
        <w:widowControl w:val="0"/>
        <w:wordWrap/>
        <w:overflowPunct/>
        <w:topLinePunct w:val="0"/>
        <w:bidi w:val="0"/>
        <w:jc w:val="both"/>
        <w:rPr>
          <w:rFonts w:hint="default" w:ascii="宋体" w:hAnsi="宋体" w:eastAsia="宋体" w:cs="宋体"/>
          <w:b/>
          <w:bCs/>
          <w:color w:val="auto"/>
          <w:highlight w:val="none"/>
          <w:lang w:val="en-US" w:eastAsia="zh-CN"/>
        </w:rPr>
      </w:pPr>
    </w:p>
    <w:p w14:paraId="487F03F2">
      <w:pPr>
        <w:pageBreakBefore w:val="0"/>
        <w:widowControl w:val="0"/>
        <w:wordWrap/>
        <w:overflowPunct/>
        <w:topLinePunct w:val="0"/>
        <w:bidi w:val="0"/>
        <w:rPr>
          <w:color w:val="auto"/>
          <w:highlight w:val="none"/>
          <w:lang w:eastAsia="zh-CN"/>
        </w:rPr>
      </w:pPr>
    </w:p>
    <w:p w14:paraId="7C2D3C88">
      <w:pPr>
        <w:pageBreakBefore w:val="0"/>
        <w:widowControl w:val="0"/>
        <w:wordWrap/>
        <w:overflowPunct/>
        <w:topLinePunct w:val="0"/>
        <w:bidi w:val="0"/>
        <w:rPr>
          <w:color w:val="auto"/>
          <w:highlight w:val="none"/>
          <w:lang w:eastAsia="zh-CN"/>
        </w:rPr>
      </w:pPr>
    </w:p>
    <w:p w14:paraId="1977AFC4">
      <w:pPr>
        <w:pageBreakBefore w:val="0"/>
        <w:widowControl w:val="0"/>
        <w:wordWrap/>
        <w:overflowPunct/>
        <w:topLinePunct w:val="0"/>
        <w:bidi w:val="0"/>
        <w:rPr>
          <w:color w:val="auto"/>
          <w:highlight w:val="none"/>
          <w:lang w:eastAsia="zh-CN"/>
        </w:rPr>
      </w:pPr>
    </w:p>
    <w:p w14:paraId="2618CE9F">
      <w:pPr>
        <w:pageBreakBefore w:val="0"/>
        <w:widowControl w:val="0"/>
        <w:wordWrap/>
        <w:overflowPunct/>
        <w:topLinePunct w:val="0"/>
        <w:bidi w:val="0"/>
        <w:rPr>
          <w:color w:val="auto"/>
          <w:highlight w:val="none"/>
          <w:lang w:eastAsia="zh-CN"/>
        </w:rPr>
      </w:pPr>
    </w:p>
    <w:p w14:paraId="5EB941C4">
      <w:pPr>
        <w:pageBreakBefore w:val="0"/>
        <w:widowControl w:val="0"/>
        <w:wordWrap/>
        <w:overflowPunct/>
        <w:topLinePunct w:val="0"/>
        <w:bidi w:val="0"/>
        <w:rPr>
          <w:color w:val="auto"/>
          <w:highlight w:val="none"/>
          <w:lang w:eastAsia="zh-CN"/>
        </w:rPr>
      </w:pPr>
    </w:p>
    <w:p w14:paraId="1A3BA29D">
      <w:pPr>
        <w:pageBreakBefore w:val="0"/>
        <w:widowControl w:val="0"/>
        <w:wordWrap/>
        <w:overflowPunct/>
        <w:topLinePunct w:val="0"/>
        <w:bidi w:val="0"/>
        <w:rPr>
          <w:color w:val="auto"/>
          <w:highlight w:val="none"/>
          <w:lang w:eastAsia="zh-CN"/>
        </w:rPr>
      </w:pPr>
    </w:p>
    <w:p w14:paraId="2F08E975">
      <w:pPr>
        <w:pageBreakBefore w:val="0"/>
        <w:widowControl w:val="0"/>
        <w:wordWrap/>
        <w:overflowPunct/>
        <w:topLinePunct w:val="0"/>
        <w:bidi w:val="0"/>
        <w:rPr>
          <w:color w:val="auto"/>
          <w:highlight w:val="none"/>
          <w:lang w:eastAsia="zh-CN"/>
        </w:rPr>
      </w:pPr>
    </w:p>
    <w:p w14:paraId="0D9BA755">
      <w:pPr>
        <w:pageBreakBefore w:val="0"/>
        <w:widowControl w:val="0"/>
        <w:wordWrap/>
        <w:overflowPunct/>
        <w:topLinePunct w:val="0"/>
        <w:bidi w:val="0"/>
        <w:rPr>
          <w:color w:val="auto"/>
          <w:highlight w:val="none"/>
          <w:lang w:eastAsia="zh-CN"/>
        </w:rPr>
      </w:pPr>
    </w:p>
    <w:p w14:paraId="1B7A722F">
      <w:pPr>
        <w:pageBreakBefore w:val="0"/>
        <w:widowControl w:val="0"/>
        <w:wordWrap/>
        <w:overflowPunct/>
        <w:topLinePunct w:val="0"/>
        <w:bidi w:val="0"/>
        <w:rPr>
          <w:color w:val="auto"/>
          <w:highlight w:val="none"/>
          <w:lang w:eastAsia="zh-CN"/>
        </w:rPr>
      </w:pPr>
    </w:p>
    <w:p w14:paraId="0FCC8716">
      <w:pPr>
        <w:pageBreakBefore w:val="0"/>
        <w:widowControl w:val="0"/>
        <w:wordWrap/>
        <w:overflowPunct/>
        <w:topLinePunct w:val="0"/>
        <w:bidi w:val="0"/>
        <w:rPr>
          <w:color w:val="auto"/>
          <w:highlight w:val="none"/>
          <w:lang w:eastAsia="zh-CN"/>
        </w:rPr>
      </w:pPr>
    </w:p>
    <w:p w14:paraId="3851BFC0">
      <w:pPr>
        <w:pageBreakBefore w:val="0"/>
        <w:widowControl w:val="0"/>
        <w:wordWrap/>
        <w:overflowPunct/>
        <w:topLinePunct w:val="0"/>
        <w:bidi w:val="0"/>
        <w:rPr>
          <w:color w:val="auto"/>
          <w:highlight w:val="none"/>
          <w:lang w:eastAsia="zh-CN"/>
        </w:rPr>
      </w:pPr>
    </w:p>
    <w:p w14:paraId="2159931F">
      <w:pPr>
        <w:pageBreakBefore w:val="0"/>
        <w:widowControl w:val="0"/>
        <w:wordWrap/>
        <w:overflowPunct/>
        <w:topLinePunct w:val="0"/>
        <w:bidi w:val="0"/>
        <w:rPr>
          <w:color w:val="auto"/>
          <w:highlight w:val="none"/>
          <w:lang w:eastAsia="zh-CN"/>
        </w:rPr>
      </w:pPr>
    </w:p>
    <w:p w14:paraId="1D4FA86B">
      <w:pPr>
        <w:pageBreakBefore w:val="0"/>
        <w:widowControl w:val="0"/>
        <w:wordWrap/>
        <w:overflowPunct/>
        <w:topLinePunct w:val="0"/>
        <w:bidi w:val="0"/>
        <w:rPr>
          <w:color w:val="auto"/>
          <w:highlight w:val="none"/>
          <w:lang w:eastAsia="zh-CN"/>
        </w:rPr>
      </w:pPr>
    </w:p>
    <w:p w14:paraId="0F7DD9B3">
      <w:pPr>
        <w:pageBreakBefore w:val="0"/>
        <w:widowControl w:val="0"/>
        <w:wordWrap/>
        <w:overflowPunct/>
        <w:topLinePunct w:val="0"/>
        <w:bidi w:val="0"/>
        <w:spacing w:line="241" w:lineRule="auto"/>
        <w:rPr>
          <w:color w:val="auto"/>
          <w:highlight w:val="none"/>
          <w:lang w:eastAsia="zh-CN"/>
        </w:rPr>
      </w:pPr>
    </w:p>
    <w:p w14:paraId="52A23D57">
      <w:pPr>
        <w:pageBreakBefore w:val="0"/>
        <w:widowControl w:val="0"/>
        <w:wordWrap/>
        <w:overflowPunct/>
        <w:topLinePunct w:val="0"/>
        <w:bidi w:val="0"/>
        <w:spacing w:line="241" w:lineRule="auto"/>
        <w:rPr>
          <w:color w:val="auto"/>
          <w:highlight w:val="none"/>
          <w:lang w:eastAsia="zh-CN"/>
        </w:rPr>
      </w:pPr>
    </w:p>
    <w:p w14:paraId="25488B51">
      <w:pPr>
        <w:pageBreakBefore w:val="0"/>
        <w:widowControl w:val="0"/>
        <w:wordWrap/>
        <w:overflowPunct/>
        <w:topLinePunct w:val="0"/>
        <w:bidi w:val="0"/>
        <w:spacing w:line="241" w:lineRule="auto"/>
        <w:rPr>
          <w:color w:val="auto"/>
          <w:highlight w:val="none"/>
          <w:lang w:eastAsia="zh-CN"/>
        </w:rPr>
      </w:pPr>
    </w:p>
    <w:p w14:paraId="3B7F69F3">
      <w:pPr>
        <w:pageBreakBefore w:val="0"/>
        <w:widowControl w:val="0"/>
        <w:wordWrap/>
        <w:overflowPunct/>
        <w:topLinePunct w:val="0"/>
        <w:bidi w:val="0"/>
        <w:spacing w:before="78" w:line="218" w:lineRule="auto"/>
        <w:ind w:left="3323"/>
        <w:outlineLvl w:val="1"/>
        <w:rPr>
          <w:rFonts w:ascii="宋体" w:hAnsi="宋体" w:eastAsia="宋体" w:cs="宋体"/>
          <w:color w:val="auto"/>
          <w:sz w:val="24"/>
          <w:szCs w:val="24"/>
          <w:highlight w:val="none"/>
          <w:lang w:eastAsia="zh-CN"/>
        </w:rPr>
      </w:pPr>
      <w:bookmarkStart w:id="76" w:name="bookmark56"/>
      <w:bookmarkEnd w:id="76"/>
      <w:bookmarkStart w:id="77" w:name="_Toc6343"/>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bookmarkEnd w:id="77"/>
    </w:p>
    <w:p w14:paraId="3B1EF023">
      <w:pPr>
        <w:pageBreakBefore w:val="0"/>
        <w:widowControl w:val="0"/>
        <w:wordWrap/>
        <w:overflowPunct/>
        <w:topLinePunct w:val="0"/>
        <w:bidi w:val="0"/>
        <w:spacing w:line="363" w:lineRule="auto"/>
        <w:rPr>
          <w:color w:val="auto"/>
          <w:highlight w:val="none"/>
          <w:lang w:eastAsia="zh-CN"/>
        </w:rPr>
      </w:pPr>
    </w:p>
    <w:p w14:paraId="050C7DD8">
      <w:pPr>
        <w:pageBreakBefore w:val="0"/>
        <w:widowControl w:val="0"/>
        <w:wordWrap/>
        <w:overflowPunct/>
        <w:topLinePunct w:val="0"/>
        <w:bidi w:val="0"/>
        <w:spacing w:before="78" w:line="219" w:lineRule="auto"/>
        <w:ind w:left="2152"/>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6DF77259">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pPr>
    </w:p>
    <w:p w14:paraId="5CCF3CD0">
      <w:pPr>
        <w:pageBreakBefore w:val="0"/>
        <w:widowControl w:val="0"/>
        <w:wordWrap/>
        <w:overflowPunct/>
        <w:topLinePunct w:val="0"/>
        <w:bidi w:val="0"/>
        <w:jc w:val="both"/>
        <w:rPr>
          <w:rFonts w:hint="default" w:ascii="宋体" w:hAnsi="宋体" w:eastAsia="宋体" w:cs="宋体"/>
          <w:b/>
          <w:bCs/>
          <w:color w:val="auto"/>
          <w:highlight w:val="none"/>
          <w:lang w:val="en-US" w:eastAsia="zh-CN"/>
        </w:rPr>
      </w:pPr>
    </w:p>
    <w:p w14:paraId="47A12EC7">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0" w:type="default"/>
          <w:pgSz w:w="11906" w:h="16839"/>
          <w:pgMar w:top="1426" w:right="1785" w:bottom="1362" w:left="1785" w:header="0" w:footer="1200" w:gutter="0"/>
          <w:pgNumType w:fmt="decimal"/>
          <w:cols w:space="720" w:num="1"/>
        </w:sectPr>
      </w:pPr>
    </w:p>
    <w:p w14:paraId="578ADEE1">
      <w:pPr>
        <w:pageBreakBefore w:val="0"/>
        <w:widowControl w:val="0"/>
        <w:wordWrap/>
        <w:overflowPunct/>
        <w:topLinePunct w:val="0"/>
        <w:bidi w:val="0"/>
        <w:spacing w:before="78" w:line="218" w:lineRule="auto"/>
        <w:jc w:val="center"/>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bookmarkStart w:id="78" w:name="_Toc5482"/>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报价一览明细表（本项目不适用）</w:t>
      </w:r>
      <w:bookmarkEnd w:id="78"/>
    </w:p>
    <w:p w14:paraId="4BF4AD52">
      <w:pPr>
        <w:spacing w:beforeAutospacing="0" w:afterAutospacing="0" w:line="400" w:lineRule="exact"/>
        <w:rPr>
          <w:rFonts w:hint="eastAsia" w:ascii="宋体" w:hAnsi="宋体" w:eastAsia="宋体" w:cs="宋体"/>
          <w:color w:val="auto"/>
          <w:spacing w:val="0"/>
          <w:position w:val="0"/>
          <w:sz w:val="24"/>
          <w:highlight w:val="none"/>
          <w:lang w:val="en-US" w:eastAsia="zh-CN"/>
        </w:rPr>
      </w:pPr>
    </w:p>
    <w:p w14:paraId="1E60E4DA">
      <w:pPr>
        <w:spacing w:beforeAutospacing="0" w:afterAutospacing="0" w:line="400" w:lineRule="exact"/>
        <w:rPr>
          <w:rFonts w:hint="eastAsia" w:ascii="宋体" w:hAnsi="宋体" w:cs="宋体"/>
          <w:color w:val="auto"/>
          <w:spacing w:val="0"/>
          <w:position w:val="0"/>
          <w:sz w:val="24"/>
          <w:highlight w:val="none"/>
          <w:u w:val="single"/>
        </w:rPr>
      </w:pPr>
      <w:r>
        <w:rPr>
          <w:rFonts w:hint="eastAsia" w:ascii="宋体" w:hAnsi="宋体" w:eastAsia="宋体" w:cs="宋体"/>
          <w:color w:val="auto"/>
          <w:spacing w:val="0"/>
          <w:position w:val="0"/>
          <w:sz w:val="24"/>
          <w:highlight w:val="none"/>
          <w:lang w:val="en-US" w:eastAsia="zh-CN"/>
        </w:rPr>
        <w:t>供应商</w:t>
      </w:r>
      <w:r>
        <w:rPr>
          <w:rFonts w:hint="eastAsia" w:ascii="宋体" w:hAnsi="宋体" w:cs="宋体"/>
          <w:color w:val="auto"/>
          <w:spacing w:val="0"/>
          <w:position w:val="0"/>
          <w:sz w:val="24"/>
          <w:highlight w:val="none"/>
        </w:rPr>
        <w:t>名称：</w:t>
      </w:r>
      <w:r>
        <w:rPr>
          <w:rFonts w:hint="eastAsia" w:ascii="宋体" w:hAnsi="宋体" w:cs="宋体"/>
          <w:color w:val="auto"/>
          <w:spacing w:val="0"/>
          <w:position w:val="0"/>
          <w:sz w:val="24"/>
          <w:highlight w:val="none"/>
          <w:u w:val="single"/>
        </w:rPr>
        <w:t xml:space="preserve">              </w:t>
      </w:r>
      <w:r>
        <w:rPr>
          <w:rFonts w:hint="eastAsia" w:ascii="宋体" w:hAnsi="宋体" w:eastAsia="宋体" w:cs="宋体"/>
          <w:color w:val="auto"/>
          <w:spacing w:val="0"/>
          <w:position w:val="0"/>
          <w:sz w:val="24"/>
          <w:highlight w:val="none"/>
          <w:u w:val="single"/>
          <w:lang w:val="en-US" w:eastAsia="zh-CN"/>
        </w:rPr>
        <w:t xml:space="preserve">          </w:t>
      </w:r>
      <w:r>
        <w:rPr>
          <w:rFonts w:hint="eastAsia" w:ascii="宋体" w:hAnsi="宋体" w:eastAsia="宋体" w:cs="宋体"/>
          <w:color w:val="auto"/>
          <w:spacing w:val="0"/>
          <w:position w:val="0"/>
          <w:sz w:val="24"/>
          <w:highlight w:val="none"/>
          <w:lang w:val="en-US" w:eastAsia="zh-CN"/>
        </w:rPr>
        <w:t xml:space="preserve">            项目</w:t>
      </w:r>
      <w:r>
        <w:rPr>
          <w:rFonts w:hint="eastAsia" w:ascii="宋体" w:hAnsi="宋体" w:cs="宋体"/>
          <w:color w:val="auto"/>
          <w:spacing w:val="0"/>
          <w:position w:val="0"/>
          <w:sz w:val="24"/>
          <w:highlight w:val="none"/>
        </w:rPr>
        <w:t>编号：</w:t>
      </w:r>
      <w:r>
        <w:rPr>
          <w:rFonts w:hint="eastAsia" w:ascii="宋体" w:hAnsi="宋体" w:cs="宋体"/>
          <w:color w:val="auto"/>
          <w:spacing w:val="0"/>
          <w:position w:val="0"/>
          <w:sz w:val="24"/>
          <w:highlight w:val="none"/>
          <w:u w:val="single"/>
        </w:rPr>
        <w:t xml:space="preserve">               </w:t>
      </w:r>
    </w:p>
    <w:tbl>
      <w:tblPr>
        <w:tblStyle w:val="19"/>
        <w:tblpPr w:leftFromText="180" w:rightFromText="180" w:vertAnchor="text" w:horzAnchor="page" w:tblpX="1555" w:tblpY="448"/>
        <w:tblOverlap w:val="never"/>
        <w:tblW w:w="92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2370"/>
        <w:gridCol w:w="1380"/>
        <w:gridCol w:w="1065"/>
        <w:gridCol w:w="1200"/>
        <w:gridCol w:w="2100"/>
      </w:tblGrid>
      <w:tr w14:paraId="2CE9A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exact"/>
        </w:trPr>
        <w:tc>
          <w:tcPr>
            <w:tcW w:w="1095" w:type="dxa"/>
            <w:noWrap w:val="0"/>
            <w:vAlign w:val="center"/>
          </w:tcPr>
          <w:p w14:paraId="3EDBACCB">
            <w:pPr>
              <w:spacing w:beforeAutospacing="0"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序号</w:t>
            </w:r>
          </w:p>
        </w:tc>
        <w:tc>
          <w:tcPr>
            <w:tcW w:w="2370" w:type="dxa"/>
            <w:noWrap w:val="0"/>
            <w:vAlign w:val="center"/>
          </w:tcPr>
          <w:p w14:paraId="358717DA">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费用名称</w:t>
            </w:r>
          </w:p>
        </w:tc>
        <w:tc>
          <w:tcPr>
            <w:tcW w:w="1380" w:type="dxa"/>
            <w:noWrap w:val="0"/>
            <w:vAlign w:val="center"/>
          </w:tcPr>
          <w:p w14:paraId="367D01B5">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数量</w:t>
            </w:r>
          </w:p>
        </w:tc>
        <w:tc>
          <w:tcPr>
            <w:tcW w:w="1065" w:type="dxa"/>
            <w:noWrap w:val="0"/>
            <w:vAlign w:val="center"/>
          </w:tcPr>
          <w:p w14:paraId="5CE7D249">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单价</w:t>
            </w:r>
          </w:p>
          <w:p w14:paraId="29EA8E48">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1200" w:type="dxa"/>
            <w:noWrap w:val="0"/>
            <w:vAlign w:val="center"/>
          </w:tcPr>
          <w:p w14:paraId="3ABA6CB7">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总价</w:t>
            </w:r>
          </w:p>
          <w:p w14:paraId="2E5C230D">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2100" w:type="dxa"/>
            <w:noWrap w:val="0"/>
            <w:vAlign w:val="center"/>
          </w:tcPr>
          <w:p w14:paraId="29C931D8">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备注</w:t>
            </w:r>
          </w:p>
        </w:tc>
      </w:tr>
      <w:tr w14:paraId="5FB47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exact"/>
        </w:trPr>
        <w:tc>
          <w:tcPr>
            <w:tcW w:w="9210" w:type="dxa"/>
            <w:gridSpan w:val="6"/>
            <w:noWrap w:val="0"/>
            <w:vAlign w:val="center"/>
          </w:tcPr>
          <w:p w14:paraId="6E241A45">
            <w:pPr>
              <w:spacing w:line="400" w:lineRule="exact"/>
              <w:jc w:val="left"/>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服务部分</w:t>
            </w:r>
          </w:p>
        </w:tc>
      </w:tr>
      <w:tr w14:paraId="07E0E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trPr>
        <w:tc>
          <w:tcPr>
            <w:tcW w:w="1095" w:type="dxa"/>
            <w:shd w:val="clear" w:color="auto" w:fill="auto"/>
            <w:noWrap w:val="0"/>
            <w:vAlign w:val="center"/>
          </w:tcPr>
          <w:p w14:paraId="2A8022DE">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1</w:t>
            </w:r>
          </w:p>
        </w:tc>
        <w:tc>
          <w:tcPr>
            <w:tcW w:w="2370" w:type="dxa"/>
            <w:noWrap w:val="0"/>
            <w:vAlign w:val="center"/>
          </w:tcPr>
          <w:p w14:paraId="2C3B6774">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62AD4ACA">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0D6EA12C">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2F7286A5">
            <w:pPr>
              <w:spacing w:line="400" w:lineRule="exact"/>
              <w:jc w:val="center"/>
              <w:rPr>
                <w:rFonts w:hint="eastAsia" w:ascii="宋体" w:hAnsi="宋体" w:cs="宋体"/>
                <w:color w:val="auto"/>
                <w:spacing w:val="0"/>
                <w:position w:val="0"/>
                <w:sz w:val="24"/>
                <w:highlight w:val="none"/>
              </w:rPr>
            </w:pPr>
          </w:p>
        </w:tc>
        <w:tc>
          <w:tcPr>
            <w:tcW w:w="2100" w:type="dxa"/>
            <w:vMerge w:val="restart"/>
            <w:noWrap w:val="0"/>
            <w:vAlign w:val="center"/>
          </w:tcPr>
          <w:p w14:paraId="17AD7216">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position w:val="0"/>
                <w:sz w:val="24"/>
                <w:highlight w:val="none"/>
                <w:lang w:val="en-US" w:eastAsia="zh-CN"/>
              </w:rPr>
              <w:t>此处</w:t>
            </w:r>
            <w:r>
              <w:rPr>
                <w:rFonts w:hint="eastAsia" w:ascii="宋体" w:hAnsi="宋体" w:cs="宋体"/>
                <w:color w:val="auto"/>
                <w:spacing w:val="0"/>
                <w:position w:val="0"/>
                <w:sz w:val="24"/>
                <w:highlight w:val="none"/>
              </w:rPr>
              <w:t>备注</w:t>
            </w:r>
            <w:r>
              <w:rPr>
                <w:rFonts w:hint="eastAsia" w:ascii="宋体" w:hAnsi="宋体" w:cs="宋体"/>
                <w:color w:val="auto"/>
                <w:spacing w:val="0"/>
                <w:position w:val="0"/>
                <w:sz w:val="22"/>
                <w:szCs w:val="20"/>
                <w:highlight w:val="none"/>
              </w:rPr>
              <w:t>是否属于</w:t>
            </w:r>
            <w:r>
              <w:rPr>
                <w:rFonts w:hint="eastAsia" w:ascii="宋体" w:hAnsi="宋体" w:cs="宋体"/>
                <w:color w:val="auto"/>
                <w:spacing w:val="0"/>
                <w:position w:val="0"/>
                <w:sz w:val="22"/>
                <w:szCs w:val="20"/>
                <w:highlight w:val="none"/>
                <w:lang w:eastAsia="zh-CN"/>
              </w:rPr>
              <w:t>中、</w:t>
            </w:r>
            <w:r>
              <w:rPr>
                <w:rFonts w:hint="eastAsia" w:ascii="宋体" w:hAnsi="宋体" w:cs="宋体"/>
                <w:color w:val="auto"/>
                <w:spacing w:val="0"/>
                <w:position w:val="0"/>
                <w:sz w:val="22"/>
                <w:szCs w:val="20"/>
                <w:highlight w:val="none"/>
              </w:rPr>
              <w:t>小、微企业或监狱企业或残疾人福利性单位</w:t>
            </w:r>
          </w:p>
        </w:tc>
      </w:tr>
      <w:tr w14:paraId="126B0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trPr>
        <w:tc>
          <w:tcPr>
            <w:tcW w:w="1095" w:type="dxa"/>
            <w:shd w:val="clear" w:color="auto" w:fill="auto"/>
            <w:noWrap w:val="0"/>
            <w:vAlign w:val="center"/>
          </w:tcPr>
          <w:p w14:paraId="0766ECB2">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2</w:t>
            </w:r>
          </w:p>
        </w:tc>
        <w:tc>
          <w:tcPr>
            <w:tcW w:w="2370" w:type="dxa"/>
            <w:noWrap w:val="0"/>
            <w:vAlign w:val="center"/>
          </w:tcPr>
          <w:p w14:paraId="1263CB3D">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700E0F73">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23A94D54">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1F7806B7">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1D96CCB9">
            <w:pPr>
              <w:spacing w:line="400" w:lineRule="exact"/>
              <w:jc w:val="center"/>
              <w:rPr>
                <w:rFonts w:hint="eastAsia" w:ascii="宋体" w:hAnsi="宋体" w:cs="宋体"/>
                <w:color w:val="auto"/>
                <w:spacing w:val="0"/>
                <w:position w:val="0"/>
                <w:sz w:val="24"/>
                <w:highlight w:val="none"/>
              </w:rPr>
            </w:pPr>
          </w:p>
        </w:tc>
      </w:tr>
      <w:tr w14:paraId="6838F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1095" w:type="dxa"/>
            <w:shd w:val="clear" w:color="auto" w:fill="auto"/>
            <w:noWrap w:val="0"/>
            <w:vAlign w:val="center"/>
          </w:tcPr>
          <w:p w14:paraId="114A71C7">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p>
        </w:tc>
        <w:tc>
          <w:tcPr>
            <w:tcW w:w="2370" w:type="dxa"/>
            <w:noWrap w:val="0"/>
            <w:vAlign w:val="center"/>
          </w:tcPr>
          <w:p w14:paraId="3A1DF0BD">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1BD2F0E9">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7B1FE40B">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76367CE6">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035CBF04">
            <w:pPr>
              <w:spacing w:line="400" w:lineRule="exact"/>
              <w:jc w:val="center"/>
              <w:rPr>
                <w:rFonts w:hint="eastAsia" w:ascii="宋体" w:hAnsi="宋体" w:cs="宋体"/>
                <w:color w:val="auto"/>
                <w:spacing w:val="0"/>
                <w:position w:val="0"/>
                <w:sz w:val="24"/>
                <w:highlight w:val="none"/>
              </w:rPr>
            </w:pPr>
          </w:p>
        </w:tc>
      </w:tr>
      <w:tr w14:paraId="26466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9210" w:type="dxa"/>
            <w:gridSpan w:val="6"/>
            <w:shd w:val="clear" w:color="auto" w:fill="auto"/>
            <w:noWrap w:val="0"/>
            <w:vAlign w:val="center"/>
          </w:tcPr>
          <w:p w14:paraId="12849BB6">
            <w:pPr>
              <w:spacing w:line="400" w:lineRule="exact"/>
              <w:jc w:val="left"/>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货物部分（如有）</w:t>
            </w:r>
          </w:p>
        </w:tc>
      </w:tr>
      <w:tr w14:paraId="1D84F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exact"/>
        </w:trPr>
        <w:tc>
          <w:tcPr>
            <w:tcW w:w="1095" w:type="dxa"/>
            <w:noWrap w:val="0"/>
            <w:vAlign w:val="center"/>
          </w:tcPr>
          <w:p w14:paraId="33699939">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1</w:t>
            </w:r>
          </w:p>
        </w:tc>
        <w:tc>
          <w:tcPr>
            <w:tcW w:w="2370" w:type="dxa"/>
            <w:noWrap w:val="0"/>
            <w:vAlign w:val="center"/>
          </w:tcPr>
          <w:p w14:paraId="04838AAC">
            <w:pPr>
              <w:spacing w:line="400" w:lineRule="exact"/>
              <w:jc w:val="center"/>
              <w:rPr>
                <w:rFonts w:hint="default" w:ascii="宋体" w:hAnsi="宋体" w:cs="宋体"/>
                <w:color w:val="auto"/>
                <w:spacing w:val="0"/>
                <w:position w:val="0"/>
                <w:sz w:val="24"/>
                <w:highlight w:val="none"/>
                <w:lang w:val="en-US"/>
              </w:rPr>
            </w:pPr>
            <w:r>
              <w:rPr>
                <w:rFonts w:hint="eastAsia" w:ascii="宋体" w:hAnsi="宋体" w:eastAsia="宋体" w:cs="宋体"/>
                <w:color w:val="auto"/>
                <w:spacing w:val="0"/>
                <w:w w:val="100"/>
                <w:position w:val="0"/>
                <w:sz w:val="24"/>
                <w:szCs w:val="24"/>
                <w:lang w:val="en-US" w:eastAsia="zh-CN"/>
              </w:rPr>
              <w:t>此处应填写货物名称、品牌及型号</w:t>
            </w:r>
          </w:p>
        </w:tc>
        <w:tc>
          <w:tcPr>
            <w:tcW w:w="1380" w:type="dxa"/>
            <w:noWrap w:val="0"/>
            <w:vAlign w:val="center"/>
          </w:tcPr>
          <w:p w14:paraId="5DC5A25C">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32C51F40">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7E964D92">
            <w:pPr>
              <w:spacing w:line="400" w:lineRule="exact"/>
              <w:jc w:val="center"/>
              <w:rPr>
                <w:rFonts w:hint="eastAsia" w:ascii="宋体" w:hAnsi="宋体" w:cs="宋体"/>
                <w:color w:val="auto"/>
                <w:spacing w:val="0"/>
                <w:position w:val="0"/>
                <w:sz w:val="24"/>
                <w:highlight w:val="none"/>
              </w:rPr>
            </w:pPr>
          </w:p>
        </w:tc>
        <w:tc>
          <w:tcPr>
            <w:tcW w:w="2100" w:type="dxa"/>
            <w:noWrap w:val="0"/>
            <w:vAlign w:val="center"/>
          </w:tcPr>
          <w:p w14:paraId="461D302D">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w w:val="100"/>
                <w:position w:val="0"/>
                <w:sz w:val="24"/>
                <w:szCs w:val="24"/>
                <w:lang w:val="en-US" w:eastAsia="zh-CN"/>
              </w:rPr>
              <w:t>此处备注是否属于本国产品</w:t>
            </w:r>
          </w:p>
        </w:tc>
      </w:tr>
      <w:tr w14:paraId="0A052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exact"/>
        </w:trPr>
        <w:tc>
          <w:tcPr>
            <w:tcW w:w="9210" w:type="dxa"/>
            <w:gridSpan w:val="6"/>
            <w:noWrap w:val="0"/>
            <w:vAlign w:val="center"/>
          </w:tcPr>
          <w:p w14:paraId="67ADF9AB">
            <w:pPr>
              <w:spacing w:line="400" w:lineRule="exact"/>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合计（大写）：</w:t>
            </w:r>
          </w:p>
        </w:tc>
      </w:tr>
    </w:tbl>
    <w:p w14:paraId="5A1FC84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418" w:leftChars="-199" w:right="-485" w:rightChars="-231" w:firstLine="482" w:firstLineChars="20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注：1、中、小、微企业、监狱或残疾人福利性单位产品须在明细表中注明，并在投标文件中提供相应证明材料，否则产生的一切后果由 </w:t>
      </w:r>
      <w:r>
        <w:rPr>
          <w:rFonts w:hint="eastAsia" w:ascii="宋体" w:hAnsi="宋体" w:eastAsia="宋体" w:cs="宋体"/>
          <w:color w:val="auto"/>
          <w:spacing w:val="0"/>
          <w:position w:val="0"/>
          <w:sz w:val="24"/>
          <w:szCs w:val="24"/>
          <w:lang w:eastAsia="zh-CN"/>
        </w:rPr>
        <w:t>供应商</w:t>
      </w:r>
      <w:r>
        <w:rPr>
          <w:rFonts w:ascii="宋体" w:hAnsi="宋体" w:eastAsia="宋体" w:cs="宋体"/>
          <w:color w:val="auto"/>
          <w:spacing w:val="0"/>
          <w:position w:val="0"/>
          <w:sz w:val="24"/>
          <w:szCs w:val="24"/>
          <w:lang w:eastAsia="zh-CN"/>
        </w:rPr>
        <w:t>承担。</w:t>
      </w:r>
    </w:p>
    <w:p w14:paraId="2CB11967">
      <w:pPr>
        <w:keepNext w:val="0"/>
        <w:keepLines w:val="0"/>
        <w:pageBreakBefore w:val="0"/>
        <w:widowControl w:val="0"/>
        <w:kinsoku w:val="0"/>
        <w:wordWrap/>
        <w:overflowPunct/>
        <w:topLinePunct w:val="0"/>
        <w:autoSpaceDE w:val="0"/>
        <w:autoSpaceDN w:val="0"/>
        <w:bidi w:val="0"/>
        <w:adjustRightInd w:val="0"/>
        <w:snapToGrid w:val="0"/>
        <w:spacing w:line="360" w:lineRule="auto"/>
        <w:ind w:left="-418" w:leftChars="-199" w:right="-486" w:rightChars="0"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2、属于《节能产品政府采购品目清单》的产品需备注注明，同时提供国家确定的认证机构出具的、处于有效期之内的节能产品认证证书扫描件，否则产生的一切后果由</w:t>
      </w:r>
      <w:r>
        <w:rPr>
          <w:rFonts w:hint="eastAsia" w:ascii="宋体" w:hAnsi="宋体" w:eastAsia="宋体" w:cs="宋体"/>
          <w:color w:val="auto"/>
          <w:spacing w:val="0"/>
          <w:position w:val="0"/>
          <w:sz w:val="24"/>
          <w:szCs w:val="24"/>
          <w:lang w:eastAsia="zh-CN"/>
        </w:rPr>
        <w:t>供应商</w:t>
      </w:r>
      <w:r>
        <w:rPr>
          <w:rFonts w:ascii="宋体" w:hAnsi="宋体" w:eastAsia="宋体" w:cs="宋体"/>
          <w:color w:val="auto"/>
          <w:spacing w:val="0"/>
          <w:position w:val="0"/>
          <w:sz w:val="24"/>
          <w:szCs w:val="24"/>
          <w:lang w:eastAsia="zh-CN"/>
        </w:rPr>
        <w:t>承担。（不属于节能产品的不需提供）</w:t>
      </w:r>
    </w:p>
    <w:p w14:paraId="41072AA5">
      <w:pPr>
        <w:keepNext w:val="0"/>
        <w:keepLines w:val="0"/>
        <w:pageBreakBefore w:val="0"/>
        <w:widowControl w:val="0"/>
        <w:kinsoku w:val="0"/>
        <w:wordWrap/>
        <w:overflowPunct/>
        <w:topLinePunct w:val="0"/>
        <w:autoSpaceDE w:val="0"/>
        <w:autoSpaceDN w:val="0"/>
        <w:bidi w:val="0"/>
        <w:adjustRightInd w:val="0"/>
        <w:snapToGrid w:val="0"/>
        <w:spacing w:line="360" w:lineRule="auto"/>
        <w:ind w:left="63" w:leftChars="30" w:firstLine="0" w:firstLineChars="0"/>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eastAsia="zh-CN"/>
        </w:rPr>
        <w:t>供应商必须填写分项费用，以证明投标报价的合理性，否则视为无效投标</w:t>
      </w:r>
    </w:p>
    <w:p w14:paraId="4E3C01A5">
      <w:pPr>
        <w:keepNext w:val="0"/>
        <w:keepLines w:val="0"/>
        <w:pageBreakBefore w:val="0"/>
        <w:widowControl w:val="0"/>
        <w:kinsoku w:val="0"/>
        <w:wordWrap/>
        <w:overflowPunct/>
        <w:topLinePunct w:val="0"/>
        <w:autoSpaceDE w:val="0"/>
        <w:autoSpaceDN w:val="0"/>
        <w:bidi w:val="0"/>
        <w:adjustRightInd w:val="0"/>
        <w:snapToGrid w:val="0"/>
        <w:spacing w:line="360" w:lineRule="auto"/>
        <w:ind w:left="-416" w:leftChars="-198" w:right="-512" w:rightChars="-244" w:firstLine="480"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4、</w:t>
      </w:r>
      <w:r>
        <w:rPr>
          <w:rFonts w:hint="eastAsia" w:asciiTheme="minorEastAsia" w:hAnsiTheme="minorEastAsia" w:eastAsiaTheme="minorEastAsia" w:cstheme="minorEastAsia"/>
          <w:color w:val="auto"/>
          <w:spacing w:val="0"/>
          <w:w w:val="100"/>
          <w:position w:val="0"/>
          <w:sz w:val="24"/>
          <w:szCs w:val="24"/>
          <w:lang w:val="en-US" w:eastAsia="zh-CN"/>
        </w:rPr>
        <w:t>本国产品</w:t>
      </w:r>
      <w:r>
        <w:rPr>
          <w:rFonts w:hint="eastAsia" w:asciiTheme="minorEastAsia" w:hAnsiTheme="minorEastAsia" w:eastAsiaTheme="minorEastAsia" w:cstheme="minorEastAsia"/>
          <w:i w:val="0"/>
          <w:iCs w:val="0"/>
          <w:caps w:val="0"/>
          <w:color w:val="383838"/>
          <w:spacing w:val="0"/>
          <w:sz w:val="24"/>
          <w:szCs w:val="24"/>
          <w:shd w:val="clear" w:fill="FFFFFF"/>
          <w:vertAlign w:val="baseline"/>
          <w:lang w:val="en-US" w:eastAsia="zh-CN"/>
        </w:rPr>
        <w:t>要求详见本招标文件第二章投标人须知。属于本国产品的备注说</w:t>
      </w:r>
      <w:r>
        <w:rPr>
          <w:rFonts w:hint="eastAsia" w:asciiTheme="minorEastAsia" w:hAnsiTheme="minorEastAsia" w:eastAsiaTheme="minorEastAsia" w:cstheme="minorEastAsia"/>
          <w:i w:val="0"/>
          <w:iCs w:val="0"/>
          <w:caps w:val="0"/>
          <w:color w:val="383838"/>
          <w:spacing w:val="0"/>
          <w:sz w:val="24"/>
          <w:szCs w:val="24"/>
          <w:highlight w:val="none"/>
          <w:shd w:val="clear" w:fill="FFFFFF"/>
          <w:vertAlign w:val="baseline"/>
          <w:lang w:val="en-US" w:eastAsia="zh-CN"/>
        </w:rPr>
        <w:t>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ascii="宋体" w:hAnsi="宋体" w:eastAsia="宋体" w:cs="宋体"/>
          <w:color w:val="auto"/>
          <w:spacing w:val="0"/>
          <w:w w:val="100"/>
          <w:position w:val="0"/>
          <w:sz w:val="24"/>
          <w:szCs w:val="24"/>
          <w:highlight w:val="none"/>
          <w:lang w:eastAsia="zh-CN"/>
        </w:rPr>
        <w:t>。（不属于</w:t>
      </w:r>
      <w:r>
        <w:rPr>
          <w:rFonts w:hint="eastAsia" w:cs="宋体"/>
          <w:color w:val="auto"/>
          <w:spacing w:val="0"/>
          <w:w w:val="100"/>
          <w:position w:val="0"/>
          <w:sz w:val="24"/>
          <w:szCs w:val="24"/>
          <w:highlight w:val="none"/>
          <w:lang w:val="en-US" w:eastAsia="zh-CN"/>
        </w:rPr>
        <w:t>本国产品</w:t>
      </w:r>
      <w:r>
        <w:rPr>
          <w:rFonts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22C98D72">
      <w:pPr>
        <w:pageBreakBefore w:val="0"/>
        <w:widowControl w:val="0"/>
        <w:wordWrap/>
        <w:overflowPunct/>
        <w:topLinePunct w:val="0"/>
        <w:bidi w:val="0"/>
        <w:spacing w:before="185" w:line="219" w:lineRule="auto"/>
        <w:ind w:left="129"/>
        <w:jc w:val="both"/>
        <w:rPr>
          <w:rFonts w:ascii="宋体" w:hAnsi="宋体" w:eastAsia="宋体" w:cs="宋体"/>
          <w:color w:val="auto"/>
          <w:sz w:val="24"/>
          <w:szCs w:val="24"/>
          <w:highlight w:val="none"/>
          <w:lang w:eastAsia="zh-CN"/>
        </w:rPr>
        <w:sectPr>
          <w:footerReference r:id="rId11" w:type="default"/>
          <w:pgSz w:w="11906" w:h="16839"/>
          <w:pgMar w:top="1440" w:right="1800" w:bottom="1440" w:left="1800" w:header="0" w:footer="1200" w:gutter="0"/>
          <w:pgNumType w:fmt="decimal"/>
          <w:cols w:space="720" w:num="1"/>
        </w:sectPr>
      </w:pPr>
      <w:r>
        <w:rPr>
          <w:rFonts w:hint="eastAsia" w:ascii="宋体" w:hAnsi="宋体" w:eastAsia="宋体" w:cs="宋体"/>
          <w:color w:val="auto"/>
          <w:spacing w:val="0"/>
          <w:position w:val="0"/>
          <w:sz w:val="24"/>
          <w:szCs w:val="24"/>
          <w:lang w:val="en-US" w:eastAsia="zh-CN"/>
        </w:rPr>
        <w:t>供应商</w:t>
      </w:r>
      <w:r>
        <w:rPr>
          <w:rFonts w:ascii="宋体" w:hAnsi="宋体" w:eastAsia="宋体" w:cs="宋体"/>
          <w:color w:val="auto"/>
          <w:spacing w:val="0"/>
          <w:position w:val="0"/>
          <w:sz w:val="24"/>
          <w:szCs w:val="24"/>
          <w:lang w:eastAsia="zh-CN"/>
        </w:rPr>
        <w:t>盖章</w:t>
      </w:r>
      <w:r>
        <w:rPr>
          <w:rFonts w:ascii="宋体" w:hAnsi="宋体" w:eastAsia="宋体" w:cs="宋体"/>
          <w:color w:val="auto"/>
          <w:spacing w:val="-1"/>
          <w:sz w:val="24"/>
          <w:szCs w:val="24"/>
          <w:highlight w:val="none"/>
          <w:lang w:eastAsia="zh-CN"/>
        </w:rPr>
        <w:t>：</w:t>
      </w:r>
    </w:p>
    <w:p w14:paraId="686BD34E">
      <w:pPr>
        <w:pageBreakBefore w:val="0"/>
        <w:widowControl w:val="0"/>
        <w:wordWrap/>
        <w:overflowPunct/>
        <w:topLinePunct w:val="0"/>
        <w:bidi w:val="0"/>
        <w:spacing w:before="78" w:line="219" w:lineRule="auto"/>
        <w:jc w:val="center"/>
        <w:outlineLvl w:val="1"/>
        <w:rPr>
          <w:rFonts w:ascii="宋体" w:hAnsi="宋体" w:eastAsia="宋体" w:cs="宋体"/>
          <w:color w:val="auto"/>
          <w:sz w:val="24"/>
          <w:szCs w:val="24"/>
          <w:highlight w:val="none"/>
          <w:lang w:eastAsia="zh-CN"/>
        </w:rPr>
      </w:pPr>
      <w:bookmarkStart w:id="79" w:name="bookmark58"/>
      <w:bookmarkEnd w:id="79"/>
      <w:bookmarkStart w:id="80" w:name="_Toc542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技术需求</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响应/偏离表</w:t>
      </w:r>
      <w:bookmarkEnd w:id="80"/>
    </w:p>
    <w:p w14:paraId="5ED5263C">
      <w:pPr>
        <w:pageBreakBefore w:val="0"/>
        <w:widowControl w:val="0"/>
        <w:tabs>
          <w:tab w:val="left" w:pos="6090"/>
        </w:tabs>
        <w:wordWrap/>
        <w:overflowPunct/>
        <w:topLinePunct w:val="0"/>
        <w:bidi w:val="0"/>
        <w:spacing w:before="24"/>
        <w:rPr>
          <w:color w:val="auto"/>
          <w:highlight w:val="none"/>
          <w:lang w:eastAsia="zh-CN"/>
        </w:rPr>
      </w:pPr>
    </w:p>
    <w:tbl>
      <w:tblPr>
        <w:tblStyle w:val="28"/>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2286E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9" w:hRule="atLeast"/>
        </w:trPr>
        <w:tc>
          <w:tcPr>
            <w:tcW w:w="1356" w:type="dxa"/>
            <w:vAlign w:val="bottom"/>
          </w:tcPr>
          <w:p w14:paraId="6D515D95">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145EBF4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5C84AB5E">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w:t>
            </w:r>
            <w:r>
              <w:rPr>
                <w:rFonts w:hint="eastAsia" w:asciiTheme="minorEastAsia" w:hAnsiTheme="minorEastAsia" w:eastAsiaTheme="minorEastAsia" w:cstheme="minorEastAsia"/>
                <w:color w:val="auto"/>
                <w:sz w:val="24"/>
                <w:highlight w:val="none"/>
              </w:rPr>
              <w:t>服务要求</w:t>
            </w:r>
          </w:p>
        </w:tc>
        <w:tc>
          <w:tcPr>
            <w:tcW w:w="2700" w:type="dxa"/>
            <w:vAlign w:val="center"/>
          </w:tcPr>
          <w:p w14:paraId="392D757F">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响应</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1F5DA8DE">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407C148E">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2CD3EC1B">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7A7B65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4CF07498">
            <w:pPr>
              <w:pStyle w:val="29"/>
              <w:pageBreakBefore w:val="0"/>
              <w:widowControl w:val="0"/>
              <w:tabs>
                <w:tab w:val="left" w:pos="6090"/>
              </w:tabs>
              <w:wordWrap/>
              <w:overflowPunct/>
              <w:topLinePunct w:val="0"/>
              <w:bidi w:val="0"/>
              <w:rPr>
                <w:color w:val="auto"/>
                <w:highlight w:val="none"/>
              </w:rPr>
            </w:pPr>
          </w:p>
        </w:tc>
        <w:tc>
          <w:tcPr>
            <w:tcW w:w="2256" w:type="dxa"/>
          </w:tcPr>
          <w:p w14:paraId="2562DF8B">
            <w:pPr>
              <w:pStyle w:val="29"/>
              <w:pageBreakBefore w:val="0"/>
              <w:widowControl w:val="0"/>
              <w:tabs>
                <w:tab w:val="left" w:pos="6090"/>
              </w:tabs>
              <w:wordWrap/>
              <w:overflowPunct/>
              <w:topLinePunct w:val="0"/>
              <w:bidi w:val="0"/>
              <w:rPr>
                <w:color w:val="auto"/>
                <w:highlight w:val="none"/>
              </w:rPr>
            </w:pPr>
          </w:p>
        </w:tc>
        <w:tc>
          <w:tcPr>
            <w:tcW w:w="2700" w:type="dxa"/>
          </w:tcPr>
          <w:p w14:paraId="6F57442D">
            <w:pPr>
              <w:pStyle w:val="29"/>
              <w:pageBreakBefore w:val="0"/>
              <w:widowControl w:val="0"/>
              <w:tabs>
                <w:tab w:val="left" w:pos="6090"/>
              </w:tabs>
              <w:wordWrap/>
              <w:overflowPunct/>
              <w:topLinePunct w:val="0"/>
              <w:bidi w:val="0"/>
              <w:rPr>
                <w:color w:val="auto"/>
                <w:highlight w:val="none"/>
              </w:rPr>
            </w:pPr>
          </w:p>
        </w:tc>
        <w:tc>
          <w:tcPr>
            <w:tcW w:w="1559" w:type="dxa"/>
          </w:tcPr>
          <w:p w14:paraId="523B085B">
            <w:pPr>
              <w:pStyle w:val="29"/>
              <w:pageBreakBefore w:val="0"/>
              <w:widowControl w:val="0"/>
              <w:tabs>
                <w:tab w:val="left" w:pos="6090"/>
              </w:tabs>
              <w:wordWrap/>
              <w:overflowPunct/>
              <w:topLinePunct w:val="0"/>
              <w:bidi w:val="0"/>
              <w:rPr>
                <w:color w:val="auto"/>
                <w:highlight w:val="none"/>
              </w:rPr>
            </w:pPr>
          </w:p>
        </w:tc>
        <w:tc>
          <w:tcPr>
            <w:tcW w:w="1421" w:type="dxa"/>
          </w:tcPr>
          <w:p w14:paraId="61D187D3">
            <w:pPr>
              <w:pStyle w:val="29"/>
              <w:pageBreakBefore w:val="0"/>
              <w:widowControl w:val="0"/>
              <w:tabs>
                <w:tab w:val="left" w:pos="6090"/>
              </w:tabs>
              <w:wordWrap/>
              <w:overflowPunct/>
              <w:topLinePunct w:val="0"/>
              <w:bidi w:val="0"/>
              <w:rPr>
                <w:color w:val="auto"/>
                <w:highlight w:val="none"/>
              </w:rPr>
            </w:pPr>
          </w:p>
        </w:tc>
      </w:tr>
      <w:tr w14:paraId="116E7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1F9F800A">
            <w:pPr>
              <w:pStyle w:val="29"/>
              <w:pageBreakBefore w:val="0"/>
              <w:widowControl w:val="0"/>
              <w:tabs>
                <w:tab w:val="left" w:pos="6090"/>
              </w:tabs>
              <w:wordWrap/>
              <w:overflowPunct/>
              <w:topLinePunct w:val="0"/>
              <w:bidi w:val="0"/>
              <w:rPr>
                <w:color w:val="auto"/>
                <w:highlight w:val="none"/>
              </w:rPr>
            </w:pPr>
          </w:p>
        </w:tc>
        <w:tc>
          <w:tcPr>
            <w:tcW w:w="2256" w:type="dxa"/>
          </w:tcPr>
          <w:p w14:paraId="2B2A5963">
            <w:pPr>
              <w:pStyle w:val="29"/>
              <w:pageBreakBefore w:val="0"/>
              <w:widowControl w:val="0"/>
              <w:tabs>
                <w:tab w:val="left" w:pos="6090"/>
              </w:tabs>
              <w:wordWrap/>
              <w:overflowPunct/>
              <w:topLinePunct w:val="0"/>
              <w:bidi w:val="0"/>
              <w:rPr>
                <w:color w:val="auto"/>
                <w:highlight w:val="none"/>
              </w:rPr>
            </w:pPr>
          </w:p>
        </w:tc>
        <w:tc>
          <w:tcPr>
            <w:tcW w:w="2700" w:type="dxa"/>
          </w:tcPr>
          <w:p w14:paraId="592625A7">
            <w:pPr>
              <w:pStyle w:val="29"/>
              <w:pageBreakBefore w:val="0"/>
              <w:widowControl w:val="0"/>
              <w:tabs>
                <w:tab w:val="left" w:pos="6090"/>
              </w:tabs>
              <w:wordWrap/>
              <w:overflowPunct/>
              <w:topLinePunct w:val="0"/>
              <w:bidi w:val="0"/>
              <w:rPr>
                <w:color w:val="auto"/>
                <w:highlight w:val="none"/>
              </w:rPr>
            </w:pPr>
          </w:p>
        </w:tc>
        <w:tc>
          <w:tcPr>
            <w:tcW w:w="1559" w:type="dxa"/>
          </w:tcPr>
          <w:p w14:paraId="78688BDD">
            <w:pPr>
              <w:pStyle w:val="29"/>
              <w:pageBreakBefore w:val="0"/>
              <w:widowControl w:val="0"/>
              <w:tabs>
                <w:tab w:val="left" w:pos="6090"/>
              </w:tabs>
              <w:wordWrap/>
              <w:overflowPunct/>
              <w:topLinePunct w:val="0"/>
              <w:bidi w:val="0"/>
              <w:rPr>
                <w:color w:val="auto"/>
                <w:highlight w:val="none"/>
              </w:rPr>
            </w:pPr>
          </w:p>
        </w:tc>
        <w:tc>
          <w:tcPr>
            <w:tcW w:w="1421" w:type="dxa"/>
          </w:tcPr>
          <w:p w14:paraId="18D16979">
            <w:pPr>
              <w:pStyle w:val="29"/>
              <w:pageBreakBefore w:val="0"/>
              <w:widowControl w:val="0"/>
              <w:tabs>
                <w:tab w:val="left" w:pos="6090"/>
              </w:tabs>
              <w:wordWrap/>
              <w:overflowPunct/>
              <w:topLinePunct w:val="0"/>
              <w:bidi w:val="0"/>
              <w:rPr>
                <w:color w:val="auto"/>
                <w:highlight w:val="none"/>
              </w:rPr>
            </w:pPr>
          </w:p>
        </w:tc>
      </w:tr>
      <w:tr w14:paraId="633B14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21" w:hRule="atLeast"/>
        </w:trPr>
        <w:tc>
          <w:tcPr>
            <w:tcW w:w="1356" w:type="dxa"/>
          </w:tcPr>
          <w:p w14:paraId="01BAFB4D">
            <w:pPr>
              <w:pStyle w:val="29"/>
              <w:pageBreakBefore w:val="0"/>
              <w:widowControl w:val="0"/>
              <w:tabs>
                <w:tab w:val="left" w:pos="6090"/>
              </w:tabs>
              <w:wordWrap/>
              <w:overflowPunct/>
              <w:topLinePunct w:val="0"/>
              <w:bidi w:val="0"/>
              <w:rPr>
                <w:color w:val="auto"/>
                <w:highlight w:val="none"/>
              </w:rPr>
            </w:pPr>
          </w:p>
        </w:tc>
        <w:tc>
          <w:tcPr>
            <w:tcW w:w="2256" w:type="dxa"/>
          </w:tcPr>
          <w:p w14:paraId="44E6C151">
            <w:pPr>
              <w:pStyle w:val="29"/>
              <w:pageBreakBefore w:val="0"/>
              <w:widowControl w:val="0"/>
              <w:tabs>
                <w:tab w:val="left" w:pos="6090"/>
              </w:tabs>
              <w:wordWrap/>
              <w:overflowPunct/>
              <w:topLinePunct w:val="0"/>
              <w:bidi w:val="0"/>
              <w:rPr>
                <w:color w:val="auto"/>
                <w:highlight w:val="none"/>
              </w:rPr>
            </w:pPr>
          </w:p>
        </w:tc>
        <w:tc>
          <w:tcPr>
            <w:tcW w:w="2700" w:type="dxa"/>
          </w:tcPr>
          <w:p w14:paraId="45B60164">
            <w:pPr>
              <w:pStyle w:val="29"/>
              <w:pageBreakBefore w:val="0"/>
              <w:widowControl w:val="0"/>
              <w:tabs>
                <w:tab w:val="left" w:pos="6090"/>
              </w:tabs>
              <w:wordWrap/>
              <w:overflowPunct/>
              <w:topLinePunct w:val="0"/>
              <w:bidi w:val="0"/>
              <w:rPr>
                <w:color w:val="auto"/>
                <w:highlight w:val="none"/>
              </w:rPr>
            </w:pPr>
          </w:p>
        </w:tc>
        <w:tc>
          <w:tcPr>
            <w:tcW w:w="1559" w:type="dxa"/>
          </w:tcPr>
          <w:p w14:paraId="6EBDB309">
            <w:pPr>
              <w:pStyle w:val="29"/>
              <w:pageBreakBefore w:val="0"/>
              <w:widowControl w:val="0"/>
              <w:tabs>
                <w:tab w:val="left" w:pos="6090"/>
              </w:tabs>
              <w:wordWrap/>
              <w:overflowPunct/>
              <w:topLinePunct w:val="0"/>
              <w:bidi w:val="0"/>
              <w:rPr>
                <w:color w:val="auto"/>
                <w:highlight w:val="none"/>
              </w:rPr>
            </w:pPr>
          </w:p>
        </w:tc>
        <w:tc>
          <w:tcPr>
            <w:tcW w:w="1421" w:type="dxa"/>
          </w:tcPr>
          <w:p w14:paraId="7A24C900">
            <w:pPr>
              <w:pStyle w:val="29"/>
              <w:pageBreakBefore w:val="0"/>
              <w:widowControl w:val="0"/>
              <w:tabs>
                <w:tab w:val="left" w:pos="6090"/>
              </w:tabs>
              <w:wordWrap/>
              <w:overflowPunct/>
              <w:topLinePunct w:val="0"/>
              <w:bidi w:val="0"/>
              <w:rPr>
                <w:color w:val="auto"/>
                <w:highlight w:val="none"/>
              </w:rPr>
            </w:pPr>
          </w:p>
        </w:tc>
      </w:tr>
      <w:tr w14:paraId="6C2158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5689F273">
            <w:pPr>
              <w:pStyle w:val="29"/>
              <w:pageBreakBefore w:val="0"/>
              <w:widowControl w:val="0"/>
              <w:tabs>
                <w:tab w:val="left" w:pos="6090"/>
              </w:tabs>
              <w:wordWrap/>
              <w:overflowPunct/>
              <w:topLinePunct w:val="0"/>
              <w:bidi w:val="0"/>
              <w:rPr>
                <w:color w:val="auto"/>
                <w:highlight w:val="none"/>
              </w:rPr>
            </w:pPr>
          </w:p>
        </w:tc>
        <w:tc>
          <w:tcPr>
            <w:tcW w:w="2256" w:type="dxa"/>
          </w:tcPr>
          <w:p w14:paraId="738AA663">
            <w:pPr>
              <w:pStyle w:val="29"/>
              <w:pageBreakBefore w:val="0"/>
              <w:widowControl w:val="0"/>
              <w:tabs>
                <w:tab w:val="left" w:pos="6090"/>
              </w:tabs>
              <w:wordWrap/>
              <w:overflowPunct/>
              <w:topLinePunct w:val="0"/>
              <w:bidi w:val="0"/>
              <w:rPr>
                <w:color w:val="auto"/>
                <w:highlight w:val="none"/>
              </w:rPr>
            </w:pPr>
          </w:p>
        </w:tc>
        <w:tc>
          <w:tcPr>
            <w:tcW w:w="2700" w:type="dxa"/>
          </w:tcPr>
          <w:p w14:paraId="0AA14669">
            <w:pPr>
              <w:pStyle w:val="29"/>
              <w:pageBreakBefore w:val="0"/>
              <w:widowControl w:val="0"/>
              <w:tabs>
                <w:tab w:val="left" w:pos="6090"/>
              </w:tabs>
              <w:wordWrap/>
              <w:overflowPunct/>
              <w:topLinePunct w:val="0"/>
              <w:bidi w:val="0"/>
              <w:rPr>
                <w:color w:val="auto"/>
                <w:highlight w:val="none"/>
              </w:rPr>
            </w:pPr>
          </w:p>
        </w:tc>
        <w:tc>
          <w:tcPr>
            <w:tcW w:w="1559" w:type="dxa"/>
          </w:tcPr>
          <w:p w14:paraId="7328019F">
            <w:pPr>
              <w:pStyle w:val="29"/>
              <w:pageBreakBefore w:val="0"/>
              <w:widowControl w:val="0"/>
              <w:tabs>
                <w:tab w:val="left" w:pos="6090"/>
              </w:tabs>
              <w:wordWrap/>
              <w:overflowPunct/>
              <w:topLinePunct w:val="0"/>
              <w:bidi w:val="0"/>
              <w:rPr>
                <w:color w:val="auto"/>
                <w:highlight w:val="none"/>
              </w:rPr>
            </w:pPr>
          </w:p>
        </w:tc>
        <w:tc>
          <w:tcPr>
            <w:tcW w:w="1421" w:type="dxa"/>
          </w:tcPr>
          <w:p w14:paraId="1AA59AFA">
            <w:pPr>
              <w:pStyle w:val="29"/>
              <w:pageBreakBefore w:val="0"/>
              <w:widowControl w:val="0"/>
              <w:tabs>
                <w:tab w:val="left" w:pos="6090"/>
              </w:tabs>
              <w:wordWrap/>
              <w:overflowPunct/>
              <w:topLinePunct w:val="0"/>
              <w:bidi w:val="0"/>
              <w:rPr>
                <w:color w:val="auto"/>
                <w:highlight w:val="none"/>
              </w:rPr>
            </w:pPr>
          </w:p>
        </w:tc>
      </w:tr>
      <w:tr w14:paraId="646881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7118BC69">
            <w:pPr>
              <w:pStyle w:val="29"/>
              <w:pageBreakBefore w:val="0"/>
              <w:widowControl w:val="0"/>
              <w:tabs>
                <w:tab w:val="left" w:pos="6090"/>
              </w:tabs>
              <w:wordWrap/>
              <w:overflowPunct/>
              <w:topLinePunct w:val="0"/>
              <w:bidi w:val="0"/>
              <w:rPr>
                <w:color w:val="auto"/>
                <w:highlight w:val="none"/>
              </w:rPr>
            </w:pPr>
          </w:p>
        </w:tc>
        <w:tc>
          <w:tcPr>
            <w:tcW w:w="2256" w:type="dxa"/>
          </w:tcPr>
          <w:p w14:paraId="129511EA">
            <w:pPr>
              <w:pStyle w:val="29"/>
              <w:pageBreakBefore w:val="0"/>
              <w:widowControl w:val="0"/>
              <w:tabs>
                <w:tab w:val="left" w:pos="6090"/>
              </w:tabs>
              <w:wordWrap/>
              <w:overflowPunct/>
              <w:topLinePunct w:val="0"/>
              <w:bidi w:val="0"/>
              <w:rPr>
                <w:color w:val="auto"/>
                <w:highlight w:val="none"/>
              </w:rPr>
            </w:pPr>
          </w:p>
        </w:tc>
        <w:tc>
          <w:tcPr>
            <w:tcW w:w="2700" w:type="dxa"/>
          </w:tcPr>
          <w:p w14:paraId="03A475B5">
            <w:pPr>
              <w:pStyle w:val="29"/>
              <w:pageBreakBefore w:val="0"/>
              <w:widowControl w:val="0"/>
              <w:tabs>
                <w:tab w:val="left" w:pos="6090"/>
              </w:tabs>
              <w:wordWrap/>
              <w:overflowPunct/>
              <w:topLinePunct w:val="0"/>
              <w:bidi w:val="0"/>
              <w:rPr>
                <w:color w:val="auto"/>
                <w:highlight w:val="none"/>
              </w:rPr>
            </w:pPr>
          </w:p>
        </w:tc>
        <w:tc>
          <w:tcPr>
            <w:tcW w:w="1559" w:type="dxa"/>
          </w:tcPr>
          <w:p w14:paraId="01D5AC67">
            <w:pPr>
              <w:pStyle w:val="29"/>
              <w:pageBreakBefore w:val="0"/>
              <w:widowControl w:val="0"/>
              <w:tabs>
                <w:tab w:val="left" w:pos="6090"/>
              </w:tabs>
              <w:wordWrap/>
              <w:overflowPunct/>
              <w:topLinePunct w:val="0"/>
              <w:bidi w:val="0"/>
              <w:rPr>
                <w:color w:val="auto"/>
                <w:highlight w:val="none"/>
              </w:rPr>
            </w:pPr>
          </w:p>
        </w:tc>
        <w:tc>
          <w:tcPr>
            <w:tcW w:w="1421" w:type="dxa"/>
          </w:tcPr>
          <w:p w14:paraId="6344357F">
            <w:pPr>
              <w:pStyle w:val="29"/>
              <w:pageBreakBefore w:val="0"/>
              <w:widowControl w:val="0"/>
              <w:tabs>
                <w:tab w:val="left" w:pos="6090"/>
              </w:tabs>
              <w:wordWrap/>
              <w:overflowPunct/>
              <w:topLinePunct w:val="0"/>
              <w:bidi w:val="0"/>
              <w:rPr>
                <w:color w:val="auto"/>
                <w:highlight w:val="none"/>
              </w:rPr>
            </w:pPr>
          </w:p>
        </w:tc>
      </w:tr>
      <w:tr w14:paraId="3EC9C7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5656C4BF">
            <w:pPr>
              <w:pStyle w:val="29"/>
              <w:pageBreakBefore w:val="0"/>
              <w:widowControl w:val="0"/>
              <w:tabs>
                <w:tab w:val="left" w:pos="6090"/>
              </w:tabs>
              <w:wordWrap/>
              <w:overflowPunct/>
              <w:topLinePunct w:val="0"/>
              <w:bidi w:val="0"/>
              <w:rPr>
                <w:color w:val="auto"/>
                <w:highlight w:val="none"/>
              </w:rPr>
            </w:pPr>
          </w:p>
        </w:tc>
        <w:tc>
          <w:tcPr>
            <w:tcW w:w="2256" w:type="dxa"/>
          </w:tcPr>
          <w:p w14:paraId="2B509493">
            <w:pPr>
              <w:pStyle w:val="29"/>
              <w:pageBreakBefore w:val="0"/>
              <w:widowControl w:val="0"/>
              <w:tabs>
                <w:tab w:val="left" w:pos="6090"/>
              </w:tabs>
              <w:wordWrap/>
              <w:overflowPunct/>
              <w:topLinePunct w:val="0"/>
              <w:bidi w:val="0"/>
              <w:rPr>
                <w:color w:val="auto"/>
                <w:highlight w:val="none"/>
              </w:rPr>
            </w:pPr>
          </w:p>
        </w:tc>
        <w:tc>
          <w:tcPr>
            <w:tcW w:w="2700" w:type="dxa"/>
          </w:tcPr>
          <w:p w14:paraId="58BBC5DF">
            <w:pPr>
              <w:pStyle w:val="29"/>
              <w:pageBreakBefore w:val="0"/>
              <w:widowControl w:val="0"/>
              <w:tabs>
                <w:tab w:val="left" w:pos="6090"/>
              </w:tabs>
              <w:wordWrap/>
              <w:overflowPunct/>
              <w:topLinePunct w:val="0"/>
              <w:bidi w:val="0"/>
              <w:rPr>
                <w:color w:val="auto"/>
                <w:highlight w:val="none"/>
              </w:rPr>
            </w:pPr>
          </w:p>
        </w:tc>
        <w:tc>
          <w:tcPr>
            <w:tcW w:w="1559" w:type="dxa"/>
          </w:tcPr>
          <w:p w14:paraId="5D38A7CF">
            <w:pPr>
              <w:pStyle w:val="29"/>
              <w:pageBreakBefore w:val="0"/>
              <w:widowControl w:val="0"/>
              <w:tabs>
                <w:tab w:val="left" w:pos="6090"/>
              </w:tabs>
              <w:wordWrap/>
              <w:overflowPunct/>
              <w:topLinePunct w:val="0"/>
              <w:bidi w:val="0"/>
              <w:rPr>
                <w:color w:val="auto"/>
                <w:highlight w:val="none"/>
              </w:rPr>
            </w:pPr>
          </w:p>
        </w:tc>
        <w:tc>
          <w:tcPr>
            <w:tcW w:w="1421" w:type="dxa"/>
          </w:tcPr>
          <w:p w14:paraId="14EE4026">
            <w:pPr>
              <w:pStyle w:val="29"/>
              <w:pageBreakBefore w:val="0"/>
              <w:widowControl w:val="0"/>
              <w:tabs>
                <w:tab w:val="left" w:pos="6090"/>
              </w:tabs>
              <w:wordWrap/>
              <w:overflowPunct/>
              <w:topLinePunct w:val="0"/>
              <w:bidi w:val="0"/>
              <w:rPr>
                <w:color w:val="auto"/>
                <w:highlight w:val="none"/>
              </w:rPr>
            </w:pPr>
          </w:p>
        </w:tc>
      </w:tr>
      <w:tr w14:paraId="76D29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7CEE896C">
            <w:pPr>
              <w:pStyle w:val="29"/>
              <w:pageBreakBefore w:val="0"/>
              <w:widowControl w:val="0"/>
              <w:tabs>
                <w:tab w:val="left" w:pos="6090"/>
              </w:tabs>
              <w:wordWrap/>
              <w:overflowPunct/>
              <w:topLinePunct w:val="0"/>
              <w:bidi w:val="0"/>
              <w:rPr>
                <w:color w:val="auto"/>
                <w:highlight w:val="none"/>
              </w:rPr>
            </w:pPr>
          </w:p>
        </w:tc>
        <w:tc>
          <w:tcPr>
            <w:tcW w:w="2256" w:type="dxa"/>
          </w:tcPr>
          <w:p w14:paraId="2E4980D9">
            <w:pPr>
              <w:pStyle w:val="29"/>
              <w:pageBreakBefore w:val="0"/>
              <w:widowControl w:val="0"/>
              <w:tabs>
                <w:tab w:val="left" w:pos="6090"/>
              </w:tabs>
              <w:wordWrap/>
              <w:overflowPunct/>
              <w:topLinePunct w:val="0"/>
              <w:bidi w:val="0"/>
              <w:rPr>
                <w:color w:val="auto"/>
                <w:highlight w:val="none"/>
              </w:rPr>
            </w:pPr>
          </w:p>
        </w:tc>
        <w:tc>
          <w:tcPr>
            <w:tcW w:w="2700" w:type="dxa"/>
          </w:tcPr>
          <w:p w14:paraId="6AF8FB66">
            <w:pPr>
              <w:pStyle w:val="29"/>
              <w:pageBreakBefore w:val="0"/>
              <w:widowControl w:val="0"/>
              <w:tabs>
                <w:tab w:val="left" w:pos="6090"/>
              </w:tabs>
              <w:wordWrap/>
              <w:overflowPunct/>
              <w:topLinePunct w:val="0"/>
              <w:bidi w:val="0"/>
              <w:rPr>
                <w:color w:val="auto"/>
                <w:highlight w:val="none"/>
              </w:rPr>
            </w:pPr>
          </w:p>
        </w:tc>
        <w:tc>
          <w:tcPr>
            <w:tcW w:w="1559" w:type="dxa"/>
          </w:tcPr>
          <w:p w14:paraId="3E86E716">
            <w:pPr>
              <w:pStyle w:val="29"/>
              <w:pageBreakBefore w:val="0"/>
              <w:widowControl w:val="0"/>
              <w:tabs>
                <w:tab w:val="left" w:pos="6090"/>
              </w:tabs>
              <w:wordWrap/>
              <w:overflowPunct/>
              <w:topLinePunct w:val="0"/>
              <w:bidi w:val="0"/>
              <w:rPr>
                <w:color w:val="auto"/>
                <w:highlight w:val="none"/>
              </w:rPr>
            </w:pPr>
          </w:p>
        </w:tc>
        <w:tc>
          <w:tcPr>
            <w:tcW w:w="1421" w:type="dxa"/>
          </w:tcPr>
          <w:p w14:paraId="6A9FAA45">
            <w:pPr>
              <w:pStyle w:val="29"/>
              <w:pageBreakBefore w:val="0"/>
              <w:widowControl w:val="0"/>
              <w:tabs>
                <w:tab w:val="left" w:pos="6090"/>
              </w:tabs>
              <w:wordWrap/>
              <w:overflowPunct/>
              <w:topLinePunct w:val="0"/>
              <w:bidi w:val="0"/>
              <w:rPr>
                <w:color w:val="auto"/>
                <w:highlight w:val="none"/>
              </w:rPr>
            </w:pPr>
          </w:p>
        </w:tc>
      </w:tr>
    </w:tbl>
    <w:p w14:paraId="0ACC75FE">
      <w:pPr>
        <w:pageBreakBefore w:val="0"/>
        <w:widowControl w:val="0"/>
        <w:tabs>
          <w:tab w:val="left" w:pos="6090"/>
        </w:tabs>
        <w:wordWrap/>
        <w:overflowPunct/>
        <w:topLinePunct w:val="0"/>
        <w:bidi w:val="0"/>
        <w:spacing w:line="252" w:lineRule="auto"/>
        <w:rPr>
          <w:color w:val="auto"/>
          <w:position w:val="0"/>
          <w:highlight w:val="none"/>
        </w:rPr>
      </w:pPr>
    </w:p>
    <w:p w14:paraId="641D6CA2">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right="510" w:rightChars="243"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1、供应商应当如实填写上表“响应文件中响应的具体内容”处内容，对采购文件提出的要求和条件作出明确响应，并列明具体响应数值或内容，只注明符合、满足等无具体内容表述的，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。供应商需要说明的内容若需特殊表达，应先在本表中进行相应说明，再另页应答。</w:t>
      </w:r>
    </w:p>
    <w:p w14:paraId="49673D3E">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right="420" w:rightChars="200" w:firstLine="482" w:firstLineChars="200"/>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707E4871">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firstLine="480" w:firstLineChars="20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7D78FE06">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4、供应商加盖了单位公章但未逐条填写表格内容的，视同完全响应磋商文件第五章采购需求中“（二）技术需求”的所有条款。</w:t>
      </w:r>
    </w:p>
    <w:p w14:paraId="204D0ED5">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432FE5FE">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6300EAD2">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78C276EE">
      <w:pPr>
        <w:pageBreakBefore w:val="0"/>
        <w:widowControl w:val="0"/>
        <w:tabs>
          <w:tab w:val="left" w:pos="6090"/>
        </w:tabs>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9A72B99">
      <w:pPr>
        <w:pageBreakBefore w:val="0"/>
        <w:widowControl w:val="0"/>
        <w:tabs>
          <w:tab w:val="left" w:pos="6090"/>
        </w:tabs>
        <w:wordWrap/>
        <w:overflowPunct/>
        <w:topLinePunct w:val="0"/>
        <w:bidi w:val="0"/>
        <w:spacing w:line="219" w:lineRule="auto"/>
        <w:rPr>
          <w:rFonts w:ascii="宋体" w:hAnsi="宋体" w:eastAsia="宋体" w:cs="宋体"/>
          <w:color w:val="auto"/>
          <w:sz w:val="24"/>
          <w:szCs w:val="24"/>
          <w:highlight w:val="none"/>
          <w:lang w:eastAsia="zh-CN"/>
        </w:rPr>
        <w:sectPr>
          <w:footerReference r:id="rId12" w:type="default"/>
          <w:pgSz w:w="11906" w:h="16839"/>
          <w:pgMar w:top="1431" w:right="873" w:bottom="1156" w:left="1701" w:header="0" w:footer="994" w:gutter="0"/>
          <w:pgNumType w:fmt="decimal"/>
          <w:cols w:space="720" w:num="1"/>
        </w:sectPr>
      </w:pPr>
    </w:p>
    <w:p w14:paraId="10D36807">
      <w:pPr>
        <w:pageBreakBefore w:val="0"/>
        <w:widowControl w:val="0"/>
        <w:tabs>
          <w:tab w:val="left" w:pos="6090"/>
        </w:tabs>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81" w:name="bookmark59"/>
      <w:bookmarkEnd w:id="81"/>
      <w:bookmarkStart w:id="82" w:name="_Toc1855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bookmarkEnd w:id="82"/>
    </w:p>
    <w:p w14:paraId="3376921E">
      <w:pPr>
        <w:pageBreakBefore w:val="0"/>
        <w:widowControl w:val="0"/>
        <w:tabs>
          <w:tab w:val="left" w:pos="6090"/>
        </w:tabs>
        <w:wordWrap/>
        <w:overflowPunct/>
        <w:topLinePunct w:val="0"/>
        <w:bidi w:val="0"/>
        <w:spacing w:before="26"/>
        <w:rPr>
          <w:color w:val="auto"/>
          <w:highlight w:val="none"/>
          <w:lang w:eastAsia="zh-CN"/>
        </w:rPr>
      </w:pPr>
    </w:p>
    <w:tbl>
      <w:tblPr>
        <w:tblStyle w:val="28"/>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49550D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5" w:hRule="atLeast"/>
        </w:trPr>
        <w:tc>
          <w:tcPr>
            <w:tcW w:w="1297" w:type="dxa"/>
          </w:tcPr>
          <w:p w14:paraId="7111411E">
            <w:pPr>
              <w:pageBreakBefore w:val="0"/>
              <w:widowControl w:val="0"/>
              <w:tabs>
                <w:tab w:val="left" w:pos="6090"/>
              </w:tabs>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47CC81C9">
            <w:pPr>
              <w:pageBreakBefore w:val="0"/>
              <w:widowControl w:val="0"/>
              <w:tabs>
                <w:tab w:val="left" w:pos="6090"/>
              </w:tabs>
              <w:wordWrap/>
              <w:overflowPunct/>
              <w:topLinePunct w:val="0"/>
              <w:bidi w:val="0"/>
              <w:spacing w:before="301" w:line="219" w:lineRule="auto"/>
              <w:ind w:left="153"/>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eastAsia="zh-CN"/>
              </w:rPr>
              <w:t>磋商文件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30273EEB">
            <w:pPr>
              <w:pageBreakBefore w:val="0"/>
              <w:widowControl w:val="0"/>
              <w:tabs>
                <w:tab w:val="left" w:pos="6090"/>
              </w:tabs>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79B91D8F">
            <w:pPr>
              <w:pageBreakBefore w:val="0"/>
              <w:widowControl w:val="0"/>
              <w:tabs>
                <w:tab w:val="left" w:pos="6090"/>
              </w:tabs>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4DCBFA87">
            <w:pPr>
              <w:pageBreakBefore w:val="0"/>
              <w:widowControl w:val="0"/>
              <w:tabs>
                <w:tab w:val="left" w:pos="6090"/>
              </w:tabs>
              <w:wordWrap/>
              <w:overflowPunct/>
              <w:topLinePunct w:val="0"/>
              <w:bidi w:val="0"/>
              <w:spacing w:before="68" w:line="240" w:lineRule="auto"/>
              <w:ind w:left="206"/>
              <w:jc w:val="center"/>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05DC40EB">
            <w:pPr>
              <w:pageBreakBefore w:val="0"/>
              <w:widowControl w:val="0"/>
              <w:tabs>
                <w:tab w:val="left" w:pos="6090"/>
              </w:tabs>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2ED53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E07AD28">
            <w:pPr>
              <w:pStyle w:val="29"/>
              <w:pageBreakBefore w:val="0"/>
              <w:widowControl w:val="0"/>
              <w:tabs>
                <w:tab w:val="left" w:pos="6090"/>
              </w:tabs>
              <w:wordWrap/>
              <w:overflowPunct/>
              <w:topLinePunct w:val="0"/>
              <w:bidi w:val="0"/>
              <w:rPr>
                <w:color w:val="auto"/>
                <w:highlight w:val="none"/>
              </w:rPr>
            </w:pPr>
          </w:p>
        </w:tc>
        <w:tc>
          <w:tcPr>
            <w:tcW w:w="2556" w:type="dxa"/>
          </w:tcPr>
          <w:p w14:paraId="350402DD">
            <w:pPr>
              <w:pStyle w:val="29"/>
              <w:pageBreakBefore w:val="0"/>
              <w:widowControl w:val="0"/>
              <w:tabs>
                <w:tab w:val="left" w:pos="6090"/>
              </w:tabs>
              <w:wordWrap/>
              <w:overflowPunct/>
              <w:topLinePunct w:val="0"/>
              <w:bidi w:val="0"/>
              <w:rPr>
                <w:color w:val="auto"/>
                <w:highlight w:val="none"/>
              </w:rPr>
            </w:pPr>
          </w:p>
        </w:tc>
        <w:tc>
          <w:tcPr>
            <w:tcW w:w="2644" w:type="dxa"/>
          </w:tcPr>
          <w:p w14:paraId="3D8EE517">
            <w:pPr>
              <w:pStyle w:val="29"/>
              <w:pageBreakBefore w:val="0"/>
              <w:widowControl w:val="0"/>
              <w:tabs>
                <w:tab w:val="left" w:pos="6090"/>
              </w:tabs>
              <w:wordWrap/>
              <w:overflowPunct/>
              <w:topLinePunct w:val="0"/>
              <w:bidi w:val="0"/>
              <w:rPr>
                <w:color w:val="auto"/>
                <w:highlight w:val="none"/>
              </w:rPr>
            </w:pPr>
          </w:p>
        </w:tc>
        <w:tc>
          <w:tcPr>
            <w:tcW w:w="1656" w:type="dxa"/>
          </w:tcPr>
          <w:p w14:paraId="4735B12A">
            <w:pPr>
              <w:pStyle w:val="29"/>
              <w:pageBreakBefore w:val="0"/>
              <w:widowControl w:val="0"/>
              <w:tabs>
                <w:tab w:val="left" w:pos="6090"/>
              </w:tabs>
              <w:wordWrap/>
              <w:overflowPunct/>
              <w:topLinePunct w:val="0"/>
              <w:bidi w:val="0"/>
              <w:rPr>
                <w:color w:val="auto"/>
                <w:highlight w:val="none"/>
              </w:rPr>
            </w:pPr>
          </w:p>
        </w:tc>
        <w:tc>
          <w:tcPr>
            <w:tcW w:w="1389" w:type="dxa"/>
          </w:tcPr>
          <w:p w14:paraId="6438A116">
            <w:pPr>
              <w:pStyle w:val="29"/>
              <w:pageBreakBefore w:val="0"/>
              <w:widowControl w:val="0"/>
              <w:tabs>
                <w:tab w:val="left" w:pos="6090"/>
              </w:tabs>
              <w:wordWrap/>
              <w:overflowPunct/>
              <w:topLinePunct w:val="0"/>
              <w:bidi w:val="0"/>
              <w:rPr>
                <w:color w:val="auto"/>
                <w:highlight w:val="none"/>
              </w:rPr>
            </w:pPr>
          </w:p>
        </w:tc>
      </w:tr>
      <w:tr w14:paraId="6E3FB0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E999957">
            <w:pPr>
              <w:pStyle w:val="29"/>
              <w:pageBreakBefore w:val="0"/>
              <w:widowControl w:val="0"/>
              <w:tabs>
                <w:tab w:val="left" w:pos="6090"/>
              </w:tabs>
              <w:wordWrap/>
              <w:overflowPunct/>
              <w:topLinePunct w:val="0"/>
              <w:bidi w:val="0"/>
              <w:rPr>
                <w:color w:val="auto"/>
                <w:highlight w:val="none"/>
              </w:rPr>
            </w:pPr>
          </w:p>
        </w:tc>
        <w:tc>
          <w:tcPr>
            <w:tcW w:w="2556" w:type="dxa"/>
          </w:tcPr>
          <w:p w14:paraId="416566C2">
            <w:pPr>
              <w:pStyle w:val="29"/>
              <w:pageBreakBefore w:val="0"/>
              <w:widowControl w:val="0"/>
              <w:tabs>
                <w:tab w:val="left" w:pos="6090"/>
              </w:tabs>
              <w:wordWrap/>
              <w:overflowPunct/>
              <w:topLinePunct w:val="0"/>
              <w:bidi w:val="0"/>
              <w:rPr>
                <w:color w:val="auto"/>
                <w:highlight w:val="none"/>
              </w:rPr>
            </w:pPr>
          </w:p>
        </w:tc>
        <w:tc>
          <w:tcPr>
            <w:tcW w:w="2644" w:type="dxa"/>
          </w:tcPr>
          <w:p w14:paraId="3B1F5902">
            <w:pPr>
              <w:pStyle w:val="29"/>
              <w:pageBreakBefore w:val="0"/>
              <w:widowControl w:val="0"/>
              <w:tabs>
                <w:tab w:val="left" w:pos="6090"/>
              </w:tabs>
              <w:wordWrap/>
              <w:overflowPunct/>
              <w:topLinePunct w:val="0"/>
              <w:bidi w:val="0"/>
              <w:rPr>
                <w:color w:val="auto"/>
                <w:highlight w:val="none"/>
              </w:rPr>
            </w:pPr>
          </w:p>
        </w:tc>
        <w:tc>
          <w:tcPr>
            <w:tcW w:w="1656" w:type="dxa"/>
          </w:tcPr>
          <w:p w14:paraId="75F239E2">
            <w:pPr>
              <w:pStyle w:val="29"/>
              <w:pageBreakBefore w:val="0"/>
              <w:widowControl w:val="0"/>
              <w:tabs>
                <w:tab w:val="left" w:pos="6090"/>
              </w:tabs>
              <w:wordWrap/>
              <w:overflowPunct/>
              <w:topLinePunct w:val="0"/>
              <w:bidi w:val="0"/>
              <w:rPr>
                <w:color w:val="auto"/>
                <w:highlight w:val="none"/>
              </w:rPr>
            </w:pPr>
          </w:p>
        </w:tc>
        <w:tc>
          <w:tcPr>
            <w:tcW w:w="1389" w:type="dxa"/>
          </w:tcPr>
          <w:p w14:paraId="6D63335F">
            <w:pPr>
              <w:pStyle w:val="29"/>
              <w:pageBreakBefore w:val="0"/>
              <w:widowControl w:val="0"/>
              <w:tabs>
                <w:tab w:val="left" w:pos="6090"/>
              </w:tabs>
              <w:wordWrap/>
              <w:overflowPunct/>
              <w:topLinePunct w:val="0"/>
              <w:bidi w:val="0"/>
              <w:rPr>
                <w:color w:val="auto"/>
                <w:highlight w:val="none"/>
              </w:rPr>
            </w:pPr>
          </w:p>
        </w:tc>
      </w:tr>
      <w:tr w14:paraId="5360B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CBC7708">
            <w:pPr>
              <w:pStyle w:val="29"/>
              <w:pageBreakBefore w:val="0"/>
              <w:widowControl w:val="0"/>
              <w:tabs>
                <w:tab w:val="left" w:pos="6090"/>
              </w:tabs>
              <w:wordWrap/>
              <w:overflowPunct/>
              <w:topLinePunct w:val="0"/>
              <w:bidi w:val="0"/>
              <w:rPr>
                <w:color w:val="auto"/>
                <w:highlight w:val="none"/>
              </w:rPr>
            </w:pPr>
          </w:p>
        </w:tc>
        <w:tc>
          <w:tcPr>
            <w:tcW w:w="2556" w:type="dxa"/>
          </w:tcPr>
          <w:p w14:paraId="684F2607">
            <w:pPr>
              <w:pStyle w:val="29"/>
              <w:pageBreakBefore w:val="0"/>
              <w:widowControl w:val="0"/>
              <w:tabs>
                <w:tab w:val="left" w:pos="6090"/>
              </w:tabs>
              <w:wordWrap/>
              <w:overflowPunct/>
              <w:topLinePunct w:val="0"/>
              <w:bidi w:val="0"/>
              <w:rPr>
                <w:color w:val="auto"/>
                <w:highlight w:val="none"/>
              </w:rPr>
            </w:pPr>
          </w:p>
        </w:tc>
        <w:tc>
          <w:tcPr>
            <w:tcW w:w="2644" w:type="dxa"/>
          </w:tcPr>
          <w:p w14:paraId="3EDAF3A7">
            <w:pPr>
              <w:pStyle w:val="29"/>
              <w:pageBreakBefore w:val="0"/>
              <w:widowControl w:val="0"/>
              <w:tabs>
                <w:tab w:val="left" w:pos="6090"/>
              </w:tabs>
              <w:wordWrap/>
              <w:overflowPunct/>
              <w:topLinePunct w:val="0"/>
              <w:bidi w:val="0"/>
              <w:rPr>
                <w:color w:val="auto"/>
                <w:highlight w:val="none"/>
              </w:rPr>
            </w:pPr>
          </w:p>
        </w:tc>
        <w:tc>
          <w:tcPr>
            <w:tcW w:w="1656" w:type="dxa"/>
          </w:tcPr>
          <w:p w14:paraId="42D4AA28">
            <w:pPr>
              <w:pStyle w:val="29"/>
              <w:pageBreakBefore w:val="0"/>
              <w:widowControl w:val="0"/>
              <w:tabs>
                <w:tab w:val="left" w:pos="6090"/>
              </w:tabs>
              <w:wordWrap/>
              <w:overflowPunct/>
              <w:topLinePunct w:val="0"/>
              <w:bidi w:val="0"/>
              <w:rPr>
                <w:color w:val="auto"/>
                <w:highlight w:val="none"/>
              </w:rPr>
            </w:pPr>
          </w:p>
        </w:tc>
        <w:tc>
          <w:tcPr>
            <w:tcW w:w="1389" w:type="dxa"/>
          </w:tcPr>
          <w:p w14:paraId="1AF015F7">
            <w:pPr>
              <w:pStyle w:val="29"/>
              <w:pageBreakBefore w:val="0"/>
              <w:widowControl w:val="0"/>
              <w:tabs>
                <w:tab w:val="left" w:pos="6090"/>
              </w:tabs>
              <w:wordWrap/>
              <w:overflowPunct/>
              <w:topLinePunct w:val="0"/>
              <w:bidi w:val="0"/>
              <w:rPr>
                <w:color w:val="auto"/>
                <w:highlight w:val="none"/>
              </w:rPr>
            </w:pPr>
          </w:p>
        </w:tc>
      </w:tr>
      <w:tr w14:paraId="6B15A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C712E47">
            <w:pPr>
              <w:pStyle w:val="29"/>
              <w:pageBreakBefore w:val="0"/>
              <w:widowControl w:val="0"/>
              <w:tabs>
                <w:tab w:val="left" w:pos="6090"/>
              </w:tabs>
              <w:wordWrap/>
              <w:overflowPunct/>
              <w:topLinePunct w:val="0"/>
              <w:bidi w:val="0"/>
              <w:rPr>
                <w:color w:val="auto"/>
                <w:highlight w:val="none"/>
              </w:rPr>
            </w:pPr>
          </w:p>
        </w:tc>
        <w:tc>
          <w:tcPr>
            <w:tcW w:w="2556" w:type="dxa"/>
          </w:tcPr>
          <w:p w14:paraId="36383391">
            <w:pPr>
              <w:pStyle w:val="29"/>
              <w:pageBreakBefore w:val="0"/>
              <w:widowControl w:val="0"/>
              <w:tabs>
                <w:tab w:val="left" w:pos="6090"/>
              </w:tabs>
              <w:wordWrap/>
              <w:overflowPunct/>
              <w:topLinePunct w:val="0"/>
              <w:bidi w:val="0"/>
              <w:rPr>
                <w:color w:val="auto"/>
                <w:highlight w:val="none"/>
              </w:rPr>
            </w:pPr>
          </w:p>
        </w:tc>
        <w:tc>
          <w:tcPr>
            <w:tcW w:w="2644" w:type="dxa"/>
          </w:tcPr>
          <w:p w14:paraId="04197BCE">
            <w:pPr>
              <w:pStyle w:val="29"/>
              <w:pageBreakBefore w:val="0"/>
              <w:widowControl w:val="0"/>
              <w:tabs>
                <w:tab w:val="left" w:pos="6090"/>
              </w:tabs>
              <w:wordWrap/>
              <w:overflowPunct/>
              <w:topLinePunct w:val="0"/>
              <w:bidi w:val="0"/>
              <w:rPr>
                <w:color w:val="auto"/>
                <w:highlight w:val="none"/>
              </w:rPr>
            </w:pPr>
          </w:p>
        </w:tc>
        <w:tc>
          <w:tcPr>
            <w:tcW w:w="1656" w:type="dxa"/>
          </w:tcPr>
          <w:p w14:paraId="4E43E857">
            <w:pPr>
              <w:pStyle w:val="29"/>
              <w:pageBreakBefore w:val="0"/>
              <w:widowControl w:val="0"/>
              <w:tabs>
                <w:tab w:val="left" w:pos="6090"/>
              </w:tabs>
              <w:wordWrap/>
              <w:overflowPunct/>
              <w:topLinePunct w:val="0"/>
              <w:bidi w:val="0"/>
              <w:rPr>
                <w:color w:val="auto"/>
                <w:highlight w:val="none"/>
              </w:rPr>
            </w:pPr>
          </w:p>
        </w:tc>
        <w:tc>
          <w:tcPr>
            <w:tcW w:w="1389" w:type="dxa"/>
          </w:tcPr>
          <w:p w14:paraId="163FA41B">
            <w:pPr>
              <w:pStyle w:val="29"/>
              <w:pageBreakBefore w:val="0"/>
              <w:widowControl w:val="0"/>
              <w:tabs>
                <w:tab w:val="left" w:pos="6090"/>
              </w:tabs>
              <w:wordWrap/>
              <w:overflowPunct/>
              <w:topLinePunct w:val="0"/>
              <w:bidi w:val="0"/>
              <w:rPr>
                <w:color w:val="auto"/>
                <w:highlight w:val="none"/>
              </w:rPr>
            </w:pPr>
          </w:p>
        </w:tc>
      </w:tr>
      <w:tr w14:paraId="05238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4883616">
            <w:pPr>
              <w:pStyle w:val="29"/>
              <w:pageBreakBefore w:val="0"/>
              <w:widowControl w:val="0"/>
              <w:tabs>
                <w:tab w:val="left" w:pos="6090"/>
              </w:tabs>
              <w:wordWrap/>
              <w:overflowPunct/>
              <w:topLinePunct w:val="0"/>
              <w:bidi w:val="0"/>
              <w:rPr>
                <w:color w:val="auto"/>
                <w:highlight w:val="none"/>
              </w:rPr>
            </w:pPr>
          </w:p>
        </w:tc>
        <w:tc>
          <w:tcPr>
            <w:tcW w:w="2556" w:type="dxa"/>
          </w:tcPr>
          <w:p w14:paraId="14F171CB">
            <w:pPr>
              <w:pStyle w:val="29"/>
              <w:pageBreakBefore w:val="0"/>
              <w:widowControl w:val="0"/>
              <w:tabs>
                <w:tab w:val="left" w:pos="6090"/>
              </w:tabs>
              <w:wordWrap/>
              <w:overflowPunct/>
              <w:topLinePunct w:val="0"/>
              <w:bidi w:val="0"/>
              <w:rPr>
                <w:color w:val="auto"/>
                <w:highlight w:val="none"/>
              </w:rPr>
            </w:pPr>
          </w:p>
        </w:tc>
        <w:tc>
          <w:tcPr>
            <w:tcW w:w="2644" w:type="dxa"/>
          </w:tcPr>
          <w:p w14:paraId="3E1DD599">
            <w:pPr>
              <w:pStyle w:val="29"/>
              <w:pageBreakBefore w:val="0"/>
              <w:widowControl w:val="0"/>
              <w:tabs>
                <w:tab w:val="left" w:pos="6090"/>
              </w:tabs>
              <w:wordWrap/>
              <w:overflowPunct/>
              <w:topLinePunct w:val="0"/>
              <w:bidi w:val="0"/>
              <w:rPr>
                <w:color w:val="auto"/>
                <w:highlight w:val="none"/>
              </w:rPr>
            </w:pPr>
          </w:p>
        </w:tc>
        <w:tc>
          <w:tcPr>
            <w:tcW w:w="1656" w:type="dxa"/>
          </w:tcPr>
          <w:p w14:paraId="050C361C">
            <w:pPr>
              <w:pStyle w:val="29"/>
              <w:pageBreakBefore w:val="0"/>
              <w:widowControl w:val="0"/>
              <w:tabs>
                <w:tab w:val="left" w:pos="6090"/>
              </w:tabs>
              <w:wordWrap/>
              <w:overflowPunct/>
              <w:topLinePunct w:val="0"/>
              <w:bidi w:val="0"/>
              <w:rPr>
                <w:color w:val="auto"/>
                <w:highlight w:val="none"/>
              </w:rPr>
            </w:pPr>
          </w:p>
        </w:tc>
        <w:tc>
          <w:tcPr>
            <w:tcW w:w="1389" w:type="dxa"/>
          </w:tcPr>
          <w:p w14:paraId="5D48012C">
            <w:pPr>
              <w:pStyle w:val="29"/>
              <w:pageBreakBefore w:val="0"/>
              <w:widowControl w:val="0"/>
              <w:tabs>
                <w:tab w:val="left" w:pos="6090"/>
              </w:tabs>
              <w:wordWrap/>
              <w:overflowPunct/>
              <w:topLinePunct w:val="0"/>
              <w:bidi w:val="0"/>
              <w:rPr>
                <w:color w:val="auto"/>
                <w:highlight w:val="none"/>
              </w:rPr>
            </w:pPr>
          </w:p>
        </w:tc>
      </w:tr>
      <w:tr w14:paraId="7E3FF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896E03A">
            <w:pPr>
              <w:pStyle w:val="29"/>
              <w:pageBreakBefore w:val="0"/>
              <w:widowControl w:val="0"/>
              <w:tabs>
                <w:tab w:val="left" w:pos="6090"/>
              </w:tabs>
              <w:wordWrap/>
              <w:overflowPunct/>
              <w:topLinePunct w:val="0"/>
              <w:bidi w:val="0"/>
              <w:rPr>
                <w:color w:val="auto"/>
                <w:highlight w:val="none"/>
              </w:rPr>
            </w:pPr>
          </w:p>
        </w:tc>
        <w:tc>
          <w:tcPr>
            <w:tcW w:w="2556" w:type="dxa"/>
          </w:tcPr>
          <w:p w14:paraId="3D8DB7C1">
            <w:pPr>
              <w:pStyle w:val="29"/>
              <w:pageBreakBefore w:val="0"/>
              <w:widowControl w:val="0"/>
              <w:tabs>
                <w:tab w:val="left" w:pos="6090"/>
              </w:tabs>
              <w:wordWrap/>
              <w:overflowPunct/>
              <w:topLinePunct w:val="0"/>
              <w:bidi w:val="0"/>
              <w:rPr>
                <w:color w:val="auto"/>
                <w:highlight w:val="none"/>
              </w:rPr>
            </w:pPr>
          </w:p>
        </w:tc>
        <w:tc>
          <w:tcPr>
            <w:tcW w:w="2644" w:type="dxa"/>
          </w:tcPr>
          <w:p w14:paraId="4876360E">
            <w:pPr>
              <w:pStyle w:val="29"/>
              <w:pageBreakBefore w:val="0"/>
              <w:widowControl w:val="0"/>
              <w:tabs>
                <w:tab w:val="left" w:pos="6090"/>
              </w:tabs>
              <w:wordWrap/>
              <w:overflowPunct/>
              <w:topLinePunct w:val="0"/>
              <w:bidi w:val="0"/>
              <w:rPr>
                <w:color w:val="auto"/>
                <w:highlight w:val="none"/>
              </w:rPr>
            </w:pPr>
          </w:p>
        </w:tc>
        <w:tc>
          <w:tcPr>
            <w:tcW w:w="1656" w:type="dxa"/>
          </w:tcPr>
          <w:p w14:paraId="1666DA63">
            <w:pPr>
              <w:pStyle w:val="29"/>
              <w:pageBreakBefore w:val="0"/>
              <w:widowControl w:val="0"/>
              <w:tabs>
                <w:tab w:val="left" w:pos="6090"/>
              </w:tabs>
              <w:wordWrap/>
              <w:overflowPunct/>
              <w:topLinePunct w:val="0"/>
              <w:bidi w:val="0"/>
              <w:rPr>
                <w:color w:val="auto"/>
                <w:highlight w:val="none"/>
              </w:rPr>
            </w:pPr>
          </w:p>
        </w:tc>
        <w:tc>
          <w:tcPr>
            <w:tcW w:w="1389" w:type="dxa"/>
          </w:tcPr>
          <w:p w14:paraId="6C9C4172">
            <w:pPr>
              <w:pStyle w:val="29"/>
              <w:pageBreakBefore w:val="0"/>
              <w:widowControl w:val="0"/>
              <w:tabs>
                <w:tab w:val="left" w:pos="6090"/>
              </w:tabs>
              <w:wordWrap/>
              <w:overflowPunct/>
              <w:topLinePunct w:val="0"/>
              <w:bidi w:val="0"/>
              <w:rPr>
                <w:color w:val="auto"/>
                <w:highlight w:val="none"/>
              </w:rPr>
            </w:pPr>
          </w:p>
        </w:tc>
      </w:tr>
      <w:tr w14:paraId="071530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5FDB43B">
            <w:pPr>
              <w:pStyle w:val="29"/>
              <w:pageBreakBefore w:val="0"/>
              <w:widowControl w:val="0"/>
              <w:tabs>
                <w:tab w:val="left" w:pos="6090"/>
              </w:tabs>
              <w:wordWrap/>
              <w:overflowPunct/>
              <w:topLinePunct w:val="0"/>
              <w:bidi w:val="0"/>
              <w:rPr>
                <w:color w:val="auto"/>
                <w:highlight w:val="none"/>
              </w:rPr>
            </w:pPr>
          </w:p>
        </w:tc>
        <w:tc>
          <w:tcPr>
            <w:tcW w:w="2556" w:type="dxa"/>
          </w:tcPr>
          <w:p w14:paraId="24A7D150">
            <w:pPr>
              <w:pStyle w:val="29"/>
              <w:pageBreakBefore w:val="0"/>
              <w:widowControl w:val="0"/>
              <w:tabs>
                <w:tab w:val="left" w:pos="6090"/>
              </w:tabs>
              <w:wordWrap/>
              <w:overflowPunct/>
              <w:topLinePunct w:val="0"/>
              <w:bidi w:val="0"/>
              <w:rPr>
                <w:color w:val="auto"/>
                <w:highlight w:val="none"/>
              </w:rPr>
            </w:pPr>
          </w:p>
        </w:tc>
        <w:tc>
          <w:tcPr>
            <w:tcW w:w="2644" w:type="dxa"/>
          </w:tcPr>
          <w:p w14:paraId="1BE2F195">
            <w:pPr>
              <w:pStyle w:val="29"/>
              <w:pageBreakBefore w:val="0"/>
              <w:widowControl w:val="0"/>
              <w:tabs>
                <w:tab w:val="left" w:pos="6090"/>
              </w:tabs>
              <w:wordWrap/>
              <w:overflowPunct/>
              <w:topLinePunct w:val="0"/>
              <w:bidi w:val="0"/>
              <w:rPr>
                <w:color w:val="auto"/>
                <w:highlight w:val="none"/>
              </w:rPr>
            </w:pPr>
          </w:p>
        </w:tc>
        <w:tc>
          <w:tcPr>
            <w:tcW w:w="1656" w:type="dxa"/>
          </w:tcPr>
          <w:p w14:paraId="55080033">
            <w:pPr>
              <w:pStyle w:val="29"/>
              <w:pageBreakBefore w:val="0"/>
              <w:widowControl w:val="0"/>
              <w:tabs>
                <w:tab w:val="left" w:pos="6090"/>
              </w:tabs>
              <w:wordWrap/>
              <w:overflowPunct/>
              <w:topLinePunct w:val="0"/>
              <w:bidi w:val="0"/>
              <w:rPr>
                <w:color w:val="auto"/>
                <w:highlight w:val="none"/>
              </w:rPr>
            </w:pPr>
          </w:p>
        </w:tc>
        <w:tc>
          <w:tcPr>
            <w:tcW w:w="1389" w:type="dxa"/>
          </w:tcPr>
          <w:p w14:paraId="29F859FA">
            <w:pPr>
              <w:pStyle w:val="29"/>
              <w:pageBreakBefore w:val="0"/>
              <w:widowControl w:val="0"/>
              <w:tabs>
                <w:tab w:val="left" w:pos="6090"/>
              </w:tabs>
              <w:wordWrap/>
              <w:overflowPunct/>
              <w:topLinePunct w:val="0"/>
              <w:bidi w:val="0"/>
              <w:rPr>
                <w:color w:val="auto"/>
                <w:highlight w:val="none"/>
              </w:rPr>
            </w:pPr>
          </w:p>
        </w:tc>
      </w:tr>
    </w:tbl>
    <w:p w14:paraId="67314C3A">
      <w:pPr>
        <w:keepNext w:val="0"/>
        <w:keepLines w:val="0"/>
        <w:pageBreakBefore w:val="0"/>
        <w:widowControl w:val="0"/>
        <w:kinsoku w:val="0"/>
        <w:wordWrap/>
        <w:overflowPunct/>
        <w:topLinePunct w:val="0"/>
        <w:autoSpaceDE w:val="0"/>
        <w:autoSpaceDN w:val="0"/>
        <w:bidi w:val="0"/>
        <w:adjustRightInd w:val="0"/>
        <w:snapToGrid w:val="0"/>
        <w:spacing w:line="360" w:lineRule="exact"/>
        <w:ind w:left="0" w:leftChars="0" w:right="288" w:rightChars="137"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1、供应商应当如实填写上表“响应文件中响应的具体内容”处内容，对采购文件提出的要求和条件作出明确响应，并列明具体响应数值或内容，只注明符合、满足等无具体内容表述的，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。供应商需要说明的内容若需特殊表达，应先在本表中进行相应说明，再另页应答。</w:t>
      </w:r>
    </w:p>
    <w:p w14:paraId="62C9C55F">
      <w:pPr>
        <w:keepNext w:val="0"/>
        <w:keepLines w:val="0"/>
        <w:pageBreakBefore w:val="0"/>
        <w:widowControl w:val="0"/>
        <w:kinsoku w:val="0"/>
        <w:wordWrap/>
        <w:overflowPunct/>
        <w:topLinePunct w:val="0"/>
        <w:autoSpaceDE w:val="0"/>
        <w:autoSpaceDN w:val="0"/>
        <w:bidi w:val="0"/>
        <w:adjustRightInd w:val="0"/>
        <w:snapToGrid w:val="0"/>
        <w:spacing w:line="360" w:lineRule="exact"/>
        <w:ind w:left="0" w:leftChars="0" w:right="420" w:rightChars="200" w:firstLine="605" w:firstLineChars="251"/>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7D1EB212">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firstLine="480" w:firstLineChars="20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30E06D00">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firstLine="480" w:firstLineChars="200"/>
        <w:jc w:val="both"/>
        <w:textAlignment w:val="baseline"/>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en-US" w:eastAsia="zh-CN"/>
        </w:rPr>
        <w:t>4、供应商加盖了单位公章但未</w:t>
      </w:r>
      <w:r>
        <w:rPr>
          <w:rFonts w:hint="eastAsia" w:ascii="宋体" w:hAnsi="宋体" w:eastAsia="宋体" w:cs="宋体"/>
          <w:color w:val="auto"/>
          <w:spacing w:val="0"/>
          <w:position w:val="0"/>
          <w:sz w:val="24"/>
          <w:szCs w:val="24"/>
          <w:highlight w:val="none"/>
          <w:lang w:val="en-US" w:eastAsia="zh-CN"/>
        </w:rPr>
        <w:t>逐条</w:t>
      </w:r>
      <w:r>
        <w:rPr>
          <w:rFonts w:hint="eastAsia" w:ascii="宋体" w:hAnsi="宋体" w:eastAsia="宋体" w:cs="宋体"/>
          <w:b w:val="0"/>
          <w:bCs w:val="0"/>
          <w:color w:val="auto"/>
          <w:spacing w:val="0"/>
          <w:position w:val="0"/>
          <w:sz w:val="24"/>
          <w:szCs w:val="24"/>
          <w:highlight w:val="none"/>
          <w:lang w:val="en-US" w:eastAsia="zh-CN"/>
        </w:rPr>
        <w:t>填写表格内容的，视同完全响应磋商文件第五章采购需求中“（三）商务条件”的所有条款。</w:t>
      </w:r>
    </w:p>
    <w:p w14:paraId="4F29B370">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4C021DD">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35770A83">
      <w:pPr>
        <w:pageBreakBefore w:val="0"/>
        <w:widowControl w:val="0"/>
        <w:wordWrap/>
        <w:overflowPunct/>
        <w:topLinePunct w:val="0"/>
        <w:bidi w:val="0"/>
        <w:spacing w:before="78" w:line="219" w:lineRule="auto"/>
        <w:ind w:left="125" w:firstLine="468" w:firstLineChars="200"/>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3264BC73">
      <w:pPr>
        <w:pageBreakBefore w:val="0"/>
        <w:widowControl w:val="0"/>
        <w:wordWrap/>
        <w:overflowPunct/>
        <w:topLinePunct w:val="0"/>
        <w:bidi w:val="0"/>
        <w:spacing w:before="78" w:line="219" w:lineRule="auto"/>
        <w:ind w:left="125" w:firstLine="476" w:firstLineChars="200"/>
        <w:rPr>
          <w:rFonts w:hint="default" w:ascii="宋体" w:hAnsi="宋体" w:eastAsia="宋体" w:cs="宋体"/>
          <w:color w:val="auto"/>
          <w:spacing w:val="-1"/>
          <w:sz w:val="24"/>
          <w:szCs w:val="24"/>
          <w:highlight w:val="none"/>
          <w:u w:val="single"/>
          <w:lang w:val="en-US" w:eastAsia="zh-CN"/>
        </w:rPr>
      </w:pPr>
      <w:r>
        <w:rPr>
          <w:rFonts w:ascii="宋体" w:hAnsi="宋体" w:eastAsia="宋体" w:cs="宋体"/>
          <w:color w:val="auto"/>
          <w:spacing w:val="-1"/>
          <w:sz w:val="24"/>
          <w:szCs w:val="24"/>
          <w:highlight w:val="none"/>
          <w:lang w:eastAsia="zh-CN"/>
        </w:rPr>
        <w:t>法定</w:t>
      </w:r>
      <w:r>
        <w:rPr>
          <w:rFonts w:hint="eastAsia" w:ascii="宋体" w:hAnsi="宋体" w:eastAsia="宋体" w:cs="宋体"/>
          <w:color w:val="auto"/>
          <w:spacing w:val="-3"/>
          <w:sz w:val="24"/>
          <w:szCs w:val="24"/>
          <w:highlight w:val="none"/>
          <w:lang w:eastAsia="zh-CN"/>
        </w:rPr>
        <w:t>代表人</w:t>
      </w:r>
      <w:r>
        <w:rPr>
          <w:rFonts w:ascii="宋体" w:hAnsi="宋体" w:eastAsia="宋体" w:cs="宋体"/>
          <w:color w:val="auto"/>
          <w:spacing w:val="-1"/>
          <w:sz w:val="24"/>
          <w:szCs w:val="24"/>
          <w:highlight w:val="none"/>
          <w:lang w:eastAsia="zh-CN"/>
        </w:rPr>
        <w:t>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0252EA3">
      <w:pPr>
        <w:pStyle w:val="30"/>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bookmarkStart w:id="83" w:name="_Toc7098"/>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bookmarkEnd w:id="83"/>
    </w:p>
    <w:p w14:paraId="3C861136">
      <w:pPr>
        <w:pStyle w:val="30"/>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bookmarkStart w:id="84" w:name="_Toc3032"/>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84"/>
      <w:r>
        <w:rPr>
          <w:rFonts w:hint="eastAsia" w:ascii="宋体" w:hAnsi="宋体" w:eastAsia="宋体" w:cs="宋体"/>
          <w:b/>
          <w:bCs/>
          <w:color w:val="auto"/>
          <w:sz w:val="24"/>
          <w:szCs w:val="24"/>
          <w:highlight w:val="none"/>
          <w:lang w:val="en-US" w:eastAsia="zh-CN"/>
        </w:rPr>
        <w:t xml:space="preserve"> </w:t>
      </w:r>
    </w:p>
    <w:p w14:paraId="3FC62CBB">
      <w:pPr>
        <w:pStyle w:val="31"/>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77DCE231">
      <w:pPr>
        <w:pStyle w:val="31"/>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640B94EB">
      <w:pPr>
        <w:pStyle w:val="31"/>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2E3AD79E">
      <w:pPr>
        <w:pStyle w:val="31"/>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2D81AD5A">
      <w:pPr>
        <w:pStyle w:val="31"/>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1B8C786A">
      <w:pPr>
        <w:pStyle w:val="31"/>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19A9CF92">
      <w:pPr>
        <w:pStyle w:val="31"/>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35C8EBA8">
      <w:pPr>
        <w:pStyle w:val="31"/>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259AB9DB">
      <w:pPr>
        <w:pStyle w:val="31"/>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4645A75A">
      <w:pPr>
        <w:pStyle w:val="31"/>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9D74EC8">
      <w:pPr>
        <w:pStyle w:val="31"/>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1B4B3111">
      <w:pPr>
        <w:pStyle w:val="31"/>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4BE22B48">
      <w:pPr>
        <w:pStyle w:val="31"/>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EA91D2A">
      <w:pPr>
        <w:pStyle w:val="31"/>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0A5CBB6D">
      <w:pPr>
        <w:pStyle w:val="31"/>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B7C9746">
      <w:pPr>
        <w:pStyle w:val="31"/>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6C894009">
      <w:pPr>
        <w:pStyle w:val="31"/>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381D2B1A">
      <w:pPr>
        <w:pStyle w:val="31"/>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4F353E1F">
      <w:pPr>
        <w:pStyle w:val="31"/>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337AE987">
      <w:pPr>
        <w:pStyle w:val="32"/>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518DE3EA">
      <w:pPr>
        <w:pStyle w:val="32"/>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p>
    <w:p w14:paraId="784C20E4">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eastAsia="zh-CN"/>
        </w:rPr>
        <w:t>响应文件</w:t>
      </w:r>
      <w:r>
        <w:rPr>
          <w:rFonts w:ascii="宋体" w:hAnsi="宋体" w:eastAsia="宋体" w:cs="宋体"/>
          <w:b w:val="0"/>
          <w:bCs w:val="0"/>
          <w:color w:val="auto"/>
          <w:spacing w:val="0"/>
          <w:w w:val="100"/>
          <w:position w:val="0"/>
          <w:sz w:val="24"/>
          <w:szCs w:val="24"/>
          <w:highlight w:val="none"/>
        </w:rPr>
        <w:t>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磋商</w:t>
      </w:r>
      <w:r>
        <w:rPr>
          <w:rFonts w:ascii="宋体" w:hAnsi="宋体" w:eastAsia="宋体" w:cs="宋体"/>
          <w:b w:val="0"/>
          <w:bCs w:val="0"/>
          <w:color w:val="auto"/>
          <w:spacing w:val="0"/>
          <w:w w:val="100"/>
          <w:position w:val="0"/>
          <w:sz w:val="24"/>
          <w:szCs w:val="24"/>
          <w:highlight w:val="none"/>
        </w:rPr>
        <w:t>文件要求，</w:t>
      </w:r>
      <w:r>
        <w:rPr>
          <w:rFonts w:ascii="宋体" w:hAnsi="宋体" w:eastAsia="宋体" w:cs="宋体"/>
          <w:b/>
          <w:bCs/>
          <w:color w:val="auto"/>
          <w:spacing w:val="0"/>
          <w:w w:val="100"/>
          <w:position w:val="0"/>
          <w:sz w:val="24"/>
          <w:szCs w:val="24"/>
          <w:highlight w:val="none"/>
        </w:rPr>
        <w:t>按无效</w:t>
      </w:r>
      <w:r>
        <w:rPr>
          <w:rFonts w:hint="eastAsia" w:ascii="宋体" w:hAnsi="宋体" w:eastAsia="宋体" w:cs="宋体"/>
          <w:b/>
          <w:bCs/>
          <w:color w:val="auto"/>
          <w:spacing w:val="0"/>
          <w:w w:val="100"/>
          <w:position w:val="0"/>
          <w:sz w:val="24"/>
          <w:szCs w:val="24"/>
          <w:highlight w:val="none"/>
          <w:lang w:val="en-US" w:eastAsia="zh-CN"/>
        </w:rPr>
        <w:t>响应</w:t>
      </w:r>
      <w:r>
        <w:rPr>
          <w:rFonts w:ascii="宋体" w:hAnsi="宋体" w:eastAsia="宋体" w:cs="宋体"/>
          <w:b/>
          <w:bCs/>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46595529">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结果后、签订政府采购合同前, 核实</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供应商所作信用承诺事项的真实性。</w:t>
      </w:r>
    </w:p>
    <w:p w14:paraId="3EF5FBDB">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3" w:type="default"/>
          <w:pgSz w:w="11906" w:h="16839"/>
          <w:pgMar w:top="1440" w:right="1800" w:bottom="1440" w:left="1800" w:header="0" w:footer="994" w:gutter="0"/>
          <w:pgNumType w:fmt="decimal"/>
          <w:cols w:space="720" w:num="1"/>
        </w:sectPr>
      </w:pPr>
    </w:p>
    <w:p w14:paraId="6B754C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85" w:name="bookmark61"/>
      <w:bookmarkEnd w:id="85"/>
      <w:bookmarkStart w:id="86" w:name="bookmark60"/>
      <w:bookmarkEnd w:id="86"/>
      <w:bookmarkStart w:id="87" w:name="_Toc10830"/>
      <w:bookmarkStart w:id="88" w:name="_Toc26319"/>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bookmarkEnd w:id="87"/>
      <w:bookmarkEnd w:id="88"/>
    </w:p>
    <w:p w14:paraId="7ABCC8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ascii="宋体" w:hAnsi="宋体" w:eastAsia="宋体" w:cs="宋体"/>
          <w:color w:val="auto"/>
          <w:spacing w:val="0"/>
          <w:sz w:val="24"/>
          <w:szCs w:val="24"/>
          <w:highlight w:val="none"/>
          <w:lang w:eastAsia="zh-CN"/>
        </w:rPr>
      </w:pPr>
      <w:bookmarkStart w:id="89" w:name="_Toc30156"/>
      <w:bookmarkStart w:id="90" w:name="_Toc15663"/>
      <w:r>
        <w:rPr>
          <w:rFonts w:hint="eastAsia" w:ascii="宋体" w:hAnsi="宋体" w:eastAsia="宋体" w:cs="宋体"/>
          <w:b/>
          <w:bCs/>
          <w:color w:val="auto"/>
          <w:spacing w:val="0"/>
          <w:sz w:val="24"/>
          <w:szCs w:val="24"/>
          <w:highlight w:val="none"/>
          <w:lang w:val="en-US" w:eastAsia="zh-CN"/>
        </w:rPr>
        <w:t>1、</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bookmarkEnd w:id="89"/>
      <w:bookmarkEnd w:id="90"/>
    </w:p>
    <w:p w14:paraId="1BD433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1" w:leftChars="0" w:right="99" w:firstLine="0" w:firstLineChars="0"/>
        <w:jc w:val="both"/>
        <w:textAlignment w:val="baseline"/>
        <w:rPr>
          <w:color w:val="auto"/>
          <w:spacing w:val="0"/>
          <w:highlight w:val="none"/>
          <w:lang w:eastAsia="zh-CN"/>
        </w:rPr>
      </w:pPr>
      <w:r>
        <w:rPr>
          <w:rFonts w:ascii="宋体" w:hAnsi="宋体" w:eastAsia="宋体" w:cs="宋体"/>
          <w:color w:val="auto"/>
          <w:spacing w:val="0"/>
          <w:sz w:val="24"/>
          <w:szCs w:val="24"/>
          <w:highlight w:val="none"/>
          <w:lang w:eastAsia="zh-CN"/>
        </w:rPr>
        <w:t>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是企业的（包括合伙企业）应提供有效的“企业法人营业执照 ”或“营业执照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是事业单位的应提供“事业单位法人证书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是非企业专业服务机构的应提供执业许可证等证明文件；</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是自然人的，应提供有效的自然人的身份证明(中国公民)。</w:t>
      </w:r>
    </w:p>
    <w:p w14:paraId="1A173F6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ascii="宋体" w:hAnsi="宋体" w:eastAsia="宋体" w:cs="宋体"/>
          <w:color w:val="auto"/>
          <w:spacing w:val="0"/>
          <w:sz w:val="24"/>
          <w:szCs w:val="24"/>
          <w:highlight w:val="none"/>
          <w:lang w:eastAsia="zh-CN"/>
        </w:rPr>
      </w:pPr>
      <w:bookmarkStart w:id="91" w:name="bookmark62"/>
      <w:bookmarkEnd w:id="91"/>
      <w:bookmarkStart w:id="92" w:name="_Toc30613"/>
      <w:bookmarkStart w:id="93" w:name="_Toc18865"/>
      <w:r>
        <w:rPr>
          <w:rFonts w:hint="eastAsia" w:ascii="宋体" w:hAnsi="宋体" w:eastAsia="宋体" w:cs="宋体"/>
          <w:b/>
          <w:bCs/>
          <w:color w:val="auto"/>
          <w:spacing w:val="0"/>
          <w:sz w:val="24"/>
          <w:szCs w:val="24"/>
          <w:highlight w:val="none"/>
          <w:lang w:val="en-US" w:eastAsia="zh-CN"/>
        </w:rPr>
        <w:t>2、</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bookmarkEnd w:id="92"/>
      <w:bookmarkEnd w:id="93"/>
    </w:p>
    <w:p w14:paraId="2B8171C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是法人的，提供</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前三个月中国人民银行征信中心开具个人信用报告。</w:t>
      </w:r>
    </w:p>
    <w:p w14:paraId="2FA37C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ascii="宋体" w:hAnsi="宋体" w:eastAsia="宋体" w:cs="宋体"/>
          <w:color w:val="auto"/>
          <w:spacing w:val="0"/>
          <w:sz w:val="24"/>
          <w:szCs w:val="24"/>
          <w:lang w:eastAsia="zh-CN"/>
        </w:rPr>
      </w:pPr>
      <w:bookmarkStart w:id="94" w:name="bookmark63"/>
      <w:bookmarkEnd w:id="94"/>
      <w:bookmarkStart w:id="95" w:name="_Toc28079"/>
      <w:bookmarkStart w:id="96" w:name="_Toc17535"/>
      <w:bookmarkStart w:id="97" w:name="_Toc25833"/>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95"/>
      <w:bookmarkEnd w:id="96"/>
      <w:bookmarkEnd w:id="97"/>
    </w:p>
    <w:p w14:paraId="430CFF9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lang w:eastAsia="zh-CN"/>
        </w:rPr>
        <w:t>供应商</w:t>
      </w:r>
      <w:r>
        <w:rPr>
          <w:rFonts w:ascii="宋体" w:hAnsi="宋体" w:eastAsia="宋体" w:cs="宋体"/>
          <w:color w:val="auto"/>
          <w:spacing w:val="0"/>
          <w:sz w:val="24"/>
          <w:szCs w:val="24"/>
          <w:lang w:eastAsia="zh-CN"/>
        </w:rPr>
        <w:t>提供具有履</w:t>
      </w:r>
      <w:r>
        <w:rPr>
          <w:rFonts w:ascii="宋体" w:hAnsi="宋体" w:eastAsia="宋体" w:cs="宋体"/>
          <w:color w:val="auto"/>
          <w:spacing w:val="0"/>
          <w:sz w:val="24"/>
          <w:szCs w:val="24"/>
          <w:highlight w:val="none"/>
          <w:lang w:eastAsia="zh-CN"/>
        </w:rPr>
        <w:t>行合同所必</w:t>
      </w:r>
      <w:r>
        <w:rPr>
          <w:rFonts w:hint="eastAsia" w:ascii="宋体" w:hAnsi="宋体" w:eastAsia="宋体" w:cs="宋体"/>
          <w:color w:val="auto"/>
          <w:spacing w:val="0"/>
          <w:sz w:val="24"/>
          <w:szCs w:val="24"/>
          <w:highlight w:val="none"/>
          <w:lang w:val="en-US" w:eastAsia="zh-CN"/>
        </w:rPr>
        <w:t>需</w:t>
      </w:r>
      <w:r>
        <w:rPr>
          <w:rFonts w:ascii="宋体" w:hAnsi="宋体" w:eastAsia="宋体" w:cs="宋体"/>
          <w:color w:val="auto"/>
          <w:spacing w:val="0"/>
          <w:sz w:val="24"/>
          <w:szCs w:val="24"/>
          <w:highlight w:val="none"/>
          <w:lang w:eastAsia="zh-CN"/>
        </w:rPr>
        <w:t>的设备和专业技术能力的承诺函；</w:t>
      </w:r>
    </w:p>
    <w:p w14:paraId="5BA897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98" w:name="bookmark64"/>
      <w:bookmarkEnd w:id="98"/>
      <w:bookmarkStart w:id="99" w:name="_Toc24696"/>
      <w:bookmarkStart w:id="100" w:name="_Toc6925"/>
      <w:bookmarkStart w:id="101" w:name="_Toc16880"/>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99"/>
      <w:bookmarkEnd w:id="100"/>
      <w:bookmarkEnd w:id="101"/>
    </w:p>
    <w:p w14:paraId="2B2B5D0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前六个月内任 意一个月的企业缴税凭证或证明；</w:t>
      </w:r>
    </w:p>
    <w:p w14:paraId="2D55BEB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val="en-US" w:eastAsia="zh-CN"/>
        </w:rPr>
        <w:t>磋商</w:t>
      </w:r>
      <w:r>
        <w:rPr>
          <w:rFonts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，应当提供相关文件证明其依法免税或不需要缴纳社会保障资金。</w:t>
      </w:r>
    </w:p>
    <w:p w14:paraId="0EA110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102" w:name="bookmark65"/>
      <w:bookmarkEnd w:id="102"/>
      <w:bookmarkStart w:id="103" w:name="_Toc6099"/>
      <w:bookmarkStart w:id="104" w:name="_Toc24004"/>
      <w:bookmarkStart w:id="105" w:name="_Toc26288"/>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03"/>
      <w:bookmarkEnd w:id="104"/>
      <w:bookmarkEnd w:id="105"/>
    </w:p>
    <w:p w14:paraId="0CF60E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参加政府采购</w:t>
      </w:r>
      <w:r>
        <w:rPr>
          <w:rFonts w:hint="eastAsia" w:ascii="宋体" w:hAnsi="宋体" w:eastAsia="宋体" w:cs="宋体"/>
          <w:color w:val="auto"/>
          <w:spacing w:val="0"/>
          <w:sz w:val="24"/>
          <w:szCs w:val="24"/>
          <w:highlight w:val="none"/>
          <w:lang w:eastAsia="zh-CN"/>
        </w:rPr>
        <w:t>活动</w:t>
      </w:r>
      <w:r>
        <w:rPr>
          <w:rFonts w:ascii="宋体" w:hAnsi="宋体" w:eastAsia="宋体" w:cs="宋体"/>
          <w:color w:val="auto"/>
          <w:spacing w:val="0"/>
          <w:sz w:val="24"/>
          <w:szCs w:val="24"/>
          <w:highlight w:val="none"/>
          <w:lang w:eastAsia="zh-CN"/>
        </w:rPr>
        <w:t>前三年内,在经营活动中没有重大违法记录承诺函；重大违法记录，是指</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因违法经营受到刑事处罚或者责令停产停业、吊</w:t>
      </w:r>
      <w:r>
        <w:rPr>
          <w:rFonts w:ascii="宋体" w:hAnsi="宋体" w:eastAsia="宋体" w:cs="宋体"/>
          <w:color w:val="auto"/>
          <w:spacing w:val="0"/>
          <w:sz w:val="24"/>
          <w:szCs w:val="24"/>
          <w:lang w:eastAsia="zh-CN"/>
        </w:rPr>
        <w:t>销许可证或者执照、较大罚款等行政处罚。</w:t>
      </w:r>
    </w:p>
    <w:p w14:paraId="15E23C8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bookmarkStart w:id="106" w:name="_Toc1115"/>
      <w:bookmarkStart w:id="107" w:name="_Toc32417"/>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bookmarkEnd w:id="106"/>
      <w:bookmarkEnd w:id="107"/>
    </w:p>
    <w:p w14:paraId="54D64425">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2C9A4FFE">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4C876E93">
      <w:pPr>
        <w:pStyle w:val="27"/>
        <w:pageBreakBefore w:val="0"/>
        <w:widowControl w:val="0"/>
        <w:wordWrap/>
        <w:overflowPunct/>
        <w:topLinePunct w:val="0"/>
        <w:bidi w:val="0"/>
        <w:rPr>
          <w:rFonts w:hint="default"/>
          <w:color w:val="auto"/>
          <w:highlight w:val="none"/>
          <w:lang w:val="en-US" w:eastAsia="zh-CN"/>
        </w:rPr>
        <w:sectPr>
          <w:footerReference r:id="rId14" w:type="default"/>
          <w:pgSz w:w="11906" w:h="16839"/>
          <w:pgMar w:top="1440" w:right="1800" w:bottom="1440" w:left="1800" w:header="0" w:footer="994" w:gutter="0"/>
          <w:pgNumType w:fmt="decimal"/>
          <w:cols w:space="720" w:num="1"/>
        </w:sectPr>
      </w:pPr>
    </w:p>
    <w:p w14:paraId="6CAF921A">
      <w:pPr>
        <w:pageBreakBefore w:val="0"/>
        <w:widowControl w:val="0"/>
        <w:wordWrap/>
        <w:overflowPunct/>
        <w:topLinePunct w:val="0"/>
        <w:bidi w:val="0"/>
        <w:spacing w:before="100" w:line="219" w:lineRule="auto"/>
        <w:ind w:left="3013"/>
        <w:outlineLvl w:val="1"/>
        <w:rPr>
          <w:rFonts w:ascii="宋体" w:hAnsi="宋体" w:eastAsia="宋体" w:cs="宋体"/>
          <w:color w:val="auto"/>
          <w:sz w:val="24"/>
          <w:szCs w:val="24"/>
          <w:highlight w:val="none"/>
          <w:lang w:eastAsia="zh-CN"/>
        </w:rPr>
      </w:pPr>
      <w:bookmarkStart w:id="108" w:name="bookmark66"/>
      <w:bookmarkEnd w:id="108"/>
      <w:bookmarkStart w:id="109" w:name="_Toc17100"/>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bookmarkEnd w:id="109"/>
    </w:p>
    <w:p w14:paraId="480B360C">
      <w:pPr>
        <w:pageBreakBefore w:val="0"/>
        <w:widowControl w:val="0"/>
        <w:wordWrap/>
        <w:overflowPunct/>
        <w:topLinePunct w:val="0"/>
        <w:bidi w:val="0"/>
        <w:spacing w:line="276" w:lineRule="auto"/>
        <w:rPr>
          <w:color w:val="auto"/>
          <w:highlight w:val="none"/>
          <w:lang w:eastAsia="zh-CN"/>
        </w:rPr>
      </w:pPr>
    </w:p>
    <w:p w14:paraId="1A3F33E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7"/>
        <w:textAlignment w:val="baseline"/>
        <w:rPr>
          <w:rFonts w:ascii="宋体" w:hAnsi="宋体" w:eastAsia="宋体" w:cs="宋体"/>
          <w:color w:val="auto"/>
          <w:spacing w:val="0"/>
          <w:position w:val="0"/>
          <w:sz w:val="24"/>
          <w:szCs w:val="24"/>
          <w:lang w:eastAsia="zh-CN"/>
        </w:rPr>
      </w:pPr>
    </w:p>
    <w:p w14:paraId="4B109F7F">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lang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22ED78A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7A2BEB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委托期限：自本授权委托书签署之日起至投标有效期届满之日止。 </w:t>
      </w:r>
    </w:p>
    <w:p w14:paraId="59C27AD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代理人无转委托权。 </w:t>
      </w:r>
    </w:p>
    <w:p w14:paraId="227DCDC1">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5D820AE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法定代表人（单位负责人）（签字或签章）：________________ </w:t>
      </w:r>
    </w:p>
    <w:p w14:paraId="600C046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委托代理人（签字或签章）：________________ </w:t>
      </w:r>
    </w:p>
    <w:p w14:paraId="0B6BDE91">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日期：_____年______月______日 </w:t>
      </w:r>
    </w:p>
    <w:p w14:paraId="1EA49E7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附：法定代表人（单位负责人）及委托代理人的身份证原件证扫描件（正、反面）</w:t>
      </w:r>
    </w:p>
    <w:p w14:paraId="16E689F1">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2E83087A">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540AC450">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792EA6D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说明：</w:t>
      </w:r>
    </w:p>
    <w:p w14:paraId="62EBF97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.若响应文件中签字处为授权委托人签署，提供《</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授权书》，若响应文件中签字之处均为法定代表人（单位负责人）本人签署，则提供《法定代表人（单位负责人）资格声明》。</w:t>
      </w:r>
    </w:p>
    <w:p w14:paraId="54CDC40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lang w:eastAsia="zh-CN"/>
        </w:rPr>
        <w:t>.若供应商为事业单位或其他组织或分支机构，则法定代表人（单位负责人）处的签署人为单位负责人。</w:t>
      </w:r>
    </w:p>
    <w:p w14:paraId="39F70ED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3.供应商为自然人的情形，无需提供本《</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w:t>
      </w:r>
    </w:p>
    <w:p w14:paraId="033DBEE8">
      <w:pPr>
        <w:rPr>
          <w:lang w:eastAsia="zh-CN"/>
        </w:rPr>
      </w:pPr>
      <w:r>
        <w:rPr>
          <w:lang w:eastAsia="zh-CN"/>
        </w:rPr>
        <w:br w:type="page"/>
      </w:r>
    </w:p>
    <w:p w14:paraId="590BA584">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110" w:name="_Toc28408"/>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bookmarkEnd w:id="110"/>
    </w:p>
    <w:p w14:paraId="400C5CDF">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5FE92F4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致：</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（采购代理机构名称） </w:t>
      </w:r>
    </w:p>
    <w:p w14:paraId="460B61F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兹证明： </w:t>
      </w:r>
    </w:p>
    <w:p w14:paraId="4A733E0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sz w:val="24"/>
          <w:szCs w:val="24"/>
          <w:u w:val="single"/>
          <w:lang w:val="en-US"/>
        </w:rPr>
      </w:pPr>
      <w:r>
        <w:rPr>
          <w:rFonts w:hint="eastAsia" w:asciiTheme="minorEastAsia" w:hAnsiTheme="minorEastAsia" w:eastAsiaTheme="minorEastAsia" w:cstheme="minorEastAsia"/>
          <w:snapToGrid w:val="0"/>
          <w:color w:val="000000"/>
          <w:kern w:val="0"/>
          <w:sz w:val="24"/>
          <w:szCs w:val="24"/>
          <w:lang w:val="en-US" w:eastAsia="zh-CN" w:bidi="ar"/>
        </w:rPr>
        <w:t>姓名：</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性别：</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年龄：</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职务：</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p>
    <w:p w14:paraId="740A739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系</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（供应商名称）</w:t>
      </w:r>
      <w:r>
        <w:rPr>
          <w:rFonts w:hint="eastAsia" w:asciiTheme="minorEastAsia" w:hAnsiTheme="minorEastAsia" w:eastAsiaTheme="minorEastAsia" w:cstheme="minorEastAsia"/>
          <w:snapToGrid w:val="0"/>
          <w:color w:val="000000"/>
          <w:kern w:val="0"/>
          <w:sz w:val="24"/>
          <w:szCs w:val="24"/>
          <w:lang w:val="en-US" w:eastAsia="zh-CN" w:bidi="ar"/>
        </w:rPr>
        <w:t xml:space="preserve">的法定代表人（单位负责人）。 </w:t>
      </w:r>
    </w:p>
    <w:p w14:paraId="291D065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0CA6E50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235F521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 </w:t>
      </w:r>
    </w:p>
    <w:p w14:paraId="6F4D098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pPr>
      <w:r>
        <w:rPr>
          <w:rFonts w:hint="eastAsia" w:asciiTheme="minorEastAsia" w:hAnsiTheme="minorEastAsia" w:eastAsiaTheme="minorEastAsia" w:cstheme="minorEastAsia"/>
          <w:snapToGrid w:val="0"/>
          <w:color w:val="000000"/>
          <w:kern w:val="0"/>
          <w:sz w:val="24"/>
          <w:szCs w:val="24"/>
          <w:lang w:val="en-US" w:eastAsia="zh-CN" w:bidi="ar"/>
        </w:rPr>
        <w:t>日期：_____年______月______日</w:t>
      </w:r>
    </w:p>
    <w:p w14:paraId="525B1144">
      <w:pPr>
        <w:pStyle w:val="18"/>
        <w:ind w:left="0" w:leftChars="0" w:firstLine="0" w:firstLineChars="0"/>
        <w:jc w:val="left"/>
        <w:rPr>
          <w:lang w:eastAsia="zh-CN"/>
        </w:rPr>
      </w:pPr>
    </w:p>
    <w:p w14:paraId="700D9E3C">
      <w:pPr>
        <w:pStyle w:val="18"/>
        <w:ind w:left="0" w:leftChars="0" w:firstLine="0" w:firstLineChars="0"/>
        <w:jc w:val="left"/>
        <w:rPr>
          <w:lang w:eastAsia="zh-CN"/>
        </w:rPr>
      </w:pPr>
    </w:p>
    <w:p w14:paraId="33A92AC7">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附：法定代表人（单位负责人）身份证原件证扫描件（正、反面）；</w:t>
      </w:r>
    </w:p>
    <w:p w14:paraId="6DD7EAB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5" w:type="default"/>
          <w:pgSz w:w="11906" w:h="16839"/>
          <w:pgMar w:top="1431" w:right="1587" w:bottom="1429" w:left="1582" w:header="0" w:footer="994" w:gutter="0"/>
          <w:pgNumType w:fmt="decimal"/>
          <w:cols w:space="720" w:num="1"/>
        </w:sectPr>
      </w:pPr>
    </w:p>
    <w:p w14:paraId="690214EC">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color w:val="auto"/>
          <w:highlight w:val="none"/>
          <w:lang w:eastAsia="zh-CN"/>
        </w:rPr>
      </w:pPr>
      <w:bookmarkStart w:id="111" w:name="bookmark67"/>
      <w:bookmarkEnd w:id="111"/>
      <w:bookmarkStart w:id="112" w:name="_Toc6426"/>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bookmarkEnd w:id="112"/>
    </w:p>
    <w:p w14:paraId="5DB258CC">
      <w:pPr>
        <w:keepNext w:val="0"/>
        <w:keepLines w:val="0"/>
        <w:pageBreakBefore w:val="0"/>
        <w:widowControl w:val="0"/>
        <w:kinsoku w:val="0"/>
        <w:wordWrap/>
        <w:overflowPunct/>
        <w:topLinePunct w:val="0"/>
        <w:autoSpaceDE w:val="0"/>
        <w:autoSpaceDN w:val="0"/>
        <w:bidi w:val="0"/>
        <w:adjustRightInd w:val="0"/>
        <w:snapToGrid w:val="0"/>
        <w:spacing w:before="78" w:after="0" w:afterLines="121" w:afterAutospacing="0" w:line="360" w:lineRule="auto"/>
        <w:ind w:left="90" w:leftChars="43" w:firstLine="0" w:firstLineChars="0"/>
        <w:jc w:val="center"/>
        <w:textAlignment w:val="baseline"/>
        <w:rPr>
          <w:rFonts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7242452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7"/>
        <w:textAlignment w:val="baseline"/>
        <w:rPr>
          <w:rFonts w:hint="default"/>
          <w:color w:val="auto"/>
          <w:highlight w:val="none"/>
          <w:u w:val="single"/>
          <w:lang w:val="en-US"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19CEBB5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08790BF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磋商</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磋商</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lang w:val="en-US" w:eastAsia="zh-CN"/>
        </w:rPr>
        <w:t>本项目磋商文件</w:t>
      </w:r>
      <w:r>
        <w:rPr>
          <w:rFonts w:hint="eastAsia" w:ascii="宋体" w:hAnsi="宋体" w:eastAsia="宋体" w:cs="宋体"/>
          <w:color w:val="auto"/>
          <w:spacing w:val="-2"/>
          <w:sz w:val="24"/>
          <w:szCs w:val="24"/>
          <w:highlight w:val="none"/>
          <w:lang w:val="en-US" w:eastAsia="zh-CN"/>
        </w:rPr>
        <w:t>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522FF2CB">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23BF01C5">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4F5A476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w:t>
      </w:r>
      <w:r>
        <w:rPr>
          <w:rFonts w:hint="eastAsia" w:ascii="宋体" w:hAnsi="宋体" w:eastAsia="宋体" w:cs="宋体"/>
          <w:color w:val="auto"/>
          <w:spacing w:val="-2"/>
          <w:position w:val="17"/>
          <w:sz w:val="24"/>
          <w:szCs w:val="24"/>
          <w:highlight w:val="none"/>
          <w:lang w:val="en-US" w:eastAsia="zh-CN"/>
        </w:rPr>
        <w:t>情形。</w:t>
      </w:r>
    </w:p>
    <w:p w14:paraId="18ABB0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2EBB007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4B39CCD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2824DB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041155A5">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2AD07DC5">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DE18AA5">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35FD4BE0">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z w:val="24"/>
          <w:szCs w:val="24"/>
          <w:highlight w:val="none"/>
          <w:lang w:eastAsia="zh-CN"/>
        </w:rPr>
        <w:sectPr>
          <w:footerReference r:id="rId16" w:type="default"/>
          <w:pgSz w:w="11906" w:h="16839"/>
          <w:pgMar w:top="1431" w:right="1582" w:bottom="1429" w:left="1582" w:header="0" w:footer="994" w:gutter="0"/>
          <w:pgNumType w:fmt="decimal"/>
          <w:cols w:space="720" w:num="1"/>
        </w:sectPr>
      </w:pPr>
    </w:p>
    <w:p w14:paraId="31ED931A">
      <w:pPr>
        <w:pageBreakBefore w:val="0"/>
        <w:widowControl w:val="0"/>
        <w:wordWrap/>
        <w:overflowPunct/>
        <w:topLinePunct w:val="0"/>
        <w:bidi w:val="0"/>
        <w:spacing w:before="101" w:after="0" w:afterLines="100" w:afterAutospacing="0" w:line="219" w:lineRule="auto"/>
        <w:ind w:left="0" w:leftChars="0" w:firstLine="0" w:firstLineChars="0"/>
        <w:jc w:val="center"/>
        <w:outlineLvl w:val="1"/>
        <w:rPr>
          <w:rFonts w:ascii="宋体" w:hAnsi="宋体" w:eastAsia="宋体" w:cs="宋体"/>
          <w:color w:val="auto"/>
          <w:sz w:val="24"/>
          <w:szCs w:val="24"/>
          <w:highlight w:val="none"/>
          <w:lang w:eastAsia="zh-CN"/>
        </w:rPr>
      </w:pPr>
      <w:bookmarkStart w:id="113" w:name="bookmark73"/>
      <w:bookmarkEnd w:id="113"/>
      <w:bookmarkStart w:id="114" w:name="bookmark68"/>
      <w:bookmarkEnd w:id="114"/>
      <w:bookmarkStart w:id="115" w:name="_Toc1205"/>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磋商保证金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bookmarkEnd w:id="115"/>
    </w:p>
    <w:p w14:paraId="5286A2EC">
      <w:pPr>
        <w:keepNext w:val="0"/>
        <w:keepLines w:val="0"/>
        <w:pageBreakBefore w:val="0"/>
        <w:widowControl w:val="0"/>
        <w:kinsoku/>
        <w:wordWrap/>
        <w:overflowPunct/>
        <w:topLinePunct w:val="0"/>
        <w:autoSpaceDE/>
        <w:autoSpaceDN/>
        <w:bidi w:val="0"/>
        <w:adjustRightInd/>
        <w:snapToGrid/>
        <w:spacing w:beforeAutospacing="0" w:line="360" w:lineRule="auto"/>
        <w:jc w:val="both"/>
        <w:textAlignment w:val="auto"/>
        <w:rPr>
          <w:rFonts w:hint="eastAsia" w:ascii="宋体" w:hAnsi="宋体" w:eastAsia="宋体" w:cs="仿宋"/>
          <w:color w:val="auto"/>
          <w:sz w:val="24"/>
          <w:szCs w:val="24"/>
          <w:highlight w:val="none"/>
        </w:rPr>
      </w:pPr>
      <w:bookmarkStart w:id="116" w:name="bookmark74"/>
      <w:bookmarkEnd w:id="116"/>
      <w:bookmarkStart w:id="117" w:name="bookmark69"/>
      <w:bookmarkEnd w:id="117"/>
    </w:p>
    <w:p w14:paraId="392E7E4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z w:val="24"/>
          <w:szCs w:val="24"/>
          <w:highlight w:val="none"/>
          <w:lang w:val="en-US" w:eastAsia="zh-CN"/>
        </w:rPr>
      </w:pPr>
      <w:r>
        <w:rPr>
          <w:rFonts w:hint="eastAsia" w:ascii="宋体" w:hAnsi="宋体" w:eastAsia="宋体" w:cs="仿宋"/>
          <w:color w:val="auto"/>
          <w:sz w:val="24"/>
          <w:szCs w:val="24"/>
          <w:highlight w:val="none"/>
        </w:rPr>
        <w:t>附：</w:t>
      </w:r>
      <w:r>
        <w:rPr>
          <w:rFonts w:hint="eastAsia" w:ascii="宋体" w:hAnsi="宋体" w:eastAsia="宋体" w:cs="仿宋"/>
          <w:color w:val="auto"/>
          <w:sz w:val="24"/>
          <w:szCs w:val="24"/>
          <w:highlight w:val="none"/>
          <w:lang w:eastAsia="zh-CN"/>
        </w:rPr>
        <w:t>供应商</w:t>
      </w:r>
      <w:r>
        <w:rPr>
          <w:rFonts w:hint="eastAsia" w:ascii="宋体" w:hAnsi="宋体" w:eastAsia="宋体" w:cs="仿宋"/>
          <w:color w:val="auto"/>
          <w:sz w:val="24"/>
          <w:szCs w:val="24"/>
          <w:highlight w:val="none"/>
        </w:rPr>
        <w:t>盖章的保证金凭证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val="en-US" w:eastAsia="zh-CN"/>
        </w:rPr>
        <w:t xml:space="preserve"> </w:t>
      </w:r>
    </w:p>
    <w:p w14:paraId="7A63A66A">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314DDCB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1</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szCs w:val="24"/>
          <w:highlight w:val="none"/>
        </w:rPr>
        <w:t>采用银行电汇、转账、网上银行形式：</w:t>
      </w:r>
    </w:p>
    <w:p w14:paraId="5DA78368">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保证金交至</w:t>
      </w:r>
      <w:r>
        <w:rPr>
          <w:rFonts w:hint="eastAsia" w:ascii="宋体" w:hAnsi="宋体" w:eastAsia="宋体" w:cs="仿宋"/>
          <w:color w:val="auto"/>
          <w:sz w:val="24"/>
          <w:szCs w:val="24"/>
          <w:highlight w:val="none"/>
          <w:lang w:val="en-US" w:eastAsia="zh-CN"/>
        </w:rPr>
        <w:t>磋商文件规定的</w:t>
      </w:r>
      <w:r>
        <w:rPr>
          <w:rFonts w:hint="eastAsia" w:ascii="宋体" w:hAnsi="宋体" w:eastAsia="宋体" w:cs="仿宋"/>
          <w:color w:val="auto"/>
          <w:sz w:val="24"/>
          <w:szCs w:val="24"/>
          <w:highlight w:val="none"/>
        </w:rPr>
        <w:t>账户，并在</w:t>
      </w:r>
      <w:r>
        <w:rPr>
          <w:rFonts w:hint="eastAsia" w:ascii="宋体" w:hAnsi="宋体" w:eastAsia="宋体" w:cs="仿宋"/>
          <w:color w:val="auto"/>
          <w:sz w:val="24"/>
          <w:szCs w:val="24"/>
          <w:highlight w:val="none"/>
          <w:lang w:eastAsia="zh-CN"/>
        </w:rPr>
        <w:t>响应文件</w:t>
      </w:r>
      <w:r>
        <w:rPr>
          <w:rFonts w:hint="eastAsia" w:ascii="宋体" w:hAnsi="宋体" w:eastAsia="宋体" w:cs="仿宋"/>
          <w:color w:val="auto"/>
          <w:sz w:val="24"/>
          <w:szCs w:val="24"/>
          <w:highlight w:val="none"/>
        </w:rPr>
        <w:t>中提供交纳保证金凭证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eastAsia="zh-CN"/>
        </w:rPr>
        <w:t>：</w:t>
      </w:r>
    </w:p>
    <w:p w14:paraId="4F706785">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2、采用保函形式：</w:t>
      </w:r>
    </w:p>
    <w:p w14:paraId="337AC44D">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2.1采用银行保函的，须为供应商基本账户（</w:t>
      </w:r>
      <w:r>
        <w:rPr>
          <w:rFonts w:hint="eastAsia" w:ascii="宋体" w:hAnsi="宋体" w:eastAsia="宋体" w:cs="仿宋"/>
          <w:color w:val="auto"/>
          <w:sz w:val="24"/>
          <w:szCs w:val="24"/>
          <w:highlight w:val="none"/>
          <w:lang w:val="en-US" w:eastAsia="zh-CN"/>
        </w:rPr>
        <w:t>响应文件</w:t>
      </w:r>
      <w:r>
        <w:rPr>
          <w:rFonts w:hint="eastAsia" w:ascii="宋体" w:hAnsi="宋体" w:eastAsia="宋体" w:cs="仿宋"/>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164D7F7">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z w:val="24"/>
          <w:szCs w:val="24"/>
          <w:highlight w:val="none"/>
          <w:lang w:val="en-US" w:eastAsia="zh-CN"/>
        </w:rPr>
        <w:t>官方</w:t>
      </w:r>
      <w:r>
        <w:rPr>
          <w:rFonts w:hint="eastAsia" w:ascii="宋体" w:hAnsi="宋体" w:eastAsia="宋体" w:cs="仿宋"/>
          <w:color w:val="auto"/>
          <w:sz w:val="24"/>
          <w:szCs w:val="24"/>
          <w:highlight w:val="none"/>
        </w:rPr>
        <w:t>网站验证查询，如以上渠道未能验证查询到的，</w:t>
      </w:r>
      <w:r>
        <w:rPr>
          <w:rFonts w:hint="eastAsia" w:ascii="宋体" w:hAnsi="宋体" w:eastAsia="宋体" w:cs="仿宋"/>
          <w:b/>
          <w:bCs/>
          <w:color w:val="auto"/>
          <w:sz w:val="24"/>
          <w:szCs w:val="24"/>
          <w:highlight w:val="none"/>
        </w:rPr>
        <w:t>视为无效保函</w:t>
      </w:r>
      <w:r>
        <w:rPr>
          <w:rFonts w:hint="eastAsia" w:ascii="宋体" w:hAnsi="宋体" w:eastAsia="宋体" w:cs="仿宋"/>
          <w:color w:val="auto"/>
          <w:sz w:val="24"/>
          <w:szCs w:val="24"/>
          <w:highlight w:val="none"/>
          <w:lang w:eastAsia="zh-CN"/>
        </w:rPr>
        <w:t>；</w:t>
      </w:r>
    </w:p>
    <w:p w14:paraId="4D7AC4F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3</w:t>
      </w:r>
      <w:r>
        <w:rPr>
          <w:rFonts w:hint="eastAsia" w:ascii="宋体" w:hAnsi="宋体" w:eastAsia="宋体" w:cs="仿宋"/>
          <w:color w:val="auto"/>
          <w:sz w:val="24"/>
          <w:szCs w:val="24"/>
          <w:highlight w:val="none"/>
        </w:rPr>
        <w:t>保函有效期须不少于</w:t>
      </w:r>
      <w:r>
        <w:rPr>
          <w:rFonts w:hint="eastAsia" w:ascii="宋体" w:hAnsi="宋体" w:eastAsia="宋体" w:cs="仿宋"/>
          <w:color w:val="auto"/>
          <w:sz w:val="24"/>
          <w:szCs w:val="24"/>
          <w:highlight w:val="none"/>
          <w:lang w:eastAsia="zh-CN"/>
        </w:rPr>
        <w:t>磋商有效期</w:t>
      </w:r>
      <w:r>
        <w:rPr>
          <w:rFonts w:hint="eastAsia" w:ascii="宋体" w:hAnsi="宋体" w:eastAsia="宋体" w:cs="仿宋"/>
          <w:color w:val="auto"/>
          <w:sz w:val="24"/>
          <w:szCs w:val="24"/>
          <w:highlight w:val="none"/>
        </w:rPr>
        <w:t>，否则视为不满足要求</w:t>
      </w:r>
      <w:r>
        <w:rPr>
          <w:rFonts w:hint="eastAsia" w:ascii="宋体" w:hAnsi="宋体" w:eastAsia="宋体" w:cs="仿宋"/>
          <w:color w:val="auto"/>
          <w:sz w:val="24"/>
          <w:szCs w:val="24"/>
          <w:highlight w:val="none"/>
          <w:lang w:eastAsia="zh-CN"/>
        </w:rPr>
        <w:t>；</w:t>
      </w:r>
    </w:p>
    <w:p w14:paraId="1C1831AF">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4保函保证担保范围须包含采购文件约定的不予退还磋商保证金的情形，</w:t>
      </w:r>
      <w:r>
        <w:rPr>
          <w:rFonts w:hint="eastAsia" w:ascii="宋体" w:hAnsi="宋体" w:eastAsia="宋体" w:cs="仿宋"/>
          <w:color w:val="auto"/>
          <w:sz w:val="24"/>
          <w:szCs w:val="24"/>
          <w:highlight w:val="none"/>
        </w:rPr>
        <w:t>否则视为不满足要求。</w:t>
      </w:r>
    </w:p>
    <w:p w14:paraId="48BF0E7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3、采用其他形式缴纳保证金的，需提供符合国家规定的相应凭证。</w:t>
      </w:r>
    </w:p>
    <w:p w14:paraId="40F82C4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未提供保证金凭证、或提供的保证金凭证及资料不满足上述要求的，视为未缴纳保证金。</w:t>
      </w:r>
    </w:p>
    <w:p w14:paraId="66C24F53">
      <w:pPr>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br w:type="page"/>
      </w:r>
    </w:p>
    <w:p w14:paraId="59BD947D">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118" w:name="_Toc25102"/>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服务项目含有</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18"/>
    </w:p>
    <w:p w14:paraId="79179463">
      <w:pPr>
        <w:pageBreakBefore w:val="0"/>
        <w:widowControl w:val="0"/>
        <w:wordWrap/>
        <w:overflowPunct/>
        <w:topLinePunct w:val="0"/>
        <w:bidi w:val="0"/>
        <w:spacing w:line="362" w:lineRule="auto"/>
        <w:rPr>
          <w:color w:val="auto"/>
          <w:highlight w:val="none"/>
          <w:lang w:eastAsia="zh-CN"/>
        </w:rPr>
      </w:pPr>
    </w:p>
    <w:p w14:paraId="0F61599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是“制造商的授权代理商出具的授权函”请参照本格式另行制定，磋商文件另有规定的从其规定）</w:t>
      </w:r>
    </w:p>
    <w:p w14:paraId="5237EDF7">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4F50935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223CEE6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1A5A4333">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磋商</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ascii="宋体" w:hAnsi="宋体" w:eastAsia="宋体" w:cs="宋体"/>
          <w:color w:val="auto"/>
          <w:spacing w:val="-1"/>
          <w:sz w:val="24"/>
          <w:szCs w:val="24"/>
          <w:highlight w:val="none"/>
          <w:lang w:eastAsia="zh-CN"/>
        </w:rPr>
        <w:t>，我们特作如下说明：</w:t>
      </w:r>
    </w:p>
    <w:p w14:paraId="56A7C050">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lang w:val="en-US" w:eastAsia="zh-CN"/>
        </w:rPr>
        <w:t>磋商</w:t>
      </w:r>
      <w:r>
        <w:rPr>
          <w:rFonts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val="en-US" w:eastAsia="zh-CN"/>
        </w:rPr>
        <w:t>成交</w:t>
      </w:r>
      <w:r>
        <w:rPr>
          <w:rFonts w:ascii="宋体" w:hAnsi="宋体" w:eastAsia="宋体" w:cs="宋体"/>
          <w:color w:val="auto"/>
          <w:spacing w:val="-2"/>
          <w:sz w:val="24"/>
          <w:szCs w:val="24"/>
          <w:highlight w:val="none"/>
          <w:lang w:eastAsia="zh-CN"/>
        </w:rPr>
        <w:t>后向我方购买相关产</w:t>
      </w:r>
      <w:r>
        <w:rPr>
          <w:rFonts w:ascii="宋体" w:hAnsi="宋体" w:eastAsia="宋体" w:cs="宋体"/>
          <w:color w:val="auto"/>
          <w:spacing w:val="-15"/>
          <w:sz w:val="24"/>
          <w:szCs w:val="24"/>
          <w:highlight w:val="none"/>
          <w:lang w:eastAsia="zh-CN"/>
        </w:rPr>
        <w:t>品。</w:t>
      </w:r>
    </w:p>
    <w:p w14:paraId="09F605DA">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成交</w:t>
      </w:r>
      <w:r>
        <w:rPr>
          <w:rFonts w:ascii="宋体" w:hAnsi="宋体" w:eastAsia="宋体" w:cs="宋体"/>
          <w:color w:val="auto"/>
          <w:sz w:val="24"/>
          <w:szCs w:val="24"/>
          <w:highlight w:val="none"/>
          <w:lang w:eastAsia="zh-CN"/>
        </w:rPr>
        <w:t>后，将按照与采购人签订的合同承担责任。</w:t>
      </w:r>
    </w:p>
    <w:p w14:paraId="39ED015F">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（3）我们将依法承担制造商的责任。</w:t>
      </w:r>
    </w:p>
    <w:p w14:paraId="04A70959">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55250A14">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6" w:leftChars="22" w:firstLine="472"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日接受此件，以此为证。</w:t>
      </w:r>
    </w:p>
    <w:p w14:paraId="6D39038E">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highlight w:val="none"/>
          <w:lang w:eastAsia="zh-CN"/>
        </w:rPr>
      </w:pPr>
    </w:p>
    <w:p w14:paraId="7984DB0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0D544137">
      <w:pPr>
        <w:pStyle w:val="2"/>
        <w:rPr>
          <w:color w:val="auto"/>
          <w:highlight w:val="none"/>
          <w:lang w:eastAsia="zh-CN"/>
        </w:rPr>
        <w:sectPr>
          <w:footerReference r:id="rId17" w:type="default"/>
          <w:pgSz w:w="11906" w:h="16839"/>
          <w:pgMar w:top="1431" w:right="1587" w:bottom="1429" w:left="1587" w:header="0" w:footer="994" w:gutter="0"/>
          <w:pgNumType w:fmt="decimal"/>
          <w:cols w:equalWidth="0" w:num="1">
            <w:col w:w="8953"/>
          </w:cols>
        </w:sectPr>
      </w:pPr>
    </w:p>
    <w:p w14:paraId="56AA35F8">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ascii="宋体" w:hAnsi="宋体" w:eastAsia="宋体" w:cs="宋体"/>
          <w:color w:val="auto"/>
          <w:spacing w:val="0"/>
          <w:sz w:val="24"/>
          <w:szCs w:val="24"/>
          <w:highlight w:val="none"/>
          <w:u w:val="none"/>
          <w:lang w:eastAsia="zh-CN"/>
        </w:rPr>
      </w:pPr>
      <w:r>
        <w:rPr>
          <w:rFonts w:hint="eastAsia" w:ascii="宋体" w:hAnsi="宋体" w:eastAsia="宋体" w:cs="宋体"/>
          <w:color w:val="auto"/>
          <w:sz w:val="24"/>
          <w:szCs w:val="24"/>
          <w:highlight w:val="none"/>
          <w:u w:val="none"/>
          <w:lang w:eastAsia="zh-CN"/>
        </w:rPr>
        <w:t>供应商名称</w:t>
      </w:r>
      <w:r>
        <w:rPr>
          <w:rFonts w:ascii="宋体" w:hAnsi="宋体" w:eastAsia="宋体" w:cs="宋体"/>
          <w:color w:val="auto"/>
          <w:spacing w:val="0"/>
          <w:sz w:val="24"/>
          <w:szCs w:val="24"/>
          <w:highlight w:val="none"/>
          <w:u w:val="none"/>
          <w:lang w:eastAsia="zh-CN"/>
        </w:rPr>
        <w:t>：</w:t>
      </w:r>
    </w:p>
    <w:p w14:paraId="7F4D56EE">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01554BC7">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2290BEE2">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p>
    <w:p w14:paraId="40EEFF2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ascii="宋体" w:hAnsi="宋体" w:eastAsia="宋体" w:cs="宋体"/>
          <w:color w:val="auto"/>
          <w:spacing w:val="-2"/>
          <w:sz w:val="24"/>
          <w:szCs w:val="24"/>
          <w:highlight w:val="none"/>
          <w:lang w:eastAsia="zh-CN"/>
        </w:rPr>
      </w:pPr>
      <w:r>
        <w:rPr>
          <w:color w:val="auto"/>
          <w:sz w:val="2"/>
          <w:szCs w:val="2"/>
          <w:highlight w:val="none"/>
          <w:lang w:eastAsia="zh-CN"/>
        </w:rPr>
        <w:br w:type="column"/>
      </w:r>
      <w:r>
        <w:rPr>
          <w:rFonts w:ascii="宋体" w:hAnsi="宋体" w:eastAsia="宋体" w:cs="宋体"/>
          <w:color w:val="auto"/>
          <w:spacing w:val="-2"/>
          <w:sz w:val="24"/>
          <w:szCs w:val="24"/>
          <w:highlight w:val="none"/>
          <w:lang w:eastAsia="zh-CN"/>
        </w:rPr>
        <w:t>制造商</w:t>
      </w:r>
      <w:r>
        <w:rPr>
          <w:rFonts w:hint="eastAsia" w:ascii="宋体" w:hAnsi="宋体" w:eastAsia="宋体" w:cs="宋体"/>
          <w:color w:val="auto"/>
          <w:spacing w:val="-2"/>
          <w:sz w:val="24"/>
          <w:szCs w:val="24"/>
          <w:highlight w:val="none"/>
          <w:lang w:eastAsia="zh-CN"/>
        </w:rPr>
        <w:t>名称</w:t>
      </w:r>
      <w:r>
        <w:rPr>
          <w:rFonts w:ascii="宋体" w:hAnsi="宋体" w:eastAsia="宋体" w:cs="宋体"/>
          <w:color w:val="auto"/>
          <w:spacing w:val="-2"/>
          <w:sz w:val="24"/>
          <w:szCs w:val="24"/>
          <w:highlight w:val="none"/>
          <w:lang w:eastAsia="zh-CN"/>
        </w:rPr>
        <w:t>：</w:t>
      </w:r>
    </w:p>
    <w:p w14:paraId="75A7B23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0C5DA0E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32" w:afterAutospacing="0" w:line="500" w:lineRule="atLeast"/>
        <w:ind w:left="0" w:leftChars="0" w:firstLine="0" w:firstLineChars="0"/>
        <w:textAlignment w:val="baseline"/>
        <w:rPr>
          <w:rFonts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40387110">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50" w:afterAutospacing="0" w:line="500" w:lineRule="atLeast"/>
        <w:ind w:left="0" w:leftChars="0"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p>
    <w:p w14:paraId="7630921D">
      <w:pPr>
        <w:pStyle w:val="2"/>
        <w:spacing w:beforeAutospacing="0"/>
        <w:rPr>
          <w:color w:val="auto"/>
          <w:highlight w:val="none"/>
          <w:lang w:eastAsia="zh-CN"/>
        </w:rPr>
      </w:pPr>
    </w:p>
    <w:p w14:paraId="3673F0C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pgNumType w:fmt="decimal"/>
          <w:cols w:equalWidth="0" w:num="2">
            <w:col w:w="5063" w:space="100"/>
            <w:col w:w="3790"/>
          </w:cols>
        </w:sectPr>
      </w:pPr>
    </w:p>
    <w:p w14:paraId="0E57FD9A">
      <w:pPr>
        <w:pageBreakBefore w:val="0"/>
        <w:widowControl w:val="0"/>
        <w:wordWrap/>
        <w:overflowPunct/>
        <w:topLinePunct w:val="0"/>
        <w:bidi w:val="0"/>
        <w:spacing w:before="101" w:line="219" w:lineRule="auto"/>
        <w:ind w:left="2109"/>
        <w:outlineLvl w:val="1"/>
        <w:rPr>
          <w:rFonts w:ascii="宋体" w:hAnsi="宋体" w:eastAsia="宋体" w:cs="宋体"/>
          <w:color w:val="auto"/>
          <w:sz w:val="24"/>
          <w:szCs w:val="24"/>
          <w:highlight w:val="none"/>
          <w:lang w:eastAsia="zh-CN"/>
        </w:rPr>
      </w:pPr>
      <w:bookmarkStart w:id="119" w:name="bookmark70"/>
      <w:bookmarkEnd w:id="119"/>
      <w:bookmarkStart w:id="120" w:name="bookmark75"/>
      <w:bookmarkEnd w:id="120"/>
      <w:bookmarkStart w:id="121" w:name="_Toc3829"/>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21"/>
    </w:p>
    <w:p w14:paraId="6941480B">
      <w:pPr>
        <w:pageBreakBefore w:val="0"/>
        <w:widowControl w:val="0"/>
        <w:wordWrap/>
        <w:overflowPunct/>
        <w:topLinePunct w:val="0"/>
        <w:bidi w:val="0"/>
        <w:spacing w:line="361" w:lineRule="auto"/>
        <w:rPr>
          <w:color w:val="auto"/>
          <w:highlight w:val="none"/>
          <w:lang w:eastAsia="zh-CN"/>
        </w:rPr>
      </w:pPr>
    </w:p>
    <w:p w14:paraId="1402D658">
      <w:pPr>
        <w:pageBreakBefore w:val="0"/>
        <w:widowControl w:val="0"/>
        <w:wordWrap/>
        <w:overflowPunct/>
        <w:topLinePunct w:val="0"/>
        <w:bidi w:val="0"/>
        <w:spacing w:before="78" w:line="219" w:lineRule="auto"/>
        <w:jc w:val="right"/>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p>
    <w:p w14:paraId="34465749">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8" w:type="default"/>
          <w:pgSz w:w="11906" w:h="16839"/>
          <w:pgMar w:top="1431" w:right="1731" w:bottom="1156" w:left="1785" w:header="0" w:footer="994" w:gutter="0"/>
          <w:pgNumType w:fmt="decimal"/>
          <w:cols w:space="720" w:num="1"/>
        </w:sectPr>
      </w:pPr>
    </w:p>
    <w:p w14:paraId="754AFA86">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122" w:name="bookmark71"/>
      <w:bookmarkEnd w:id="122"/>
      <w:bookmarkStart w:id="123" w:name="bookmark76"/>
      <w:bookmarkEnd w:id="12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70662E0B">
      <w:pPr>
        <w:pageBreakBefore w:val="0"/>
        <w:widowControl w:val="0"/>
        <w:wordWrap/>
        <w:overflowPunct/>
        <w:topLinePunct w:val="0"/>
        <w:bidi w:val="0"/>
        <w:jc w:val="both"/>
        <w:rPr>
          <w:rFonts w:hint="eastAsia" w:ascii="宋体" w:hAnsi="宋体" w:eastAsia="宋体" w:cs="仿宋"/>
          <w:color w:val="auto"/>
          <w:kern w:val="0"/>
          <w:highlight w:val="none"/>
          <w:shd w:val="clear" w:color="auto" w:fill="FFFFFF"/>
        </w:rPr>
      </w:pPr>
    </w:p>
    <w:p w14:paraId="07C3341C">
      <w:pPr>
        <w:pageBreakBefore w:val="0"/>
        <w:widowControl w:val="0"/>
        <w:wordWrap/>
        <w:overflowPunct/>
        <w:topLinePunct w:val="0"/>
        <w:bidi w:val="0"/>
        <w:jc w:val="center"/>
        <w:rPr>
          <w:rFonts w:ascii="宋体" w:hAnsi="宋体" w:eastAsia="宋体" w:cs="仿宋"/>
          <w:color w:val="auto"/>
          <w:kern w:val="0"/>
          <w:sz w:val="24"/>
          <w:szCs w:val="24"/>
          <w:highlight w:val="none"/>
          <w:shd w:val="clear" w:color="auto" w:fill="FFFFFF"/>
        </w:rPr>
      </w:pPr>
      <w:r>
        <w:rPr>
          <w:rFonts w:hint="eastAsia" w:ascii="宋体" w:hAnsi="宋体" w:eastAsia="宋体" w:cs="仿宋"/>
          <w:color w:val="auto"/>
          <w:kern w:val="0"/>
          <w:sz w:val="24"/>
          <w:szCs w:val="24"/>
          <w:highlight w:val="none"/>
          <w:shd w:val="clear" w:color="auto" w:fill="FFFFFF"/>
        </w:rPr>
        <w:t>（如属于特定行业项目,供应商应当具备特定行业法定准入要求。)</w:t>
      </w:r>
    </w:p>
    <w:p w14:paraId="0A37317B">
      <w:pPr>
        <w:pageBreakBefore w:val="0"/>
        <w:widowControl w:val="0"/>
        <w:wordWrap/>
        <w:overflowPunct/>
        <w:topLinePunct w:val="0"/>
        <w:autoSpaceDE w:val="0"/>
        <w:autoSpaceDN w:val="0"/>
        <w:bidi w:val="0"/>
        <w:adjustRightInd w:val="0"/>
        <w:jc w:val="center"/>
        <w:textAlignment w:val="baseline"/>
        <w:rPr>
          <w:rFonts w:ascii="宋体" w:hAnsi="宋体" w:eastAsia="宋体" w:cs="宋体"/>
          <w:b/>
          <w:color w:val="auto"/>
          <w:kern w:val="0"/>
          <w:highlight w:val="none"/>
        </w:rPr>
      </w:pPr>
    </w:p>
    <w:p w14:paraId="4E300E80">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0C93A4F8">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49BD6C76">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62A81738">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051FF265">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28791F9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1B9FD604">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3FF7CDCE">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14423481">
      <w:pPr>
        <w:pStyle w:val="27"/>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0A8661AF">
      <w:pPr>
        <w:pStyle w:val="27"/>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5949786D">
      <w:pPr>
        <w:pStyle w:val="27"/>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026D6D58">
      <w:pPr>
        <w:pStyle w:val="27"/>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227E81CA">
      <w:pPr>
        <w:pStyle w:val="27"/>
        <w:pageBreakBefore w:val="0"/>
        <w:widowControl w:val="0"/>
        <w:wordWrap/>
        <w:overflowPunct/>
        <w:topLinePunct w:val="0"/>
        <w:bidi w:val="0"/>
        <w:rPr>
          <w:rFonts w:hint="eastAsia" w:ascii="宋体" w:hAnsi="宋体" w:eastAsia="宋体" w:cs="仿宋"/>
          <w:b/>
          <w:color w:val="auto"/>
          <w:kern w:val="2"/>
          <w:sz w:val="24"/>
          <w:szCs w:val="24"/>
          <w:highlight w:val="none"/>
          <w:lang w:val="en-US" w:eastAsia="zh-CN" w:bidi="ar-SA"/>
        </w:rPr>
      </w:pPr>
    </w:p>
    <w:p w14:paraId="50D099FC">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4CB199A1">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24" w:name="bookmark72"/>
      <w:bookmarkEnd w:id="124"/>
    </w:p>
    <w:p w14:paraId="013E44A7">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8401DE3">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BA505F1">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0F711A4">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BF7F0C1">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A76D693">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90F8782">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F2076C0">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8C0CCB5">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D3FF1B3">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5E89867">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FD91E1B">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4F200F7">
      <w:pPr>
        <w:pStyle w:val="27"/>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C0B9E62">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0D192875">
      <w:pPr>
        <w:pageBreakBefore w:val="0"/>
        <w:widowControl w:val="0"/>
        <w:wordWrap/>
        <w:overflowPunct/>
        <w:topLinePunct w:val="0"/>
        <w:bidi w:val="0"/>
        <w:spacing w:before="100" w:line="219" w:lineRule="auto"/>
        <w:ind w:left="1930"/>
        <w:outlineLvl w:val="0"/>
        <w:rPr>
          <w:rFonts w:ascii="宋体" w:hAnsi="宋体" w:eastAsia="宋体" w:cs="宋体"/>
          <w:color w:val="auto"/>
          <w:sz w:val="24"/>
          <w:szCs w:val="24"/>
          <w:highlight w:val="none"/>
          <w:lang w:eastAsia="zh-CN"/>
        </w:rPr>
      </w:pPr>
      <w:bookmarkStart w:id="125" w:name="_Toc233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bookmarkEnd w:id="125"/>
    </w:p>
    <w:p w14:paraId="7FC7C3BE">
      <w:pPr>
        <w:pageBreakBefore w:val="0"/>
        <w:widowControl w:val="0"/>
        <w:wordWrap/>
        <w:overflowPunct/>
        <w:topLinePunct w:val="0"/>
        <w:bidi w:val="0"/>
        <w:spacing w:line="363" w:lineRule="auto"/>
        <w:rPr>
          <w:color w:val="auto"/>
          <w:highlight w:val="none"/>
          <w:lang w:eastAsia="zh-CN"/>
        </w:rPr>
      </w:pPr>
    </w:p>
    <w:p w14:paraId="4E514237">
      <w:pPr>
        <w:pageBreakBefore w:val="0"/>
        <w:widowControl w:val="0"/>
        <w:wordWrap/>
        <w:overflowPunct/>
        <w:topLinePunct w:val="0"/>
        <w:bidi w:val="0"/>
        <w:spacing w:before="101" w:line="219" w:lineRule="auto"/>
        <w:jc w:val="center"/>
        <w:outlineLvl w:val="1"/>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pPr>
      <w:bookmarkStart w:id="126" w:name="_Toc26868"/>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中小企业</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声明函（工程、服务</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bookmarkEnd w:id="126"/>
    </w:p>
    <w:p w14:paraId="67B8067A">
      <w:pPr>
        <w:pStyle w:val="2"/>
        <w:rPr>
          <w:rFonts w:hint="eastAsia"/>
          <w:lang w:eastAsia="zh-CN"/>
        </w:rPr>
      </w:pPr>
    </w:p>
    <w:p w14:paraId="01D45DB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sz w:val="24"/>
          <w:szCs w:val="24"/>
        </w:rPr>
      </w:pPr>
      <w:r>
        <w:rPr>
          <w:rFonts w:ascii="宋体" w:hAnsi="宋体" w:eastAsia="宋体" w:cs="宋体"/>
          <w:sz w:val="24"/>
          <w:szCs w:val="24"/>
        </w:rPr>
        <w:t>本公司（联合体）郑重声明，根据《政府采购促进中小企业发展管理办法》（财库﹝2020﹞46 号）的规定，本公司（联合体）参加</w:t>
      </w:r>
      <w:r>
        <w:rPr>
          <w:rFonts w:ascii="宋体" w:hAnsi="宋体" w:eastAsia="宋体" w:cs="宋体"/>
          <w:sz w:val="24"/>
          <w:szCs w:val="24"/>
          <w:u w:val="single"/>
        </w:rPr>
        <w:t>（单位名称）</w:t>
      </w:r>
      <w:r>
        <w:rPr>
          <w:rFonts w:ascii="宋体" w:hAnsi="宋体" w:eastAsia="宋体" w:cs="宋体"/>
          <w:sz w:val="24"/>
          <w:szCs w:val="24"/>
        </w:rPr>
        <w:t>的</w:t>
      </w:r>
      <w:r>
        <w:rPr>
          <w:rFonts w:ascii="宋体" w:hAnsi="宋体" w:eastAsia="宋体" w:cs="宋体"/>
          <w:sz w:val="24"/>
          <w:szCs w:val="24"/>
          <w:u w:val="single"/>
        </w:rPr>
        <w:t>（项目名称）</w:t>
      </w:r>
      <w:r>
        <w:rPr>
          <w:rFonts w:ascii="宋体" w:hAnsi="宋体" w:eastAsia="宋体" w:cs="宋体"/>
          <w:sz w:val="24"/>
          <w:szCs w:val="24"/>
        </w:rPr>
        <w:t>采购活动，工程的施工单位全部为符合政策要求的中小企业（或者：服务全部由符合政策要求的中小企业承接）。相关企业（含联合体中的中小企业、签订分包意向协议的中小企业）的具体情况如下：</w:t>
      </w:r>
    </w:p>
    <w:p w14:paraId="4293D63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sz w:val="24"/>
          <w:szCs w:val="24"/>
        </w:rPr>
      </w:pPr>
      <w:r>
        <w:rPr>
          <w:rFonts w:ascii="宋体" w:hAnsi="宋体" w:eastAsia="宋体" w:cs="宋体"/>
          <w:sz w:val="24"/>
          <w:szCs w:val="24"/>
        </w:rPr>
        <w:t xml:space="preserve"> 1.</w:t>
      </w:r>
      <w:r>
        <w:rPr>
          <w:rFonts w:ascii="宋体" w:hAnsi="宋体" w:eastAsia="宋体" w:cs="宋体"/>
          <w:sz w:val="24"/>
          <w:szCs w:val="24"/>
          <w:u w:val="single"/>
        </w:rPr>
        <w:t>（标的名称）</w:t>
      </w:r>
      <w:r>
        <w:rPr>
          <w:rFonts w:ascii="宋体" w:hAnsi="宋体" w:eastAsia="宋体" w:cs="宋体"/>
          <w:sz w:val="24"/>
          <w:szCs w:val="24"/>
        </w:rPr>
        <w:t>，属于</w:t>
      </w:r>
      <w:r>
        <w:rPr>
          <w:rFonts w:ascii="宋体" w:hAnsi="宋体" w:eastAsia="宋体" w:cs="宋体"/>
          <w:sz w:val="24"/>
          <w:szCs w:val="24"/>
          <w:u w:val="single"/>
        </w:rPr>
        <w:t>（采购文件中明确的所属行业）</w:t>
      </w:r>
      <w:r>
        <w:rPr>
          <w:rFonts w:ascii="宋体" w:hAnsi="宋体" w:eastAsia="宋体" w:cs="宋体"/>
          <w:sz w:val="24"/>
          <w:szCs w:val="24"/>
        </w:rPr>
        <w:t>； 承建（承接）企业为</w:t>
      </w:r>
      <w:r>
        <w:rPr>
          <w:rFonts w:ascii="宋体" w:hAnsi="宋体" w:eastAsia="宋体" w:cs="宋体"/>
          <w:sz w:val="24"/>
          <w:szCs w:val="24"/>
          <w:u w:val="single"/>
        </w:rPr>
        <w:t>（企业名称）</w:t>
      </w:r>
      <w:r>
        <w:rPr>
          <w:rFonts w:ascii="宋体" w:hAnsi="宋体" w:eastAsia="宋体" w:cs="宋体"/>
          <w:sz w:val="24"/>
          <w:szCs w:val="24"/>
        </w:rPr>
        <w:t>，从业人员</w:t>
      </w:r>
      <w:r>
        <w:rPr>
          <w:rFonts w:hint="eastAsia" w:ascii="宋体" w:hAnsi="宋体" w:eastAsia="宋体" w:cs="宋体"/>
          <w:sz w:val="24"/>
          <w:szCs w:val="24"/>
          <w:u w:val="single"/>
          <w:lang w:val="en-US" w:eastAsia="zh-CN"/>
        </w:rPr>
        <w:t xml:space="preserve">       </w:t>
      </w:r>
      <w:r>
        <w:rPr>
          <w:rFonts w:ascii="宋体" w:hAnsi="宋体" w:eastAsia="宋体" w:cs="宋体"/>
          <w:sz w:val="24"/>
          <w:szCs w:val="24"/>
          <w:u w:val="single"/>
        </w:rPr>
        <w:t xml:space="preserve"> </w:t>
      </w:r>
      <w:r>
        <w:rPr>
          <w:rFonts w:ascii="宋体" w:hAnsi="宋体" w:eastAsia="宋体" w:cs="宋体"/>
          <w:sz w:val="24"/>
          <w:szCs w:val="24"/>
        </w:rPr>
        <w:t>人，营业收入为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万元，资产总额为</w:t>
      </w:r>
      <w:r>
        <w:rPr>
          <w:rFonts w:hint="eastAsia" w:ascii="宋体" w:hAnsi="宋体" w:eastAsia="宋体" w:cs="宋体"/>
          <w:sz w:val="24"/>
          <w:szCs w:val="24"/>
          <w:lang w:val="en-US" w:eastAsia="zh-CN"/>
        </w:rPr>
        <w:t xml:space="preserve"> </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 ，属于</w:t>
      </w:r>
      <w:r>
        <w:rPr>
          <w:rFonts w:ascii="宋体" w:hAnsi="宋体" w:eastAsia="宋体" w:cs="宋体"/>
          <w:sz w:val="24"/>
          <w:szCs w:val="24"/>
          <w:u w:val="single"/>
        </w:rPr>
        <w:t>（中型企业、 小型企业、微型企业）</w:t>
      </w:r>
      <w:r>
        <w:rPr>
          <w:rFonts w:ascii="宋体" w:hAnsi="宋体" w:eastAsia="宋体" w:cs="宋体"/>
          <w:sz w:val="24"/>
          <w:szCs w:val="24"/>
        </w:rPr>
        <w:t>；</w:t>
      </w:r>
    </w:p>
    <w:p w14:paraId="3B97B13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宋体" w:hAnsi="宋体" w:eastAsia="宋体" w:cs="宋体"/>
          <w:sz w:val="24"/>
          <w:szCs w:val="24"/>
        </w:rPr>
      </w:pPr>
      <w:r>
        <w:rPr>
          <w:rFonts w:hint="eastAsia" w:ascii="宋体" w:hAnsi="宋体" w:eastAsia="宋体" w:cs="宋体"/>
          <w:sz w:val="24"/>
          <w:szCs w:val="24"/>
          <w:u w:val="none"/>
          <w:lang w:val="en-US" w:eastAsia="zh-CN"/>
        </w:rPr>
        <w:t>2.</w:t>
      </w:r>
      <w:r>
        <w:rPr>
          <w:rFonts w:ascii="宋体" w:hAnsi="宋体" w:eastAsia="宋体" w:cs="宋体"/>
          <w:sz w:val="24"/>
          <w:szCs w:val="24"/>
          <w:u w:val="single"/>
        </w:rPr>
        <w:t>（标的名称）</w:t>
      </w:r>
      <w:r>
        <w:rPr>
          <w:rFonts w:ascii="宋体" w:hAnsi="宋体" w:eastAsia="宋体" w:cs="宋体"/>
          <w:sz w:val="24"/>
          <w:szCs w:val="24"/>
        </w:rPr>
        <w:t xml:space="preserve"> ，属于</w:t>
      </w:r>
      <w:r>
        <w:rPr>
          <w:rFonts w:ascii="宋体" w:hAnsi="宋体" w:eastAsia="宋体" w:cs="宋体"/>
          <w:sz w:val="24"/>
          <w:szCs w:val="24"/>
          <w:u w:val="single"/>
        </w:rPr>
        <w:t>（采购文件中明确的所属行业）</w:t>
      </w:r>
      <w:r>
        <w:rPr>
          <w:rFonts w:ascii="宋体" w:hAnsi="宋体" w:eastAsia="宋体" w:cs="宋体"/>
          <w:sz w:val="24"/>
          <w:szCs w:val="24"/>
        </w:rPr>
        <w:t>； 承建（承接）企业为</w:t>
      </w:r>
      <w:r>
        <w:rPr>
          <w:rFonts w:ascii="宋体" w:hAnsi="宋体" w:eastAsia="宋体" w:cs="宋体"/>
          <w:sz w:val="24"/>
          <w:szCs w:val="24"/>
          <w:u w:val="single"/>
        </w:rPr>
        <w:t>（企业名称）</w:t>
      </w:r>
      <w:r>
        <w:rPr>
          <w:rFonts w:ascii="宋体" w:hAnsi="宋体" w:eastAsia="宋体" w:cs="宋体"/>
          <w:sz w:val="24"/>
          <w:szCs w:val="24"/>
        </w:rPr>
        <w:t>，从业人员</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人，营业收入为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万元，资产总额为</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万元，属于</w:t>
      </w:r>
      <w:r>
        <w:rPr>
          <w:rFonts w:ascii="宋体" w:hAnsi="宋体" w:eastAsia="宋体" w:cs="宋体"/>
          <w:sz w:val="24"/>
          <w:szCs w:val="24"/>
          <w:u w:val="single"/>
        </w:rPr>
        <w:t>（中型企业、 小型企业、微型企业）</w:t>
      </w:r>
      <w:r>
        <w:rPr>
          <w:rFonts w:ascii="宋体" w:hAnsi="宋体" w:eastAsia="宋体" w:cs="宋体"/>
          <w:sz w:val="24"/>
          <w:szCs w:val="24"/>
        </w:rPr>
        <w:t xml:space="preserve">； </w:t>
      </w:r>
    </w:p>
    <w:p w14:paraId="65DACF1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sz w:val="24"/>
          <w:szCs w:val="24"/>
        </w:rPr>
      </w:pPr>
      <w:r>
        <w:rPr>
          <w:rFonts w:ascii="宋体" w:hAnsi="宋体" w:eastAsia="宋体" w:cs="宋体"/>
          <w:sz w:val="24"/>
          <w:szCs w:val="24"/>
        </w:rPr>
        <w:t xml:space="preserve">…… </w:t>
      </w:r>
    </w:p>
    <w:p w14:paraId="110A643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sz w:val="24"/>
          <w:szCs w:val="24"/>
        </w:rPr>
      </w:pPr>
      <w:r>
        <w:rPr>
          <w:rFonts w:ascii="宋体" w:hAnsi="宋体" w:eastAsia="宋体" w:cs="宋体"/>
          <w:sz w:val="24"/>
          <w:szCs w:val="24"/>
        </w:rPr>
        <w:t>以上企业，不属于大企业的分支机构，不存在控股股东为大企业的情形，也不存在与大企业的负责人为同一人的情形。</w:t>
      </w:r>
    </w:p>
    <w:p w14:paraId="3DBB19D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hint="eastAsia" w:ascii="宋体" w:hAnsi="宋体" w:eastAsia="宋体" w:cs="宋体"/>
          <w:sz w:val="24"/>
          <w:szCs w:val="24"/>
          <w:lang w:val="en-US" w:eastAsia="zh-CN"/>
        </w:rPr>
      </w:pPr>
      <w:r>
        <w:rPr>
          <w:rFonts w:ascii="宋体" w:hAnsi="宋体" w:eastAsia="宋体" w:cs="宋体"/>
          <w:sz w:val="24"/>
          <w:szCs w:val="24"/>
        </w:rPr>
        <w:t xml:space="preserve"> 本企业对上述声明内容的真实性负责。如有虚假，将依法承担相应责任</w:t>
      </w:r>
      <w:r>
        <w:rPr>
          <w:rFonts w:hint="eastAsia" w:ascii="宋体" w:hAnsi="宋体" w:eastAsia="宋体" w:cs="宋体"/>
          <w:sz w:val="24"/>
          <w:szCs w:val="24"/>
          <w:lang w:eastAsia="zh-CN"/>
        </w:rPr>
        <w:t>。</w:t>
      </w:r>
    </w:p>
    <w:p w14:paraId="67C1242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sz w:val="24"/>
          <w:szCs w:val="24"/>
        </w:rPr>
      </w:pPr>
    </w:p>
    <w:p w14:paraId="061E9A5B">
      <w:pPr>
        <w:pStyle w:val="2"/>
        <w:rPr>
          <w:rFonts w:ascii="宋体" w:hAnsi="宋体" w:eastAsia="宋体" w:cs="宋体"/>
          <w:sz w:val="24"/>
          <w:szCs w:val="24"/>
        </w:rPr>
      </w:pPr>
    </w:p>
    <w:p w14:paraId="7EC4E5B3">
      <w:pPr>
        <w:pStyle w:val="18"/>
      </w:pPr>
    </w:p>
    <w:p w14:paraId="1729012A">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sz w:val="24"/>
          <w:szCs w:val="24"/>
        </w:rPr>
      </w:pPr>
    </w:p>
    <w:p w14:paraId="6A44FD2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rFonts w:ascii="宋体" w:hAnsi="宋体" w:eastAsia="宋体" w:cs="宋体"/>
          <w:sz w:val="24"/>
          <w:szCs w:val="24"/>
        </w:rPr>
      </w:pPr>
      <w:r>
        <w:rPr>
          <w:rFonts w:ascii="宋体" w:hAnsi="宋体" w:eastAsia="宋体" w:cs="宋体"/>
          <w:sz w:val="24"/>
          <w:szCs w:val="24"/>
        </w:rPr>
        <w:t xml:space="preserve">企业名称（盖章）： </w:t>
      </w:r>
    </w:p>
    <w:p w14:paraId="423164B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color w:val="auto"/>
          <w:highlight w:val="none"/>
          <w:lang w:eastAsia="zh-CN"/>
        </w:rPr>
      </w:pPr>
      <w:r>
        <w:rPr>
          <w:rFonts w:ascii="宋体" w:hAnsi="宋体" w:eastAsia="宋体" w:cs="宋体"/>
          <w:sz w:val="24"/>
          <w:szCs w:val="24"/>
        </w:rPr>
        <w:t>日 期：</w:t>
      </w:r>
    </w:p>
    <w:p w14:paraId="1870F8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520F60E9">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565F7D40">
      <w:pPr>
        <w:rPr>
          <w:rFonts w:hint="eastAsia" w:ascii="宋体" w:hAnsi="宋体" w:eastAsia="宋体" w:cs="宋体"/>
          <w:b/>
          <w:bCs/>
          <w:color w:val="auto"/>
          <w:kern w:val="0"/>
          <w:sz w:val="28"/>
          <w:szCs w:val="28"/>
          <w:highlight w:val="none"/>
        </w:rPr>
      </w:pPr>
      <w:r>
        <w:rPr>
          <w:rFonts w:hint="eastAsia" w:ascii="宋体" w:hAnsi="宋体" w:eastAsia="宋体" w:cs="宋体"/>
          <w:b/>
          <w:bCs/>
          <w:color w:val="auto"/>
          <w:kern w:val="0"/>
          <w:sz w:val="28"/>
          <w:szCs w:val="28"/>
          <w:highlight w:val="none"/>
        </w:rPr>
        <w:br w:type="page"/>
      </w:r>
    </w:p>
    <w:p w14:paraId="7EC621FA">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《中小企业声明函》填写指引及风险提示：</w:t>
      </w:r>
    </w:p>
    <w:p w14:paraId="10AC788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（一）填写指引：</w:t>
      </w:r>
    </w:p>
    <w:p w14:paraId="4BA04A6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1、供应商在填写时请依照磋商文件提供的格式和内容填写，</w:t>
      </w:r>
      <w:r>
        <w:rPr>
          <w:rFonts w:hint="eastAsia" w:ascii="宋体" w:hAnsi="宋体" w:eastAsia="宋体" w:cs="宋体"/>
          <w:b/>
          <w:bCs/>
          <w:color w:val="auto"/>
          <w:kern w:val="0"/>
          <w:sz w:val="24"/>
          <w:szCs w:val="24"/>
          <w:highlight w:val="none"/>
          <w:lang w:val="en-US" w:eastAsia="zh-CN"/>
        </w:rPr>
        <w:t>不得随意变更格式</w:t>
      </w:r>
      <w:r>
        <w:rPr>
          <w:rFonts w:hint="eastAsia" w:ascii="宋体" w:hAnsi="宋体" w:eastAsia="宋体" w:cs="宋体"/>
          <w:b w:val="0"/>
          <w:bCs w:val="0"/>
          <w:color w:val="auto"/>
          <w:kern w:val="0"/>
          <w:sz w:val="24"/>
          <w:szCs w:val="24"/>
          <w:highlight w:val="none"/>
          <w:lang w:val="en-US" w:eastAsia="zh-CN"/>
        </w:rPr>
        <w:t>。</w:t>
      </w:r>
    </w:p>
    <w:p w14:paraId="7BC7657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2、《中小企业声明函》由供应商根据承接服务的企业实际情况填写，不符合要求的供应商可以不填写或直接删除本格式。</w:t>
      </w:r>
    </w:p>
    <w:p w14:paraId="50FD696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4B4FF11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4、具体要求：</w:t>
      </w:r>
    </w:p>
    <w:p w14:paraId="3955A65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64195A3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磋商文件第二章“供应商须知前附表”中列明的行业，一定要按照磋商文件明确的内容进行填写。</w:t>
      </w:r>
    </w:p>
    <w:p w14:paraId="19392BA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承接服务的企业名称，在“从业人员”“营业收入”“资产总额”下划线处如实填写承接服务的企业相关信息，数据务必向承接服务的企业进行核实；如是多品目，须填写每一品目的承接服务的企业信息。如承接服务的企业是供应商，则填写供应商信息。</w:t>
      </w:r>
    </w:p>
    <w:p w14:paraId="2BF0AE0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（4）第四处在“中型企业、小型企业、微型企业”下划线处如实依照300号文确定承接服务的企业类型并填写。</w:t>
      </w:r>
    </w:p>
    <w:p w14:paraId="6CA0D3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（5）填写内容应一一对应，不能漏填或误填。</w:t>
      </w:r>
    </w:p>
    <w:p w14:paraId="667E311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798A84BD">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（二）风险提示：</w:t>
      </w:r>
    </w:p>
    <w:p w14:paraId="492B6C0D">
      <w:pPr>
        <w:pStyle w:val="2"/>
        <w:spacing w:line="360" w:lineRule="auto"/>
        <w:rPr>
          <w:rFonts w:hint="default"/>
          <w:color w:val="auto"/>
          <w:highlight w:val="none"/>
          <w:lang w:val="en-US" w:eastAsia="zh-CN"/>
        </w:rPr>
      </w:pPr>
      <w:r>
        <w:rPr>
          <w:rFonts w:hint="eastAsia" w:ascii="宋体" w:hAnsi="宋体" w:eastAsia="宋体" w:cs="宋体"/>
          <w:color w:val="auto"/>
          <w:sz w:val="24"/>
          <w:szCs w:val="24"/>
          <w:highlight w:val="none"/>
          <w:lang w:val="en-US" w:eastAsia="zh-CN"/>
        </w:rPr>
        <w:t>1、供应商填写</w:t>
      </w:r>
      <w:r>
        <w:rPr>
          <w:rFonts w:hint="eastAsia" w:ascii="宋体" w:hAnsi="宋体" w:eastAsia="宋体" w:cs="宋体"/>
          <w:b w:val="0"/>
          <w:bCs w:val="0"/>
          <w:color w:val="auto"/>
          <w:kern w:val="0"/>
          <w:sz w:val="24"/>
          <w:szCs w:val="24"/>
          <w:highlight w:val="none"/>
          <w:lang w:val="en-US" w:eastAsia="zh-CN"/>
        </w:rPr>
        <w:t>《中小企业声明函》的,必须如实填报，成交供应商享受了磋商文件规定的中小企业扶持政策的,《中小企业声明函》随成交结果公开，接受社会监督。</w:t>
      </w:r>
    </w:p>
    <w:p w14:paraId="620E8396">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2、承接本项目服务的企业本身为中小企业，但存在属于大企业的分支机构或控股股东为大企业或与大企业的负责人为同一人的情形，也不享受磋商文件规定的中小企业扶持政策。</w:t>
      </w:r>
    </w:p>
    <w:p w14:paraId="15D63CC0">
      <w:pPr>
        <w:keepNext w:val="0"/>
        <w:keepLines/>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val="en-US" w:eastAsia="zh-CN"/>
        </w:rPr>
        <w:t>3、供应商提供声明函内容不实的，属于提供虚假材料谋取成交，依照《中华人民共和国政府采购法》等国家有关规定追究相应责任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21C0D4B9">
      <w:pPr>
        <w:pStyle w:val="17"/>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66D88275">
      <w:pPr>
        <w:pStyle w:val="17"/>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F7DA908">
      <w:pPr>
        <w:pStyle w:val="17"/>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5B2F209C">
      <w:pPr>
        <w:pStyle w:val="17"/>
        <w:pageBreakBefore w:val="0"/>
        <w:widowControl w:val="0"/>
        <w:numPr>
          <w:ilvl w:val="0"/>
          <w:numId w:val="2"/>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1EE86AD0">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272F9FE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0658914A">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1E03B14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0198BC2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89792EF">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3E3EF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863A414">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8490CB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24C7D38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9634B4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15140A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609C1FA">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1C6081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10CD79B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64B3563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A58039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1BBE7B9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45FBF4B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51C085D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79CE9DF1">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5639B3E4">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19" w:type="default"/>
          <w:pgSz w:w="11906" w:h="16839"/>
          <w:pgMar w:top="1440" w:right="1800" w:bottom="1440" w:left="1800" w:header="0" w:footer="994" w:gutter="0"/>
          <w:pgNumType w:fmt="decimal"/>
          <w:cols w:space="720" w:num="1"/>
        </w:sectPr>
      </w:pPr>
    </w:p>
    <w:p w14:paraId="3263DC90">
      <w:pPr>
        <w:pageBreakBefore w:val="0"/>
        <w:widowControl w:val="0"/>
        <w:wordWrap/>
        <w:overflowPunct/>
        <w:topLinePunct w:val="0"/>
        <w:bidi w:val="0"/>
        <w:spacing w:before="101" w:line="219" w:lineRule="auto"/>
        <w:jc w:val="right"/>
        <w:outlineLvl w:val="1"/>
        <w:rPr>
          <w:rFonts w:ascii="宋体" w:hAnsi="宋体" w:eastAsia="宋体" w:cs="宋体"/>
          <w:color w:val="auto"/>
          <w:sz w:val="24"/>
          <w:szCs w:val="24"/>
          <w:highlight w:val="none"/>
          <w:lang w:eastAsia="zh-CN"/>
        </w:rPr>
      </w:pPr>
      <w:bookmarkStart w:id="127" w:name="_Toc11183"/>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127"/>
    </w:p>
    <w:p w14:paraId="031F338B">
      <w:pPr>
        <w:pageBreakBefore w:val="0"/>
        <w:widowControl w:val="0"/>
        <w:wordWrap/>
        <w:overflowPunct/>
        <w:topLinePunct w:val="0"/>
        <w:bidi w:val="0"/>
        <w:spacing w:before="183" w:line="219" w:lineRule="auto"/>
        <w:ind w:left="3740"/>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2EFCAF8C">
      <w:pPr>
        <w:pageBreakBefore w:val="0"/>
        <w:widowControl w:val="0"/>
        <w:wordWrap/>
        <w:overflowPunct/>
        <w:topLinePunct w:val="0"/>
        <w:bidi w:val="0"/>
        <w:spacing w:line="275" w:lineRule="auto"/>
        <w:rPr>
          <w:color w:val="auto"/>
          <w:highlight w:val="none"/>
          <w:lang w:eastAsia="zh-CN"/>
        </w:rPr>
      </w:pPr>
    </w:p>
    <w:p w14:paraId="03C9A2D0">
      <w:pPr>
        <w:pageBreakBefore w:val="0"/>
        <w:widowControl w:val="0"/>
        <w:wordWrap/>
        <w:overflowPunct/>
        <w:topLinePunct w:val="0"/>
        <w:bidi w:val="0"/>
        <w:spacing w:line="276" w:lineRule="auto"/>
        <w:rPr>
          <w:color w:val="auto"/>
          <w:highlight w:val="none"/>
          <w:lang w:eastAsia="zh-CN"/>
        </w:rPr>
      </w:pPr>
    </w:p>
    <w:p w14:paraId="2358D964">
      <w:pPr>
        <w:pStyle w:val="27"/>
        <w:pageBreakBefore w:val="0"/>
        <w:widowControl w:val="0"/>
        <w:wordWrap/>
        <w:overflowPunct/>
        <w:topLinePunct w:val="0"/>
        <w:bidi w:val="0"/>
        <w:rPr>
          <w:color w:val="auto"/>
          <w:highlight w:val="none"/>
          <w:lang w:eastAsia="zh-CN"/>
        </w:rPr>
      </w:pPr>
    </w:p>
    <w:p w14:paraId="5FF4E7FF">
      <w:pPr>
        <w:pStyle w:val="27"/>
        <w:pageBreakBefore w:val="0"/>
        <w:widowControl w:val="0"/>
        <w:wordWrap/>
        <w:overflowPunct/>
        <w:topLinePunct w:val="0"/>
        <w:bidi w:val="0"/>
        <w:rPr>
          <w:color w:val="auto"/>
          <w:highlight w:val="none"/>
          <w:lang w:eastAsia="zh-CN"/>
        </w:rPr>
      </w:pPr>
    </w:p>
    <w:p w14:paraId="0571375A">
      <w:pPr>
        <w:pStyle w:val="27"/>
        <w:pageBreakBefore w:val="0"/>
        <w:widowControl w:val="0"/>
        <w:wordWrap/>
        <w:overflowPunct/>
        <w:topLinePunct w:val="0"/>
        <w:bidi w:val="0"/>
        <w:rPr>
          <w:color w:val="auto"/>
          <w:highlight w:val="none"/>
          <w:lang w:eastAsia="zh-CN"/>
        </w:rPr>
      </w:pPr>
    </w:p>
    <w:p w14:paraId="3A25214B">
      <w:pPr>
        <w:pStyle w:val="27"/>
        <w:pageBreakBefore w:val="0"/>
        <w:widowControl w:val="0"/>
        <w:wordWrap/>
        <w:overflowPunct/>
        <w:topLinePunct w:val="0"/>
        <w:bidi w:val="0"/>
        <w:rPr>
          <w:color w:val="auto"/>
          <w:highlight w:val="none"/>
          <w:lang w:eastAsia="zh-CN"/>
        </w:rPr>
      </w:pPr>
    </w:p>
    <w:p w14:paraId="5ADE4B2C">
      <w:pPr>
        <w:pStyle w:val="27"/>
        <w:pageBreakBefore w:val="0"/>
        <w:widowControl w:val="0"/>
        <w:wordWrap/>
        <w:overflowPunct/>
        <w:topLinePunct w:val="0"/>
        <w:bidi w:val="0"/>
        <w:rPr>
          <w:color w:val="auto"/>
          <w:highlight w:val="none"/>
          <w:lang w:eastAsia="zh-CN"/>
        </w:rPr>
      </w:pPr>
    </w:p>
    <w:p w14:paraId="69156FD1">
      <w:pPr>
        <w:pStyle w:val="27"/>
        <w:pageBreakBefore w:val="0"/>
        <w:widowControl w:val="0"/>
        <w:wordWrap/>
        <w:overflowPunct/>
        <w:topLinePunct w:val="0"/>
        <w:bidi w:val="0"/>
        <w:rPr>
          <w:color w:val="auto"/>
          <w:highlight w:val="none"/>
          <w:lang w:eastAsia="zh-CN"/>
        </w:rPr>
      </w:pPr>
    </w:p>
    <w:p w14:paraId="0A3A2576">
      <w:pPr>
        <w:pStyle w:val="27"/>
        <w:pageBreakBefore w:val="0"/>
        <w:widowControl w:val="0"/>
        <w:wordWrap/>
        <w:overflowPunct/>
        <w:topLinePunct w:val="0"/>
        <w:bidi w:val="0"/>
        <w:rPr>
          <w:color w:val="auto"/>
          <w:highlight w:val="none"/>
          <w:lang w:eastAsia="zh-CN"/>
        </w:rPr>
      </w:pPr>
    </w:p>
    <w:p w14:paraId="5993F6B4">
      <w:pPr>
        <w:pStyle w:val="27"/>
        <w:pageBreakBefore w:val="0"/>
        <w:widowControl w:val="0"/>
        <w:wordWrap/>
        <w:overflowPunct/>
        <w:topLinePunct w:val="0"/>
        <w:bidi w:val="0"/>
        <w:rPr>
          <w:color w:val="auto"/>
          <w:highlight w:val="none"/>
          <w:lang w:eastAsia="zh-CN"/>
        </w:rPr>
      </w:pPr>
    </w:p>
    <w:p w14:paraId="49CD4E32">
      <w:pPr>
        <w:pStyle w:val="27"/>
        <w:pageBreakBefore w:val="0"/>
        <w:widowControl w:val="0"/>
        <w:wordWrap/>
        <w:overflowPunct/>
        <w:topLinePunct w:val="0"/>
        <w:bidi w:val="0"/>
        <w:rPr>
          <w:color w:val="auto"/>
          <w:highlight w:val="none"/>
          <w:lang w:eastAsia="zh-CN"/>
        </w:rPr>
      </w:pPr>
    </w:p>
    <w:p w14:paraId="739B92CD">
      <w:pPr>
        <w:pStyle w:val="27"/>
        <w:pageBreakBefore w:val="0"/>
        <w:widowControl w:val="0"/>
        <w:wordWrap/>
        <w:overflowPunct/>
        <w:topLinePunct w:val="0"/>
        <w:bidi w:val="0"/>
        <w:rPr>
          <w:color w:val="auto"/>
          <w:highlight w:val="none"/>
          <w:lang w:eastAsia="zh-CN"/>
        </w:rPr>
      </w:pPr>
    </w:p>
    <w:p w14:paraId="3E0D2198">
      <w:pPr>
        <w:pStyle w:val="27"/>
        <w:pageBreakBefore w:val="0"/>
        <w:widowControl w:val="0"/>
        <w:wordWrap/>
        <w:overflowPunct/>
        <w:topLinePunct w:val="0"/>
        <w:bidi w:val="0"/>
        <w:rPr>
          <w:color w:val="auto"/>
          <w:highlight w:val="none"/>
          <w:lang w:eastAsia="zh-CN"/>
        </w:rPr>
      </w:pPr>
    </w:p>
    <w:p w14:paraId="13EBFAE2">
      <w:pPr>
        <w:pStyle w:val="27"/>
        <w:pageBreakBefore w:val="0"/>
        <w:widowControl w:val="0"/>
        <w:wordWrap/>
        <w:overflowPunct/>
        <w:topLinePunct w:val="0"/>
        <w:bidi w:val="0"/>
        <w:rPr>
          <w:color w:val="auto"/>
          <w:highlight w:val="none"/>
          <w:lang w:eastAsia="zh-CN"/>
        </w:rPr>
      </w:pPr>
    </w:p>
    <w:p w14:paraId="3C3ED254">
      <w:pPr>
        <w:pStyle w:val="27"/>
        <w:pageBreakBefore w:val="0"/>
        <w:widowControl w:val="0"/>
        <w:wordWrap/>
        <w:overflowPunct/>
        <w:topLinePunct w:val="0"/>
        <w:bidi w:val="0"/>
        <w:rPr>
          <w:color w:val="auto"/>
          <w:highlight w:val="none"/>
          <w:lang w:eastAsia="zh-CN"/>
        </w:rPr>
      </w:pPr>
    </w:p>
    <w:p w14:paraId="58C5173C">
      <w:pPr>
        <w:pStyle w:val="27"/>
        <w:pageBreakBefore w:val="0"/>
        <w:widowControl w:val="0"/>
        <w:wordWrap/>
        <w:overflowPunct/>
        <w:topLinePunct w:val="0"/>
        <w:bidi w:val="0"/>
        <w:rPr>
          <w:color w:val="auto"/>
          <w:highlight w:val="none"/>
          <w:lang w:eastAsia="zh-CN"/>
        </w:rPr>
      </w:pPr>
    </w:p>
    <w:p w14:paraId="6A2C1E09">
      <w:pPr>
        <w:pStyle w:val="27"/>
        <w:pageBreakBefore w:val="0"/>
        <w:widowControl w:val="0"/>
        <w:wordWrap/>
        <w:overflowPunct/>
        <w:topLinePunct w:val="0"/>
        <w:bidi w:val="0"/>
        <w:rPr>
          <w:color w:val="auto"/>
          <w:highlight w:val="none"/>
          <w:lang w:eastAsia="zh-CN"/>
        </w:rPr>
      </w:pPr>
    </w:p>
    <w:p w14:paraId="62E40CD5">
      <w:pPr>
        <w:pStyle w:val="27"/>
        <w:pageBreakBefore w:val="0"/>
        <w:widowControl w:val="0"/>
        <w:wordWrap/>
        <w:overflowPunct/>
        <w:topLinePunct w:val="0"/>
        <w:bidi w:val="0"/>
        <w:rPr>
          <w:color w:val="auto"/>
          <w:highlight w:val="none"/>
          <w:lang w:eastAsia="zh-CN"/>
        </w:rPr>
      </w:pPr>
    </w:p>
    <w:p w14:paraId="69FF3C56">
      <w:pPr>
        <w:pStyle w:val="27"/>
        <w:pageBreakBefore w:val="0"/>
        <w:widowControl w:val="0"/>
        <w:wordWrap/>
        <w:overflowPunct/>
        <w:topLinePunct w:val="0"/>
        <w:bidi w:val="0"/>
        <w:rPr>
          <w:color w:val="auto"/>
          <w:highlight w:val="none"/>
          <w:lang w:eastAsia="zh-CN"/>
        </w:rPr>
      </w:pPr>
    </w:p>
    <w:p w14:paraId="3E7D34E6">
      <w:pPr>
        <w:pStyle w:val="27"/>
        <w:pageBreakBefore w:val="0"/>
        <w:widowControl w:val="0"/>
        <w:wordWrap/>
        <w:overflowPunct/>
        <w:topLinePunct w:val="0"/>
        <w:bidi w:val="0"/>
        <w:rPr>
          <w:color w:val="auto"/>
          <w:highlight w:val="none"/>
          <w:lang w:eastAsia="zh-CN"/>
        </w:rPr>
      </w:pPr>
    </w:p>
    <w:p w14:paraId="46F7FBF7">
      <w:pPr>
        <w:pStyle w:val="27"/>
        <w:pageBreakBefore w:val="0"/>
        <w:widowControl w:val="0"/>
        <w:wordWrap/>
        <w:overflowPunct/>
        <w:topLinePunct w:val="0"/>
        <w:bidi w:val="0"/>
        <w:rPr>
          <w:color w:val="auto"/>
          <w:highlight w:val="none"/>
          <w:lang w:eastAsia="zh-CN"/>
        </w:rPr>
      </w:pPr>
    </w:p>
    <w:p w14:paraId="0BC9673B">
      <w:pPr>
        <w:pStyle w:val="27"/>
        <w:pageBreakBefore w:val="0"/>
        <w:widowControl w:val="0"/>
        <w:wordWrap/>
        <w:overflowPunct/>
        <w:topLinePunct w:val="0"/>
        <w:bidi w:val="0"/>
        <w:rPr>
          <w:color w:val="auto"/>
          <w:highlight w:val="none"/>
          <w:lang w:eastAsia="zh-CN"/>
        </w:rPr>
      </w:pPr>
    </w:p>
    <w:p w14:paraId="6308272D">
      <w:pPr>
        <w:pStyle w:val="27"/>
        <w:pageBreakBefore w:val="0"/>
        <w:widowControl w:val="0"/>
        <w:wordWrap/>
        <w:overflowPunct/>
        <w:topLinePunct w:val="0"/>
        <w:bidi w:val="0"/>
        <w:rPr>
          <w:color w:val="auto"/>
          <w:highlight w:val="none"/>
          <w:lang w:eastAsia="zh-CN"/>
        </w:rPr>
      </w:pPr>
    </w:p>
    <w:p w14:paraId="4E4CBEB7">
      <w:pPr>
        <w:pStyle w:val="27"/>
        <w:pageBreakBefore w:val="0"/>
        <w:widowControl w:val="0"/>
        <w:wordWrap/>
        <w:overflowPunct/>
        <w:topLinePunct w:val="0"/>
        <w:bidi w:val="0"/>
        <w:rPr>
          <w:color w:val="auto"/>
          <w:highlight w:val="none"/>
          <w:lang w:eastAsia="zh-CN"/>
        </w:rPr>
      </w:pPr>
    </w:p>
    <w:p w14:paraId="5510A355">
      <w:pPr>
        <w:pStyle w:val="27"/>
        <w:pageBreakBefore w:val="0"/>
        <w:widowControl w:val="0"/>
        <w:wordWrap/>
        <w:overflowPunct/>
        <w:topLinePunct w:val="0"/>
        <w:bidi w:val="0"/>
        <w:rPr>
          <w:color w:val="auto"/>
          <w:highlight w:val="none"/>
          <w:lang w:eastAsia="zh-CN"/>
        </w:rPr>
      </w:pPr>
    </w:p>
    <w:p w14:paraId="288083BE">
      <w:pPr>
        <w:pStyle w:val="27"/>
        <w:pageBreakBefore w:val="0"/>
        <w:widowControl w:val="0"/>
        <w:wordWrap/>
        <w:overflowPunct/>
        <w:topLinePunct w:val="0"/>
        <w:bidi w:val="0"/>
        <w:rPr>
          <w:color w:val="auto"/>
          <w:highlight w:val="none"/>
          <w:lang w:eastAsia="zh-CN"/>
        </w:rPr>
      </w:pPr>
    </w:p>
    <w:p w14:paraId="0F5525E8">
      <w:pPr>
        <w:pStyle w:val="27"/>
        <w:pageBreakBefore w:val="0"/>
        <w:widowControl w:val="0"/>
        <w:wordWrap/>
        <w:overflowPunct/>
        <w:topLinePunct w:val="0"/>
        <w:bidi w:val="0"/>
        <w:rPr>
          <w:color w:val="auto"/>
          <w:highlight w:val="none"/>
          <w:lang w:eastAsia="zh-CN"/>
        </w:rPr>
      </w:pPr>
    </w:p>
    <w:p w14:paraId="1078A632">
      <w:pPr>
        <w:pStyle w:val="27"/>
        <w:pageBreakBefore w:val="0"/>
        <w:widowControl w:val="0"/>
        <w:wordWrap/>
        <w:overflowPunct/>
        <w:topLinePunct w:val="0"/>
        <w:bidi w:val="0"/>
        <w:rPr>
          <w:color w:val="auto"/>
          <w:highlight w:val="none"/>
          <w:lang w:eastAsia="zh-CN"/>
        </w:rPr>
      </w:pPr>
    </w:p>
    <w:p w14:paraId="44EC91AD">
      <w:pPr>
        <w:pStyle w:val="27"/>
        <w:pageBreakBefore w:val="0"/>
        <w:widowControl w:val="0"/>
        <w:wordWrap/>
        <w:overflowPunct/>
        <w:topLinePunct w:val="0"/>
        <w:bidi w:val="0"/>
        <w:rPr>
          <w:color w:val="auto"/>
          <w:highlight w:val="none"/>
          <w:lang w:eastAsia="zh-CN"/>
        </w:rPr>
      </w:pPr>
    </w:p>
    <w:p w14:paraId="3BB19C5D">
      <w:pPr>
        <w:pStyle w:val="27"/>
        <w:pageBreakBefore w:val="0"/>
        <w:widowControl w:val="0"/>
        <w:wordWrap/>
        <w:overflowPunct/>
        <w:topLinePunct w:val="0"/>
        <w:bidi w:val="0"/>
        <w:rPr>
          <w:color w:val="auto"/>
          <w:highlight w:val="none"/>
          <w:lang w:eastAsia="zh-CN"/>
        </w:rPr>
      </w:pPr>
    </w:p>
    <w:p w14:paraId="1900807D">
      <w:pPr>
        <w:pStyle w:val="27"/>
        <w:pageBreakBefore w:val="0"/>
        <w:widowControl w:val="0"/>
        <w:wordWrap/>
        <w:overflowPunct/>
        <w:topLinePunct w:val="0"/>
        <w:bidi w:val="0"/>
        <w:rPr>
          <w:color w:val="auto"/>
          <w:highlight w:val="none"/>
          <w:lang w:eastAsia="zh-CN"/>
        </w:rPr>
      </w:pPr>
    </w:p>
    <w:p w14:paraId="21107BB9">
      <w:pPr>
        <w:pStyle w:val="27"/>
        <w:pageBreakBefore w:val="0"/>
        <w:widowControl w:val="0"/>
        <w:wordWrap/>
        <w:overflowPunct/>
        <w:topLinePunct w:val="0"/>
        <w:bidi w:val="0"/>
        <w:rPr>
          <w:color w:val="auto"/>
          <w:highlight w:val="none"/>
          <w:lang w:eastAsia="zh-CN"/>
        </w:rPr>
      </w:pPr>
    </w:p>
    <w:p w14:paraId="5B0A62C5">
      <w:pPr>
        <w:pStyle w:val="27"/>
        <w:pageBreakBefore w:val="0"/>
        <w:widowControl w:val="0"/>
        <w:wordWrap/>
        <w:overflowPunct/>
        <w:topLinePunct w:val="0"/>
        <w:bidi w:val="0"/>
        <w:rPr>
          <w:color w:val="auto"/>
          <w:highlight w:val="none"/>
          <w:lang w:eastAsia="zh-CN"/>
        </w:rPr>
      </w:pPr>
    </w:p>
    <w:p w14:paraId="73208485">
      <w:pPr>
        <w:pStyle w:val="27"/>
        <w:pageBreakBefore w:val="0"/>
        <w:widowControl w:val="0"/>
        <w:wordWrap/>
        <w:overflowPunct/>
        <w:topLinePunct w:val="0"/>
        <w:bidi w:val="0"/>
        <w:rPr>
          <w:color w:val="auto"/>
          <w:highlight w:val="none"/>
          <w:lang w:eastAsia="zh-CN"/>
        </w:rPr>
      </w:pPr>
    </w:p>
    <w:p w14:paraId="382FDF4C">
      <w:pPr>
        <w:pStyle w:val="27"/>
        <w:pageBreakBefore w:val="0"/>
        <w:widowControl w:val="0"/>
        <w:wordWrap/>
        <w:overflowPunct/>
        <w:topLinePunct w:val="0"/>
        <w:bidi w:val="0"/>
        <w:rPr>
          <w:color w:val="auto"/>
          <w:highlight w:val="none"/>
          <w:lang w:eastAsia="zh-CN"/>
        </w:rPr>
      </w:pPr>
    </w:p>
    <w:p w14:paraId="3EC1CA0B">
      <w:pPr>
        <w:pStyle w:val="27"/>
        <w:pageBreakBefore w:val="0"/>
        <w:widowControl w:val="0"/>
        <w:wordWrap/>
        <w:overflowPunct/>
        <w:topLinePunct w:val="0"/>
        <w:bidi w:val="0"/>
        <w:rPr>
          <w:color w:val="auto"/>
          <w:highlight w:val="none"/>
          <w:lang w:eastAsia="zh-CN"/>
        </w:rPr>
      </w:pPr>
    </w:p>
    <w:p w14:paraId="134DE6BB">
      <w:pPr>
        <w:pStyle w:val="27"/>
        <w:pageBreakBefore w:val="0"/>
        <w:widowControl w:val="0"/>
        <w:wordWrap/>
        <w:overflowPunct/>
        <w:topLinePunct w:val="0"/>
        <w:bidi w:val="0"/>
        <w:rPr>
          <w:color w:val="auto"/>
          <w:highlight w:val="none"/>
          <w:lang w:eastAsia="zh-CN"/>
        </w:rPr>
      </w:pPr>
    </w:p>
    <w:p w14:paraId="1CB0335A">
      <w:pPr>
        <w:pStyle w:val="27"/>
        <w:pageBreakBefore w:val="0"/>
        <w:widowControl w:val="0"/>
        <w:wordWrap/>
        <w:overflowPunct/>
        <w:topLinePunct w:val="0"/>
        <w:bidi w:val="0"/>
        <w:rPr>
          <w:color w:val="auto"/>
          <w:highlight w:val="none"/>
          <w:lang w:eastAsia="zh-CN"/>
        </w:rPr>
      </w:pPr>
    </w:p>
    <w:p w14:paraId="392F501B">
      <w:pPr>
        <w:pStyle w:val="27"/>
        <w:pageBreakBefore w:val="0"/>
        <w:widowControl w:val="0"/>
        <w:wordWrap/>
        <w:overflowPunct/>
        <w:topLinePunct w:val="0"/>
        <w:bidi w:val="0"/>
        <w:rPr>
          <w:color w:val="auto"/>
          <w:highlight w:val="none"/>
          <w:lang w:eastAsia="zh-CN"/>
        </w:rPr>
      </w:pPr>
    </w:p>
    <w:p w14:paraId="07BFCD50">
      <w:pPr>
        <w:pStyle w:val="27"/>
        <w:pageBreakBefore w:val="0"/>
        <w:widowControl w:val="0"/>
        <w:wordWrap/>
        <w:overflowPunct/>
        <w:topLinePunct w:val="0"/>
        <w:bidi w:val="0"/>
        <w:rPr>
          <w:color w:val="auto"/>
          <w:highlight w:val="none"/>
          <w:lang w:eastAsia="zh-CN"/>
        </w:rPr>
      </w:pPr>
    </w:p>
    <w:p w14:paraId="6D1371B5">
      <w:pPr>
        <w:pStyle w:val="27"/>
        <w:pageBreakBefore w:val="0"/>
        <w:widowControl w:val="0"/>
        <w:wordWrap/>
        <w:overflowPunct/>
        <w:topLinePunct w:val="0"/>
        <w:bidi w:val="0"/>
        <w:ind w:left="0" w:leftChars="0" w:firstLine="0" w:firstLineChars="0"/>
        <w:rPr>
          <w:color w:val="auto"/>
          <w:highlight w:val="none"/>
          <w:lang w:eastAsia="zh-CN"/>
        </w:rPr>
      </w:pPr>
    </w:p>
    <w:p w14:paraId="6AC0133E">
      <w:pPr>
        <w:pStyle w:val="27"/>
        <w:pageBreakBefore w:val="0"/>
        <w:widowControl w:val="0"/>
        <w:wordWrap/>
        <w:overflowPunct/>
        <w:topLinePunct w:val="0"/>
        <w:bidi w:val="0"/>
        <w:rPr>
          <w:color w:val="auto"/>
          <w:highlight w:val="none"/>
          <w:lang w:eastAsia="zh-CN"/>
        </w:rPr>
      </w:pPr>
    </w:p>
    <w:p w14:paraId="5A744622">
      <w:pPr>
        <w:pStyle w:val="27"/>
        <w:pageBreakBefore w:val="0"/>
        <w:widowControl w:val="0"/>
        <w:wordWrap/>
        <w:overflowPunct/>
        <w:topLinePunct w:val="0"/>
        <w:bidi w:val="0"/>
        <w:ind w:left="0" w:leftChars="0" w:firstLine="0" w:firstLineChars="0"/>
        <w:rPr>
          <w:color w:val="auto"/>
          <w:highlight w:val="none"/>
          <w:lang w:eastAsia="zh-CN"/>
        </w:rPr>
      </w:pPr>
    </w:p>
    <w:p w14:paraId="34CD3CFA">
      <w:pPr>
        <w:pageBreakBefore w:val="0"/>
        <w:widowControl w:val="0"/>
        <w:wordWrap/>
        <w:overflowPunct/>
        <w:topLinePunct w:val="0"/>
        <w:bidi w:val="0"/>
        <w:spacing w:afterAutospacing="0" w:line="276" w:lineRule="auto"/>
        <w:rPr>
          <w:color w:val="auto"/>
          <w:highlight w:val="none"/>
          <w:lang w:eastAsia="zh-CN"/>
        </w:rPr>
      </w:pPr>
    </w:p>
    <w:p w14:paraId="01E869D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5C70307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0D595C7E">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4B0A56B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20" w:type="default"/>
          <w:pgSz w:w="11906" w:h="16839"/>
          <w:pgMar w:top="1431" w:right="1531" w:bottom="1429" w:left="1531" w:header="0" w:footer="994" w:gutter="0"/>
          <w:pgNumType w:fmt="decimal"/>
          <w:cols w:space="720" w:num="1"/>
        </w:sectPr>
      </w:pPr>
    </w:p>
    <w:p w14:paraId="77ED2D1B">
      <w:pPr>
        <w:pageBreakBefore w:val="0"/>
        <w:widowControl w:val="0"/>
        <w:wordWrap/>
        <w:overflowPunct/>
        <w:topLinePunct w:val="0"/>
        <w:bidi w:val="0"/>
        <w:spacing w:before="101" w:line="219" w:lineRule="auto"/>
        <w:ind w:left="2651"/>
        <w:outlineLvl w:val="1"/>
        <w:rPr>
          <w:rFonts w:ascii="宋体" w:hAnsi="宋体" w:eastAsia="宋体" w:cs="宋体"/>
          <w:color w:val="auto"/>
          <w:sz w:val="24"/>
          <w:szCs w:val="24"/>
          <w:highlight w:val="none"/>
          <w:lang w:eastAsia="zh-CN"/>
        </w:rPr>
      </w:pPr>
      <w:bookmarkStart w:id="128" w:name="_Toc5434"/>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128"/>
    </w:p>
    <w:p w14:paraId="774BE372">
      <w:pPr>
        <w:pageBreakBefore w:val="0"/>
        <w:widowControl w:val="0"/>
        <w:wordWrap/>
        <w:overflowPunct/>
        <w:topLinePunct w:val="0"/>
        <w:bidi w:val="0"/>
        <w:spacing w:line="362" w:lineRule="auto"/>
        <w:rPr>
          <w:color w:val="auto"/>
          <w:highlight w:val="none"/>
          <w:lang w:eastAsia="zh-CN"/>
        </w:rPr>
      </w:pPr>
    </w:p>
    <w:p w14:paraId="63FF2BD9">
      <w:pPr>
        <w:pageBreakBefore w:val="0"/>
        <w:widowControl w:val="0"/>
        <w:wordWrap/>
        <w:overflowPunct/>
        <w:topLinePunct w:val="0"/>
        <w:bidi w:val="0"/>
        <w:spacing w:before="78" w:line="219" w:lineRule="auto"/>
        <w:ind w:left="3069"/>
        <w:rPr>
          <w:rFonts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78C16700">
      <w:pPr>
        <w:pageBreakBefore w:val="0"/>
        <w:widowControl w:val="0"/>
        <w:wordWrap/>
        <w:overflowPunct/>
        <w:topLinePunct w:val="0"/>
        <w:bidi w:val="0"/>
        <w:spacing w:line="284" w:lineRule="auto"/>
        <w:rPr>
          <w:color w:val="auto"/>
          <w:highlight w:val="none"/>
          <w:lang w:eastAsia="zh-CN"/>
        </w:rPr>
      </w:pPr>
    </w:p>
    <w:p w14:paraId="7D41E17B">
      <w:pPr>
        <w:pageBreakBefore w:val="0"/>
        <w:widowControl w:val="0"/>
        <w:wordWrap/>
        <w:overflowPunct/>
        <w:topLinePunct w:val="0"/>
        <w:bidi w:val="0"/>
        <w:spacing w:line="285" w:lineRule="auto"/>
        <w:rPr>
          <w:color w:val="auto"/>
          <w:highlight w:val="none"/>
          <w:lang w:eastAsia="zh-CN"/>
        </w:rPr>
      </w:pPr>
    </w:p>
    <w:p w14:paraId="67BB401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3C294A8E">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21E90E2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7016C0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27BB64DD">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6E4756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30B92A9">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6A6C7DE9">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p>
    <w:p w14:paraId="69C2E63F">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u w:val="single"/>
          <w:lang w:eastAsia="zh-CN"/>
        </w:rPr>
        <w:sectPr>
          <w:footerReference r:id="rId21" w:type="default"/>
          <w:pgSz w:w="11906" w:h="16839"/>
          <w:pgMar w:top="1431" w:right="1587" w:bottom="1429" w:left="1587" w:header="0" w:footer="994" w:gutter="0"/>
          <w:pgNumType w:fmt="decimal"/>
          <w:cols w:space="720" w:num="1"/>
        </w:sectPr>
      </w:pPr>
    </w:p>
    <w:p w14:paraId="545EFC3A">
      <w:pPr>
        <w:pageBreakBefore w:val="0"/>
        <w:widowControl w:val="0"/>
        <w:wordWrap/>
        <w:overflowPunct/>
        <w:topLinePunct w:val="0"/>
        <w:bidi w:val="0"/>
        <w:spacing w:line="280" w:lineRule="auto"/>
        <w:rPr>
          <w:color w:val="auto"/>
          <w:highlight w:val="none"/>
          <w:lang w:eastAsia="zh-CN"/>
        </w:rPr>
      </w:pPr>
    </w:p>
    <w:p w14:paraId="25E5BD70">
      <w:pPr>
        <w:pageBreakBefore w:val="0"/>
        <w:widowControl w:val="0"/>
        <w:wordWrap/>
        <w:overflowPunct/>
        <w:topLinePunct w:val="0"/>
        <w:bidi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4C3B4D5F">
      <w:pPr>
        <w:pageBreakBefore w:val="0"/>
        <w:widowControl w:val="0"/>
        <w:wordWrap/>
        <w:overflowPunct/>
        <w:topLinePunct w:val="0"/>
        <w:bidi w:val="0"/>
        <w:spacing w:line="218" w:lineRule="auto"/>
        <w:ind w:left="370"/>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3584CFBB">
      <w:pPr>
        <w:pageBreakBefore w:val="0"/>
        <w:widowControl w:val="0"/>
        <w:wordWrap/>
        <w:overflowPunct/>
        <w:topLinePunct w:val="0"/>
        <w:bidi w:val="0"/>
        <w:spacing w:line="276" w:lineRule="auto"/>
        <w:jc w:val="center"/>
        <w:rPr>
          <w:color w:val="auto"/>
          <w:highlight w:val="none"/>
          <w:lang w:eastAsia="zh-CN"/>
        </w:rPr>
      </w:pPr>
    </w:p>
    <w:p w14:paraId="488087CD">
      <w:pPr>
        <w:pageBreakBefore w:val="0"/>
        <w:widowControl w:val="0"/>
        <w:wordWrap/>
        <w:overflowPunct/>
        <w:topLinePunct w:val="0"/>
        <w:bidi w:val="0"/>
        <w:spacing w:line="276" w:lineRule="auto"/>
        <w:rPr>
          <w:color w:val="auto"/>
          <w:highlight w:val="none"/>
          <w:lang w:eastAsia="zh-CN"/>
        </w:rPr>
      </w:pPr>
    </w:p>
    <w:p w14:paraId="062A38F9">
      <w:pPr>
        <w:pageBreakBefore w:val="0"/>
        <w:widowControl w:val="0"/>
        <w:wordWrap/>
        <w:overflowPunct/>
        <w:topLinePunct w:val="0"/>
        <w:bidi w:val="0"/>
        <w:spacing w:line="277" w:lineRule="auto"/>
        <w:rPr>
          <w:color w:val="auto"/>
          <w:highlight w:val="none"/>
          <w:lang w:eastAsia="zh-CN"/>
        </w:rPr>
      </w:pPr>
    </w:p>
    <w:p w14:paraId="5484E933">
      <w:pPr>
        <w:pageBreakBefore w:val="0"/>
        <w:widowControl w:val="0"/>
        <w:wordWrap/>
        <w:overflowPunct/>
        <w:topLinePunct w:val="0"/>
        <w:bidi w:val="0"/>
        <w:spacing w:before="78" w:line="219" w:lineRule="auto"/>
        <w:ind w:left="942"/>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65CAC7BD">
      <w:pPr>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br w:type="page"/>
      </w:r>
    </w:p>
    <w:p w14:paraId="19B3C975">
      <w:pPr>
        <w:jc w:val="cente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本项目不适用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center"/>
        <w:textAlignment w:val="baseline"/>
        <w:rPr>
          <w:rFonts w:hint="eastAsia" w:ascii="宋体" w:hAnsi="宋体" w:eastAsia="宋体" w:cs="宋体"/>
          <w:i w:val="0"/>
          <w:iCs w:val="0"/>
          <w:caps w:val="0"/>
          <w:color w:val="383838"/>
          <w:spacing w:val="0"/>
          <w:sz w:val="24"/>
          <w:szCs w:val="24"/>
          <w:lang w:val="en-US" w:eastAsia="zh-CN"/>
        </w:rPr>
      </w:pPr>
      <w:r>
        <w:rPr>
          <w:rStyle w:val="22"/>
          <w:rFonts w:hint="eastAsia" w:ascii="微软雅黑" w:hAnsi="微软雅黑" w:eastAsia="微软雅黑" w:cs="微软雅黑"/>
          <w:b/>
          <w:bCs/>
          <w:i w:val="0"/>
          <w:iCs w:val="0"/>
          <w:caps w:val="0"/>
          <w:color w:val="383838"/>
          <w:spacing w:val="0"/>
          <w:sz w:val="28"/>
          <w:szCs w:val="28"/>
          <w:shd w:val="clear" w:fill="FFFFFF"/>
          <w:vertAlign w:val="baseline"/>
        </w:rPr>
        <w:t>关于符合本国产品标准的声明函</w:t>
      </w:r>
    </w:p>
    <w:p w14:paraId="768160FA">
      <w:pPr>
        <w:keepNext w:val="0"/>
        <w:keepLines w:val="0"/>
        <w:pageBreakBefore w:val="0"/>
        <w:widowControl/>
        <w:suppressLineNumbers w:val="0"/>
        <w:kinsoku w:val="0"/>
        <w:wordWrap w:val="0"/>
        <w:overflowPunct/>
        <w:topLinePunct w:val="0"/>
        <w:autoSpaceDE w:val="0"/>
        <w:autoSpaceDN/>
        <w:bidi w:val="0"/>
        <w:adjustRightInd w:val="0"/>
        <w:snapToGrid w:val="0"/>
        <w:spacing w:before="0" w:beforeAutospacing="0" w:after="0" w:afterAutospacing="0" w:line="500" w:lineRule="atLeast"/>
        <w:ind w:left="0" w:right="0" w:firstLine="508" w:firstLineChars="200"/>
        <w:jc w:val="left"/>
        <w:textAlignment w:val="baseline"/>
        <w:rPr>
          <w:rFonts w:hint="eastAsia" w:ascii="宋体" w:hAnsi="宋体" w:eastAsia="宋体" w:cs="宋体"/>
          <w:b w:val="0"/>
          <w:bCs w:val="0"/>
          <w:i w:val="0"/>
          <w:iCs w:val="0"/>
          <w:color w:val="auto"/>
          <w:spacing w:val="7"/>
          <w:kern w:val="0"/>
          <w:sz w:val="24"/>
          <w:szCs w:val="24"/>
          <w:highlight w:val="none"/>
        </w:rPr>
      </w:pPr>
      <w:r>
        <w:rPr>
          <w:rFonts w:hint="eastAsia" w:ascii="宋体" w:hAnsi="宋体" w:eastAsia="宋体" w:cs="宋体"/>
          <w:b w:val="0"/>
          <w:bCs w:val="0"/>
          <w:i w:val="0"/>
          <w:iCs w:val="0"/>
          <w:snapToGrid w:val="0"/>
          <w:color w:val="auto"/>
          <w:spacing w:val="7"/>
          <w:kern w:val="0"/>
          <w:sz w:val="24"/>
          <w:szCs w:val="24"/>
          <w:highlight w:val="none"/>
          <w:lang w:val="en-US" w:eastAsia="zh-CN" w:bidi="ar"/>
        </w:rPr>
        <w:t>本公司（单位）郑重声明，根据《国务院办公厅关于在政府采购中实施本国产品标准及相关政策的通知》（国办发〔2025〕34号）的规定，本公司（单位）提供的以下产品属于本国产品。具体情况如下：</w:t>
      </w:r>
    </w:p>
    <w:p w14:paraId="7C3CC311">
      <w:pPr>
        <w:keepNext w:val="0"/>
        <w:keepLines w:val="0"/>
        <w:pageBreakBefore w:val="0"/>
        <w:widowControl/>
        <w:numPr>
          <w:ilvl w:val="0"/>
          <w:numId w:val="0"/>
        </w:numPr>
        <w:suppressLineNumbers w:val="0"/>
        <w:kinsoku w:val="0"/>
        <w:wordWrap w:val="0"/>
        <w:overflowPunct/>
        <w:topLinePunct w:val="0"/>
        <w:autoSpaceDE w:val="0"/>
        <w:autoSpaceDN/>
        <w:bidi w:val="0"/>
        <w:adjustRightInd w:val="0"/>
        <w:snapToGrid w:val="0"/>
        <w:spacing w:before="0" w:beforeAutospacing="0" w:after="0" w:afterAutospacing="0" w:line="500" w:lineRule="atLeast"/>
        <w:ind w:left="0" w:leftChars="0" w:right="0" w:rightChars="0" w:firstLine="420" w:firstLineChars="0"/>
        <w:jc w:val="left"/>
        <w:textAlignment w:val="baseline"/>
        <w:rPr>
          <w:rFonts w:hint="eastAsia" w:ascii="宋体" w:hAnsi="宋体" w:eastAsia="宋体" w:cs="宋体"/>
          <w:b w:val="0"/>
          <w:bCs w:val="0"/>
          <w:i w:val="0"/>
          <w:iCs w:val="0"/>
          <w:color w:val="auto"/>
          <w:spacing w:val="7"/>
          <w:kern w:val="0"/>
          <w:sz w:val="24"/>
          <w:szCs w:val="24"/>
          <w:highlight w:val="none"/>
        </w:rPr>
      </w:pPr>
      <w:r>
        <w:rPr>
          <w:rFonts w:hint="default" w:ascii="Times New Roman" w:hAnsi="Times New Roman" w:eastAsia="宋体" w:cs="Times New Roman"/>
          <w:b w:val="0"/>
          <w:bCs w:val="0"/>
          <w:i w:val="0"/>
          <w:iCs w:val="0"/>
          <w:snapToGrid w:val="0"/>
          <w:color w:val="auto"/>
          <w:spacing w:val="7"/>
          <w:kern w:val="0"/>
          <w:sz w:val="24"/>
          <w:szCs w:val="24"/>
          <w:lang w:val="en-US" w:eastAsia="en-US" w:bidi="ar-SA"/>
        </w:rPr>
        <w:t>1</w:t>
      </w:r>
      <w:r>
        <w:rPr>
          <w:rFonts w:hint="eastAsia" w:ascii="宋体" w:hAnsi="宋体" w:eastAsia="宋体" w:cs="宋体"/>
          <w:b w:val="0"/>
          <w:bCs w:val="0"/>
          <w:i w:val="0"/>
          <w:iCs w:val="0"/>
          <w:snapToGrid w:val="0"/>
          <w:color w:val="auto"/>
          <w:spacing w:val="7"/>
          <w:kern w:val="0"/>
          <w:sz w:val="24"/>
          <w:szCs w:val="24"/>
          <w:highlight w:val="none"/>
          <w:lang w:val="en-US" w:eastAsia="zh-CN" w:bidi="ar"/>
        </w:rPr>
        <w:t>.</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（产品名称1）</w:t>
      </w:r>
      <w:r>
        <w:rPr>
          <w:rFonts w:hint="eastAsia" w:ascii="宋体" w:hAnsi="宋体" w:eastAsia="宋体" w:cs="宋体"/>
          <w:i w:val="0"/>
          <w:iCs w:val="0"/>
          <w:caps w:val="0"/>
          <w:snapToGrid w:val="0"/>
          <w:color w:val="auto"/>
          <w:spacing w:val="0"/>
          <w:kern w:val="0"/>
          <w:sz w:val="24"/>
          <w:szCs w:val="24"/>
          <w:highlight w:val="none"/>
          <w:shd w:val="clear" w:fill="FFFFFF"/>
          <w:vertAlign w:val="superscript"/>
          <w:lang w:val="en-US" w:eastAsia="zh-CN" w:bidi="ar"/>
        </w:rPr>
        <w:t>1</w:t>
      </w:r>
      <w:r>
        <w:rPr>
          <w:rFonts w:hint="eastAsia" w:ascii="宋体" w:hAnsi="宋体" w:eastAsia="宋体" w:cs="宋体"/>
          <w:b w:val="0"/>
          <w:bCs w:val="0"/>
          <w:i w:val="0"/>
          <w:iCs w:val="0"/>
          <w:snapToGrid w:val="0"/>
          <w:color w:val="auto"/>
          <w:spacing w:val="7"/>
          <w:kern w:val="0"/>
          <w:sz w:val="24"/>
          <w:szCs w:val="24"/>
          <w:highlight w:val="none"/>
          <w:lang w:val="en-US" w:eastAsia="zh-CN" w:bidi="ar"/>
        </w:rPr>
        <w:t>，生产厂为</w:t>
      </w:r>
      <w:r>
        <w:rPr>
          <w:rFonts w:hint="eastAsia" w:ascii="宋体" w:hAnsi="宋体" w:eastAsia="宋体" w:cs="宋体"/>
          <w:i w:val="0"/>
          <w:iCs w:val="0"/>
          <w:caps w:val="0"/>
          <w:snapToGrid w:val="0"/>
          <w:color w:val="auto"/>
          <w:spacing w:val="0"/>
          <w:kern w:val="0"/>
          <w:sz w:val="24"/>
          <w:szCs w:val="24"/>
          <w:highlight w:val="none"/>
          <w:u w:val="single"/>
          <w:shd w:val="clear" w:fill="FFFFFF"/>
          <w:lang w:val="en-US" w:eastAsia="zh-CN" w:bidi="ar"/>
        </w:rPr>
        <w:t>（厂名）</w:t>
      </w:r>
      <w:r>
        <w:rPr>
          <w:rFonts w:hint="eastAsia" w:ascii="宋体" w:hAnsi="宋体" w:eastAsia="宋体" w:cs="宋体"/>
          <w:i w:val="0"/>
          <w:iCs w:val="0"/>
          <w:caps w:val="0"/>
          <w:snapToGrid w:val="0"/>
          <w:color w:val="auto"/>
          <w:spacing w:val="0"/>
          <w:kern w:val="0"/>
          <w:sz w:val="24"/>
          <w:szCs w:val="24"/>
          <w:highlight w:val="none"/>
          <w:shd w:val="clear" w:fill="FFFFFF"/>
          <w:vertAlign w:val="superscript"/>
          <w:lang w:val="en-US" w:eastAsia="zh-CN" w:bidi="ar"/>
        </w:rPr>
        <w:t>2</w:t>
      </w:r>
      <w:r>
        <w:rPr>
          <w:rFonts w:hint="eastAsia" w:ascii="宋体" w:hAnsi="宋体" w:eastAsia="宋体" w:cs="宋体"/>
          <w:b w:val="0"/>
          <w:bCs w:val="0"/>
          <w:i w:val="0"/>
          <w:iCs w:val="0"/>
          <w:snapToGrid w:val="0"/>
          <w:color w:val="auto"/>
          <w:spacing w:val="7"/>
          <w:kern w:val="0"/>
          <w:sz w:val="24"/>
          <w:szCs w:val="24"/>
          <w:highlight w:val="none"/>
          <w:lang w:val="en-US" w:eastAsia="zh-CN" w:bidi="ar"/>
        </w:rPr>
        <w:t>，厂址为</w:t>
      </w:r>
      <w:r>
        <w:rPr>
          <w:rFonts w:hint="eastAsia" w:ascii="宋体" w:hAnsi="宋体" w:eastAsia="宋体" w:cs="宋体"/>
          <w:i/>
          <w:iCs w:val="0"/>
          <w:caps w:val="0"/>
          <w:snapToGrid w:val="0"/>
          <w:color w:val="auto"/>
          <w:spacing w:val="0"/>
          <w:kern w:val="0"/>
          <w:sz w:val="24"/>
          <w:szCs w:val="24"/>
          <w:highlight w:val="none"/>
          <w:shd w:val="clear" w:fill="FFFFFF"/>
          <w:lang w:val="en-US" w:eastAsia="zh-CN" w:bidi="ar"/>
        </w:rPr>
        <w:t>（生产厂址）</w:t>
      </w:r>
      <w:r>
        <w:rPr>
          <w:rFonts w:hint="eastAsia" w:ascii="宋体" w:hAnsi="宋体" w:eastAsia="宋体" w:cs="宋体"/>
          <w:b w:val="0"/>
          <w:bCs w:val="0"/>
          <w:i w:val="0"/>
          <w:iCs w:val="0"/>
          <w:snapToGrid w:val="0"/>
          <w:color w:val="auto"/>
          <w:spacing w:val="7"/>
          <w:kern w:val="0"/>
          <w:sz w:val="24"/>
          <w:szCs w:val="24"/>
          <w:highlight w:val="none"/>
          <w:lang w:val="en-US" w:eastAsia="zh-CN" w:bidi="ar"/>
        </w:rPr>
        <w:t>。</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（产品名称1）</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的中国境内生产的组件成本占比≥</w:t>
      </w:r>
      <w:r>
        <w:rPr>
          <w:rFonts w:hint="eastAsia" w:ascii="宋体" w:hAnsi="宋体" w:eastAsia="宋体" w:cs="宋体"/>
          <w:i w:val="0"/>
          <w:iCs w:val="0"/>
          <w:caps w:val="0"/>
          <w:snapToGrid w:val="0"/>
          <w:color w:val="auto"/>
          <w:spacing w:val="0"/>
          <w:kern w:val="0"/>
          <w:sz w:val="24"/>
          <w:szCs w:val="24"/>
          <w:highlight w:val="none"/>
          <w:u w:val="single"/>
          <w:shd w:val="clear" w:fill="FFFFFF"/>
          <w:lang w:val="en-US" w:eastAsia="zh-CN" w:bidi="ar"/>
        </w:rPr>
        <w:t>（规定比例）</w:t>
      </w:r>
      <w:r>
        <w:rPr>
          <w:rFonts w:hint="eastAsia" w:ascii="宋体" w:hAnsi="宋体" w:eastAsia="宋体" w:cs="宋体"/>
          <w:i w:val="0"/>
          <w:iCs w:val="0"/>
          <w:caps w:val="0"/>
          <w:snapToGrid w:val="0"/>
          <w:color w:val="auto"/>
          <w:spacing w:val="0"/>
          <w:kern w:val="0"/>
          <w:sz w:val="24"/>
          <w:szCs w:val="24"/>
          <w:highlight w:val="none"/>
          <w:shd w:val="clear" w:fill="FFFFFF"/>
          <w:vertAlign w:val="superscript"/>
          <w:lang w:val="en-US" w:eastAsia="zh-CN" w:bidi="ar"/>
        </w:rPr>
        <w:t>3</w:t>
      </w:r>
      <w:r>
        <w:rPr>
          <w:rFonts w:hint="eastAsia" w:ascii="宋体" w:hAnsi="宋体" w:eastAsia="宋体" w:cs="宋体"/>
          <w:b w:val="0"/>
          <w:bCs w:val="0"/>
          <w:i w:val="0"/>
          <w:iCs w:val="0"/>
          <w:snapToGrid w:val="0"/>
          <w:color w:val="auto"/>
          <w:spacing w:val="7"/>
          <w:kern w:val="0"/>
          <w:sz w:val="24"/>
          <w:szCs w:val="24"/>
          <w:highlight w:val="none"/>
          <w:lang w:val="en-US" w:eastAsia="zh-CN" w:bidi="ar"/>
        </w:rPr>
        <w:t>。</w:t>
      </w:r>
      <w:r>
        <w:rPr>
          <w:rFonts w:hint="eastAsia" w:ascii="宋体" w:hAnsi="宋体" w:eastAsia="宋体" w:cs="宋体"/>
          <w:i/>
          <w:iCs w:val="0"/>
          <w:caps w:val="0"/>
          <w:snapToGrid w:val="0"/>
          <w:color w:val="auto"/>
          <w:spacing w:val="0"/>
          <w:kern w:val="0"/>
          <w:sz w:val="24"/>
          <w:szCs w:val="24"/>
          <w:highlight w:val="none"/>
          <w:shd w:val="clear" w:fill="FFFFFF"/>
          <w:lang w:val="en-US" w:eastAsia="zh-CN" w:bidi="ar"/>
        </w:rPr>
        <w:t>（产品名称1）</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w:t>
      </w:r>
      <w:r>
        <w:rPr>
          <w:rFonts w:hint="eastAsia" w:ascii="宋体" w:hAnsi="宋体" w:eastAsia="宋体" w:cs="宋体"/>
          <w:i w:val="0"/>
          <w:iCs w:val="0"/>
          <w:caps w:val="0"/>
          <w:snapToGrid w:val="0"/>
          <w:color w:val="auto"/>
          <w:spacing w:val="0"/>
          <w:kern w:val="0"/>
          <w:sz w:val="24"/>
          <w:szCs w:val="24"/>
          <w:highlight w:val="none"/>
          <w:u w:val="single"/>
          <w:shd w:val="clear" w:fill="FFFFFF"/>
          <w:lang w:val="en-US" w:eastAsia="zh-CN" w:bidi="ar"/>
        </w:rPr>
        <w:t>（关键组件）</w:t>
      </w:r>
      <w:r>
        <w:rPr>
          <w:rFonts w:hint="eastAsia" w:ascii="宋体" w:hAnsi="宋体" w:eastAsia="宋体" w:cs="宋体"/>
          <w:i w:val="0"/>
          <w:iCs w:val="0"/>
          <w:caps w:val="0"/>
          <w:snapToGrid w:val="0"/>
          <w:color w:val="auto"/>
          <w:spacing w:val="0"/>
          <w:kern w:val="0"/>
          <w:sz w:val="24"/>
          <w:szCs w:val="24"/>
          <w:highlight w:val="none"/>
          <w:shd w:val="clear" w:fill="FFFFFF"/>
          <w:vertAlign w:val="superscript"/>
          <w:lang w:val="en-US" w:eastAsia="zh-CN" w:bidi="ar"/>
        </w:rPr>
        <w:t>4</w:t>
      </w:r>
      <w:r>
        <w:rPr>
          <w:rFonts w:hint="eastAsia" w:ascii="宋体" w:hAnsi="宋体" w:eastAsia="宋体" w:cs="宋体"/>
          <w:b w:val="0"/>
          <w:bCs w:val="0"/>
          <w:i w:val="0"/>
          <w:iCs w:val="0"/>
          <w:snapToGrid w:val="0"/>
          <w:color w:val="auto"/>
          <w:spacing w:val="7"/>
          <w:kern w:val="0"/>
          <w:sz w:val="24"/>
          <w:szCs w:val="24"/>
          <w:highlight w:val="none"/>
          <w:lang w:val="en-US" w:eastAsia="zh-CN" w:bidi="ar"/>
        </w:rPr>
        <w:t>在中国境内生产。</w:t>
      </w:r>
      <w:r>
        <w:rPr>
          <w:rFonts w:hint="eastAsia" w:ascii="宋体" w:hAnsi="宋体" w:eastAsia="宋体" w:cs="宋体"/>
          <w:i/>
          <w:iCs w:val="0"/>
          <w:caps w:val="0"/>
          <w:snapToGrid w:val="0"/>
          <w:color w:val="auto"/>
          <w:spacing w:val="0"/>
          <w:kern w:val="0"/>
          <w:sz w:val="24"/>
          <w:szCs w:val="24"/>
          <w:highlight w:val="none"/>
          <w:shd w:val="clear" w:fill="FFFFFF"/>
          <w:lang w:val="en-US" w:eastAsia="zh-CN" w:bidi="ar"/>
        </w:rPr>
        <w:t>（产品名称1）</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w:t>
      </w:r>
      <w:r>
        <w:rPr>
          <w:rFonts w:hint="eastAsia" w:ascii="宋体" w:hAnsi="宋体" w:eastAsia="宋体" w:cs="宋体"/>
          <w:i w:val="0"/>
          <w:iCs w:val="0"/>
          <w:caps w:val="0"/>
          <w:snapToGrid w:val="0"/>
          <w:color w:val="auto"/>
          <w:spacing w:val="0"/>
          <w:kern w:val="0"/>
          <w:sz w:val="24"/>
          <w:szCs w:val="24"/>
          <w:highlight w:val="none"/>
          <w:u w:val="single"/>
          <w:shd w:val="clear" w:fill="FFFFFF"/>
          <w:lang w:val="en-US" w:eastAsia="zh-CN" w:bidi="ar"/>
        </w:rPr>
        <w:t>（关键工序）</w:t>
      </w:r>
      <w:r>
        <w:rPr>
          <w:rFonts w:hint="eastAsia" w:ascii="宋体" w:hAnsi="宋体" w:eastAsia="宋体" w:cs="宋体"/>
          <w:i w:val="0"/>
          <w:iCs w:val="0"/>
          <w:caps w:val="0"/>
          <w:snapToGrid w:val="0"/>
          <w:color w:val="auto"/>
          <w:spacing w:val="0"/>
          <w:kern w:val="0"/>
          <w:sz w:val="24"/>
          <w:szCs w:val="24"/>
          <w:highlight w:val="none"/>
          <w:shd w:val="clear" w:fill="FFFFFF"/>
          <w:vertAlign w:val="superscript"/>
          <w:lang w:val="en-US" w:eastAsia="zh-CN" w:bidi="ar"/>
        </w:rPr>
        <w:t>5</w:t>
      </w:r>
      <w:r>
        <w:rPr>
          <w:rFonts w:hint="eastAsia" w:ascii="宋体" w:hAnsi="宋体" w:eastAsia="宋体" w:cs="宋体"/>
          <w:b w:val="0"/>
          <w:bCs w:val="0"/>
          <w:i w:val="0"/>
          <w:iCs w:val="0"/>
          <w:snapToGrid w:val="0"/>
          <w:color w:val="auto"/>
          <w:spacing w:val="7"/>
          <w:kern w:val="0"/>
          <w:sz w:val="24"/>
          <w:szCs w:val="24"/>
          <w:highlight w:val="none"/>
          <w:lang w:val="en-US" w:eastAsia="zh-CN" w:bidi="ar"/>
        </w:rPr>
        <w:t>在中国境内完成。</w:t>
      </w:r>
      <w:r>
        <w:rPr>
          <w:rFonts w:hint="eastAsia" w:ascii="宋体" w:hAnsi="宋体" w:eastAsia="宋体" w:cs="宋体"/>
          <w:b w:val="0"/>
          <w:bCs w:val="0"/>
          <w:i w:val="0"/>
          <w:iCs w:val="0"/>
          <w:snapToGrid w:val="0"/>
          <w:color w:val="auto"/>
          <w:spacing w:val="7"/>
          <w:kern w:val="0"/>
          <w:sz w:val="24"/>
          <w:szCs w:val="24"/>
          <w:highlight w:val="none"/>
          <w:lang w:val="en-US" w:eastAsia="zh-CN" w:bidi="ar"/>
        </w:rPr>
        <w:tab/>
      </w:r>
    </w:p>
    <w:p w14:paraId="3FFEB664">
      <w:pPr>
        <w:keepNext w:val="0"/>
        <w:keepLines w:val="0"/>
        <w:pageBreakBefore w:val="0"/>
        <w:widowControl/>
        <w:suppressLineNumbers w:val="0"/>
        <w:kinsoku w:val="0"/>
        <w:wordWrap w:val="0"/>
        <w:overflowPunct/>
        <w:topLinePunct w:val="0"/>
        <w:autoSpaceDE w:val="0"/>
        <w:autoSpaceDN/>
        <w:bidi w:val="0"/>
        <w:adjustRightInd w:val="0"/>
        <w:snapToGrid w:val="0"/>
        <w:spacing w:before="0" w:beforeAutospacing="0" w:after="0" w:afterAutospacing="0" w:line="500" w:lineRule="atLeast"/>
        <w:ind w:left="0" w:right="0" w:firstLine="420" w:firstLineChars="0"/>
        <w:jc w:val="left"/>
        <w:textAlignment w:val="baseline"/>
        <w:rPr>
          <w:rFonts w:hint="eastAsia" w:ascii="宋体" w:hAnsi="宋体" w:eastAsia="宋体" w:cs="宋体"/>
          <w:b w:val="0"/>
          <w:bCs w:val="0"/>
          <w:i w:val="0"/>
          <w:iCs w:val="0"/>
          <w:color w:val="auto"/>
          <w:spacing w:val="7"/>
          <w:kern w:val="0"/>
          <w:sz w:val="24"/>
          <w:szCs w:val="24"/>
          <w:highlight w:val="none"/>
        </w:rPr>
      </w:pPr>
      <w:r>
        <w:rPr>
          <w:rFonts w:hint="eastAsia" w:ascii="宋体" w:hAnsi="宋体" w:eastAsia="宋体" w:cs="宋体"/>
          <w:b w:val="0"/>
          <w:bCs w:val="0"/>
          <w:i w:val="0"/>
          <w:iCs w:val="0"/>
          <w:snapToGrid w:val="0"/>
          <w:color w:val="auto"/>
          <w:spacing w:val="7"/>
          <w:kern w:val="0"/>
          <w:sz w:val="24"/>
          <w:szCs w:val="24"/>
          <w:highlight w:val="none"/>
          <w:lang w:val="en-US" w:eastAsia="zh-CN" w:bidi="ar"/>
        </w:rPr>
        <w:t>2.</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（产品名称2）</w:t>
      </w:r>
      <w:r>
        <w:rPr>
          <w:rFonts w:hint="eastAsia" w:ascii="宋体" w:hAnsi="宋体" w:eastAsia="宋体" w:cs="宋体"/>
          <w:b w:val="0"/>
          <w:bCs w:val="0"/>
          <w:i w:val="0"/>
          <w:iCs w:val="0"/>
          <w:snapToGrid w:val="0"/>
          <w:color w:val="auto"/>
          <w:spacing w:val="7"/>
          <w:kern w:val="0"/>
          <w:sz w:val="24"/>
          <w:szCs w:val="24"/>
          <w:highlight w:val="none"/>
          <w:lang w:val="en-US" w:eastAsia="zh-CN" w:bidi="ar"/>
        </w:rPr>
        <w:t>，生产厂为</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（厂名）</w:t>
      </w:r>
      <w:r>
        <w:rPr>
          <w:rFonts w:hint="eastAsia" w:ascii="宋体" w:hAnsi="宋体" w:eastAsia="宋体" w:cs="宋体"/>
          <w:b w:val="0"/>
          <w:bCs w:val="0"/>
          <w:i w:val="0"/>
          <w:iCs w:val="0"/>
          <w:snapToGrid w:val="0"/>
          <w:color w:val="auto"/>
          <w:spacing w:val="7"/>
          <w:kern w:val="0"/>
          <w:sz w:val="24"/>
          <w:szCs w:val="24"/>
          <w:highlight w:val="none"/>
          <w:lang w:val="en-US" w:eastAsia="zh-CN" w:bidi="ar"/>
        </w:rPr>
        <w:t>，厂址为</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（生产厂址）</w:t>
      </w:r>
      <w:r>
        <w:rPr>
          <w:rFonts w:hint="eastAsia" w:ascii="宋体" w:hAnsi="宋体" w:eastAsia="宋体" w:cs="宋体"/>
          <w:b w:val="0"/>
          <w:bCs w:val="0"/>
          <w:i w:val="0"/>
          <w:iCs w:val="0"/>
          <w:snapToGrid w:val="0"/>
          <w:color w:val="auto"/>
          <w:spacing w:val="7"/>
          <w:kern w:val="0"/>
          <w:sz w:val="24"/>
          <w:szCs w:val="24"/>
          <w:highlight w:val="none"/>
          <w:lang w:val="en-US" w:eastAsia="zh-CN" w:bidi="ar"/>
        </w:rPr>
        <w:t>。</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（产品名称2）</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的中国境内生产的组件成本占比≥</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（规定比例）</w:t>
      </w:r>
      <w:r>
        <w:rPr>
          <w:rFonts w:hint="eastAsia" w:ascii="宋体" w:hAnsi="宋体" w:eastAsia="宋体" w:cs="宋体"/>
          <w:b w:val="0"/>
          <w:bCs w:val="0"/>
          <w:i w:val="0"/>
          <w:iCs w:val="0"/>
          <w:snapToGrid w:val="0"/>
          <w:color w:val="auto"/>
          <w:spacing w:val="7"/>
          <w:kern w:val="0"/>
          <w:sz w:val="24"/>
          <w:szCs w:val="24"/>
          <w:highlight w:val="none"/>
          <w:lang w:val="en-US" w:eastAsia="zh-CN" w:bidi="ar"/>
        </w:rPr>
        <w:t>。</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（产品名称2）</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（关键组件）</w:t>
      </w:r>
      <w:r>
        <w:rPr>
          <w:rFonts w:hint="eastAsia" w:ascii="宋体" w:hAnsi="宋体" w:eastAsia="宋体" w:cs="宋体"/>
          <w:b w:val="0"/>
          <w:bCs w:val="0"/>
          <w:i w:val="0"/>
          <w:iCs w:val="0"/>
          <w:snapToGrid w:val="0"/>
          <w:color w:val="auto"/>
          <w:spacing w:val="7"/>
          <w:kern w:val="0"/>
          <w:sz w:val="24"/>
          <w:szCs w:val="24"/>
          <w:highlight w:val="none"/>
          <w:lang w:val="en-US" w:eastAsia="zh-CN" w:bidi="ar"/>
        </w:rPr>
        <w:t>在中国境内生产。</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（产品名称2）</w:t>
      </w:r>
      <w:r>
        <w:rPr>
          <w:rFonts w:hint="eastAsia" w:ascii="宋体" w:hAnsi="宋体" w:eastAsia="宋体" w:cs="宋体"/>
          <w:b w:val="0"/>
          <w:bCs w:val="0"/>
          <w:i w:val="0"/>
          <w:iCs w:val="0"/>
          <w:snapToGrid w:val="0"/>
          <w:color w:val="auto"/>
          <w:spacing w:val="7"/>
          <w:kern w:val="0"/>
          <w:sz w:val="24"/>
          <w:szCs w:val="24"/>
          <w:highlight w:val="none"/>
          <w:lang w:val="en-US" w:eastAsia="zh-CN" w:bidi="ar"/>
        </w:rPr>
        <w:t>的</w:t>
      </w:r>
      <w:r>
        <w:rPr>
          <w:rFonts w:hint="eastAsia" w:ascii="宋体" w:hAnsi="宋体" w:eastAsia="宋体" w:cs="宋体"/>
          <w:i/>
          <w:iCs w:val="0"/>
          <w:caps w:val="0"/>
          <w:snapToGrid w:val="0"/>
          <w:color w:val="auto"/>
          <w:spacing w:val="0"/>
          <w:kern w:val="0"/>
          <w:sz w:val="24"/>
          <w:szCs w:val="24"/>
          <w:highlight w:val="none"/>
          <w:u w:val="single"/>
          <w:shd w:val="clear" w:fill="FFFFFF"/>
          <w:lang w:val="en-US" w:eastAsia="zh-CN" w:bidi="ar"/>
        </w:rPr>
        <w:t>（关键工序）</w:t>
      </w:r>
      <w:r>
        <w:rPr>
          <w:rFonts w:hint="eastAsia" w:ascii="宋体" w:hAnsi="宋体" w:eastAsia="宋体" w:cs="宋体"/>
          <w:b w:val="0"/>
          <w:bCs w:val="0"/>
          <w:i w:val="0"/>
          <w:iCs w:val="0"/>
          <w:snapToGrid w:val="0"/>
          <w:color w:val="auto"/>
          <w:spacing w:val="7"/>
          <w:kern w:val="0"/>
          <w:sz w:val="24"/>
          <w:szCs w:val="24"/>
          <w:highlight w:val="none"/>
          <w:lang w:val="en-US" w:eastAsia="zh-CN" w:bidi="ar"/>
        </w:rPr>
        <w:t>在中国境内完成。</w:t>
      </w:r>
    </w:p>
    <w:p w14:paraId="118E185D">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2F05395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0C471F7">
      <w:pPr>
        <w:pStyle w:val="2"/>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随中标、成交结果同时公告中标供应商提供的《声明函》或有关证明文件。供应商提供虚假《声明函》、虚假证明文件谋取中标、成交的，依照《中华人民共和国政府采购法》等法律法规规定追究相应责任。</w:t>
      </w:r>
    </w:p>
    <w:p w14:paraId="117B2ACD">
      <w:pPr>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br w:type="page"/>
      </w:r>
    </w:p>
    <w:p w14:paraId="217ED493">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29" w:name="_Toc18703"/>
      <w:bookmarkStart w:id="130" w:name="_Toc3171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本项目不适用</w:t>
      </w:r>
      <w:bookmarkEnd w:id="129"/>
      <w:bookmarkEnd w:id="13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72924D0B">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70472AC3">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65BA9B6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20"/>
        <w:tblW w:w="89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5"/>
        <w:gridCol w:w="1801"/>
        <w:gridCol w:w="1801"/>
      </w:tblGrid>
      <w:tr w14:paraId="6D35A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5345" w:type="dxa"/>
            <w:vAlign w:val="center"/>
          </w:tcPr>
          <w:p w14:paraId="48B050F1">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1801" w:type="dxa"/>
            <w:vAlign w:val="center"/>
          </w:tcPr>
          <w:p w14:paraId="0D72AEE3">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c>
          <w:tcPr>
            <w:tcW w:w="1801" w:type="dxa"/>
            <w:vAlign w:val="center"/>
          </w:tcPr>
          <w:p w14:paraId="750BBF96">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p>
        </w:tc>
      </w:tr>
      <w:tr w14:paraId="2257D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45" w:type="dxa"/>
            <w:vAlign w:val="center"/>
          </w:tcPr>
          <w:p w14:paraId="28A82B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92C3FA5">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76B3CEAD">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615A06E8">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1801" w:type="dxa"/>
            <w:vAlign w:val="center"/>
          </w:tcPr>
          <w:p w14:paraId="6A969B5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c>
          <w:tcPr>
            <w:tcW w:w="1801" w:type="dxa"/>
            <w:vAlign w:val="center"/>
          </w:tcPr>
          <w:p w14:paraId="6CC91259">
            <w:pPr>
              <w:widowControl w:val="0"/>
              <w:ind w:firstLine="0" w:firstLineChars="0"/>
              <w:jc w:val="cente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pPr>
          </w:p>
        </w:tc>
      </w:tr>
    </w:tbl>
    <w:p w14:paraId="61773AFC">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764D95FA">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778A768C">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6FF4EB94">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21A26302">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6FDB182A">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52B99808">
      <w:pPr>
        <w:pStyle w:val="18"/>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lang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015F13FA">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2" w:type="default"/>
          <w:pgSz w:w="11906" w:h="16839"/>
          <w:pgMar w:top="1431" w:right="1587" w:bottom="1429" w:left="1587" w:header="0" w:footer="994" w:gutter="0"/>
          <w:pgNumType w:fmt="decimal"/>
          <w:cols w:space="720" w:num="1"/>
        </w:sectPr>
      </w:pPr>
    </w:p>
    <w:p w14:paraId="55FB9C41">
      <w:pPr>
        <w:pageBreakBefore w:val="0"/>
        <w:widowControl w:val="0"/>
        <w:wordWrap/>
        <w:overflowPunct/>
        <w:topLinePunct w:val="0"/>
        <w:bidi w:val="0"/>
        <w:spacing w:before="48" w:line="219" w:lineRule="auto"/>
        <w:ind w:left="3935"/>
        <w:outlineLvl w:val="0"/>
        <w:rPr>
          <w:rFonts w:hint="default" w:ascii="宋体" w:hAnsi="宋体" w:eastAsia="宋体" w:cs="宋体"/>
          <w:color w:val="auto"/>
          <w:spacing w:val="0"/>
          <w:position w:val="0"/>
          <w:sz w:val="24"/>
          <w:szCs w:val="24"/>
          <w:lang w:val="en-US" w:eastAsia="zh-CN"/>
        </w:rPr>
      </w:pPr>
      <w:bookmarkStart w:id="131" w:name="bookmark77"/>
      <w:bookmarkEnd w:id="131"/>
      <w:bookmarkStart w:id="132" w:name="bookmark78"/>
      <w:bookmarkEnd w:id="132"/>
      <w:bookmarkStart w:id="133" w:name="_Toc31247"/>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服务方案</w:t>
      </w:r>
      <w:bookmarkEnd w:id="133"/>
    </w:p>
    <w:p w14:paraId="4C1E1CC9">
      <w:pPr>
        <w:pageBreakBefore w:val="0"/>
        <w:widowControl w:val="0"/>
        <w:wordWrap/>
        <w:overflowPunct/>
        <w:topLinePunct w:val="0"/>
        <w:bidi w:val="0"/>
        <w:spacing w:line="283" w:lineRule="auto"/>
        <w:rPr>
          <w:color w:val="auto"/>
          <w:spacing w:val="0"/>
          <w:position w:val="0"/>
          <w:lang w:eastAsia="zh-CN"/>
        </w:rPr>
      </w:pPr>
    </w:p>
    <w:p w14:paraId="5E8E2C39">
      <w:pPr>
        <w:pageBreakBefore w:val="0"/>
        <w:widowControl w:val="0"/>
        <w:wordWrap/>
        <w:overflowPunct/>
        <w:topLinePunct w:val="0"/>
        <w:bidi w:val="0"/>
        <w:spacing w:line="284" w:lineRule="auto"/>
        <w:rPr>
          <w:color w:val="auto"/>
          <w:spacing w:val="0"/>
          <w:position w:val="0"/>
          <w:lang w:eastAsia="zh-CN"/>
        </w:rPr>
      </w:pPr>
    </w:p>
    <w:p w14:paraId="78B51A27">
      <w:pPr>
        <w:pageBreakBefore w:val="0"/>
        <w:widowControl w:val="0"/>
        <w:wordWrap/>
        <w:overflowPunct/>
        <w:topLinePunct w:val="0"/>
        <w:bidi w:val="0"/>
        <w:spacing w:before="78" w:line="219" w:lineRule="auto"/>
        <w:ind w:left="30"/>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内容包括：</w:t>
      </w:r>
    </w:p>
    <w:p w14:paraId="24C4F81E">
      <w:pPr>
        <w:pageBreakBefore w:val="0"/>
        <w:widowControl w:val="0"/>
        <w:wordWrap/>
        <w:overflowPunct/>
        <w:topLinePunct w:val="0"/>
        <w:bidi w:val="0"/>
        <w:spacing w:before="185" w:line="219"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1、服务内容的详细说明</w:t>
      </w:r>
    </w:p>
    <w:p w14:paraId="6D48155D">
      <w:pPr>
        <w:pageBreakBefore w:val="0"/>
        <w:widowControl w:val="0"/>
        <w:wordWrap/>
        <w:overflowPunct/>
        <w:topLinePunct w:val="0"/>
        <w:bidi w:val="0"/>
        <w:spacing w:before="185"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lang w:eastAsia="zh-CN"/>
        </w:rPr>
        <w:t>2、供应商认为需要说明的其他内容（供应商视需要自行编写</w:t>
      </w:r>
      <w:r>
        <w:rPr>
          <w:rFonts w:ascii="宋体" w:hAnsi="宋体" w:eastAsia="宋体" w:cs="宋体"/>
          <w:color w:val="auto"/>
          <w:spacing w:val="-1"/>
          <w:sz w:val="24"/>
          <w:szCs w:val="24"/>
          <w:highlight w:val="none"/>
          <w:lang w:eastAsia="zh-CN"/>
        </w:rPr>
        <w:t>）</w:t>
      </w:r>
    </w:p>
    <w:p w14:paraId="556974C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3" w:type="default"/>
          <w:pgSz w:w="11906" w:h="16839"/>
          <w:pgMar w:top="1429" w:right="1587" w:bottom="1429" w:left="1587" w:header="0" w:footer="994" w:gutter="0"/>
          <w:pgNumType w:fmt="decimal"/>
          <w:cols w:space="720" w:num="1"/>
        </w:sectPr>
      </w:pPr>
    </w:p>
    <w:p w14:paraId="383F9E2E">
      <w:pPr>
        <w:pageBreakBefore w:val="0"/>
        <w:widowControl w:val="0"/>
        <w:wordWrap/>
        <w:overflowPunct/>
        <w:topLinePunct w:val="0"/>
        <w:bidi w:val="0"/>
        <w:spacing w:before="48" w:line="219" w:lineRule="auto"/>
        <w:jc w:val="center"/>
        <w:outlineLvl w:val="1"/>
        <w:rPr>
          <w:color w:val="auto"/>
          <w:highlight w:val="none"/>
        </w:rPr>
        <w:sectPr>
          <w:footerReference r:id="rId24" w:type="default"/>
          <w:pgSz w:w="11906" w:h="16839"/>
          <w:pgMar w:top="1429" w:right="1587" w:bottom="1429" w:left="1587" w:header="0" w:footer="994" w:gutter="0"/>
          <w:pgNumType w:fmt="decimal"/>
          <w:cols w:space="720" w:num="1"/>
        </w:sectPr>
      </w:pPr>
      <w:bookmarkStart w:id="134" w:name="_Toc798"/>
      <w:r>
        <w:rPr>
          <w:rFonts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.与技术、商务等评审计分有关的资料</w:t>
      </w:r>
      <w:bookmarkEnd w:id="134"/>
    </w:p>
    <w:p w14:paraId="3CE78041">
      <w:pPr>
        <w:pageBreakBefore w:val="0"/>
        <w:widowControl w:val="0"/>
        <w:wordWrap/>
        <w:overflowPunct/>
        <w:topLinePunct w:val="0"/>
        <w:bidi w:val="0"/>
        <w:spacing w:before="83" w:line="224" w:lineRule="auto"/>
        <w:jc w:val="center"/>
        <w:outlineLvl w:val="0"/>
        <w:rPr>
          <w:rFonts w:ascii="宋体" w:hAnsi="宋体" w:eastAsia="宋体" w:cs="宋体"/>
          <w:color w:val="auto"/>
          <w:sz w:val="31"/>
          <w:szCs w:val="31"/>
          <w:highlight w:val="none"/>
          <w:lang w:eastAsia="zh-CN"/>
        </w:rPr>
      </w:pPr>
      <w:bookmarkStart w:id="135" w:name="bookmark79"/>
      <w:bookmarkEnd w:id="135"/>
      <w:bookmarkStart w:id="136" w:name="bookmark80"/>
      <w:bookmarkEnd w:id="136"/>
      <w:bookmarkStart w:id="137" w:name="_Toc11643"/>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采购</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需求</w:t>
      </w:r>
      <w:bookmarkEnd w:id="137"/>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bookmarkStart w:id="138" w:name="_Toc22842"/>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38"/>
    </w:p>
    <w:p w14:paraId="00D6E72B">
      <w:pPr>
        <w:pageBreakBefore w:val="0"/>
        <w:widowControl w:val="0"/>
        <w:wordWrap/>
        <w:overflowPunct/>
        <w:topLinePunct w:val="0"/>
        <w:bidi w:val="0"/>
        <w:spacing w:before="64"/>
        <w:rPr>
          <w:color w:val="auto"/>
          <w:highlight w:val="none"/>
        </w:rPr>
      </w:pPr>
    </w:p>
    <w:tbl>
      <w:tblPr>
        <w:tblStyle w:val="2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82816"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8"/>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29"/>
              <w:pageBreakBefore w:val="0"/>
              <w:widowControl w:val="0"/>
              <w:wordWrap/>
              <w:overflowPunct/>
              <w:topLinePunct w:val="0"/>
              <w:bidi w:val="0"/>
              <w:spacing w:line="245" w:lineRule="auto"/>
              <w:rPr>
                <w:color w:val="auto"/>
                <w:highlight w:val="none"/>
              </w:rPr>
            </w:pPr>
          </w:p>
          <w:p w14:paraId="40F7ED8D">
            <w:pPr>
              <w:pStyle w:val="29"/>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29"/>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29"/>
              <w:pageBreakBefore w:val="0"/>
              <w:widowControl w:val="0"/>
              <w:wordWrap/>
              <w:overflowPunct/>
              <w:topLinePunct w:val="0"/>
              <w:bidi w:val="0"/>
              <w:spacing w:line="263" w:lineRule="auto"/>
              <w:rPr>
                <w:color w:val="auto"/>
                <w:highlight w:val="none"/>
              </w:rPr>
            </w:pPr>
          </w:p>
          <w:p w14:paraId="0743B18A">
            <w:pPr>
              <w:pStyle w:val="29"/>
              <w:pageBreakBefore w:val="0"/>
              <w:widowControl w:val="0"/>
              <w:wordWrap/>
              <w:overflowPunct/>
              <w:topLinePunct w:val="0"/>
              <w:bidi w:val="0"/>
              <w:spacing w:line="263" w:lineRule="auto"/>
              <w:rPr>
                <w:color w:val="auto"/>
                <w:highlight w:val="none"/>
              </w:rPr>
            </w:pPr>
          </w:p>
          <w:p w14:paraId="144BF3D0">
            <w:pPr>
              <w:pStyle w:val="29"/>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08CE9823">
            <w:pPr>
              <w:pStyle w:val="29"/>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详见“第一章 磋商邀请”</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0E4CD573">
            <w:pPr>
              <w:pStyle w:val="29"/>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w:t>
            </w:r>
            <w:r>
              <w:rPr>
                <w:rFonts w:hint="eastAsia" w:ascii="宋体" w:hAnsi="宋体" w:eastAsia="宋体" w:cs="宋体"/>
                <w:color w:val="auto"/>
                <w:sz w:val="24"/>
                <w:highlight w:val="none"/>
                <w:lang w:val="en-US" w:eastAsia="zh-CN"/>
              </w:rPr>
              <w:t>需求</w:t>
            </w:r>
            <w:r>
              <w:rPr>
                <w:rFonts w:hint="eastAsia" w:ascii="宋体" w:hAnsi="宋体" w:eastAsia="宋体" w:cs="宋体"/>
                <w:color w:val="auto"/>
                <w:sz w:val="24"/>
                <w:highlight w:val="none"/>
              </w:rPr>
              <w:t>”</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2856DFA6">
            <w:pPr>
              <w:pStyle w:val="29"/>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w:t>
            </w:r>
            <w:r>
              <w:rPr>
                <w:rFonts w:hint="eastAsia" w:ascii="宋体" w:hAnsi="宋体" w:eastAsia="宋体" w:cs="宋体"/>
                <w:color w:val="auto"/>
                <w:sz w:val="24"/>
                <w:highlight w:val="none"/>
                <w:lang w:val="en-US" w:eastAsia="zh-CN"/>
              </w:rPr>
              <w:t>需求</w:t>
            </w:r>
            <w:r>
              <w:rPr>
                <w:rFonts w:hint="eastAsia" w:ascii="宋体" w:hAnsi="宋体" w:eastAsia="宋体" w:cs="宋体"/>
                <w:color w:val="auto"/>
                <w:sz w:val="24"/>
                <w:highlight w:val="none"/>
              </w:rPr>
              <w:t>”</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14:paraId="4BB6DCE7">
            <w:pPr>
              <w:pStyle w:val="29"/>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w:t>
            </w:r>
            <w:r>
              <w:rPr>
                <w:rFonts w:hint="eastAsia" w:ascii="宋体" w:hAnsi="宋体" w:eastAsia="宋体" w:cs="宋体"/>
                <w:color w:val="auto"/>
                <w:sz w:val="24"/>
                <w:highlight w:val="none"/>
                <w:lang w:val="en-US" w:eastAsia="zh-CN"/>
              </w:rPr>
              <w:t>需求</w:t>
            </w:r>
            <w:r>
              <w:rPr>
                <w:rFonts w:hint="eastAsia" w:ascii="宋体" w:hAnsi="宋体" w:eastAsia="宋体" w:cs="宋体"/>
                <w:color w:val="auto"/>
                <w:sz w:val="24"/>
                <w:highlight w:val="none"/>
              </w:rPr>
              <w:t>”</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5"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14:paraId="350793D5">
            <w:pPr>
              <w:pStyle w:val="29"/>
              <w:pageBreakBefore w:val="0"/>
              <w:widowControl w:val="0"/>
              <w:kinsoku/>
              <w:wordWrap/>
              <w:overflowPunct/>
              <w:topLinePunct w:val="0"/>
              <w:bidi w:val="0"/>
              <w:ind w:firstLine="480" w:firstLineChars="200"/>
              <w:jc w:val="both"/>
              <w:rPr>
                <w:color w:val="auto"/>
                <w:highlight w:val="none"/>
              </w:rPr>
            </w:pPr>
            <w:r>
              <w:rPr>
                <w:rFonts w:hint="eastAsia" w:ascii="宋体" w:hAnsi="宋体" w:eastAsia="宋体" w:cs="宋体"/>
                <w:color w:val="auto"/>
                <w:sz w:val="24"/>
                <w:highlight w:val="none"/>
              </w:rPr>
              <w:t>本项目为交钥匙项目，报价内容包含磋商文件规定的完成所有服务所需的设备、人员、培训、技术支持、税费等一切相关费用。</w:t>
            </w:r>
          </w:p>
        </w:tc>
      </w:tr>
    </w:tbl>
    <w:p w14:paraId="5F49050A">
      <w:pPr>
        <w:pageBreakBefore w:val="0"/>
        <w:widowControl w:val="0"/>
        <w:wordWrap/>
        <w:overflowPunct/>
        <w:topLinePunct w:val="0"/>
        <w:bidi w:val="0"/>
        <w:rPr>
          <w:color w:val="auto"/>
          <w:highlight w:val="none"/>
        </w:rPr>
      </w:pPr>
    </w:p>
    <w:p w14:paraId="6E707B9B">
      <w:pPr>
        <w:pageBreakBefore w:val="0"/>
        <w:widowControl w:val="0"/>
        <w:wordWrap/>
        <w:overflowPunct/>
        <w:topLinePunct w:val="0"/>
        <w:bidi w:val="0"/>
        <w:rPr>
          <w:color w:val="auto"/>
          <w:highlight w:val="none"/>
        </w:rPr>
        <w:sectPr>
          <w:footerReference r:id="rId25"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139" w:name="bookmark81"/>
      <w:bookmarkEnd w:id="139"/>
      <w:bookmarkStart w:id="140" w:name="_Toc8998"/>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140"/>
    </w:p>
    <w:p w14:paraId="63447F04">
      <w:pPr>
        <w:pageBreakBefore w:val="0"/>
        <w:widowControl w:val="0"/>
        <w:wordWrap/>
        <w:overflowPunct/>
        <w:topLinePunct w:val="0"/>
        <w:bidi w:val="0"/>
        <w:spacing w:before="78" w:line="360" w:lineRule="auto"/>
        <w:jc w:val="both"/>
        <w:rPr>
          <w:rFonts w:hint="eastAsia" w:ascii="宋体" w:hAnsi="宋体" w:eastAsia="宋体" w:cs="宋体"/>
          <w:color w:val="auto"/>
          <w:spacing w:val="-5"/>
          <w:sz w:val="24"/>
          <w:szCs w:val="24"/>
          <w:highlight w:val="none"/>
        </w:rPr>
      </w:pPr>
    </w:p>
    <w:p w14:paraId="35E61905">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服务要求</w:t>
      </w:r>
    </w:p>
    <w:p w14:paraId="29F35690">
      <w:pPr>
        <w:pageBreakBefore w:val="0"/>
        <w:widowControl w:val="0"/>
        <w:wordWrap/>
        <w:overflowPunct/>
        <w:topLinePunct w:val="0"/>
        <w:bidi w:val="0"/>
        <w:spacing w:line="242" w:lineRule="auto"/>
        <w:rPr>
          <w:color w:val="auto"/>
          <w:highlight w:val="none"/>
        </w:rPr>
      </w:pPr>
    </w:p>
    <w:p w14:paraId="0ED7FFCA">
      <w:pPr>
        <w:widowControl/>
        <w:numPr>
          <w:ilvl w:val="0"/>
          <w:numId w:val="0"/>
        </w:numPr>
        <w:spacing w:line="360" w:lineRule="auto"/>
        <w:ind w:firstLine="482" w:firstLineChars="200"/>
        <w:jc w:val="left"/>
        <w:rPr>
          <w:rFonts w:hint="eastAsia" w:ascii="宋体" w:hAnsi="宋体" w:eastAsia="宋体" w:cs="宋体"/>
          <w:b/>
          <w:bCs/>
          <w:snapToGrid w:val="0"/>
          <w:color w:val="000000"/>
          <w:sz w:val="24"/>
          <w:szCs w:val="24"/>
          <w:lang w:val="en-US" w:eastAsia="zh-CN" w:bidi="ar-SA"/>
        </w:rPr>
      </w:pPr>
      <w:r>
        <w:rPr>
          <w:rFonts w:hint="eastAsia" w:ascii="宋体" w:hAnsi="宋体" w:eastAsia="宋体" w:cs="宋体"/>
          <w:b/>
          <w:bCs/>
          <w:snapToGrid w:val="0"/>
          <w:color w:val="000000"/>
          <w:sz w:val="24"/>
          <w:szCs w:val="24"/>
          <w:lang w:val="en-US" w:eastAsia="zh-CN" w:bidi="ar-SA"/>
        </w:rPr>
        <w:t>1、项目概况</w:t>
      </w:r>
    </w:p>
    <w:p w14:paraId="408EE0F8">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为高质量推进“课程思政教学研究中心”建设，现提出以下采购需求，旨在通过引入外部优质产品与服务，系统化解决当前课程思政建设中存在的平台支撑不足、资源整合乏力、典型案例缺乏、教师能力不均衡等突出问题，全面提升我校课程思政建设的层次和实效。</w:t>
      </w:r>
    </w:p>
    <w:p w14:paraId="6929A0C2">
      <w:pPr>
        <w:widowControl/>
        <w:numPr>
          <w:ilvl w:val="0"/>
          <w:numId w:val="0"/>
        </w:numPr>
        <w:spacing w:line="360" w:lineRule="auto"/>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lang w:val="en-US" w:eastAsia="zh-CN"/>
        </w:rPr>
        <w:t>1.1</w:t>
      </w:r>
      <w:r>
        <w:rPr>
          <w:rFonts w:hint="eastAsia" w:ascii="宋体" w:hAnsi="宋体" w:eastAsia="宋体" w:cs="宋体"/>
          <w:b/>
          <w:bCs/>
          <w:sz w:val="24"/>
          <w:szCs w:val="24"/>
        </w:rPr>
        <w:t>课程思政教学研究</w:t>
      </w:r>
      <w:r>
        <w:rPr>
          <w:rFonts w:hint="eastAsia" w:ascii="宋体" w:hAnsi="宋体" w:eastAsia="宋体" w:cs="宋体"/>
          <w:b/>
          <w:bCs/>
          <w:snapToGrid w:val="0"/>
          <w:color w:val="000000"/>
          <w:sz w:val="24"/>
          <w:szCs w:val="24"/>
          <w:lang w:val="en-US" w:eastAsia="zh-CN" w:bidi="ar-SA"/>
        </w:rPr>
        <w:t>中心</w:t>
      </w:r>
      <w:r>
        <w:rPr>
          <w:rFonts w:hint="eastAsia" w:ascii="宋体" w:hAnsi="宋体" w:eastAsia="宋体" w:cs="宋体"/>
          <w:b/>
          <w:bCs/>
          <w:sz w:val="24"/>
          <w:szCs w:val="24"/>
        </w:rPr>
        <w:t>数字化资源及信息化平台建设</w:t>
      </w:r>
    </w:p>
    <w:p w14:paraId="2132D3E9">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为全面推进课程思政高质量建设，我校拟采购一套功能完备、运行稳定的课程思政教学研究中心线上平台，并同步建设专业化的课程思政元素库与光电思政资源库，实现平台功能与优质资源的深度融合。</w:t>
      </w:r>
    </w:p>
    <w:p w14:paraId="3EE5B6D2">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所采购的线上平台应具备以下核心功能：一是构建思政教学资源的集中管理与高效应用体系，支持文本、视频等多种格式思政元素资源的分类存储、标签化管理与智能检索，为教学提供丰富、精准的资源支撑；二是配备在线协同备课工具，支持教学团队开展远程协作、资源共享与教案共创，提升课程设计效率与质量；三是设立成果展示与动态发布模块，及时呈现项目建设进展、优秀示范课程及思政教育前沿资讯，营造良好的育人氛围。平台须支持后续功能扩展与持续运维服务。</w:t>
      </w:r>
    </w:p>
    <w:p w14:paraId="1C6AAC3C">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在此基础上，将依托平台建设两大专业化资源库：其一，课程思政元素库，需系统覆盖全校所有专业，深入挖掘并精准提炼各专业课程中蕴含的思政教育元素，构建结构清晰、标签规范的课程思政元素体系，实现按专业、思政元素、资源类型等多维度搜索，为教师提供精准化备课支持；其二，坚持不懈用习近平新时代中国特色社会主义思想铸魂育人，建设“光电思政资源库”，紧密结合我校光电等优势学科特色，聚焦“红色光电”历史传承、重大光电技术突破、杰出工匠人物事迹以及校本光电育人实践等核心方向，系统化构建特色资源库，推动专业知识与思政教育的有机融合与协同育人。</w:t>
      </w:r>
    </w:p>
    <w:p w14:paraId="3F0A1CB0">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通过“平台+资源”的一体化建设，打造集资源汇聚、协同教研、成果展示、动态更新于一体的课程思政智慧生态，全面提升我校课程思政的教学支撑能力与育人实效。</w:t>
      </w:r>
    </w:p>
    <w:p w14:paraId="2E535732">
      <w:pPr>
        <w:widowControl/>
        <w:spacing w:line="360" w:lineRule="auto"/>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lang w:val="en-US" w:eastAsia="zh-CN"/>
        </w:rPr>
        <w:t>1.2</w:t>
      </w:r>
      <w:r>
        <w:rPr>
          <w:rFonts w:hint="eastAsia" w:ascii="宋体" w:hAnsi="宋体" w:eastAsia="宋体" w:cs="宋体"/>
          <w:b/>
          <w:bCs/>
          <w:sz w:val="24"/>
          <w:szCs w:val="24"/>
        </w:rPr>
        <w:t>专题思政资源建设与宣传</w:t>
      </w:r>
    </w:p>
    <w:p w14:paraId="291774FB">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以“职业教育支撑强国建设”为核心主线，开展“视频叙事+资源沉淀+品牌传播”三位一体的整体服务，形成从内容生产到价值传播的完整闭环，系统性打造院校在立德树人、专业思政与品牌建设方面的标志性成果。</w:t>
      </w:r>
    </w:p>
    <w:p w14:paraId="0B0BE809">
      <w:pPr>
        <w:widowControl/>
        <w:spacing w:line="360" w:lineRule="auto"/>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lang w:val="en-US" w:eastAsia="zh-CN"/>
        </w:rPr>
        <w:t>1.3</w:t>
      </w:r>
      <w:r>
        <w:rPr>
          <w:rFonts w:hint="eastAsia" w:ascii="宋体" w:hAnsi="宋体" w:eastAsia="宋体" w:cs="宋体"/>
          <w:b/>
          <w:bCs/>
          <w:sz w:val="24"/>
          <w:szCs w:val="24"/>
        </w:rPr>
        <w:t>示范课程建设需求</w:t>
      </w:r>
    </w:p>
    <w:p w14:paraId="15823A87">
      <w:pPr>
        <w:widowControl/>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需采购5门课程思政示范课程的全流程开发服务。服务内容包括：提供专业的拍摄制作团队进行拍摄，在线课程内容策划服务，在线课程审核上线服务等。</w:t>
      </w:r>
    </w:p>
    <w:p w14:paraId="68F108FA">
      <w:pPr>
        <w:widowControl/>
        <w:numPr>
          <w:ilvl w:val="0"/>
          <w:numId w:val="0"/>
        </w:numPr>
        <w:spacing w:line="360" w:lineRule="auto"/>
        <w:ind w:firstLine="482" w:firstLineChars="200"/>
        <w:jc w:val="left"/>
        <w:rPr>
          <w:rFonts w:hint="eastAsia" w:ascii="宋体" w:hAnsi="宋体" w:eastAsia="宋体" w:cs="宋体"/>
          <w:b/>
          <w:bCs/>
          <w:sz w:val="24"/>
          <w:szCs w:val="24"/>
        </w:rPr>
      </w:pPr>
      <w:r>
        <w:rPr>
          <w:rFonts w:hint="eastAsia" w:ascii="宋体" w:hAnsi="宋体" w:eastAsia="宋体" w:cs="宋体"/>
          <w:b/>
          <w:bCs/>
          <w:snapToGrid w:val="0"/>
          <w:color w:val="000000"/>
          <w:sz w:val="24"/>
          <w:szCs w:val="24"/>
          <w:lang w:val="en-US" w:eastAsia="zh-CN" w:bidi="ar-SA"/>
        </w:rPr>
        <w:t>2</w:t>
      </w:r>
      <w:r>
        <w:rPr>
          <w:rFonts w:hint="eastAsia" w:ascii="宋体" w:hAnsi="宋体" w:eastAsia="宋体" w:cs="宋体"/>
          <w:b/>
          <w:bCs/>
          <w:snapToGrid w:val="0"/>
          <w:color w:val="000000"/>
          <w:sz w:val="24"/>
          <w:szCs w:val="24"/>
          <w:lang w:val="en-US" w:eastAsia="en-US" w:bidi="ar-SA"/>
        </w:rPr>
        <w:t>、</w:t>
      </w:r>
      <w:r>
        <w:rPr>
          <w:rFonts w:hint="eastAsia" w:ascii="宋体" w:hAnsi="宋体" w:eastAsia="宋体" w:cs="宋体"/>
          <w:b/>
          <w:bCs/>
          <w:sz w:val="24"/>
          <w:szCs w:val="24"/>
        </w:rPr>
        <w:t>服务需求清单</w:t>
      </w:r>
    </w:p>
    <w:tbl>
      <w:tblPr>
        <w:tblStyle w:val="19"/>
        <w:tblW w:w="0" w:type="auto"/>
        <w:tblInd w:w="408" w:type="dxa"/>
        <w:tblLayout w:type="fixed"/>
        <w:tblCellMar>
          <w:top w:w="0" w:type="dxa"/>
          <w:left w:w="108" w:type="dxa"/>
          <w:bottom w:w="0" w:type="dxa"/>
          <w:right w:w="108" w:type="dxa"/>
        </w:tblCellMar>
      </w:tblPr>
      <w:tblGrid>
        <w:gridCol w:w="1042"/>
        <w:gridCol w:w="2269"/>
        <w:gridCol w:w="3089"/>
        <w:gridCol w:w="1069"/>
        <w:gridCol w:w="1069"/>
      </w:tblGrid>
      <w:tr w14:paraId="6C29BDBF">
        <w:tblPrEx>
          <w:tblCellMar>
            <w:top w:w="0" w:type="dxa"/>
            <w:left w:w="108" w:type="dxa"/>
            <w:bottom w:w="0" w:type="dxa"/>
            <w:right w:w="108" w:type="dxa"/>
          </w:tblCellMar>
        </w:tblPrEx>
        <w:trPr>
          <w:trHeight w:val="471" w:hRule="atLeast"/>
        </w:trPr>
        <w:tc>
          <w:tcPr>
            <w:tcW w:w="1042" w:type="dxa"/>
            <w:tcBorders>
              <w:top w:val="single" w:color="000000" w:sz="4" w:space="0"/>
              <w:left w:val="single" w:color="000000" w:sz="4" w:space="0"/>
              <w:bottom w:val="single" w:color="000000" w:sz="4" w:space="0"/>
              <w:right w:val="single" w:color="000000" w:sz="4" w:space="0"/>
            </w:tcBorders>
            <w:vAlign w:val="center"/>
          </w:tcPr>
          <w:p w14:paraId="0E2492BD">
            <w:pPr>
              <w:widowControl/>
              <w:jc w:val="center"/>
              <w:textAlignment w:val="center"/>
              <w:rPr>
                <w:rFonts w:ascii="宋体" w:hAnsi="宋体" w:cs="宋体"/>
                <w:sz w:val="24"/>
                <w:szCs w:val="24"/>
              </w:rPr>
            </w:pPr>
            <w:r>
              <w:rPr>
                <w:rFonts w:hint="eastAsia" w:ascii="宋体" w:hAnsi="宋体" w:cs="宋体"/>
                <w:kern w:val="0"/>
                <w:sz w:val="24"/>
                <w:szCs w:val="24"/>
                <w:lang w:bidi="ar"/>
              </w:rPr>
              <w:t>序号</w:t>
            </w:r>
          </w:p>
        </w:tc>
        <w:tc>
          <w:tcPr>
            <w:tcW w:w="5358" w:type="dxa"/>
            <w:gridSpan w:val="2"/>
            <w:tcBorders>
              <w:top w:val="single" w:color="000000" w:sz="4" w:space="0"/>
              <w:left w:val="single" w:color="000000" w:sz="4" w:space="0"/>
              <w:bottom w:val="single" w:color="000000" w:sz="4" w:space="0"/>
              <w:right w:val="single" w:color="000000" w:sz="4" w:space="0"/>
            </w:tcBorders>
            <w:vAlign w:val="center"/>
          </w:tcPr>
          <w:p w14:paraId="32851FB1">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服务需求名称</w:t>
            </w:r>
          </w:p>
        </w:tc>
        <w:tc>
          <w:tcPr>
            <w:tcW w:w="1069" w:type="dxa"/>
            <w:tcBorders>
              <w:top w:val="single" w:color="000000" w:sz="4" w:space="0"/>
              <w:left w:val="single" w:color="000000" w:sz="4" w:space="0"/>
              <w:bottom w:val="single" w:color="000000" w:sz="4" w:space="0"/>
              <w:right w:val="single" w:color="000000" w:sz="4" w:space="0"/>
            </w:tcBorders>
            <w:vAlign w:val="center"/>
          </w:tcPr>
          <w:p w14:paraId="187C4D14">
            <w:pPr>
              <w:widowControl/>
              <w:jc w:val="center"/>
              <w:textAlignment w:val="center"/>
              <w:rPr>
                <w:rFonts w:ascii="宋体" w:hAnsi="宋体" w:cs="宋体"/>
                <w:sz w:val="24"/>
                <w:szCs w:val="24"/>
              </w:rPr>
            </w:pPr>
            <w:r>
              <w:rPr>
                <w:rFonts w:hint="eastAsia" w:ascii="宋体" w:hAnsi="宋体" w:cs="宋体"/>
                <w:kern w:val="0"/>
                <w:sz w:val="24"/>
                <w:szCs w:val="24"/>
                <w:lang w:bidi="ar"/>
              </w:rPr>
              <w:t>单位</w:t>
            </w:r>
          </w:p>
        </w:tc>
        <w:tc>
          <w:tcPr>
            <w:tcW w:w="1069" w:type="dxa"/>
            <w:tcBorders>
              <w:top w:val="single" w:color="000000" w:sz="4" w:space="0"/>
              <w:left w:val="single" w:color="000000" w:sz="4" w:space="0"/>
              <w:bottom w:val="single" w:color="000000" w:sz="4" w:space="0"/>
              <w:right w:val="single" w:color="000000" w:sz="4" w:space="0"/>
            </w:tcBorders>
            <w:vAlign w:val="center"/>
          </w:tcPr>
          <w:p w14:paraId="2EF9A9C2">
            <w:pPr>
              <w:widowControl/>
              <w:jc w:val="center"/>
              <w:textAlignment w:val="center"/>
              <w:rPr>
                <w:rFonts w:ascii="宋体" w:hAnsi="宋体" w:cs="宋体"/>
                <w:sz w:val="24"/>
                <w:szCs w:val="24"/>
              </w:rPr>
            </w:pPr>
            <w:r>
              <w:rPr>
                <w:rFonts w:hint="eastAsia" w:ascii="宋体" w:hAnsi="宋体" w:cs="宋体"/>
                <w:kern w:val="0"/>
                <w:sz w:val="24"/>
                <w:szCs w:val="24"/>
                <w:lang w:bidi="ar"/>
              </w:rPr>
              <w:t>数量</w:t>
            </w:r>
          </w:p>
        </w:tc>
      </w:tr>
      <w:tr w14:paraId="5AA8B68C">
        <w:tblPrEx>
          <w:tblCellMar>
            <w:top w:w="0" w:type="dxa"/>
            <w:left w:w="108" w:type="dxa"/>
            <w:bottom w:w="0" w:type="dxa"/>
            <w:right w:w="108" w:type="dxa"/>
          </w:tblCellMar>
        </w:tblPrEx>
        <w:trPr>
          <w:trHeight w:val="1045" w:hRule="atLeast"/>
        </w:trPr>
        <w:tc>
          <w:tcPr>
            <w:tcW w:w="1042" w:type="dxa"/>
            <w:vMerge w:val="restart"/>
            <w:tcBorders>
              <w:top w:val="single" w:color="000000" w:sz="4" w:space="0"/>
              <w:left w:val="single" w:color="000000" w:sz="4" w:space="0"/>
              <w:right w:val="single" w:color="000000" w:sz="4" w:space="0"/>
            </w:tcBorders>
            <w:vAlign w:val="center"/>
          </w:tcPr>
          <w:p w14:paraId="603E8F63">
            <w:pPr>
              <w:widowControl/>
              <w:jc w:val="center"/>
              <w:textAlignment w:val="center"/>
              <w:rPr>
                <w:rFonts w:ascii="宋体" w:hAnsi="宋体" w:cs="宋体"/>
                <w:kern w:val="0"/>
                <w:szCs w:val="21"/>
                <w:lang w:bidi="ar"/>
              </w:rPr>
            </w:pPr>
            <w:r>
              <w:rPr>
                <w:rFonts w:hint="eastAsia" w:ascii="宋体" w:hAnsi="宋体" w:cs="宋体"/>
                <w:kern w:val="0"/>
                <w:szCs w:val="21"/>
                <w:lang w:bidi="ar"/>
              </w:rPr>
              <w:t>1</w:t>
            </w:r>
          </w:p>
        </w:tc>
        <w:tc>
          <w:tcPr>
            <w:tcW w:w="2269" w:type="dxa"/>
            <w:vMerge w:val="restart"/>
            <w:tcBorders>
              <w:top w:val="single" w:color="000000" w:sz="4" w:space="0"/>
              <w:left w:val="single" w:color="000000" w:sz="4" w:space="0"/>
              <w:right w:val="single" w:color="000000" w:sz="4" w:space="0"/>
            </w:tcBorders>
            <w:vAlign w:val="center"/>
          </w:tcPr>
          <w:p w14:paraId="7B350BC3">
            <w:pPr>
              <w:widowControl/>
              <w:jc w:val="center"/>
              <w:textAlignment w:val="center"/>
              <w:rPr>
                <w:rFonts w:ascii="宋体" w:hAnsi="宋体" w:cs="宋体"/>
                <w:szCs w:val="21"/>
              </w:rPr>
            </w:pPr>
            <w:r>
              <w:rPr>
                <w:rFonts w:hint="eastAsia" w:ascii="宋体" w:hAnsi="宋体" w:cs="宋体"/>
                <w:szCs w:val="21"/>
              </w:rPr>
              <w:t>课程思政教学研究中心数字化资源及信息化平台</w:t>
            </w:r>
          </w:p>
          <w:p w14:paraId="101353EE">
            <w:pPr>
              <w:widowControl/>
              <w:jc w:val="center"/>
              <w:textAlignment w:val="center"/>
              <w:rPr>
                <w:rFonts w:ascii="宋体" w:hAnsi="宋体" w:cs="宋体"/>
                <w:szCs w:val="21"/>
              </w:rPr>
            </w:pPr>
            <w:r>
              <w:rPr>
                <w:rFonts w:hint="eastAsia" w:ascii="宋体" w:hAnsi="宋体" w:cs="宋体"/>
                <w:szCs w:val="21"/>
              </w:rPr>
              <w:t>建设</w:t>
            </w:r>
          </w:p>
        </w:tc>
        <w:tc>
          <w:tcPr>
            <w:tcW w:w="3089" w:type="dxa"/>
            <w:tcBorders>
              <w:top w:val="single" w:color="000000" w:sz="4" w:space="0"/>
              <w:left w:val="single" w:color="000000" w:sz="4" w:space="0"/>
              <w:bottom w:val="single" w:color="000000" w:sz="4" w:space="0"/>
              <w:right w:val="single" w:color="000000" w:sz="4" w:space="0"/>
            </w:tcBorders>
            <w:vAlign w:val="center"/>
          </w:tcPr>
          <w:p w14:paraId="0CB45FE9">
            <w:pPr>
              <w:widowControl/>
              <w:jc w:val="left"/>
              <w:textAlignment w:val="center"/>
              <w:rPr>
                <w:rFonts w:ascii="宋体" w:hAnsi="宋体" w:cs="宋体"/>
                <w:kern w:val="0"/>
                <w:szCs w:val="21"/>
                <w:lang w:bidi="ar"/>
              </w:rPr>
            </w:pPr>
            <w:r>
              <w:rPr>
                <w:rFonts w:hint="eastAsia" w:ascii="宋体" w:hAnsi="宋体" w:cs="宋体"/>
                <w:kern w:val="0"/>
                <w:szCs w:val="21"/>
                <w:lang w:bidi="ar"/>
              </w:rPr>
              <w:t>课程思政资源管理平台（含课程思政元素库与光电思政资源库）</w:t>
            </w:r>
          </w:p>
        </w:tc>
        <w:tc>
          <w:tcPr>
            <w:tcW w:w="1069" w:type="dxa"/>
            <w:tcBorders>
              <w:top w:val="single" w:color="000000" w:sz="4" w:space="0"/>
              <w:left w:val="single" w:color="000000" w:sz="4" w:space="0"/>
              <w:bottom w:val="single" w:color="000000" w:sz="4" w:space="0"/>
              <w:right w:val="single" w:color="000000" w:sz="4" w:space="0"/>
            </w:tcBorders>
            <w:vAlign w:val="center"/>
          </w:tcPr>
          <w:p w14:paraId="18BBABC1">
            <w:pPr>
              <w:widowControl/>
              <w:jc w:val="center"/>
              <w:textAlignment w:val="center"/>
              <w:rPr>
                <w:rFonts w:ascii="宋体" w:hAnsi="宋体" w:cs="宋体"/>
                <w:kern w:val="0"/>
                <w:szCs w:val="21"/>
                <w:lang w:bidi="ar"/>
              </w:rPr>
            </w:pPr>
            <w:r>
              <w:rPr>
                <w:rFonts w:hint="eastAsia" w:ascii="宋体" w:hAnsi="宋体" w:cs="宋体"/>
                <w:kern w:val="0"/>
                <w:szCs w:val="21"/>
                <w:lang w:bidi="ar"/>
              </w:rPr>
              <w:t>套</w:t>
            </w:r>
          </w:p>
        </w:tc>
        <w:tc>
          <w:tcPr>
            <w:tcW w:w="1069" w:type="dxa"/>
            <w:tcBorders>
              <w:top w:val="single" w:color="000000" w:sz="4" w:space="0"/>
              <w:left w:val="single" w:color="000000" w:sz="4" w:space="0"/>
              <w:bottom w:val="single" w:color="000000" w:sz="4" w:space="0"/>
              <w:right w:val="single" w:color="000000" w:sz="4" w:space="0"/>
            </w:tcBorders>
            <w:vAlign w:val="center"/>
          </w:tcPr>
          <w:p w14:paraId="7A523A5F">
            <w:pPr>
              <w:widowControl/>
              <w:jc w:val="center"/>
              <w:textAlignment w:val="center"/>
              <w:rPr>
                <w:rFonts w:ascii="宋体" w:hAnsi="宋体" w:cs="宋体"/>
                <w:szCs w:val="21"/>
              </w:rPr>
            </w:pPr>
            <w:r>
              <w:rPr>
                <w:rFonts w:hint="eastAsia" w:ascii="宋体" w:hAnsi="宋体" w:cs="宋体"/>
                <w:szCs w:val="21"/>
              </w:rPr>
              <w:t>1</w:t>
            </w:r>
          </w:p>
        </w:tc>
      </w:tr>
      <w:tr w14:paraId="2AEA06CD">
        <w:tblPrEx>
          <w:tblCellMar>
            <w:top w:w="0" w:type="dxa"/>
            <w:left w:w="108" w:type="dxa"/>
            <w:bottom w:w="0" w:type="dxa"/>
            <w:right w:w="108" w:type="dxa"/>
          </w:tblCellMar>
        </w:tblPrEx>
        <w:trPr>
          <w:trHeight w:val="515" w:hRule="atLeast"/>
        </w:trPr>
        <w:tc>
          <w:tcPr>
            <w:tcW w:w="1042" w:type="dxa"/>
            <w:vMerge w:val="continue"/>
            <w:tcBorders>
              <w:left w:val="single" w:color="000000" w:sz="4" w:space="0"/>
              <w:right w:val="single" w:color="000000" w:sz="4" w:space="0"/>
            </w:tcBorders>
            <w:vAlign w:val="center"/>
          </w:tcPr>
          <w:p w14:paraId="3F48CAE4">
            <w:pPr>
              <w:widowControl/>
              <w:jc w:val="center"/>
              <w:textAlignment w:val="center"/>
              <w:rPr>
                <w:rFonts w:ascii="宋体" w:hAnsi="宋体" w:cs="宋体"/>
                <w:kern w:val="0"/>
                <w:szCs w:val="21"/>
                <w:lang w:bidi="ar"/>
              </w:rPr>
            </w:pPr>
          </w:p>
        </w:tc>
        <w:tc>
          <w:tcPr>
            <w:tcW w:w="2269" w:type="dxa"/>
            <w:vMerge w:val="continue"/>
            <w:tcBorders>
              <w:left w:val="single" w:color="000000" w:sz="4" w:space="0"/>
              <w:right w:val="single" w:color="000000" w:sz="4" w:space="0"/>
            </w:tcBorders>
            <w:vAlign w:val="center"/>
          </w:tcPr>
          <w:p w14:paraId="2086240B">
            <w:pPr>
              <w:widowControl/>
              <w:jc w:val="center"/>
              <w:textAlignment w:val="center"/>
              <w:rPr>
                <w:rFonts w:ascii="宋体" w:hAnsi="宋体" w:cs="宋体"/>
                <w:szCs w:val="21"/>
              </w:rPr>
            </w:pPr>
          </w:p>
        </w:tc>
        <w:tc>
          <w:tcPr>
            <w:tcW w:w="3089" w:type="dxa"/>
            <w:tcBorders>
              <w:top w:val="single" w:color="000000" w:sz="4" w:space="0"/>
              <w:left w:val="single" w:color="000000" w:sz="4" w:space="0"/>
              <w:bottom w:val="single" w:color="000000" w:sz="4" w:space="0"/>
              <w:right w:val="single" w:color="000000" w:sz="4" w:space="0"/>
            </w:tcBorders>
            <w:vAlign w:val="center"/>
          </w:tcPr>
          <w:p w14:paraId="3784EC3B">
            <w:pPr>
              <w:widowControl/>
              <w:jc w:val="left"/>
              <w:textAlignment w:val="center"/>
              <w:rPr>
                <w:rFonts w:ascii="宋体" w:hAnsi="宋体" w:cs="宋体"/>
                <w:kern w:val="0"/>
                <w:szCs w:val="21"/>
                <w:lang w:bidi="ar"/>
              </w:rPr>
            </w:pPr>
            <w:r>
              <w:rPr>
                <w:rFonts w:hint="eastAsia" w:ascii="宋体" w:hAnsi="宋体" w:cs="宋体"/>
                <w:kern w:val="0"/>
                <w:szCs w:val="21"/>
                <w:lang w:bidi="ar"/>
              </w:rPr>
              <w:t>在线协同备课平台</w:t>
            </w:r>
          </w:p>
        </w:tc>
        <w:tc>
          <w:tcPr>
            <w:tcW w:w="1069" w:type="dxa"/>
            <w:tcBorders>
              <w:top w:val="single" w:color="000000" w:sz="4" w:space="0"/>
              <w:left w:val="single" w:color="000000" w:sz="4" w:space="0"/>
              <w:bottom w:val="single" w:color="000000" w:sz="4" w:space="0"/>
              <w:right w:val="single" w:color="000000" w:sz="4" w:space="0"/>
            </w:tcBorders>
            <w:vAlign w:val="center"/>
          </w:tcPr>
          <w:p w14:paraId="29866AC7">
            <w:pPr>
              <w:widowControl/>
              <w:jc w:val="center"/>
              <w:textAlignment w:val="center"/>
              <w:rPr>
                <w:rFonts w:ascii="宋体" w:hAnsi="宋体" w:cs="宋体"/>
                <w:szCs w:val="21"/>
              </w:rPr>
            </w:pPr>
            <w:r>
              <w:rPr>
                <w:rFonts w:hint="eastAsia" w:ascii="宋体" w:hAnsi="宋体" w:cs="宋体"/>
                <w:kern w:val="0"/>
                <w:szCs w:val="21"/>
                <w:lang w:bidi="ar"/>
              </w:rPr>
              <w:t>套</w:t>
            </w:r>
          </w:p>
        </w:tc>
        <w:tc>
          <w:tcPr>
            <w:tcW w:w="1069" w:type="dxa"/>
            <w:tcBorders>
              <w:top w:val="single" w:color="000000" w:sz="4" w:space="0"/>
              <w:left w:val="single" w:color="000000" w:sz="4" w:space="0"/>
              <w:bottom w:val="single" w:color="000000" w:sz="4" w:space="0"/>
              <w:right w:val="single" w:color="000000" w:sz="4" w:space="0"/>
            </w:tcBorders>
            <w:vAlign w:val="center"/>
          </w:tcPr>
          <w:p w14:paraId="293237AD">
            <w:pPr>
              <w:widowControl/>
              <w:jc w:val="center"/>
              <w:textAlignment w:val="center"/>
              <w:rPr>
                <w:rFonts w:ascii="宋体" w:hAnsi="宋体" w:cs="宋体"/>
                <w:szCs w:val="21"/>
              </w:rPr>
            </w:pPr>
            <w:r>
              <w:rPr>
                <w:rFonts w:hint="eastAsia" w:ascii="宋体" w:hAnsi="宋体" w:cs="宋体"/>
                <w:szCs w:val="21"/>
              </w:rPr>
              <w:t>1</w:t>
            </w:r>
          </w:p>
        </w:tc>
      </w:tr>
      <w:tr w14:paraId="0BC03994">
        <w:tblPrEx>
          <w:tblCellMar>
            <w:top w:w="0" w:type="dxa"/>
            <w:left w:w="108" w:type="dxa"/>
            <w:bottom w:w="0" w:type="dxa"/>
            <w:right w:w="108" w:type="dxa"/>
          </w:tblCellMar>
        </w:tblPrEx>
        <w:trPr>
          <w:trHeight w:val="527" w:hRule="atLeast"/>
        </w:trPr>
        <w:tc>
          <w:tcPr>
            <w:tcW w:w="1042" w:type="dxa"/>
            <w:vMerge w:val="continue"/>
            <w:tcBorders>
              <w:left w:val="single" w:color="000000" w:sz="4" w:space="0"/>
              <w:bottom w:val="single" w:color="000000" w:sz="4" w:space="0"/>
              <w:right w:val="single" w:color="000000" w:sz="4" w:space="0"/>
            </w:tcBorders>
            <w:vAlign w:val="center"/>
          </w:tcPr>
          <w:p w14:paraId="29161693">
            <w:pPr>
              <w:widowControl/>
              <w:jc w:val="center"/>
              <w:textAlignment w:val="center"/>
              <w:rPr>
                <w:rFonts w:ascii="宋体" w:hAnsi="宋体" w:cs="宋体"/>
                <w:kern w:val="0"/>
                <w:szCs w:val="21"/>
                <w:lang w:bidi="ar"/>
              </w:rPr>
            </w:pPr>
          </w:p>
        </w:tc>
        <w:tc>
          <w:tcPr>
            <w:tcW w:w="2269" w:type="dxa"/>
            <w:vMerge w:val="continue"/>
            <w:tcBorders>
              <w:left w:val="single" w:color="000000" w:sz="4" w:space="0"/>
              <w:bottom w:val="single" w:color="000000" w:sz="4" w:space="0"/>
              <w:right w:val="single" w:color="000000" w:sz="4" w:space="0"/>
            </w:tcBorders>
            <w:vAlign w:val="center"/>
          </w:tcPr>
          <w:p w14:paraId="3F525471">
            <w:pPr>
              <w:jc w:val="center"/>
              <w:rPr>
                <w:rFonts w:ascii="宋体" w:hAnsi="宋体" w:cs="宋体"/>
                <w:szCs w:val="21"/>
              </w:rPr>
            </w:pPr>
          </w:p>
        </w:tc>
        <w:tc>
          <w:tcPr>
            <w:tcW w:w="3089" w:type="dxa"/>
            <w:tcBorders>
              <w:top w:val="single" w:color="000000" w:sz="4" w:space="0"/>
              <w:left w:val="single" w:color="000000" w:sz="4" w:space="0"/>
              <w:bottom w:val="single" w:color="000000" w:sz="4" w:space="0"/>
              <w:right w:val="single" w:color="000000" w:sz="4" w:space="0"/>
            </w:tcBorders>
            <w:vAlign w:val="center"/>
          </w:tcPr>
          <w:p w14:paraId="296C33D6">
            <w:pPr>
              <w:widowControl/>
              <w:jc w:val="left"/>
              <w:textAlignment w:val="center"/>
              <w:rPr>
                <w:rFonts w:ascii="宋体" w:hAnsi="宋体" w:cs="宋体"/>
                <w:kern w:val="0"/>
                <w:szCs w:val="21"/>
                <w:lang w:bidi="ar"/>
              </w:rPr>
            </w:pPr>
            <w:r>
              <w:rPr>
                <w:rFonts w:hint="eastAsia" w:ascii="宋体" w:hAnsi="宋体" w:cs="宋体"/>
                <w:kern w:val="0"/>
                <w:szCs w:val="21"/>
                <w:lang w:bidi="ar"/>
              </w:rPr>
              <w:t>课程思政教学研究中心展示平台</w:t>
            </w:r>
          </w:p>
        </w:tc>
        <w:tc>
          <w:tcPr>
            <w:tcW w:w="1069" w:type="dxa"/>
            <w:tcBorders>
              <w:top w:val="single" w:color="000000" w:sz="4" w:space="0"/>
              <w:left w:val="single" w:color="000000" w:sz="4" w:space="0"/>
              <w:bottom w:val="single" w:color="000000" w:sz="4" w:space="0"/>
              <w:right w:val="single" w:color="000000" w:sz="4" w:space="0"/>
            </w:tcBorders>
            <w:vAlign w:val="center"/>
          </w:tcPr>
          <w:p w14:paraId="5CCD2D5D">
            <w:pPr>
              <w:widowControl/>
              <w:jc w:val="center"/>
              <w:textAlignment w:val="center"/>
              <w:rPr>
                <w:rFonts w:ascii="宋体" w:hAnsi="宋体" w:cs="宋体"/>
                <w:kern w:val="0"/>
                <w:szCs w:val="21"/>
                <w:lang w:bidi="ar"/>
              </w:rPr>
            </w:pPr>
            <w:r>
              <w:rPr>
                <w:rFonts w:hint="eastAsia" w:ascii="宋体" w:hAnsi="宋体" w:cs="宋体"/>
                <w:kern w:val="0"/>
                <w:szCs w:val="21"/>
                <w:lang w:bidi="ar"/>
              </w:rPr>
              <w:t>套</w:t>
            </w:r>
          </w:p>
        </w:tc>
        <w:tc>
          <w:tcPr>
            <w:tcW w:w="1069" w:type="dxa"/>
            <w:tcBorders>
              <w:top w:val="single" w:color="000000" w:sz="4" w:space="0"/>
              <w:left w:val="single" w:color="000000" w:sz="4" w:space="0"/>
              <w:bottom w:val="single" w:color="000000" w:sz="4" w:space="0"/>
              <w:right w:val="single" w:color="000000" w:sz="4" w:space="0"/>
            </w:tcBorders>
            <w:vAlign w:val="center"/>
          </w:tcPr>
          <w:p w14:paraId="54ED9B19">
            <w:pPr>
              <w:widowControl/>
              <w:jc w:val="center"/>
              <w:textAlignment w:val="center"/>
              <w:rPr>
                <w:rFonts w:ascii="宋体" w:hAnsi="宋体" w:cs="宋体"/>
                <w:szCs w:val="21"/>
              </w:rPr>
            </w:pPr>
            <w:r>
              <w:rPr>
                <w:rFonts w:hint="eastAsia" w:ascii="宋体" w:hAnsi="宋体" w:cs="宋体"/>
                <w:szCs w:val="21"/>
              </w:rPr>
              <w:t>1</w:t>
            </w:r>
          </w:p>
        </w:tc>
      </w:tr>
      <w:tr w14:paraId="1D6C7718">
        <w:tblPrEx>
          <w:tblCellMar>
            <w:top w:w="0" w:type="dxa"/>
            <w:left w:w="108" w:type="dxa"/>
            <w:bottom w:w="0" w:type="dxa"/>
            <w:right w:w="108" w:type="dxa"/>
          </w:tblCellMar>
        </w:tblPrEx>
        <w:trPr>
          <w:trHeight w:val="787" w:hRule="atLeast"/>
        </w:trPr>
        <w:tc>
          <w:tcPr>
            <w:tcW w:w="1042" w:type="dxa"/>
            <w:tcBorders>
              <w:left w:val="single" w:color="000000" w:sz="4" w:space="0"/>
              <w:bottom w:val="single" w:color="000000" w:sz="4" w:space="0"/>
              <w:right w:val="single" w:color="000000" w:sz="4" w:space="0"/>
            </w:tcBorders>
            <w:vAlign w:val="center"/>
          </w:tcPr>
          <w:p w14:paraId="4AD5B2EE">
            <w:pPr>
              <w:widowControl/>
              <w:jc w:val="center"/>
              <w:textAlignment w:val="center"/>
              <w:rPr>
                <w:rFonts w:ascii="宋体" w:hAnsi="宋体" w:cs="宋体"/>
                <w:kern w:val="0"/>
                <w:szCs w:val="21"/>
                <w:lang w:bidi="ar"/>
              </w:rPr>
            </w:pPr>
            <w:r>
              <w:rPr>
                <w:rFonts w:hint="eastAsia" w:ascii="宋体" w:hAnsi="宋体" w:cs="宋体"/>
                <w:kern w:val="0"/>
                <w:szCs w:val="21"/>
                <w:lang w:bidi="ar"/>
              </w:rPr>
              <w:t>2</w:t>
            </w:r>
          </w:p>
        </w:tc>
        <w:tc>
          <w:tcPr>
            <w:tcW w:w="2269" w:type="dxa"/>
            <w:tcBorders>
              <w:left w:val="single" w:color="000000" w:sz="4" w:space="0"/>
              <w:bottom w:val="single" w:color="000000" w:sz="4" w:space="0"/>
              <w:right w:val="single" w:color="000000" w:sz="4" w:space="0"/>
            </w:tcBorders>
            <w:vAlign w:val="center"/>
          </w:tcPr>
          <w:p w14:paraId="7C761544">
            <w:pPr>
              <w:jc w:val="center"/>
              <w:rPr>
                <w:rFonts w:ascii="宋体" w:hAnsi="宋体" w:cs="宋体"/>
                <w:szCs w:val="21"/>
              </w:rPr>
            </w:pPr>
            <w:r>
              <w:rPr>
                <w:rFonts w:hint="eastAsia" w:ascii="宋体" w:hAnsi="宋体" w:cs="宋体"/>
                <w:szCs w:val="21"/>
              </w:rPr>
              <w:t>专题思政资源建设与宣传</w:t>
            </w:r>
          </w:p>
        </w:tc>
        <w:tc>
          <w:tcPr>
            <w:tcW w:w="3089" w:type="dxa"/>
            <w:tcBorders>
              <w:top w:val="single" w:color="000000" w:sz="4" w:space="0"/>
              <w:left w:val="single" w:color="000000" w:sz="4" w:space="0"/>
              <w:bottom w:val="single" w:color="000000" w:sz="4" w:space="0"/>
              <w:right w:val="single" w:color="000000" w:sz="4" w:space="0"/>
            </w:tcBorders>
            <w:vAlign w:val="center"/>
          </w:tcPr>
          <w:p w14:paraId="73483A96">
            <w:pPr>
              <w:widowControl/>
              <w:jc w:val="left"/>
              <w:textAlignment w:val="center"/>
              <w:rPr>
                <w:rFonts w:ascii="宋体" w:hAnsi="宋体" w:cs="宋体"/>
                <w:kern w:val="0"/>
                <w:szCs w:val="21"/>
                <w:lang w:bidi="ar"/>
              </w:rPr>
            </w:pPr>
            <w:r>
              <w:rPr>
                <w:rFonts w:hint="eastAsia" w:ascii="宋体" w:hAnsi="宋体" w:cs="宋体"/>
                <w:kern w:val="0"/>
                <w:szCs w:val="21"/>
                <w:lang w:bidi="ar"/>
              </w:rPr>
              <w:t>1.美丽中国专题视频资源</w:t>
            </w:r>
          </w:p>
          <w:p w14:paraId="2ADE2E90">
            <w:pPr>
              <w:widowControl/>
              <w:jc w:val="left"/>
              <w:textAlignment w:val="center"/>
              <w:rPr>
                <w:rFonts w:ascii="宋体" w:hAnsi="宋体" w:cs="宋体"/>
                <w:kern w:val="0"/>
                <w:szCs w:val="21"/>
                <w:lang w:bidi="ar"/>
              </w:rPr>
            </w:pPr>
            <w:r>
              <w:rPr>
                <w:rFonts w:hint="eastAsia" w:ascii="宋体" w:hAnsi="宋体" w:cs="宋体"/>
                <w:kern w:val="0"/>
                <w:szCs w:val="21"/>
                <w:lang w:bidi="ar"/>
              </w:rPr>
              <w:t>2.专访宣传</w:t>
            </w:r>
          </w:p>
        </w:tc>
        <w:tc>
          <w:tcPr>
            <w:tcW w:w="1069" w:type="dxa"/>
            <w:tcBorders>
              <w:top w:val="single" w:color="000000" w:sz="4" w:space="0"/>
              <w:left w:val="single" w:color="000000" w:sz="4" w:space="0"/>
              <w:bottom w:val="single" w:color="000000" w:sz="4" w:space="0"/>
              <w:right w:val="single" w:color="000000" w:sz="4" w:space="0"/>
            </w:tcBorders>
            <w:vAlign w:val="center"/>
          </w:tcPr>
          <w:p w14:paraId="5403D543">
            <w:pPr>
              <w:widowControl/>
              <w:jc w:val="center"/>
              <w:textAlignment w:val="center"/>
              <w:rPr>
                <w:rFonts w:ascii="宋体" w:hAnsi="宋体" w:cs="宋体"/>
                <w:kern w:val="0"/>
                <w:szCs w:val="21"/>
                <w:lang w:bidi="ar"/>
              </w:rPr>
            </w:pPr>
            <w:r>
              <w:rPr>
                <w:rFonts w:hint="eastAsia" w:ascii="宋体" w:hAnsi="宋体" w:cs="宋体"/>
                <w:kern w:val="0"/>
                <w:szCs w:val="21"/>
                <w:lang w:bidi="ar"/>
              </w:rPr>
              <w:t>套</w:t>
            </w:r>
          </w:p>
        </w:tc>
        <w:tc>
          <w:tcPr>
            <w:tcW w:w="1069" w:type="dxa"/>
            <w:tcBorders>
              <w:top w:val="single" w:color="000000" w:sz="4" w:space="0"/>
              <w:left w:val="single" w:color="000000" w:sz="4" w:space="0"/>
              <w:bottom w:val="single" w:color="000000" w:sz="4" w:space="0"/>
              <w:right w:val="single" w:color="000000" w:sz="4" w:space="0"/>
            </w:tcBorders>
            <w:vAlign w:val="center"/>
          </w:tcPr>
          <w:p w14:paraId="6937552C">
            <w:pPr>
              <w:widowControl/>
              <w:jc w:val="center"/>
              <w:textAlignment w:val="center"/>
              <w:rPr>
                <w:rFonts w:ascii="宋体" w:hAnsi="宋体" w:cs="宋体"/>
                <w:szCs w:val="21"/>
              </w:rPr>
            </w:pPr>
            <w:r>
              <w:rPr>
                <w:rFonts w:hint="eastAsia" w:ascii="宋体" w:hAnsi="宋体" w:cs="宋体"/>
                <w:szCs w:val="21"/>
              </w:rPr>
              <w:t>1</w:t>
            </w:r>
          </w:p>
        </w:tc>
      </w:tr>
      <w:tr w14:paraId="17BD68ED">
        <w:tblPrEx>
          <w:tblCellMar>
            <w:top w:w="0" w:type="dxa"/>
            <w:left w:w="108" w:type="dxa"/>
            <w:bottom w:w="0" w:type="dxa"/>
            <w:right w:w="108" w:type="dxa"/>
          </w:tblCellMar>
        </w:tblPrEx>
        <w:trPr>
          <w:trHeight w:val="573" w:hRule="atLeast"/>
        </w:trPr>
        <w:tc>
          <w:tcPr>
            <w:tcW w:w="1042" w:type="dxa"/>
            <w:tcBorders>
              <w:top w:val="single" w:color="000000" w:sz="4" w:space="0"/>
              <w:left w:val="single" w:color="000000" w:sz="4" w:space="0"/>
              <w:bottom w:val="single" w:color="000000" w:sz="4" w:space="0"/>
              <w:right w:val="single" w:color="000000" w:sz="4" w:space="0"/>
            </w:tcBorders>
            <w:vAlign w:val="center"/>
          </w:tcPr>
          <w:p w14:paraId="2DA11502">
            <w:pPr>
              <w:pStyle w:val="2"/>
              <w:jc w:val="center"/>
              <w:rPr>
                <w:rFonts w:ascii="宋体" w:hAnsi="宋体" w:cs="宋体"/>
                <w:szCs w:val="21"/>
                <w:lang w:bidi="ar"/>
              </w:rPr>
            </w:pPr>
            <w:r>
              <w:rPr>
                <w:rFonts w:hint="eastAsia" w:ascii="宋体" w:hAnsi="宋体" w:cs="宋体"/>
                <w:szCs w:val="21"/>
                <w:lang w:bidi="ar"/>
              </w:rPr>
              <w:t>3</w:t>
            </w:r>
          </w:p>
        </w:tc>
        <w:tc>
          <w:tcPr>
            <w:tcW w:w="5358" w:type="dxa"/>
            <w:gridSpan w:val="2"/>
            <w:tcBorders>
              <w:top w:val="single" w:color="000000" w:sz="4" w:space="0"/>
              <w:left w:val="single" w:color="000000" w:sz="4" w:space="0"/>
              <w:bottom w:val="single" w:color="000000" w:sz="4" w:space="0"/>
              <w:right w:val="single" w:color="000000" w:sz="4" w:space="0"/>
            </w:tcBorders>
            <w:vAlign w:val="center"/>
          </w:tcPr>
          <w:p w14:paraId="1DBD58DE">
            <w:pPr>
              <w:jc w:val="center"/>
              <w:rPr>
                <w:rFonts w:ascii="宋体" w:hAnsi="宋体" w:cs="宋体"/>
                <w:szCs w:val="21"/>
              </w:rPr>
            </w:pPr>
            <w:r>
              <w:rPr>
                <w:rFonts w:hint="eastAsia" w:ascii="宋体" w:hAnsi="宋体" w:cs="宋体"/>
                <w:kern w:val="0"/>
                <w:szCs w:val="21"/>
              </w:rPr>
              <w:t>课程思政示范课建设</w:t>
            </w:r>
          </w:p>
        </w:tc>
        <w:tc>
          <w:tcPr>
            <w:tcW w:w="1069" w:type="dxa"/>
            <w:tcBorders>
              <w:top w:val="single" w:color="000000" w:sz="4" w:space="0"/>
              <w:left w:val="single" w:color="000000" w:sz="4" w:space="0"/>
              <w:bottom w:val="single" w:color="000000" w:sz="4" w:space="0"/>
              <w:right w:val="single" w:color="000000" w:sz="4" w:space="0"/>
            </w:tcBorders>
            <w:vAlign w:val="center"/>
          </w:tcPr>
          <w:p w14:paraId="32B71AFB">
            <w:pPr>
              <w:widowControl/>
              <w:jc w:val="center"/>
              <w:textAlignment w:val="center"/>
              <w:rPr>
                <w:rFonts w:ascii="宋体" w:hAnsi="宋体" w:cs="宋体"/>
                <w:szCs w:val="21"/>
              </w:rPr>
            </w:pPr>
            <w:r>
              <w:rPr>
                <w:rFonts w:hint="eastAsia" w:ascii="宋体" w:hAnsi="宋体" w:cs="宋体"/>
                <w:szCs w:val="21"/>
              </w:rPr>
              <w:t>门</w:t>
            </w:r>
          </w:p>
        </w:tc>
        <w:tc>
          <w:tcPr>
            <w:tcW w:w="1069" w:type="dxa"/>
            <w:tcBorders>
              <w:top w:val="single" w:color="000000" w:sz="4" w:space="0"/>
              <w:left w:val="single" w:color="000000" w:sz="4" w:space="0"/>
              <w:bottom w:val="single" w:color="000000" w:sz="4" w:space="0"/>
              <w:right w:val="single" w:color="000000" w:sz="4" w:space="0"/>
            </w:tcBorders>
            <w:vAlign w:val="center"/>
          </w:tcPr>
          <w:p w14:paraId="079BAE77">
            <w:pPr>
              <w:widowControl/>
              <w:jc w:val="center"/>
              <w:textAlignment w:val="center"/>
              <w:rPr>
                <w:rFonts w:ascii="宋体" w:hAnsi="宋体" w:cs="宋体"/>
                <w:szCs w:val="21"/>
              </w:rPr>
            </w:pPr>
            <w:r>
              <w:rPr>
                <w:rFonts w:hint="eastAsia" w:ascii="宋体" w:hAnsi="宋体" w:cs="宋体"/>
                <w:szCs w:val="21"/>
              </w:rPr>
              <w:t>5</w:t>
            </w:r>
          </w:p>
        </w:tc>
      </w:tr>
    </w:tbl>
    <w:p w14:paraId="5BB0FCC4">
      <w:pPr>
        <w:widowControl/>
        <w:numPr>
          <w:ilvl w:val="0"/>
          <w:numId w:val="0"/>
        </w:numPr>
        <w:spacing w:line="360" w:lineRule="auto"/>
        <w:ind w:firstLine="482" w:firstLineChars="200"/>
        <w:jc w:val="left"/>
        <w:rPr>
          <w:rFonts w:hint="eastAsia" w:ascii="宋体" w:hAnsi="宋体" w:eastAsia="宋体" w:cs="宋体"/>
          <w:b/>
          <w:bCs/>
          <w:snapToGrid w:val="0"/>
          <w:color w:val="000000"/>
          <w:sz w:val="24"/>
          <w:szCs w:val="24"/>
          <w:lang w:val="en-US" w:eastAsia="zh-CN" w:bidi="ar-SA"/>
        </w:rPr>
      </w:pPr>
      <w:r>
        <w:rPr>
          <w:rFonts w:hint="eastAsia" w:ascii="宋体" w:hAnsi="宋体" w:eastAsia="宋体" w:cs="宋体"/>
          <w:b/>
          <w:bCs/>
          <w:snapToGrid w:val="0"/>
          <w:color w:val="000000"/>
          <w:sz w:val="24"/>
          <w:szCs w:val="24"/>
          <w:lang w:val="en-US" w:eastAsia="zh-CN" w:bidi="ar-SA"/>
        </w:rPr>
        <w:t>3、服务内容</w:t>
      </w:r>
    </w:p>
    <w:p w14:paraId="775F0826">
      <w:pPr>
        <w:spacing w:line="360" w:lineRule="auto"/>
        <w:ind w:firstLine="480" w:firstLineChars="200"/>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为高质量推进“课程思政教学研究中心”建设，现提出以下采购需求，旨在系统解决平台支撑不足、资源分散、案例缺乏、教师能力不均等问题，全面提升课程思政建设实效：</w:t>
      </w:r>
    </w:p>
    <w:p w14:paraId="6F41E65A">
      <w:pPr>
        <w:spacing w:line="360" w:lineRule="auto"/>
        <w:ind w:firstLine="480" w:firstLineChars="200"/>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平台建设：采购一套线上平台，集成思政资源分类存储与高效检索（支持文本、视频等多格式）、在线协同备课、成果展示与动态发布等功能，具备良好扩展性与可维护性。</w:t>
      </w:r>
    </w:p>
    <w:p w14:paraId="53E6AC66">
      <w:pPr>
        <w:spacing w:line="360" w:lineRule="auto"/>
        <w:ind w:firstLine="480" w:firstLineChars="200"/>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资源库建设：建设两大思政资源库，其中“课程思政元素库”需覆盖全校专业，构建结构化、标签化的课程思政元素体系；“光电思政资源库”结合学校光电等优势学科特色，推动专业知识与思政教育的有机融合与协同育人。</w:t>
      </w:r>
    </w:p>
    <w:p w14:paraId="5B15BA95">
      <w:pPr>
        <w:spacing w:line="360" w:lineRule="auto"/>
        <w:ind w:firstLine="480" w:firstLineChars="200"/>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专题思政资源建设与宣传：以“职业教育支撑强国建设”为核心主线，开展“视频叙事+资源沉淀+品牌传播”三位一体的整体服务，形成从内容生产到价值传播的完整闭环，系统性打造院校在立德树人、专业思政与品牌建设方面的标志性成果，包括1部职业教育立德树人主题视频、1套院校主题专访最终成果、宣传报道稿件及发布凭证、1套项目建设全套资料。</w:t>
      </w:r>
    </w:p>
    <w:p w14:paraId="43C68E23">
      <w:pPr>
        <w:spacing w:line="360" w:lineRule="auto"/>
        <w:ind w:firstLine="480" w:firstLineChars="200"/>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示范课程开发：5门课程思政示范课建设。服务内容包括：提供专业的拍摄制作团队进行拍摄，在线课程内容策划服务，在线课程审核上线服务等。打造具有高示范性与可复制性的精品课程样板。</w:t>
      </w:r>
    </w:p>
    <w:tbl>
      <w:tblPr>
        <w:tblStyle w:val="19"/>
        <w:tblW w:w="9332" w:type="dxa"/>
        <w:jc w:val="center"/>
        <w:tblLayout w:type="fixed"/>
        <w:tblCellMar>
          <w:top w:w="0" w:type="dxa"/>
          <w:left w:w="108" w:type="dxa"/>
          <w:bottom w:w="0" w:type="dxa"/>
          <w:right w:w="108" w:type="dxa"/>
        </w:tblCellMar>
      </w:tblPr>
      <w:tblGrid>
        <w:gridCol w:w="456"/>
        <w:gridCol w:w="1066"/>
        <w:gridCol w:w="7810"/>
      </w:tblGrid>
      <w:tr w14:paraId="17DC03EE">
        <w:trPr>
          <w:trHeight w:val="23" w:hRule="atLeast"/>
          <w:jc w:val="center"/>
        </w:trPr>
        <w:tc>
          <w:tcPr>
            <w:tcW w:w="456" w:type="dxa"/>
            <w:tcBorders>
              <w:top w:val="single" w:color="000000" w:sz="4" w:space="0"/>
              <w:left w:val="single" w:color="000000" w:sz="4" w:space="0"/>
              <w:bottom w:val="single" w:color="000000" w:sz="4" w:space="0"/>
              <w:right w:val="single" w:color="000000" w:sz="4" w:space="0"/>
            </w:tcBorders>
            <w:vAlign w:val="center"/>
          </w:tcPr>
          <w:p w14:paraId="5C45D779">
            <w:pPr>
              <w:spacing w:line="276" w:lineRule="auto"/>
              <w:jc w:val="center"/>
              <w:rPr>
                <w:rFonts w:hint="eastAsia" w:ascii="宋体" w:hAnsi="宋体" w:eastAsia="宋体" w:cs="宋体"/>
                <w:sz w:val="21"/>
                <w:szCs w:val="21"/>
              </w:rPr>
            </w:pPr>
            <w:r>
              <w:rPr>
                <w:rFonts w:hint="eastAsia" w:ascii="宋体" w:hAnsi="宋体" w:eastAsia="宋体" w:cs="宋体"/>
                <w:sz w:val="21"/>
                <w:szCs w:val="21"/>
              </w:rPr>
              <w:t>序号</w:t>
            </w:r>
          </w:p>
        </w:tc>
        <w:tc>
          <w:tcPr>
            <w:tcW w:w="1066" w:type="dxa"/>
            <w:tcBorders>
              <w:top w:val="single" w:color="000000" w:sz="4" w:space="0"/>
              <w:left w:val="single" w:color="000000" w:sz="4" w:space="0"/>
              <w:bottom w:val="single" w:color="000000" w:sz="4" w:space="0"/>
              <w:right w:val="single" w:color="000000" w:sz="4" w:space="0"/>
            </w:tcBorders>
            <w:vAlign w:val="center"/>
          </w:tcPr>
          <w:p w14:paraId="74731873">
            <w:pPr>
              <w:spacing w:line="276" w:lineRule="auto"/>
              <w:jc w:val="center"/>
              <w:rPr>
                <w:rFonts w:hint="eastAsia" w:ascii="宋体" w:hAnsi="宋体" w:eastAsia="宋体" w:cs="宋体"/>
                <w:sz w:val="21"/>
                <w:szCs w:val="21"/>
              </w:rPr>
            </w:pPr>
            <w:r>
              <w:rPr>
                <w:rFonts w:hint="eastAsia" w:ascii="宋体" w:hAnsi="宋体" w:eastAsia="宋体" w:cs="宋体"/>
                <w:sz w:val="21"/>
                <w:szCs w:val="21"/>
              </w:rPr>
              <w:t>项目</w:t>
            </w:r>
          </w:p>
        </w:tc>
        <w:tc>
          <w:tcPr>
            <w:tcW w:w="7810" w:type="dxa"/>
            <w:tcBorders>
              <w:top w:val="single" w:color="000000" w:sz="4" w:space="0"/>
              <w:left w:val="single" w:color="000000" w:sz="4" w:space="0"/>
              <w:bottom w:val="single" w:color="000000" w:sz="4" w:space="0"/>
              <w:right w:val="single" w:color="000000" w:sz="4" w:space="0"/>
            </w:tcBorders>
            <w:vAlign w:val="center"/>
          </w:tcPr>
          <w:p w14:paraId="31FEE317">
            <w:pPr>
              <w:spacing w:line="276" w:lineRule="auto"/>
              <w:jc w:val="center"/>
              <w:rPr>
                <w:rFonts w:hint="eastAsia" w:ascii="宋体" w:hAnsi="宋体" w:eastAsia="宋体" w:cs="宋体"/>
                <w:sz w:val="21"/>
                <w:szCs w:val="21"/>
              </w:rPr>
            </w:pPr>
            <w:r>
              <w:rPr>
                <w:rFonts w:hint="eastAsia" w:ascii="宋体" w:hAnsi="宋体" w:eastAsia="宋体" w:cs="宋体"/>
                <w:sz w:val="21"/>
                <w:szCs w:val="21"/>
              </w:rPr>
              <w:t>服务要求（技术参数）</w:t>
            </w:r>
          </w:p>
        </w:tc>
      </w:tr>
      <w:tr w14:paraId="08BCFFF8">
        <w:tblPrEx>
          <w:tblCellMar>
            <w:top w:w="0" w:type="dxa"/>
            <w:left w:w="108" w:type="dxa"/>
            <w:bottom w:w="0" w:type="dxa"/>
            <w:right w:w="108" w:type="dxa"/>
          </w:tblCellMar>
        </w:tblPrEx>
        <w:trPr>
          <w:trHeight w:val="23" w:hRule="atLeast"/>
          <w:jc w:val="center"/>
        </w:trPr>
        <w:tc>
          <w:tcPr>
            <w:tcW w:w="456" w:type="dxa"/>
            <w:tcBorders>
              <w:top w:val="single" w:color="000000" w:sz="4" w:space="0"/>
              <w:left w:val="single" w:color="000000" w:sz="4" w:space="0"/>
              <w:bottom w:val="single" w:color="000000" w:sz="4" w:space="0"/>
              <w:right w:val="single" w:color="000000" w:sz="4" w:space="0"/>
            </w:tcBorders>
            <w:vAlign w:val="center"/>
          </w:tcPr>
          <w:p w14:paraId="562DAACD">
            <w:pPr>
              <w:spacing w:line="276" w:lineRule="auto"/>
              <w:jc w:val="center"/>
              <w:rPr>
                <w:rFonts w:hint="eastAsia" w:ascii="宋体" w:hAnsi="宋体" w:eastAsia="宋体" w:cs="宋体"/>
                <w:sz w:val="21"/>
                <w:szCs w:val="21"/>
              </w:rPr>
            </w:pPr>
            <w:r>
              <w:rPr>
                <w:rFonts w:hint="eastAsia" w:ascii="宋体" w:hAnsi="宋体" w:eastAsia="宋体" w:cs="宋体"/>
                <w:sz w:val="21"/>
                <w:szCs w:val="21"/>
              </w:rPr>
              <w:t>1</w:t>
            </w:r>
          </w:p>
        </w:tc>
        <w:tc>
          <w:tcPr>
            <w:tcW w:w="1066" w:type="dxa"/>
            <w:tcBorders>
              <w:top w:val="single" w:color="000000" w:sz="4" w:space="0"/>
              <w:left w:val="single" w:color="000000" w:sz="4" w:space="0"/>
              <w:bottom w:val="single" w:color="000000" w:sz="4" w:space="0"/>
              <w:right w:val="single" w:color="000000" w:sz="4" w:space="0"/>
            </w:tcBorders>
            <w:vAlign w:val="center"/>
          </w:tcPr>
          <w:p w14:paraId="4A319ACA">
            <w:pPr>
              <w:spacing w:line="276" w:lineRule="auto"/>
              <w:jc w:val="center"/>
              <w:rPr>
                <w:rFonts w:hint="eastAsia" w:ascii="宋体" w:hAnsi="宋体" w:eastAsia="宋体" w:cs="宋体"/>
                <w:sz w:val="21"/>
                <w:szCs w:val="21"/>
              </w:rPr>
            </w:pPr>
            <w:r>
              <w:rPr>
                <w:rFonts w:hint="eastAsia" w:ascii="宋体" w:hAnsi="宋体" w:eastAsia="宋体" w:cs="宋体"/>
                <w:sz w:val="21"/>
                <w:szCs w:val="21"/>
              </w:rPr>
              <w:t>课程思政教学研究中心数字化资源及信息化平台建设</w:t>
            </w:r>
          </w:p>
        </w:tc>
        <w:tc>
          <w:tcPr>
            <w:tcW w:w="7810" w:type="dxa"/>
            <w:tcBorders>
              <w:top w:val="single" w:color="000000" w:sz="4" w:space="0"/>
              <w:left w:val="single" w:color="000000" w:sz="4" w:space="0"/>
              <w:bottom w:val="single" w:color="000000" w:sz="4" w:space="0"/>
              <w:right w:val="single" w:color="000000" w:sz="4" w:space="0"/>
            </w:tcBorders>
            <w:vAlign w:val="center"/>
          </w:tcPr>
          <w:p w14:paraId="682FED90">
            <w:pPr>
              <w:numPr>
                <w:ilvl w:val="255"/>
                <w:numId w:val="0"/>
              </w:numPr>
              <w:spacing w:line="400" w:lineRule="exact"/>
              <w:jc w:val="left"/>
              <w:rPr>
                <w:rFonts w:hint="eastAsia" w:ascii="宋体" w:hAnsi="宋体" w:eastAsia="宋体" w:cs="宋体"/>
                <w:b/>
                <w:bCs/>
                <w:sz w:val="21"/>
                <w:szCs w:val="21"/>
              </w:rPr>
            </w:pPr>
            <w:r>
              <w:rPr>
                <w:rFonts w:hint="eastAsia" w:ascii="宋体" w:hAnsi="宋体" w:eastAsia="宋体" w:cs="宋体"/>
                <w:b/>
                <w:bCs/>
                <w:sz w:val="21"/>
                <w:szCs w:val="21"/>
              </w:rPr>
              <w:t>一、课程思政资源管理平台</w:t>
            </w:r>
          </w:p>
          <w:p w14:paraId="625EDC2E">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（一）课程思政资源库</w:t>
            </w:r>
          </w:p>
          <w:p w14:paraId="61D38C1B">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1.课程思政元素库：需涵盖全校所有专业教师所需的课程思政元素资源，资源量不少于2000条。</w:t>
            </w:r>
          </w:p>
          <w:p w14:paraId="2B1E52ED">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课程思政元素库列表的筛选维度包括相关专业、思政元素、地域特色、应用建议、资源类型，列表数据的排序维度包括使用热度、浏览次数、收藏次数、发布时间，资源详情页可查看所适用的专业、课程思政元素、应用建议等信息。</w:t>
            </w:r>
          </w:p>
          <w:p w14:paraId="2FB423E9">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3.思政元素体系可中心布局、树形布局两种图谱形式展现。</w:t>
            </w:r>
          </w:p>
          <w:p w14:paraId="606C7F56">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4.一级思政元素可查看思政元素内涵理解相关说明，说明包括元素说明、设置目的、内涵理解、内核凸显、适用专业、应用建议等信息。。</w:t>
            </w:r>
          </w:p>
          <w:p w14:paraId="1576EF9D">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5.课程思政元素库的资源支持进行标注知识点归类。。</w:t>
            </w:r>
          </w:p>
          <w:p w14:paraId="4A2C02E4">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（二）光电思政资源库</w:t>
            </w:r>
          </w:p>
          <w:p w14:paraId="29548629">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6.坚持不懈用习近平新时代中国特色社会主义思想铸魂育人，结合江西红色底蕴与学校光电产业特色，建设思政资源库。</w:t>
            </w:r>
          </w:p>
          <w:p w14:paraId="68231FE3">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7.体系化建设光电思政资源库内容：光电思政库需立足江西红色底蕴与光电产业特色，围绕红色光电、光电技术、工匠人物、院校光电育人实践等角度，设计光电思政资源库体系，建设不低于100条资源。</w:t>
            </w:r>
          </w:p>
          <w:p w14:paraId="722F4533">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（三）校本资源库共建共享</w:t>
            </w:r>
          </w:p>
          <w:p w14:paraId="68D727DC">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8.校本资源库共建共享主要用于校本课程思政元素库的建设应用，支持开启并自定义设置专业知识图谱、校本思政元素图谱，形成校本特色思政资源库。</w:t>
            </w:r>
          </w:p>
          <w:p w14:paraId="13568888">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9.课程思政元素库资源上传支持在线编辑器填写和支持文件上传录入，支持设置专业分类、思政元素、知识点、应用建议、地域特色，资源来源情况等信息。</w:t>
            </w:r>
          </w:p>
          <w:p w14:paraId="0E2A73A8">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10.课程思政元素库支持多维度资源搜索，可通过学科分类、专业、知识点、思政元素、应用建议、资源类型等多维度对资源进行筛选，同时可通过关键字对资源名称及全文搜索。支持按照资源发布时间、使用热度、浏览次数、收藏次数进行资源筛选。</w:t>
            </w:r>
          </w:p>
          <w:p w14:paraId="3A57F335">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11.持示范课程库建设，添加示范课程时支持设置教学视频、教学说课、教学设计、教学课件，各部分的资源支持从备课资源库中选择，支持本地上传文档、视频等资源文件，可关联设置多个授课教师，设定课程级别，包括国家级、省级、校级。</w:t>
            </w:r>
          </w:p>
          <w:p w14:paraId="71CFFF5C">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12.支持对校本示范课程库进行删除管理。</w:t>
            </w:r>
          </w:p>
          <w:p w14:paraId="4A714F09">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13.支持教师管理个人上传的所有资源，可按照已通过、待审核、已退回进行分类显示。教师可以通过专业分类、思政元素、上传时间、关键字对资源进行快速筛选。</w:t>
            </w:r>
          </w:p>
          <w:p w14:paraId="27D17664">
            <w:pPr>
              <w:numPr>
                <w:ilvl w:val="255"/>
                <w:numId w:val="0"/>
              </w:numPr>
              <w:spacing w:after="120" w:line="400" w:lineRule="exact"/>
              <w:jc w:val="left"/>
              <w:rPr>
                <w:rFonts w:hint="eastAsia" w:ascii="宋体" w:hAnsi="宋体" w:eastAsia="宋体" w:cs="宋体"/>
                <w:sz w:val="21"/>
                <w:szCs w:val="21"/>
              </w:rPr>
            </w:pPr>
            <w:r>
              <w:rPr>
                <w:rFonts w:hint="eastAsia" w:ascii="宋体" w:hAnsi="宋体" w:eastAsia="宋体" w:cs="宋体"/>
                <w:sz w:val="21"/>
                <w:szCs w:val="21"/>
              </w:rPr>
              <w:t>14.持教师查看已退回资源的退回原因，可对已退回的资源进行修改再提交。</w:t>
            </w:r>
          </w:p>
          <w:p w14:paraId="66D39830">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（四）内容审核</w:t>
            </w:r>
          </w:p>
          <w:p w14:paraId="4034A0FD">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15.支持资源内容审核，须满足不同专业可按需设置不同的审核流，审核系统需要包含AI智能风险检测功能，基于人工智能技术辅助资源审核。</w:t>
            </w:r>
          </w:p>
          <w:p w14:paraId="68436C38">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16.支持根据人员情况灵活配置审核流，审核流支持配置1到4个级别，每个级别最多可设置5个审核人员，每个级别可根据需求设置协同审核还是依次审核的审核规则。</w:t>
            </w:r>
          </w:p>
          <w:p w14:paraId="10CFDDD0">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17.资源上传时需要经过审核人员的层层审核，审核通过后资源才进入到资源库中，其中任意一人审核不通过，则资源自动退回。</w:t>
            </w:r>
          </w:p>
          <w:p w14:paraId="1F147BBC">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18.审核流支持根据需求任意修改/删除，更换审核级别以及审核人员。</w:t>
            </w:r>
          </w:p>
          <w:p w14:paraId="39E1B28C">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19.内置千万级的内容智能风险检测特征库的样本，可对文本、图片、音频、视频等文件内容进行检测。</w:t>
            </w:r>
          </w:p>
          <w:p w14:paraId="49FD81FA">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20.资源审核页面具备风险检测，检测范围包括资源的标题、简介、资源详细内容，检测维度包括的涉政、涉黄、涉恐、涉暴、价值观等风险信息，检测结果给出具体违规的内容提示。</w:t>
            </w:r>
          </w:p>
          <w:p w14:paraId="06A66CE7">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（五）资源统计</w:t>
            </w:r>
          </w:p>
          <w:p w14:paraId="3995F306">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21.须围绕校本资源库提供资源数据统计功能，包括资源建设及使用情况，提供完整的数据统计分析。统计数据包括建设资源的专业数、已建设资源的总数、涉及思政元素的个数。</w:t>
            </w:r>
          </w:p>
          <w:p w14:paraId="16556FBC">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22.统计各个专业、思政元素的资源建设情况，支持饼状图和柱状图两种分析方式，可按需求查看最近7天、30天 、以及自定义时间范围的资源数据。</w:t>
            </w:r>
          </w:p>
          <w:p w14:paraId="2D1BBEFA">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23.支持实时查看资源建设的动态，统计各个教师上共享资源的总数以及排行。</w:t>
            </w:r>
          </w:p>
          <w:p w14:paraId="087F5D59">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（六）用户管理</w:t>
            </w:r>
          </w:p>
          <w:p w14:paraId="780B06E6">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24.支持管理员对教师的账号添加、编辑、分配角色、分配权限、删除、更改密码等操作。</w:t>
            </w:r>
          </w:p>
          <w:p w14:paraId="3C83432A">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（七）校本课程思政资源展示</w:t>
            </w:r>
          </w:p>
          <w:p w14:paraId="42A0D6FD">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25.形成校本课程思政资源应用展示窗口，充分展现资源库的建设成果。</w:t>
            </w:r>
          </w:p>
          <w:p w14:paraId="675355C2">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26.支持展示思政元素图谱，展示校本课程思政资源，包括课程思政元素库、示范案例/课程等频道的查看及使用。</w:t>
            </w:r>
          </w:p>
          <w:p w14:paraId="057C64D6">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27.通过思政元素图谱页面可查看推荐的课程思政元素资源。</w:t>
            </w:r>
          </w:p>
          <w:p w14:paraId="5183A8D6">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28.课程思政元素资源列表页可查看资源的发布时间、来源信息，以及浏览、收藏、使用次数数据。</w:t>
            </w:r>
          </w:p>
          <w:p w14:paraId="54AA1072">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29.从资源查看页可进入协同备课平台，可满足用户只选择一部分文本、一张图片、一个视频进行在线备课。</w:t>
            </w:r>
          </w:p>
          <w:p w14:paraId="2B126EEE">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30.需支持展示学校的优秀的示范课程，支持按照所属专业、课程简介、教学视频、教学说课ppt、教学设计模块进行筛选。</w:t>
            </w:r>
          </w:p>
          <w:p w14:paraId="3E8F7E48">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31.示范课程查看页面可以查看课程所属专业、授课教师、课程简介、教学视频、教学说课ppt、教学设计内容、教学课件以及相关资料的全方面的展示，便于教师学习参考。</w:t>
            </w:r>
          </w:p>
          <w:p w14:paraId="35FE45FE">
            <w:pPr>
              <w:numPr>
                <w:ilvl w:val="255"/>
                <w:numId w:val="0"/>
              </w:numPr>
              <w:spacing w:line="400" w:lineRule="exact"/>
              <w:jc w:val="left"/>
              <w:rPr>
                <w:rFonts w:hint="eastAsia" w:ascii="宋体" w:hAnsi="宋体" w:eastAsia="宋体" w:cs="宋体"/>
                <w:sz w:val="21"/>
                <w:szCs w:val="21"/>
              </w:rPr>
            </w:pPr>
          </w:p>
          <w:p w14:paraId="4C0BF438">
            <w:pPr>
              <w:numPr>
                <w:ilvl w:val="255"/>
                <w:numId w:val="0"/>
              </w:numPr>
              <w:spacing w:line="400" w:lineRule="exact"/>
              <w:jc w:val="left"/>
              <w:rPr>
                <w:rFonts w:hint="eastAsia" w:ascii="宋体" w:hAnsi="宋体" w:eastAsia="宋体" w:cs="宋体"/>
                <w:b/>
                <w:bCs/>
                <w:sz w:val="21"/>
                <w:szCs w:val="21"/>
              </w:rPr>
            </w:pPr>
            <w:r>
              <w:rPr>
                <w:rFonts w:hint="eastAsia" w:ascii="宋体" w:hAnsi="宋体" w:eastAsia="宋体" w:cs="宋体"/>
                <w:b/>
                <w:bCs/>
                <w:sz w:val="21"/>
                <w:szCs w:val="21"/>
              </w:rPr>
              <w:t>二、在线协同备课平台</w:t>
            </w:r>
          </w:p>
          <w:p w14:paraId="2BAC82B4">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（一）备课资源库</w:t>
            </w:r>
          </w:p>
          <w:p w14:paraId="3C49D508">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32.支持每个教师都拥有备课资源库管理自己的备课资源，支持从电脑中上传已编辑好的文件进行在线编辑，支持新建空白的文档文件。</w:t>
            </w:r>
          </w:p>
          <w:p w14:paraId="6EB3DFDC">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33.文档类资源编辑时支持对文本进行字号、加粗等格式等设置，支持导出pdf、导出图片的文件，支持查看历史编辑协作记录，协作记录显示编辑的具体内容、时间等。</w:t>
            </w:r>
          </w:p>
          <w:p w14:paraId="2550AAAA">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34.图片文件编辑时支持放大、缩小，调整尺寸大小、剪切、镜像、旋转，添加画笔痕迹、添加形状、图形/文字标注、添加遮罩，设置图片滤镜。图片文件编辑时支持多种颜色的滤镜，可调整色调、底色。</w:t>
            </w:r>
          </w:p>
          <w:p w14:paraId="32AA7F9C">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35.视频备课资源支持在线视频剪辑、导入新的素材文件、插入文本内容、插入音乐、贴片、字幕，设置转场，滤镜特效等操作。视频文件编辑时可以进行文字转语音，具有导出下载按钮。</w:t>
            </w:r>
          </w:p>
          <w:p w14:paraId="423D31A8">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36.支持按照个人需求对备课资源进行分组归类，对资源进行重命名、移动分组、编辑、删除。支持通过资源类型、资源名称关键字进行搜索。支持各类资源下载，便于教师线下授课。</w:t>
            </w:r>
          </w:p>
          <w:p w14:paraId="7DA16FC5">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37.支持对word/ppt类资源开启协同备课，开协同备课时可多选多个教师，也可通过链接邀请的方式发送给对方开放协同备课。</w:t>
            </w:r>
          </w:p>
          <w:p w14:paraId="75360E65">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（二）协同备课</w:t>
            </w:r>
          </w:p>
          <w:p w14:paraId="3D573B2E">
            <w:pPr>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38.教师可以查看自己发起以及参与的协同备课列表。支持取消协同备课资源。对协同备课的资源进行编辑时支持按需求进行内容还原，支持对选定内容进行评论及回复。</w:t>
            </w:r>
          </w:p>
          <w:p w14:paraId="5904A01B">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39.协同备课时支持设置内容控件区域可编辑，其他区域仅查看，并可设置密码开启编辑限制，开启后仅协同人员不可以编辑文档内容，取消时需要输入密码方可取消。</w:t>
            </w:r>
          </w:p>
          <w:p w14:paraId="00B47839">
            <w:pPr>
              <w:widowControl/>
              <w:numPr>
                <w:ilvl w:val="255"/>
                <w:numId w:val="0"/>
              </w:numPr>
              <w:spacing w:line="400" w:lineRule="exact"/>
              <w:jc w:val="left"/>
              <w:rPr>
                <w:rFonts w:hint="eastAsia" w:ascii="宋体" w:hAnsi="宋体" w:eastAsia="宋体" w:cs="宋体"/>
                <w:sz w:val="21"/>
                <w:szCs w:val="21"/>
              </w:rPr>
            </w:pPr>
          </w:p>
          <w:p w14:paraId="4A692CC5">
            <w:pPr>
              <w:widowControl/>
              <w:numPr>
                <w:ilvl w:val="255"/>
                <w:numId w:val="0"/>
              </w:numPr>
              <w:spacing w:line="400" w:lineRule="exact"/>
              <w:jc w:val="left"/>
              <w:rPr>
                <w:rFonts w:hint="eastAsia" w:ascii="宋体" w:hAnsi="宋体" w:eastAsia="宋体" w:cs="宋体"/>
                <w:b/>
                <w:bCs/>
                <w:sz w:val="21"/>
                <w:szCs w:val="21"/>
              </w:rPr>
            </w:pPr>
            <w:r>
              <w:rPr>
                <w:rFonts w:hint="eastAsia" w:ascii="宋体" w:hAnsi="宋体" w:eastAsia="宋体" w:cs="宋体"/>
                <w:b/>
                <w:bCs/>
                <w:sz w:val="21"/>
                <w:szCs w:val="21"/>
                <w:lang w:val="en-US" w:eastAsia="zh-CN"/>
              </w:rPr>
              <w:t>三、</w:t>
            </w:r>
            <w:r>
              <w:rPr>
                <w:rFonts w:hint="eastAsia" w:ascii="宋体" w:hAnsi="宋体" w:eastAsia="宋体" w:cs="宋体"/>
                <w:b/>
                <w:bCs/>
                <w:sz w:val="21"/>
                <w:szCs w:val="21"/>
              </w:rPr>
              <w:t>课程思政教学研究中心网站</w:t>
            </w:r>
          </w:p>
          <w:p w14:paraId="186CCE80">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40.根据学校的需求及特色，定制设计学校的课程思政教学研究中心，设置包括平台介绍、政策文件、示范课程、师资团队、成果展示等栏目频道，可充分展示学校课程思政教学研究示范中心的角色定位、教育观念及实践成果。</w:t>
            </w:r>
          </w:p>
          <w:p w14:paraId="72489A48">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41.配套中心网站管理后台，管理后台内需包括教育行业数据库，数据可需满足按需进行稿件选用，选用后可一键发布到展示平台中，数据库内容包括职业教育要闻、政策法规、高层聚焦、思政育人栏目的内容数据，数据内容动态更新。</w:t>
            </w:r>
          </w:p>
          <w:p w14:paraId="59F9273C">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42.支持自定义成果展示平台的各个栏目频道，可添加一级、二级栏目频道，可以根据栏目的内容情况选择设置为普通栏目、跳转栏目、单页栏目等，可以按照需要设置是否显示上述各个栏目频道，支持配置灵活。</w:t>
            </w:r>
          </w:p>
          <w:p w14:paraId="3ABA9A11">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43.管理端需具备网站平台内容的发布及管理，同时满足对微信公众号、微博、抖音等新媒体账号的授权绑定，稿件内容的发布及管理。</w:t>
            </w:r>
          </w:p>
          <w:p w14:paraId="5BBE755B">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44.可满足发布各种格式类型的内容，包括图文、视频等，需具备一键导入word，需具备调用135等模板编辑器进行排版编辑，可按需设置发布时间进行定时发布。</w:t>
            </w:r>
          </w:p>
          <w:p w14:paraId="16FED7F5">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45.管理后台的内容发布需支持智能风险审核校对，可对内容进行全面审核及风险检测。包括对内容中涉及的政治类、敏感词、禁用词、字词错误、标点符号错误给予风险错误提示、内容修订，具有替换按钮修订内容。</w:t>
            </w:r>
          </w:p>
          <w:p w14:paraId="6FFDAA4F">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46.平台需具备对中心的师资队伍进行介绍展示，包括姓名、职务、职称，以及主要开展的课程思政教学实践情况、课程思政建设研究情况以及获得的课程思政相关奖励情况等。内容需具备通过管理端按实际需要进行修改。</w:t>
            </w:r>
          </w:p>
          <w:p w14:paraId="036B5032">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47.成果展示板块可彰显中心在课程思政工作建设上的显著成就，详尽呈现中心通过其建设成果对学校、各个学院、及教师群体在推动课程思政教育实施方面的引领与促进作用。支持根据具体需求在管理后台进行自定义调整，以实现与本校实际情况的精准对接。平台与课程思政资源管理平台打通，包括用户登录信息。需具备pc端/h5端、平板端多端访问。需具备微信好友、朋友圈分享。</w:t>
            </w:r>
          </w:p>
          <w:p w14:paraId="665B310E">
            <w:pPr>
              <w:widowControl/>
              <w:numPr>
                <w:ilvl w:val="255"/>
                <w:numId w:val="0"/>
              </w:numPr>
              <w:spacing w:line="400" w:lineRule="exact"/>
              <w:jc w:val="left"/>
              <w:rPr>
                <w:rFonts w:hint="eastAsia" w:ascii="宋体" w:hAnsi="宋体" w:eastAsia="宋体" w:cs="宋体"/>
                <w:sz w:val="21"/>
                <w:szCs w:val="21"/>
              </w:rPr>
            </w:pPr>
            <w:r>
              <w:rPr>
                <w:rFonts w:hint="eastAsia" w:ascii="宋体" w:hAnsi="宋体" w:eastAsia="宋体" w:cs="宋体"/>
                <w:sz w:val="21"/>
                <w:szCs w:val="21"/>
              </w:rPr>
              <w:t>48.技术平台服务期为3年，知识产权可归供应商所有。供应商需提供授权数据库查询权限的账号密码及服务器账号密码。提供的平台须具备与学校现有数据中台对接的能力，提供数据中台对接所需的技术支持服务，包括同步用户数据，思政元素字典、思政元素库的使用统计数据；以及协同备课最新课件文件等，并可按版本提供过程文件等。本项服务报价已包含在投标报价中。</w:t>
            </w:r>
          </w:p>
          <w:p w14:paraId="4161247D">
            <w:pPr>
              <w:widowControl/>
              <w:numPr>
                <w:ilvl w:val="255"/>
                <w:numId w:val="0"/>
              </w:numPr>
              <w:jc w:val="left"/>
              <w:rPr>
                <w:rFonts w:hint="eastAsia" w:ascii="宋体" w:hAnsi="宋体" w:eastAsia="宋体" w:cs="宋体"/>
                <w:sz w:val="21"/>
                <w:szCs w:val="21"/>
              </w:rPr>
            </w:pPr>
          </w:p>
        </w:tc>
      </w:tr>
      <w:tr w14:paraId="294C187B">
        <w:tblPrEx>
          <w:tblCellMar>
            <w:top w:w="0" w:type="dxa"/>
            <w:left w:w="108" w:type="dxa"/>
            <w:bottom w:w="0" w:type="dxa"/>
            <w:right w:w="108" w:type="dxa"/>
          </w:tblCellMar>
        </w:tblPrEx>
        <w:trPr>
          <w:trHeight w:val="23" w:hRule="atLeast"/>
          <w:jc w:val="center"/>
        </w:trPr>
        <w:tc>
          <w:tcPr>
            <w:tcW w:w="456" w:type="dxa"/>
            <w:tcBorders>
              <w:top w:val="single" w:color="000000" w:sz="4" w:space="0"/>
              <w:left w:val="single" w:color="000000" w:sz="4" w:space="0"/>
              <w:bottom w:val="single" w:color="000000" w:sz="4" w:space="0"/>
              <w:right w:val="single" w:color="000000" w:sz="4" w:space="0"/>
            </w:tcBorders>
            <w:vAlign w:val="center"/>
          </w:tcPr>
          <w:p w14:paraId="280A0D52">
            <w:pPr>
              <w:pStyle w:val="2"/>
              <w:jc w:val="center"/>
              <w:rPr>
                <w:rFonts w:hint="eastAsia" w:ascii="宋体" w:hAnsi="宋体" w:eastAsia="宋体" w:cs="宋体"/>
                <w:sz w:val="21"/>
                <w:szCs w:val="21"/>
              </w:rPr>
            </w:pPr>
            <w:r>
              <w:rPr>
                <w:rFonts w:hint="eastAsia" w:ascii="宋体" w:hAnsi="宋体" w:eastAsia="宋体" w:cs="宋体"/>
                <w:sz w:val="21"/>
                <w:szCs w:val="21"/>
              </w:rPr>
              <w:t>2</w:t>
            </w:r>
          </w:p>
        </w:tc>
        <w:tc>
          <w:tcPr>
            <w:tcW w:w="1066" w:type="dxa"/>
            <w:tcBorders>
              <w:top w:val="single" w:color="000000" w:sz="4" w:space="0"/>
              <w:left w:val="single" w:color="000000" w:sz="4" w:space="0"/>
              <w:bottom w:val="single" w:color="000000" w:sz="4" w:space="0"/>
              <w:right w:val="single" w:color="000000" w:sz="4" w:space="0"/>
            </w:tcBorders>
            <w:vAlign w:val="center"/>
          </w:tcPr>
          <w:p w14:paraId="2C0B0D11">
            <w:pPr>
              <w:jc w:val="center"/>
              <w:rPr>
                <w:rFonts w:hint="eastAsia" w:ascii="宋体" w:hAnsi="宋体" w:eastAsia="宋体" w:cs="宋体"/>
                <w:sz w:val="21"/>
                <w:szCs w:val="21"/>
              </w:rPr>
            </w:pPr>
            <w:r>
              <w:rPr>
                <w:rFonts w:hint="eastAsia" w:ascii="宋体" w:hAnsi="宋体" w:eastAsia="宋体" w:cs="宋体"/>
                <w:sz w:val="21"/>
                <w:szCs w:val="21"/>
              </w:rPr>
              <w:t>专题思政资源建设与宣传</w:t>
            </w:r>
          </w:p>
        </w:tc>
        <w:tc>
          <w:tcPr>
            <w:tcW w:w="7810" w:type="dxa"/>
            <w:tcBorders>
              <w:top w:val="single" w:color="000000" w:sz="4" w:space="0"/>
              <w:left w:val="single" w:color="000000" w:sz="4" w:space="0"/>
              <w:bottom w:val="single" w:color="000000" w:sz="4" w:space="0"/>
              <w:right w:val="single" w:color="000000" w:sz="4" w:space="0"/>
            </w:tcBorders>
            <w:vAlign w:val="center"/>
          </w:tcPr>
          <w:p w14:paraId="25E9C6B1">
            <w:pPr>
              <w:widowControl/>
              <w:textAlignment w:val="center"/>
              <w:rPr>
                <w:rFonts w:hint="eastAsia" w:ascii="宋体" w:hAnsi="宋体" w:eastAsia="宋体" w:cs="宋体"/>
                <w:sz w:val="21"/>
                <w:szCs w:val="21"/>
              </w:rPr>
            </w:pPr>
            <w:r>
              <w:rPr>
                <w:rFonts w:hint="eastAsia" w:ascii="宋体" w:hAnsi="宋体" w:eastAsia="宋体" w:cs="宋体"/>
                <w:sz w:val="21"/>
                <w:szCs w:val="21"/>
              </w:rPr>
              <w:t>本项目具体交付内容如下：</w:t>
            </w:r>
          </w:p>
          <w:p w14:paraId="3BF5C7D2">
            <w:pPr>
              <w:widowControl/>
              <w:spacing w:line="40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一．职业教育立德树人视频资源：</w:t>
            </w:r>
          </w:p>
          <w:p w14:paraId="4A326625">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1.作品需精准对应合作院校所属 “美丽中国” 战略领域，充分体现职业教育立德树人育人成效，彰显职业教育特色，突出院校办学优势与专业特色。</w:t>
            </w:r>
          </w:p>
          <w:p w14:paraId="0A857F1F">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2.成片标准：时长控制在7—15 分钟。</w:t>
            </w:r>
          </w:p>
          <w:p w14:paraId="3E6A8E65">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3.供应商需与采购方确认作品完整叙事框架、核心故事线，完成所有受访对象拍摄思路沟通，确定拍摄场地、拍摄方式及现场环境布置，提前与采购方对接人确认拍摄日程、场地使用等全流程安排。</w:t>
            </w:r>
          </w:p>
          <w:p w14:paraId="18E59322">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视频拍摄制作具体要求：</w:t>
            </w:r>
          </w:p>
          <w:p w14:paraId="3A4A3C0B">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 xml:space="preserve">4.供应商配备固定专属专业拍摄制作团队，覆盖项目负责人、导演、编导、摄像、灯光、录音、后期、化妆等全流程制作人员；拍摄前向采购方提供完整详细的分镜头脚本、拍摄日程表、场地确认清单、人员分工表等标准化执行文件。  </w:t>
            </w:r>
          </w:p>
          <w:p w14:paraId="4CEE50C8">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5.采购方保障拍摄场地按时开放，无教学活动干扰，维持现场秩序稳定；提供稳定拍摄用电接入点，预留专用停车位。</w:t>
            </w:r>
          </w:p>
          <w:p w14:paraId="6D9DD9E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6.视频拍摄须采用专业 4K 电影机拍摄，所用摄像机原生分辨率≥3840×2160，电影级灰度录制 （ Log模式）拍摄，</w:t>
            </w:r>
          </w:p>
          <w:p w14:paraId="5BBC62AE">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录制视频宽高比 16:9，视频帧率不低于 25 帧 / 秒，拍摄采用 4K 超高清设备，成片最终输出 3840×2160格式，保障画面缩放与剪辑的冗余空间。</w:t>
            </w:r>
          </w:p>
          <w:p w14:paraId="6522943C">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7.航拍无人机须采用搭载哈苏主摄及双长焦镜头的三摄专业广播级航拍设备（如大疆 Mavic 3 Pro 及以上规格）拍摄，保障航拍画面清晰度与稳定性。</w:t>
            </w:r>
          </w:p>
          <w:p w14:paraId="7A9DB8A1">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后期制作要求</w:t>
            </w:r>
          </w:p>
          <w:p w14:paraId="0FC0FBD7">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8.素材管理与粗剪制作使用专业非线性编辑软件 Premiere Pro（PR）完成全片素材的整理、转码、合板与粗剪，基于分镜头脚本与叙事主线完成初版剪辑，同时使用专业工具完成视频降噪、音频降噪处理，剔除废片与无效素材。</w:t>
            </w:r>
          </w:p>
          <w:p w14:paraId="798A2A9D">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9.精剪与叙事打磨：编导全程跟进精剪，梳理素材与故事脉络，优化叙事逻辑、调整叙事节奏，完善影片结构与风格，补充适配历史素材、档案资料；严格完成全片内容合规审核，杜绝政治敏感、民族矛盾等违规表述，最终输出锁定版剪辑脚本。</w:t>
            </w:r>
          </w:p>
          <w:p w14:paraId="4491BC2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10.专业调色处理：使用专业调色软件 DaVinci Resolve（达芬奇）完成全片画面色彩校正、光影优化、风格统一调色，匹配央视高质量纪录片色彩标准，保障多镜头衔接无色差、白平衡精准、画面质感统一。</w:t>
            </w:r>
          </w:p>
          <w:p w14:paraId="25EAF177">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11.视觉特效与包装制作：使用 After Effects（AE）、3ds Max、Unreal Engine 5（UE5）及 主流AI 制作软件等专业工具，完成全片视觉特效、三维动画、动态图形、AI 辅助素材制作：片头时长严格控制在 10 秒内，视觉风格贴合作品主题与职业教育特色；同步制作适配片花、转场特效、信息条（人名条 / 说明条 / 字幕条），全片视觉体系统一协调。</w:t>
            </w:r>
          </w:p>
          <w:p w14:paraId="413E33E7">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12.全流程音频制作：使用专业音频工作站完成全片音频处理，包括同期声精修、配音录制、音效设计、背景音乐选配、多轨混音，确保音频符合红线技术标准，声音与画面完全同步，无杂音、无失真、电平稳定。</w:t>
            </w:r>
          </w:p>
          <w:p w14:paraId="0A59FE5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13.规范字幕制作：按照央视纪录片标准完成全片字幕制作，包括对白字幕、说明字幕、唱词字幕等，确保字幕清晰准确、排版规范、与音频完全同步。</w:t>
            </w:r>
          </w:p>
          <w:p w14:paraId="397DEAED">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14.成片渲染与输出：使用 Premiere Pro（PR）等专业非线性编辑系统完成成片最终渲染，严格按技术指标输出合规成片文件。</w:t>
            </w:r>
          </w:p>
          <w:p w14:paraId="2EAA51DA">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15. 样片与修改：完成样片制作供采购方确认整体叙事风格、视觉效果与呈现方向。</w:t>
            </w:r>
          </w:p>
          <w:p w14:paraId="5712E42C">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16全程尊重采购方的合理修改意见，配合完成多轮调整，直至最终验收通过。</w:t>
            </w:r>
          </w:p>
          <w:p w14:paraId="0AC84CDF">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视频技术指标</w:t>
            </w:r>
          </w:p>
          <w:p w14:paraId="4139B52B">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17.视频核心技术标准</w:t>
            </w:r>
          </w:p>
          <w:p w14:paraId="5DE80843">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1）分辨率：3840×2160</w:t>
            </w:r>
          </w:p>
          <w:p w14:paraId="2991E3C8">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2）画幅：16:9（严禁遮幅）</w:t>
            </w:r>
          </w:p>
          <w:p w14:paraId="5CDC49A5">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3）帧率：25fps</w:t>
            </w:r>
          </w:p>
          <w:p w14:paraId="0A021E8E">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4）编码格式：MP4 / MOV，H.264 编码，码率≥15Mbps</w:t>
            </w:r>
          </w:p>
          <w:p w14:paraId="0E5AD86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5）色深 / 色域：10bit，Rec.709</w:t>
            </w:r>
          </w:p>
          <w:p w14:paraId="4E2B837C">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6）稳定性：全片图像同步性能稳定，无失步现象，全片数字视频同步信号稳定，无帧丢失、无画面卡顿、无抖动跳跃；图像无抖动跳跃，色彩无突变，编辑点处图像稳定。</w:t>
            </w:r>
          </w:p>
          <w:p w14:paraId="7660171E">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7）信噪比：图像信噪比不低于 55dB，无明显杂波。</w:t>
            </w:r>
          </w:p>
          <w:p w14:paraId="5F63C964">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8）色调：白平衡正确，无明显偏色，多机拍摄的镜头衔接处无明显色差。</w:t>
            </w:r>
          </w:p>
          <w:p w14:paraId="1231E5F6">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18.音频核心技术标准</w:t>
            </w:r>
          </w:p>
          <w:p w14:paraId="1F4FBFAC">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1）峰值电平：≤ -12dBFS（全链路统一，严禁超标）</w:t>
            </w:r>
          </w:p>
          <w:p w14:paraId="5178F0E4">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2）平均电平（RMS）：-20dBFS ±3dB</w:t>
            </w:r>
          </w:p>
          <w:p w14:paraId="27BE38A4">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3）采样率 / 位深：≥ 48kHz，建议 24bit</w:t>
            </w:r>
          </w:p>
          <w:p w14:paraId="478FAEF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4）码率：≥ 256kbps</w:t>
            </w:r>
          </w:p>
          <w:p w14:paraId="6E371257">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5）声道：立体声，中文内容音频信号记录于第 1 声道，音乐、音效、同期声记录于第 2 声道，若有其他文字解说记录于第 3 声道（如录音设备无第 3 声道，则录于第 2 声道）</w:t>
            </w:r>
          </w:p>
          <w:p w14:paraId="51C775B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6）音频信噪比不低于 48db。</w:t>
            </w:r>
          </w:p>
          <w:p w14:paraId="6BFAB1EF">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7）声音和画面要求同步，无交流声或其他杂音等缺陷。</w:t>
            </w:r>
          </w:p>
          <w:p w14:paraId="3D2170A0">
            <w:pPr>
              <w:widowControl/>
              <w:spacing w:line="400" w:lineRule="exact"/>
              <w:textAlignment w:val="center"/>
              <w:rPr>
                <w:rFonts w:hint="eastAsia" w:ascii="宋体" w:hAnsi="宋体" w:eastAsia="宋体" w:cs="宋体"/>
                <w:sz w:val="21"/>
                <w:szCs w:val="21"/>
              </w:rPr>
            </w:pPr>
            <w:r>
              <w:rPr>
                <w:rFonts w:hint="eastAsia" w:ascii="宋体" w:hAnsi="宋体" w:eastAsia="宋体" w:cs="宋体"/>
                <w:sz w:val="21"/>
                <w:szCs w:val="21"/>
              </w:rPr>
              <w:t>8）伴音清晰、饱满、圆润，无失真、噪声杂音干扰、音量忽大忽小现象。解说声与现场声无明显比例失调，解说声与背景音乐无明显比例失调。</w:t>
            </w:r>
          </w:p>
          <w:p w14:paraId="17FE645F">
            <w:pPr>
              <w:pStyle w:val="2"/>
              <w:spacing w:line="400" w:lineRule="exact"/>
              <w:rPr>
                <w:rFonts w:hint="eastAsia" w:ascii="宋体" w:hAnsi="宋体" w:eastAsia="宋体" w:cs="宋体"/>
                <w:b/>
                <w:bCs/>
                <w:sz w:val="21"/>
                <w:szCs w:val="21"/>
              </w:rPr>
            </w:pPr>
            <w:r>
              <w:rPr>
                <w:rFonts w:hint="eastAsia" w:ascii="宋体" w:hAnsi="宋体" w:eastAsia="宋体" w:cs="宋体"/>
                <w:b/>
                <w:bCs/>
                <w:sz w:val="21"/>
                <w:szCs w:val="21"/>
              </w:rPr>
              <w:t>二、成果推广</w:t>
            </w:r>
          </w:p>
          <w:p w14:paraId="04C950DA">
            <w:pPr>
              <w:pStyle w:val="2"/>
              <w:spacing w:line="400" w:lineRule="exact"/>
              <w:rPr>
                <w:rFonts w:hint="eastAsia" w:ascii="宋体" w:hAnsi="宋体" w:eastAsia="宋体" w:cs="宋体"/>
                <w:sz w:val="21"/>
                <w:szCs w:val="21"/>
              </w:rPr>
            </w:pPr>
            <w:r>
              <w:rPr>
                <w:rFonts w:hint="eastAsia" w:ascii="宋体" w:hAnsi="宋体" w:eastAsia="宋体" w:cs="宋体"/>
                <w:sz w:val="21"/>
                <w:szCs w:val="21"/>
              </w:rPr>
              <w:t>1.1套院校主题专访最终成果，包含人物专访视频、谈实录文稿、访谈录音、采访提纲等相关内容。</w:t>
            </w:r>
          </w:p>
          <w:p w14:paraId="3A2F6980">
            <w:pPr>
              <w:pStyle w:val="2"/>
              <w:spacing w:line="400" w:lineRule="exact"/>
              <w:rPr>
                <w:rFonts w:hint="eastAsia" w:ascii="宋体" w:hAnsi="宋体" w:eastAsia="宋体" w:cs="宋体"/>
                <w:sz w:val="21"/>
                <w:szCs w:val="21"/>
              </w:rPr>
            </w:pPr>
            <w:r>
              <w:rPr>
                <w:rFonts w:hint="eastAsia" w:ascii="宋体" w:hAnsi="宋体" w:eastAsia="宋体" w:cs="宋体"/>
                <w:sz w:val="21"/>
                <w:szCs w:val="21"/>
              </w:rPr>
              <w:t>2.宣传报道稿件及发布凭证:各平台正式发布的宣传报道稿件媒体发布链接。</w:t>
            </w:r>
          </w:p>
          <w:p w14:paraId="47EF3714">
            <w:pPr>
              <w:pStyle w:val="2"/>
              <w:spacing w:line="400" w:lineRule="exact"/>
              <w:rPr>
                <w:rFonts w:hint="eastAsia" w:ascii="宋体" w:hAnsi="宋体" w:eastAsia="宋体" w:cs="宋体"/>
                <w:sz w:val="21"/>
                <w:szCs w:val="21"/>
              </w:rPr>
            </w:pPr>
            <w:r>
              <w:rPr>
                <w:rFonts w:hint="eastAsia" w:ascii="宋体" w:hAnsi="宋体" w:eastAsia="宋体" w:cs="宋体"/>
                <w:sz w:val="21"/>
                <w:szCs w:val="21"/>
              </w:rPr>
              <w:t>3.依托人民网等中央新闻网站中央级主流媒体平台，打造“职业教育立德树人资源建设成果”展示专区，发布展示项目成果。专题报道、成果展示视频、主题专访相关内容。</w:t>
            </w:r>
          </w:p>
          <w:p w14:paraId="4B8E4183">
            <w:pPr>
              <w:pStyle w:val="2"/>
              <w:spacing w:line="400" w:lineRule="exact"/>
              <w:rPr>
                <w:rFonts w:hint="eastAsia" w:ascii="宋体" w:hAnsi="宋体" w:eastAsia="宋体" w:cs="宋体"/>
                <w:sz w:val="21"/>
                <w:szCs w:val="21"/>
              </w:rPr>
            </w:pPr>
            <w:r>
              <w:rPr>
                <w:rFonts w:hint="eastAsia" w:ascii="宋体" w:hAnsi="宋体" w:eastAsia="宋体" w:cs="宋体"/>
                <w:sz w:val="21"/>
                <w:szCs w:val="21"/>
              </w:rPr>
              <w:t>4.矩阵化传播：依托人民网、中国教育报、教育在线职教频道、教育在线强国号等渠道，扩大项目整体影响力，助力资源建设成果传播，实现全方位、多渠道曝光。</w:t>
            </w:r>
          </w:p>
          <w:p w14:paraId="5706F5EE">
            <w:pPr>
              <w:pStyle w:val="2"/>
              <w:spacing w:line="400" w:lineRule="exact"/>
              <w:rPr>
                <w:rFonts w:hint="eastAsia" w:ascii="宋体" w:hAnsi="宋体" w:eastAsia="宋体" w:cs="宋体"/>
                <w:b/>
                <w:bCs/>
                <w:sz w:val="21"/>
                <w:szCs w:val="21"/>
              </w:rPr>
            </w:pPr>
            <w:r>
              <w:rPr>
                <w:rFonts w:hint="eastAsia" w:ascii="宋体" w:hAnsi="宋体" w:eastAsia="宋体" w:cs="宋体"/>
                <w:b/>
                <w:bCs/>
                <w:sz w:val="21"/>
                <w:szCs w:val="21"/>
              </w:rPr>
              <w:t>三、专访</w:t>
            </w:r>
          </w:p>
          <w:p w14:paraId="1504D226">
            <w:pPr>
              <w:pStyle w:val="2"/>
              <w:spacing w:line="400" w:lineRule="exact"/>
              <w:rPr>
                <w:rFonts w:hint="eastAsia" w:ascii="宋体" w:hAnsi="宋体" w:eastAsia="宋体" w:cs="宋体"/>
                <w:sz w:val="21"/>
                <w:szCs w:val="21"/>
              </w:rPr>
            </w:pPr>
            <w:r>
              <w:rPr>
                <w:rFonts w:hint="eastAsia" w:ascii="宋体" w:hAnsi="宋体" w:eastAsia="宋体" w:cs="宋体"/>
                <w:sz w:val="21"/>
                <w:szCs w:val="21"/>
              </w:rPr>
              <w:t>1. 视频分辨率为1920*1080（16:9），输出格式为 MP4或MOV，支持主流播放器播放。</w:t>
            </w:r>
          </w:p>
          <w:p w14:paraId="74FEBC77">
            <w:pPr>
              <w:pStyle w:val="2"/>
              <w:spacing w:line="400" w:lineRule="exact"/>
              <w:rPr>
                <w:rFonts w:hint="eastAsia" w:ascii="宋体" w:hAnsi="宋体" w:eastAsia="宋体" w:cs="宋体"/>
                <w:sz w:val="21"/>
                <w:szCs w:val="21"/>
              </w:rPr>
            </w:pPr>
            <w:r>
              <w:rPr>
                <w:rFonts w:hint="eastAsia" w:ascii="宋体" w:hAnsi="宋体" w:eastAsia="宋体" w:cs="宋体"/>
                <w:sz w:val="21"/>
                <w:szCs w:val="21"/>
              </w:rPr>
              <w:t>2.明确镜头、解说、素材等核心要素,确保拍摄与制作质量。</w:t>
            </w:r>
          </w:p>
          <w:p w14:paraId="6B911810">
            <w:pPr>
              <w:pStyle w:val="2"/>
              <w:spacing w:line="400" w:lineRule="exact"/>
              <w:rPr>
                <w:rFonts w:hint="eastAsia" w:ascii="宋体" w:hAnsi="宋体" w:eastAsia="宋体" w:cs="宋体"/>
                <w:sz w:val="21"/>
                <w:szCs w:val="21"/>
              </w:rPr>
            </w:pPr>
            <w:r>
              <w:rPr>
                <w:rFonts w:hint="eastAsia" w:ascii="宋体" w:hAnsi="宋体" w:eastAsia="宋体" w:cs="宋体"/>
                <w:sz w:val="21"/>
                <w:szCs w:val="21"/>
              </w:rPr>
              <w:t>3.需围绕学校撰写采访提纲，提纲紧扣院校办学特色与改革实践，展现高职院校在培育高技能人才、服务产业升级、助力地方经济中的作用，打造兼具专业性、传播性与针对性的专访内容。</w:t>
            </w:r>
          </w:p>
          <w:p w14:paraId="40E25DA3">
            <w:pPr>
              <w:pStyle w:val="2"/>
              <w:spacing w:line="400" w:lineRule="exact"/>
              <w:rPr>
                <w:rFonts w:hint="eastAsia" w:ascii="宋体" w:hAnsi="宋体" w:eastAsia="宋体" w:cs="宋体"/>
                <w:sz w:val="21"/>
                <w:szCs w:val="21"/>
              </w:rPr>
            </w:pPr>
            <w:r>
              <w:rPr>
                <w:rFonts w:hint="eastAsia" w:ascii="宋体" w:hAnsi="宋体" w:eastAsia="宋体" w:cs="宋体"/>
                <w:sz w:val="21"/>
                <w:szCs w:val="21"/>
              </w:rPr>
              <w:t>4. 剪辑后，专访视频成片不低于3分钟，视频需添加规范字幕，采用国家标准规范字，字幕的字体、大小、色彩搭配、摆放位置、停留时间、出入屏方式与画面配合适当，不破坏原有画面</w:t>
            </w:r>
          </w:p>
          <w:p w14:paraId="3C6785E1">
            <w:pPr>
              <w:pStyle w:val="2"/>
              <w:rPr>
                <w:rFonts w:hint="eastAsia" w:ascii="宋体" w:hAnsi="宋体" w:eastAsia="宋体" w:cs="宋体"/>
                <w:sz w:val="21"/>
                <w:szCs w:val="21"/>
              </w:rPr>
            </w:pPr>
          </w:p>
        </w:tc>
      </w:tr>
      <w:tr w14:paraId="7F79D4E9">
        <w:tblPrEx>
          <w:tblCellMar>
            <w:top w:w="0" w:type="dxa"/>
            <w:left w:w="108" w:type="dxa"/>
            <w:bottom w:w="0" w:type="dxa"/>
            <w:right w:w="108" w:type="dxa"/>
          </w:tblCellMar>
        </w:tblPrEx>
        <w:trPr>
          <w:trHeight w:val="23" w:hRule="atLeast"/>
          <w:jc w:val="center"/>
        </w:trPr>
        <w:tc>
          <w:tcPr>
            <w:tcW w:w="456" w:type="dxa"/>
            <w:tcBorders>
              <w:top w:val="single" w:color="000000" w:sz="4" w:space="0"/>
              <w:left w:val="single" w:color="000000" w:sz="4" w:space="0"/>
              <w:bottom w:val="single" w:color="000000" w:sz="4" w:space="0"/>
              <w:right w:val="single" w:color="000000" w:sz="4" w:space="0"/>
            </w:tcBorders>
            <w:vAlign w:val="center"/>
          </w:tcPr>
          <w:p w14:paraId="65DBBF3C">
            <w:pPr>
              <w:pStyle w:val="2"/>
              <w:jc w:val="center"/>
              <w:rPr>
                <w:rFonts w:hint="eastAsia" w:ascii="宋体" w:hAnsi="宋体" w:eastAsia="宋体" w:cs="宋体"/>
                <w:sz w:val="21"/>
                <w:szCs w:val="21"/>
              </w:rPr>
            </w:pPr>
            <w:r>
              <w:rPr>
                <w:rFonts w:hint="eastAsia" w:ascii="宋体" w:hAnsi="宋体" w:eastAsia="宋体" w:cs="宋体"/>
                <w:sz w:val="21"/>
                <w:szCs w:val="21"/>
              </w:rPr>
              <w:t>3</w:t>
            </w:r>
          </w:p>
        </w:tc>
        <w:tc>
          <w:tcPr>
            <w:tcW w:w="1066" w:type="dxa"/>
            <w:tcBorders>
              <w:top w:val="single" w:color="000000" w:sz="4" w:space="0"/>
              <w:left w:val="single" w:color="000000" w:sz="4" w:space="0"/>
              <w:bottom w:val="single" w:color="000000" w:sz="4" w:space="0"/>
              <w:right w:val="single" w:color="000000" w:sz="4" w:space="0"/>
            </w:tcBorders>
            <w:vAlign w:val="center"/>
          </w:tcPr>
          <w:p w14:paraId="2D6FF6ED">
            <w:pPr>
              <w:jc w:val="center"/>
              <w:rPr>
                <w:rFonts w:hint="eastAsia" w:ascii="宋体" w:hAnsi="宋体" w:eastAsia="宋体" w:cs="宋体"/>
                <w:sz w:val="21"/>
                <w:szCs w:val="21"/>
              </w:rPr>
            </w:pPr>
            <w:r>
              <w:rPr>
                <w:rFonts w:hint="eastAsia" w:ascii="宋体" w:hAnsi="宋体" w:eastAsia="宋体" w:cs="宋体"/>
                <w:sz w:val="21"/>
                <w:szCs w:val="21"/>
              </w:rPr>
              <w:t>课程思政示范课建设</w:t>
            </w:r>
          </w:p>
        </w:tc>
        <w:tc>
          <w:tcPr>
            <w:tcW w:w="7810" w:type="dxa"/>
            <w:tcBorders>
              <w:top w:val="single" w:color="000000" w:sz="4" w:space="0"/>
              <w:left w:val="single" w:color="000000" w:sz="4" w:space="0"/>
              <w:bottom w:val="single" w:color="000000" w:sz="4" w:space="0"/>
              <w:right w:val="single" w:color="000000" w:sz="4" w:space="0"/>
            </w:tcBorders>
            <w:vAlign w:val="center"/>
          </w:tcPr>
          <w:p w14:paraId="1D66642E">
            <w:pPr>
              <w:widowControl/>
              <w:spacing w:line="48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一、整体要求：</w:t>
            </w:r>
          </w:p>
          <w:p w14:paraId="76261CFD">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1.课程视频建设须达到国家教育部规定的职业教育精品在线课程标准要求，且融入课程思政元素，能有效实现知识传授与价值引领的统一；</w:t>
            </w:r>
          </w:p>
          <w:p w14:paraId="3F744D1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具有固定的拍摄制作团队，包括项目负责人、课程顾问、摄像、后期、化妆等相关制作人员。拍摄前须提供详细的拍摄计划，其中需明确课程思政元素的呈现方式，保证与主讲教师就思政内容设计有效沟通，后期须尊重采购人主讲教师的修改意见；</w:t>
            </w:r>
          </w:p>
          <w:p w14:paraId="6B43A545">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3.每门课程成片总时长不高于300分钟，根据课程自身特点，单个视频建议时长8-15分钟，视频个数不限制。</w:t>
            </w:r>
          </w:p>
          <w:p w14:paraId="5E6561D9">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4.提供智慧职教平台课程上线建设技术支持。</w:t>
            </w:r>
          </w:p>
          <w:p w14:paraId="7BC45DCE">
            <w:pPr>
              <w:widowControl/>
              <w:spacing w:line="48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二、课程制作具体要求：</w:t>
            </w:r>
          </w:p>
          <w:p w14:paraId="285C829F">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（一）拍摄要求</w:t>
            </w:r>
          </w:p>
          <w:p w14:paraId="160973DC">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1.课程前期准备</w:t>
            </w:r>
          </w:p>
          <w:p w14:paraId="3AFEE40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（1）课程编导与教师制定拍摄方式，寻找拍摄场地。商定拍摄方式和拍摄环境，及时联系教师，确定拍摄场地和时间。</w:t>
            </w:r>
          </w:p>
          <w:p w14:paraId="6D0EE3E5">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（2）课程编导与教师确定课程的内容，包括知识内容和对应的思政元素。商定课程内容设计的安排，包括章节框架、知识点、具体的拍摄单元以及思政元素的融入节点和方式。</w:t>
            </w:r>
          </w:p>
          <w:p w14:paraId="538775A2">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（3）课程编辑配合教师收集详细的课程资料、图片、视频、文档等。</w:t>
            </w:r>
          </w:p>
          <w:p w14:paraId="498BCBB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（4）根据拍摄技术标准和课程内容和思政元素特点，设计贴合教师授课特点的拍摄形式，与老师沟通说明拍摄要求，并协助提供着装意见；</w:t>
            </w:r>
          </w:p>
          <w:p w14:paraId="4EDC32C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（5）根据老师的课程内容，设计教学场景并安排布景。</w:t>
            </w:r>
          </w:p>
          <w:p w14:paraId="5B54AB6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2.录制每门课程均采用专业高清摄像机拍摄,所用摄像机分辨率≥1920X1080，录制视频宽高比16:9，视频帧率为不低于25帧/秒。</w:t>
            </w:r>
          </w:p>
          <w:p w14:paraId="3293807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3.拍摄时应针对实际情况选择适当的拍摄方式，与后期制作统筹策划，确保成片中的多媒体演示及板书完整、清晰。</w:t>
            </w:r>
          </w:p>
          <w:p w14:paraId="570C8D1C">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（二）后期制作要求</w:t>
            </w:r>
          </w:p>
          <w:p w14:paraId="5FDF703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1.使用专业的非线性编辑系统对源视频进行最基本的处理（如颜色校正、双声道处理、渲染）。使用专业的视频编辑系统进行视频降噪、音频降噪。</w:t>
            </w:r>
          </w:p>
          <w:p w14:paraId="202FC6C5">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使用专业的后期合成软件进行片头设计：用平面设计+后期合成+3D渲染，根据每个课题的内容设计出相关联的内容元素，片头不超过10秒，包括:LOGO、课程名称、讲次、主讲教师姓名、专业技术职务、单位等信息。</w:t>
            </w:r>
          </w:p>
          <w:p w14:paraId="6E21186A">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3.使用专业的后期合成软件和图片处理软件进行片花背景设计、配乐：根据每讲的课程内容来制定出相应的片花背景，并且主色调要和片头、尾还有内容相协调。</w:t>
            </w:r>
          </w:p>
          <w:p w14:paraId="6E03BB9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4.使用专业的后期合成软件进行课题条、简介条设计：根据课程内容不同，设计符合本课程的课题简介的模版，以此来介绍本讲的主要内容和老师名称。</w:t>
            </w:r>
          </w:p>
          <w:p w14:paraId="6C3257D8">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5.内容编辑、资料查询（编导工作）：通篇观看源视频，根据主讲人所讲内容，理清脉络，划分片子结构，确定片子整体风格，查找相关素材资料；标记与课程内容关系不大的内容时间点，进行删除处理，并且确保不存在涉及政治和民族矛盾等字眼出现，最后编辑出最终的制作脚本。</w:t>
            </w:r>
          </w:p>
          <w:p w14:paraId="55DBB2E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6.专业非线性编辑系统制作片花、引文、情景图片：根据编导所提供的制作脚本来进行片花和引文等的编辑与制作，主要有背景板、特定的背景音乐、音乐场景特效、引文字体、字体颜色、构图排版、转场特效、基本剪辑、音视频调整与衔接等。</w:t>
            </w:r>
          </w:p>
          <w:p w14:paraId="0C1E507A">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7.使用专业非线性编辑系统剪掉不必要的废镜头，制作完之后，添加必要的背景音乐，保证制作的片花无错误、无硬伤。</w:t>
            </w:r>
          </w:p>
          <w:p w14:paraId="41FC5D1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8.使用专业的后期合成软件制作片尾：以学校的校徽LOGO,进行动画设计，时长不多于10秒。</w:t>
            </w:r>
          </w:p>
          <w:p w14:paraId="60517B0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9.使用专业非线性编辑系统渲染成片：所有内容编辑结束之后，生成成片，成品为高清制式。</w:t>
            </w:r>
          </w:p>
          <w:p w14:paraId="456BC45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 xml:space="preserve">10.样片制作服务：根据课程内容对课程建设过程中拍摄的视频进行样片制作。样片的制作，是为了确定课程的制作风格和最终呈现的效果。 </w:t>
            </w:r>
          </w:p>
          <w:p w14:paraId="25F67DFD">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(三)后期技术指标</w:t>
            </w:r>
          </w:p>
          <w:p w14:paraId="6B98347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1.视频信号源</w:t>
            </w:r>
          </w:p>
          <w:p w14:paraId="1DC5B51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(1)稳定性：全片图像同步性能稳定，无失步现象，CTL同步控制信号必须连续；图像无抖动跳跃，色彩无突变，编辑点处图像稳定。</w:t>
            </w:r>
          </w:p>
          <w:p w14:paraId="4451642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(2)信噪比：图像信噪比不低于55dB，无明显杂波。</w:t>
            </w:r>
          </w:p>
          <w:p w14:paraId="3E264A6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(3)色调：白平衡正确，无明显偏色，多机拍摄的镜头衔接处无明显色差。</w:t>
            </w:r>
          </w:p>
          <w:p w14:paraId="29EE0A9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(4)视频电平：视频全讯号幅度为1Ⅴp-p，最大不超过1.1Ⅴp-p。其中，消隐电平为0V时，白电平幅度0.7Ⅴp-p，同步信号-0.3V，色同步信号幅度0.3Vp-p(以消隐线上下对称)，全片一致。</w:t>
            </w:r>
          </w:p>
          <w:p w14:paraId="5F44FAD1">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2.音频信号源:</w:t>
            </w:r>
          </w:p>
          <w:p w14:paraId="254D225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（1）声道：中文内容音频信号记录于第1声道，音乐、音效、同期声记录于第2声道，若有其他文字解说记录于第3声道（如录音设备无第3声道，则录于第2声道）。</w:t>
            </w:r>
          </w:p>
          <w:p w14:paraId="69240DFF">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（2）电平指标：-2db—-8db声音应无明显失真、放音过冲、过弱。</w:t>
            </w:r>
          </w:p>
          <w:p w14:paraId="6001FB90">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（3）音频信噪比不低于48db。</w:t>
            </w:r>
          </w:p>
          <w:p w14:paraId="0050B26B">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（4）声音和画面要求同步，无交流声或其他杂音等缺陷。</w:t>
            </w:r>
          </w:p>
          <w:p w14:paraId="6382EC8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（5）伴音清晰、饱满、圆润，无失真、噪声杂音干扰、音量忽大忽小现象。解说声与现场声无明显比例失调，解说声与背景音乐无明显比例失调。</w:t>
            </w:r>
          </w:p>
          <w:p w14:paraId="7F1DD0E0">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（四）在线课程视频拍摄服务</w:t>
            </w:r>
          </w:p>
          <w:p w14:paraId="06FCB6BF">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1.场景设计服务</w:t>
            </w:r>
          </w:p>
          <w:p w14:paraId="2DA97E2E">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根据课程内容为课程视频造型进行设计和制作。通过布景、道具、服装等设计，来创造具有艺术感染力的在线课程视频内容。</w:t>
            </w:r>
          </w:p>
          <w:p w14:paraId="40D39460">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2.教师造型、教仪教态设计服务</w:t>
            </w:r>
          </w:p>
          <w:p w14:paraId="1DB2822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根据课程内容、专业方向等，为教师提供教师形象、教学动作、教学语言等咨询与建议，辅导老师适应镜头，辅导老师进行着装选择。</w:t>
            </w:r>
          </w:p>
          <w:p w14:paraId="7B01ED6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3.试镜服务</w:t>
            </w:r>
          </w:p>
          <w:p w14:paraId="396ACE4A">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在课程内容正式拍摄前，进行试镜服务，使建设团队中出镜教师了解拍摄流程，适应镜头。并根据样片拍摄过程中出现的问题及时与课程建设团队进行沟通，调整整体方案。</w:t>
            </w:r>
          </w:p>
          <w:p w14:paraId="55B7693F">
            <w:pPr>
              <w:widowControl/>
              <w:spacing w:line="48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三、在线课程内容策划服务</w:t>
            </w:r>
          </w:p>
          <w:p w14:paraId="5D5A4EF8">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1.课程专题讨论</w:t>
            </w:r>
          </w:p>
          <w:p w14:paraId="03FEF4B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针对建设内容进行专题讨论，课程建设内容，成交供应商协助项目建设团队梳理课程知识内容、课程重难点，最终形成课程知识点内容框架，初步确认建设内容。</w:t>
            </w:r>
          </w:p>
          <w:p w14:paraId="5CC0DC6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2.建设策划方案服务</w:t>
            </w:r>
          </w:p>
          <w:p w14:paraId="3E0A47A3">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确认课程知识点内容框架后，成交供应商将与建设团队充分沟通后，在确保内容准确的基础上综合运用多种内容展现形式进行课程设计，利用多种表现形式应对课程学习的需求。</w:t>
            </w:r>
          </w:p>
          <w:p w14:paraId="5F5D0DFC">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在内容方面严把质量关，注重科学性、严谨性，能够对专业人士起到示范指导的作用；在表现形式上，根据不同的内容釆用多种表现形式将知识点直观的呈现岀来。</w:t>
            </w:r>
          </w:p>
          <w:p w14:paraId="132DBE2B">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课程结构的设计：课程制作团队“多对一”与老师进行课程结构的设计研讨，为老师提供课程设计指导，章节结构、知识点、教学课件、具体的拍摄单元等内容，形成各种工作表单和课程资源体系。</w:t>
            </w:r>
          </w:p>
          <w:p w14:paraId="4FE4B158">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教学方法的设计：帮助老师进行适合课程的教学方法设计，包括课堂面授、参观教学、角色模拟、操作演示、讨论互动等教学方法设计。</w:t>
            </w:r>
          </w:p>
          <w:p w14:paraId="15D2CFB8">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教学风格的塑造：指导老师塑造理性严谨、情绪感染、自然朴素、风趣幽默等类型的教学风格。</w:t>
            </w:r>
          </w:p>
          <w:p w14:paraId="15819C7B">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教学仪态的设计：为教师提供教师形象、教学动作、教学语言等咨询与建议，辅导老师适应镜头，辅导老师进行着装选择。</w:t>
            </w:r>
          </w:p>
          <w:p w14:paraId="4AFC5FA9">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3.脚本设计服务</w:t>
            </w:r>
          </w:p>
          <w:p w14:paraId="064A6850">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成交供应商将为本项目配备专业的编导和教师互相配合，协助建设团队将每节课的内容以脚本的形式呈现，画面表现一目了然。协助教师根据脚本节奏讲解课程内容。</w:t>
            </w:r>
          </w:p>
          <w:p w14:paraId="4E4C3679">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4.课程资料服务</w:t>
            </w:r>
          </w:p>
          <w:p w14:paraId="2EBD57C5">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安排专人协助教师搜集各类课程资料和辅助资源，包括图片、视频、文档等。根据老师提交的PPT内容设计美化PPT，添加声音、画面出现的切换方式、图片素材及视频素材，丰富PPT内容。</w:t>
            </w:r>
          </w:p>
          <w:p w14:paraId="65654DF6">
            <w:pPr>
              <w:widowControl/>
              <w:spacing w:line="48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四、在线课程审核上线服务</w:t>
            </w:r>
          </w:p>
          <w:p w14:paraId="32F213DF">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1.质量检查</w:t>
            </w:r>
          </w:p>
          <w:p w14:paraId="582A33DD">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在线课程视频制作完成后，成交供应商进行三轮质量管控审核，然后进行交付。建设团队提出修改意见及时按照要求进行调整修改。</w:t>
            </w:r>
          </w:p>
          <w:p w14:paraId="622FF009">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一审：由课程编辑对课程成品进行全面自査；</w:t>
            </w:r>
          </w:p>
          <w:p w14:paraId="1BC73B59">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二审：由课程经理对课程成品进行审查；</w:t>
            </w:r>
          </w:p>
          <w:p w14:paraId="61F63DA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三审：项目负责人在二审的基础上，对课程进行全局把关，最终审查。</w:t>
            </w:r>
          </w:p>
          <w:p w14:paraId="3AA76295">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2.课程审核</w:t>
            </w:r>
          </w:p>
          <w:p w14:paraId="48CC760D">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专业团队对课程内容进行审核校验，确保内容的科学性、教育性、导向正确及易用性。</w:t>
            </w:r>
          </w:p>
          <w:p w14:paraId="10A8133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3.课程上线服务</w:t>
            </w:r>
          </w:p>
          <w:p w14:paraId="0FE0C2A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经过审核后的课程，成交供应商将协助课程建设团队进行课程平台上线服务。确保课程的正常上线及运营。</w:t>
            </w:r>
          </w:p>
          <w:p w14:paraId="3409AE13">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4.课程运营服务</w:t>
            </w:r>
          </w:p>
          <w:p w14:paraId="0DA323B4">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课程上线后，协助教学团队在本校应用课程进行组织教学，同时积极做好课程平台上线后跟踪回访等运营服务。结合课程上线运营数据及回访情况，及时跟进后续课程升级、更新迭代等服务。</w:t>
            </w:r>
          </w:p>
          <w:p w14:paraId="6E35F71B">
            <w:pPr>
              <w:widowControl/>
              <w:spacing w:line="480" w:lineRule="exact"/>
              <w:textAlignment w:val="center"/>
              <w:rPr>
                <w:rFonts w:hint="eastAsia" w:ascii="宋体" w:hAnsi="宋体" w:eastAsia="宋体" w:cs="宋体"/>
                <w:b/>
                <w:bCs/>
                <w:sz w:val="21"/>
                <w:szCs w:val="21"/>
              </w:rPr>
            </w:pPr>
            <w:r>
              <w:rPr>
                <w:rFonts w:hint="eastAsia" w:ascii="宋体" w:hAnsi="宋体" w:eastAsia="宋体" w:cs="宋体"/>
                <w:b/>
                <w:bCs/>
                <w:sz w:val="21"/>
                <w:szCs w:val="21"/>
              </w:rPr>
              <w:t>五、后续扩展需求-数字教材建设</w:t>
            </w:r>
          </w:p>
          <w:p w14:paraId="361CEE2D">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纸质教材虽然在知识传授方面有其固有的优势，但纸质教材难以实现内容的动态更新，难以满足学生多样化的学习需求，且在传播和使用上存在一定的不便。为了解决这些问题，我校开始探索数字教材的建设。数字教材是指利用数字技术制作的教材，它可以包括电子书籍、在线课程、多媒体课件等多种形式。与纸质教材相比，数字教材具有互动性强、更新便捷、可扩展性强等优点，可以更好地适应新时代学生的学习需求和教师的教学需求。通过对纸质教材和数字资源的一体化设计，充分发挥纸质教材体系完整、数字资源呈现多样的特点，并通过数字平台的网络技术、新颖的版式设计和内容编排建立纸质教材和数字资源的有机联系。</w:t>
            </w:r>
          </w:p>
          <w:p w14:paraId="2616F2F3">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1.具备课程视频与教材策划运营能力，且与出版社有一定合作经验，并能服务于我校数字教材的制作与出版。</w:t>
            </w:r>
          </w:p>
          <w:p w14:paraId="525A5EC6">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2.课程负责人有数字教材出版的需求，提供教材中所需要的视频二次加工服务。</w:t>
            </w:r>
          </w:p>
          <w:p w14:paraId="209677E7">
            <w:pPr>
              <w:widowControl/>
              <w:spacing w:line="480" w:lineRule="exact"/>
              <w:textAlignment w:val="center"/>
              <w:rPr>
                <w:rFonts w:hint="eastAsia" w:ascii="宋体" w:hAnsi="宋体" w:eastAsia="宋体" w:cs="宋体"/>
                <w:sz w:val="21"/>
                <w:szCs w:val="21"/>
              </w:rPr>
            </w:pPr>
            <w:r>
              <w:rPr>
                <w:rFonts w:hint="eastAsia" w:ascii="宋体" w:hAnsi="宋体" w:eastAsia="宋体" w:cs="宋体"/>
                <w:sz w:val="21"/>
                <w:szCs w:val="21"/>
              </w:rPr>
              <w:t>课程思政示范课建设所形成的成果，其知识产权归采购人所有。</w:t>
            </w:r>
          </w:p>
        </w:tc>
      </w:tr>
    </w:tbl>
    <w:p w14:paraId="48DB888B">
      <w:pPr>
        <w:spacing w:line="360" w:lineRule="auto"/>
        <w:ind w:firstLine="480" w:firstLineChars="200"/>
        <w:rPr>
          <w:rFonts w:hint="eastAsia" w:ascii="宋体" w:hAnsi="宋体"/>
          <w:b/>
          <w:bCs/>
          <w:color w:val="auto"/>
          <w:sz w:val="24"/>
          <w:szCs w:val="24"/>
        </w:rPr>
      </w:pPr>
    </w:p>
    <w:p w14:paraId="7473E777">
      <w:pPr>
        <w:pageBreakBefore w:val="0"/>
        <w:widowControl w:val="0"/>
        <w:wordWrap/>
        <w:overflowPunct/>
        <w:topLinePunct w:val="0"/>
        <w:bidi w:val="0"/>
        <w:spacing w:line="245" w:lineRule="auto"/>
        <w:rPr>
          <w:color w:val="auto"/>
          <w:sz w:val="24"/>
          <w:szCs w:val="24"/>
          <w:highlight w:val="none"/>
          <w:lang w:eastAsia="zh-CN"/>
        </w:rPr>
      </w:pPr>
    </w:p>
    <w:p w14:paraId="3CD33ADF">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3DD7B596">
      <w:pPr>
        <w:pageBreakBefore w:val="0"/>
        <w:widowControl w:val="0"/>
        <w:wordWrap/>
        <w:overflowPunct/>
        <w:topLinePunct w:val="0"/>
        <w:bidi w:val="0"/>
        <w:spacing w:line="249" w:lineRule="auto"/>
        <w:rPr>
          <w:color w:val="auto"/>
          <w:sz w:val="24"/>
          <w:szCs w:val="24"/>
          <w:highlight w:val="none"/>
          <w:lang w:eastAsia="zh-CN"/>
        </w:rPr>
      </w:pPr>
    </w:p>
    <w:p w14:paraId="0532FC7F">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1、采购标的的交付时间、地点：</w:t>
      </w:r>
    </w:p>
    <w:p w14:paraId="1689BDD5">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（1）交付时间：合同签订之日起60个日历日内完成平台建设、资源库建设、示范课程开发并交付使用。</w:t>
      </w:r>
    </w:p>
    <w:p w14:paraId="5F11968B">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（2）交付地点：江西现代职业技术学院（采购人指定地点）。</w:t>
      </w:r>
    </w:p>
    <w:p w14:paraId="0F4BFF21">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2、付款方式及条件：</w:t>
      </w:r>
    </w:p>
    <w:p w14:paraId="59C19877">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合同签订后的3个工作日内，成交供应商需向采购人缴纳履约保证金（金额为合同总价的5%，可采用支票、汇票、本票、网上银行支付，或金融机构、担保机构出具的保函、保险公司出具的保证保险等非现金形式）。</w:t>
      </w:r>
    </w:p>
    <w:p w14:paraId="45A9C8C1">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待整个项目验收合格，且成交供应商向采购人提供正规的增值税发票后的10个工作日内，采购人将支付款项至合同总价的100%。此时，履约保证金在成交供应商已履行完本合同约定的全部权利义务事项后将一次性付清（不计利息）。支付前，成交供应商需向采购人提供正规增值税发票。</w:t>
      </w:r>
    </w:p>
    <w:p w14:paraId="3F666476">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eastAsia="宋体" w:cs="宋体"/>
          <w:kern w:val="0"/>
          <w:sz w:val="24"/>
          <w:szCs w:val="24"/>
          <w:lang w:val="en-US" w:eastAsia="zh-CN" w:bidi="ar"/>
        </w:rPr>
        <w:t>3、</w:t>
      </w:r>
      <w:r>
        <w:rPr>
          <w:rFonts w:hint="eastAsia" w:ascii="宋体" w:hAnsi="宋体" w:cs="宋体"/>
          <w:kern w:val="0"/>
          <w:sz w:val="24"/>
          <w:szCs w:val="24"/>
          <w:lang w:bidi="ar"/>
        </w:rPr>
        <w:t>知识产权归属：</w:t>
      </w:r>
    </w:p>
    <w:p w14:paraId="68DEFEEF">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技术平台的知识产权归供应商所有；课程思政示范课建设成果的知识产权归采购人所有。</w:t>
      </w:r>
    </w:p>
    <w:p w14:paraId="53A4E90C">
      <w:pPr>
        <w:widowControl/>
        <w:spacing w:line="480" w:lineRule="exact"/>
        <w:ind w:firstLine="480" w:firstLineChars="200"/>
        <w:jc w:val="left"/>
        <w:rPr>
          <w:rFonts w:hint="default" w:ascii="宋体" w:hAnsi="宋体" w:eastAsia="宋体" w:cs="宋体"/>
          <w:kern w:val="0"/>
          <w:sz w:val="24"/>
          <w:szCs w:val="24"/>
          <w:lang w:val="en-US" w:eastAsia="zh-CN" w:bidi="ar"/>
        </w:rPr>
      </w:pPr>
      <w:r>
        <w:rPr>
          <w:rFonts w:hint="eastAsia" w:ascii="宋体" w:hAnsi="宋体" w:cs="宋体"/>
          <w:kern w:val="0"/>
          <w:sz w:val="24"/>
          <w:szCs w:val="24"/>
          <w:lang w:bidi="ar"/>
        </w:rPr>
        <w:t>4、供应商</w:t>
      </w:r>
      <w:r>
        <w:rPr>
          <w:rFonts w:hint="eastAsia" w:ascii="宋体" w:hAnsi="宋体" w:eastAsia="宋体" w:cs="宋体"/>
          <w:kern w:val="0"/>
          <w:sz w:val="24"/>
          <w:szCs w:val="24"/>
          <w:lang w:val="en-US" w:eastAsia="zh-CN" w:bidi="ar"/>
        </w:rPr>
        <w:t>须为本项目</w:t>
      </w:r>
      <w:r>
        <w:rPr>
          <w:rFonts w:hint="eastAsia" w:ascii="宋体" w:hAnsi="宋体" w:cs="宋体"/>
          <w:kern w:val="0"/>
          <w:sz w:val="24"/>
          <w:szCs w:val="24"/>
          <w:lang w:bidi="ar"/>
        </w:rPr>
        <w:t>投入</w:t>
      </w:r>
      <w:r>
        <w:rPr>
          <w:rFonts w:hint="eastAsia" w:ascii="宋体" w:hAnsi="宋体" w:eastAsia="宋体" w:cs="宋体"/>
          <w:kern w:val="0"/>
          <w:sz w:val="24"/>
          <w:szCs w:val="24"/>
          <w:lang w:val="en-US" w:eastAsia="zh-CN" w:bidi="ar"/>
        </w:rPr>
        <w:t>服务</w:t>
      </w:r>
      <w:r>
        <w:rPr>
          <w:rFonts w:hint="eastAsia" w:ascii="宋体" w:hAnsi="宋体" w:cs="宋体"/>
          <w:kern w:val="0"/>
          <w:sz w:val="24"/>
          <w:szCs w:val="24"/>
          <w:lang w:bidi="ar"/>
        </w:rPr>
        <w:t>团队</w:t>
      </w:r>
      <w:r>
        <w:rPr>
          <w:rFonts w:hint="eastAsia" w:ascii="宋体" w:hAnsi="宋体" w:eastAsia="宋体" w:cs="宋体"/>
          <w:kern w:val="0"/>
          <w:sz w:val="24"/>
          <w:szCs w:val="24"/>
          <w:lang w:eastAsia="zh-CN" w:bidi="ar"/>
        </w:rPr>
        <w:t>，</w:t>
      </w:r>
      <w:r>
        <w:rPr>
          <w:rFonts w:hint="eastAsia" w:ascii="宋体" w:hAnsi="宋体" w:cs="宋体"/>
          <w:kern w:val="0"/>
          <w:sz w:val="24"/>
          <w:szCs w:val="24"/>
          <w:lang w:bidi="ar"/>
        </w:rPr>
        <w:t>成员</w:t>
      </w:r>
      <w:r>
        <w:rPr>
          <w:rFonts w:hint="eastAsia" w:ascii="宋体" w:hAnsi="宋体" w:eastAsia="宋体" w:cs="宋体"/>
          <w:kern w:val="0"/>
          <w:sz w:val="24"/>
          <w:szCs w:val="24"/>
          <w:lang w:val="en-US" w:eastAsia="zh-CN" w:bidi="ar"/>
        </w:rPr>
        <w:t>至少包含1名项目经理和2名团队成员。</w:t>
      </w:r>
    </w:p>
    <w:p w14:paraId="2781D473">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eastAsia="宋体" w:cs="宋体"/>
          <w:kern w:val="0"/>
          <w:sz w:val="24"/>
          <w:szCs w:val="24"/>
          <w:lang w:val="en-US" w:eastAsia="zh-CN" w:bidi="ar"/>
        </w:rPr>
        <w:t>5、</w:t>
      </w:r>
      <w:r>
        <w:rPr>
          <w:rFonts w:hint="eastAsia" w:ascii="宋体" w:hAnsi="宋体" w:cs="宋体"/>
          <w:kern w:val="0"/>
          <w:sz w:val="24"/>
          <w:szCs w:val="24"/>
          <w:lang w:bidi="ar"/>
        </w:rPr>
        <w:t>采购标的售后服务等情况：</w:t>
      </w:r>
    </w:p>
    <w:p w14:paraId="58DDDF87">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（1）供应商须保证设备（系统）及所有配套件的完整性和可靠性。对该设备的正常运行和维护必不可少的部件、配件、耗材等提供供应商与联系方式。</w:t>
      </w:r>
    </w:p>
    <w:p w14:paraId="7EBB1FD2">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（2）技术平台提供3年售后服务，期满后如继续使用，每年按不高于4.5万元收取续用费，且平台知识产权归供应商所有。</w:t>
      </w:r>
    </w:p>
    <w:p w14:paraId="35B6EC20">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3）在售后服务期内，如设备（系统）有质量问题，供应商须提供7×12小时服务热线（即时响应）。在接到采购人的服务通知后，24小时内解决问题，若24小时内无法解脱问题，供应商应提供同档次的设备（系统）供采购人使用。</w:t>
      </w:r>
    </w:p>
    <w:p w14:paraId="4EEBE5DA">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（4）在售后服务期内供应商负责软硬件系统运行的稳定性，更换硬件故障部件或修改出错的软件系统（不包含人为破坏或损坏）；如因人为因素导致硬件损坏的，由采购人负责硬件费用，供应商进行更换。</w:t>
      </w:r>
    </w:p>
    <w:p w14:paraId="14D45F44">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5）设备（系统）发生故障需要更换部件时，在完成部件的更换且设备可正常运行时起计，所更换零部件的售后服务期为3年。在零部件售后服务期内，如所更换的部件发生故障，供应商应提供维修服务，所产生的费用由供应商承担。</w:t>
      </w:r>
    </w:p>
    <w:p w14:paraId="16839204">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6）设备（系统）售后服务期内的故障报修，如供应商未能做到上述服务承诺时，采购人可采取必要的补救措施，但其风险和所产生的费用由供应商承担；采购人根据合同规定对供应商行使的其它权力不受影响。</w:t>
      </w:r>
    </w:p>
    <w:p w14:paraId="668B3519">
      <w:pPr>
        <w:widowControl/>
        <w:spacing w:line="480" w:lineRule="exact"/>
        <w:ind w:firstLine="480" w:firstLineChars="200"/>
        <w:jc w:val="left"/>
        <w:rPr>
          <w:rFonts w:hint="eastAsia" w:ascii="宋体" w:hAnsi="宋体" w:cs="宋体"/>
          <w:kern w:val="0"/>
          <w:sz w:val="24"/>
          <w:szCs w:val="24"/>
          <w:lang w:bidi="ar"/>
        </w:rPr>
      </w:pPr>
      <w:r>
        <w:rPr>
          <w:rFonts w:hint="eastAsia" w:ascii="宋体" w:hAnsi="宋体" w:cs="宋体"/>
          <w:kern w:val="0"/>
          <w:sz w:val="24"/>
          <w:szCs w:val="24"/>
          <w:lang w:bidi="ar"/>
        </w:rPr>
        <w:t>（7）售后服务期内因采购人使用、管理不当所造成的设备（系统）故障，其损失由采购人承担，供应商有义务提供有偿服务。</w:t>
      </w:r>
    </w:p>
    <w:p w14:paraId="08B1573D">
      <w:pPr>
        <w:widowControl/>
        <w:spacing w:line="480" w:lineRule="exact"/>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0"/>
          <w:sz w:val="24"/>
          <w:szCs w:val="24"/>
          <w:lang w:bidi="ar"/>
        </w:rPr>
        <w:t>（8）售后服务期满后，供应商应采购人的要求应提供长期的有偿的优惠维护服务。</w:t>
      </w:r>
    </w:p>
    <w:p w14:paraId="15D4422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p>
    <w:p w14:paraId="1350142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left"/>
        <w:textAlignment w:val="baseline"/>
        <w:rPr>
          <w:lang w:eastAsia="zh-CN"/>
        </w:rPr>
      </w:pPr>
      <w:r>
        <w:rPr>
          <w:rFonts w:hint="eastAsia" w:ascii="宋体" w:hAnsi="宋体" w:eastAsia="宋体" w:cs="宋体"/>
          <w:b/>
          <w:bCs/>
          <w:snapToGrid w:val="0"/>
          <w:color w:val="000000"/>
          <w:kern w:val="0"/>
          <w:sz w:val="24"/>
          <w:szCs w:val="24"/>
          <w:lang w:val="en-US" w:eastAsia="zh-CN" w:bidi="ar"/>
        </w:rPr>
        <w:t>注：以上服务要求、商务条件供应商必须全部响应（满足或优于），否则视为无效响应。</w:t>
      </w:r>
    </w:p>
    <w:p w14:paraId="5708E7AB">
      <w:pPr>
        <w:spacing w:line="360" w:lineRule="auto"/>
        <w:ind w:firstLine="0" w:firstLineChars="0"/>
        <w:jc w:val="both"/>
        <w:rPr>
          <w:rFonts w:hint="eastAsia" w:ascii="宋体" w:hAnsi="宋体" w:eastAsia="宋体" w:cs="宋体"/>
          <w:sz w:val="24"/>
          <w:szCs w:val="24"/>
          <w:lang w:eastAsia="zh-CN"/>
        </w:rPr>
      </w:pPr>
    </w:p>
    <w:p w14:paraId="3B01C864">
      <w:pPr>
        <w:pageBreakBefore w:val="0"/>
        <w:widowControl w:val="0"/>
        <w:wordWrap/>
        <w:overflowPunct/>
        <w:topLinePunct w:val="0"/>
        <w:bidi w:val="0"/>
        <w:spacing w:line="283" w:lineRule="auto"/>
        <w:rPr>
          <w:color w:val="auto"/>
          <w:highlight w:val="none"/>
          <w:lang w:eastAsia="zh-CN"/>
        </w:rPr>
      </w:pPr>
    </w:p>
    <w:p w14:paraId="5B162C90">
      <w:pPr>
        <w:rPr>
          <w:rFonts w:ascii="宋体" w:hAnsi="宋体" w:eastAsia="宋体" w:cs="宋体"/>
          <w:color w:val="auto"/>
          <w:spacing w:val="-2"/>
          <w:sz w:val="24"/>
          <w:szCs w:val="24"/>
          <w:highlight w:val="none"/>
          <w:lang w:eastAsia="zh-CN"/>
        </w:rPr>
        <w:sectPr>
          <w:footerReference r:id="rId26" w:type="default"/>
          <w:pgSz w:w="11906" w:h="16839"/>
          <w:pgMar w:top="1066" w:right="1304" w:bottom="986" w:left="1307" w:header="0" w:footer="994" w:gutter="0"/>
          <w:pgNumType w:fmt="decimal"/>
          <w:cols w:space="720" w:num="1"/>
        </w:sectPr>
      </w:pPr>
    </w:p>
    <w:p w14:paraId="28C59A5B">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141" w:name="_Toc18011"/>
      <w:bookmarkStart w:id="142" w:name="_Toc505955294"/>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 xml:space="preserve">第六章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评审</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标准</w:t>
      </w:r>
      <w:bookmarkEnd w:id="141"/>
      <w:bookmarkEnd w:id="142"/>
    </w:p>
    <w:p w14:paraId="42486803">
      <w:pPr>
        <w:pStyle w:val="2"/>
        <w:numPr>
          <w:ilvl w:val="0"/>
          <w:numId w:val="0"/>
        </w:numPr>
        <w:rPr>
          <w:rFonts w:hint="eastAsia"/>
          <w:lang w:eastAsia="zh-CN"/>
        </w:rPr>
      </w:pPr>
    </w:p>
    <w:p w14:paraId="5E4F2757">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143" w:name="_Toc32583"/>
      <w:bookmarkStart w:id="144" w:name="_Toc27725"/>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一、符合性审查</w:t>
      </w:r>
      <w:bookmarkEnd w:id="143"/>
      <w:bookmarkEnd w:id="144"/>
    </w:p>
    <w:p w14:paraId="5E6B8236">
      <w:pPr>
        <w:spacing w:line="400" w:lineRule="exact"/>
        <w:ind w:left="563" w:leftChars="114" w:hanging="324" w:hangingChars="135"/>
        <w:rPr>
          <w:rFonts w:ascii="宋体" w:hAnsi="宋体" w:cs="宋体"/>
          <w:b/>
          <w:color w:val="auto"/>
          <w:sz w:val="24"/>
          <w:szCs w:val="24"/>
          <w:highlight w:val="none"/>
        </w:rPr>
      </w:pPr>
      <w:r>
        <w:rPr>
          <w:rFonts w:hint="eastAsia" w:ascii="宋体" w:hAnsi="宋体" w:cs="宋体"/>
          <w:b/>
          <w:color w:val="auto"/>
          <w:sz w:val="24"/>
          <w:szCs w:val="24"/>
          <w:highlight w:val="none"/>
          <w:lang w:val="en-US" w:eastAsia="zh-CN"/>
        </w:rPr>
        <w:t>出现</w:t>
      </w:r>
      <w:r>
        <w:rPr>
          <w:rFonts w:hint="eastAsia" w:ascii="宋体" w:hAnsi="宋体" w:cs="宋体"/>
          <w:b/>
          <w:color w:val="auto"/>
          <w:sz w:val="24"/>
          <w:szCs w:val="24"/>
          <w:highlight w:val="none"/>
        </w:rPr>
        <w:t>下列情况之一的，其</w:t>
      </w:r>
      <w:r>
        <w:rPr>
          <w:rFonts w:hint="eastAsia" w:ascii="宋体" w:hAnsi="宋体" w:cs="宋体"/>
          <w:b/>
          <w:color w:val="auto"/>
          <w:sz w:val="24"/>
          <w:szCs w:val="24"/>
          <w:highlight w:val="none"/>
          <w:lang w:val="en-US" w:eastAsia="zh-CN"/>
        </w:rPr>
        <w:t>响应文件</w:t>
      </w:r>
      <w:r>
        <w:rPr>
          <w:rFonts w:hint="eastAsia" w:ascii="宋体" w:hAnsi="宋体" w:cs="宋体"/>
          <w:b/>
          <w:color w:val="auto"/>
          <w:sz w:val="24"/>
          <w:szCs w:val="24"/>
          <w:highlight w:val="none"/>
        </w:rPr>
        <w:t>将作无效</w:t>
      </w:r>
      <w:r>
        <w:rPr>
          <w:rFonts w:hint="eastAsia" w:ascii="宋体" w:hAnsi="宋体" w:cs="宋体"/>
          <w:b/>
          <w:color w:val="auto"/>
          <w:sz w:val="24"/>
          <w:szCs w:val="24"/>
          <w:highlight w:val="none"/>
          <w:lang w:val="en-US" w:eastAsia="zh-CN"/>
        </w:rPr>
        <w:t>响应</w:t>
      </w:r>
      <w:r>
        <w:rPr>
          <w:rFonts w:hint="eastAsia" w:ascii="宋体" w:hAnsi="宋体" w:cs="宋体"/>
          <w:b/>
          <w:color w:val="auto"/>
          <w:sz w:val="24"/>
          <w:szCs w:val="24"/>
          <w:highlight w:val="none"/>
        </w:rPr>
        <w:t>处理：</w:t>
      </w:r>
    </w:p>
    <w:p w14:paraId="478A1D96">
      <w:pPr>
        <w:spacing w:line="400" w:lineRule="exact"/>
        <w:rPr>
          <w:rFonts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通过电子化政府采购系统提交的</w:t>
      </w:r>
      <w:r>
        <w:rPr>
          <w:rFonts w:hint="eastAsia" w:ascii="宋体" w:hAnsi="宋体" w:cs="宋体"/>
          <w:color w:val="auto"/>
          <w:sz w:val="24"/>
          <w:szCs w:val="24"/>
          <w:highlight w:val="none"/>
          <w:lang w:eastAsia="zh-CN"/>
        </w:rPr>
        <w:t>响应</w:t>
      </w:r>
      <w:r>
        <w:rPr>
          <w:rFonts w:hint="eastAsia" w:ascii="宋体" w:hAnsi="宋体" w:cs="宋体"/>
          <w:color w:val="auto"/>
          <w:sz w:val="24"/>
          <w:szCs w:val="24"/>
          <w:highlight w:val="none"/>
        </w:rPr>
        <w:t>文件</w:t>
      </w:r>
      <w:r>
        <w:rPr>
          <w:rFonts w:hint="eastAsia" w:ascii="宋体" w:hAnsi="宋体" w:cs="宋体"/>
          <w:color w:val="auto"/>
          <w:sz w:val="24"/>
          <w:szCs w:val="24"/>
          <w:highlight w:val="none"/>
          <w:lang w:val="en-US" w:eastAsia="zh-CN"/>
        </w:rPr>
        <w:t>未</w:t>
      </w:r>
      <w:r>
        <w:rPr>
          <w:rFonts w:hint="eastAsia" w:ascii="宋体" w:hAnsi="宋体" w:cs="宋体"/>
          <w:color w:val="auto"/>
          <w:sz w:val="24"/>
          <w:szCs w:val="24"/>
          <w:highlight w:val="none"/>
        </w:rPr>
        <w:t>正常打开；</w:t>
      </w:r>
    </w:p>
    <w:p w14:paraId="5591DA0B">
      <w:pPr>
        <w:spacing w:line="400" w:lineRule="exact"/>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val="en-US" w:eastAsia="zh-CN"/>
        </w:rPr>
        <w:t>未</w:t>
      </w:r>
      <w:r>
        <w:rPr>
          <w:rFonts w:hint="eastAsia" w:ascii="宋体" w:hAnsi="宋体" w:cs="宋体"/>
          <w:color w:val="auto"/>
          <w:sz w:val="24"/>
          <w:szCs w:val="24"/>
          <w:highlight w:val="none"/>
        </w:rPr>
        <w:t>提交</w:t>
      </w:r>
      <w:r>
        <w:rPr>
          <w:rFonts w:hint="eastAsia" w:ascii="宋体" w:hAnsi="宋体" w:eastAsia="宋体" w:cs="宋体"/>
          <w:color w:val="auto"/>
          <w:sz w:val="24"/>
          <w:szCs w:val="24"/>
          <w:highlight w:val="none"/>
          <w:lang w:val="en-US" w:eastAsia="zh-CN"/>
        </w:rPr>
        <w:t>报价</w:t>
      </w:r>
      <w:r>
        <w:rPr>
          <w:rFonts w:hint="eastAsia" w:ascii="宋体" w:hAnsi="宋体" w:cs="宋体"/>
          <w:color w:val="auto"/>
          <w:sz w:val="24"/>
          <w:szCs w:val="24"/>
          <w:highlight w:val="none"/>
        </w:rPr>
        <w:t>一览表、分项报价表、</w:t>
      </w:r>
      <w:r>
        <w:rPr>
          <w:rFonts w:hint="eastAsia" w:ascii="宋体" w:hAnsi="宋体" w:eastAsia="宋体" w:cs="宋体"/>
          <w:color w:val="auto"/>
          <w:sz w:val="24"/>
          <w:szCs w:val="24"/>
          <w:highlight w:val="none"/>
          <w:lang w:val="en-US" w:eastAsia="zh-CN"/>
        </w:rPr>
        <w:t>报价</w:t>
      </w:r>
      <w:r>
        <w:rPr>
          <w:rFonts w:hint="eastAsia" w:ascii="宋体" w:hAnsi="宋体" w:cs="宋体"/>
          <w:color w:val="auto"/>
          <w:sz w:val="24"/>
          <w:szCs w:val="24"/>
          <w:highlight w:val="none"/>
        </w:rPr>
        <w:t>一览明细表中应列出分项报价；</w:t>
      </w:r>
    </w:p>
    <w:p w14:paraId="2F0FDC1C">
      <w:pPr>
        <w:spacing w:line="400" w:lineRule="exact"/>
        <w:rPr>
          <w:rFonts w:hint="eastAsia" w:ascii="宋体" w:hAnsi="宋体" w:cs="宋体"/>
          <w:color w:val="auto"/>
          <w:sz w:val="24"/>
          <w:szCs w:val="24"/>
          <w:highlight w:val="none"/>
          <w:lang w:val="en-GB"/>
        </w:rPr>
      </w:pP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val="en-GB"/>
        </w:rPr>
        <w:t>未提供磋商保证金或金额不足，磋商保证金形式不符合磋商文件要求的；</w:t>
      </w:r>
    </w:p>
    <w:p w14:paraId="5B157E3A">
      <w:pPr>
        <w:spacing w:line="400" w:lineRule="exact"/>
        <w:rPr>
          <w:rFonts w:hint="eastAsia" w:ascii="宋体" w:hAnsi="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val="en-GB"/>
        </w:rPr>
        <w:t>未按磋商</w:t>
      </w:r>
      <w:r>
        <w:rPr>
          <w:rFonts w:hint="eastAsia" w:ascii="宋体" w:hAnsi="宋体" w:cs="宋体"/>
          <w:color w:val="auto"/>
          <w:sz w:val="24"/>
          <w:szCs w:val="24"/>
          <w:highlight w:val="none"/>
        </w:rPr>
        <w:t>文件“第四章 响应文件格式”的规定提供</w:t>
      </w:r>
      <w:r>
        <w:rPr>
          <w:rFonts w:hint="eastAsia" w:ascii="宋体" w:hAnsi="宋体" w:cs="宋体"/>
          <w:color w:val="auto"/>
          <w:sz w:val="24"/>
          <w:szCs w:val="24"/>
          <w:highlight w:val="none"/>
          <w:lang w:val="en-GB"/>
        </w:rPr>
        <w:t>资格、资信证明文件的；</w:t>
      </w:r>
    </w:p>
    <w:p w14:paraId="74E3F364">
      <w:pPr>
        <w:spacing w:line="400" w:lineRule="exact"/>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未按磋商文件要求签字、签章的，或签字（签章）人无法定代表人有效委托的；</w:t>
      </w:r>
    </w:p>
    <w:p w14:paraId="006D0E8E">
      <w:pPr>
        <w:spacing w:line="40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磋商文件规定为国产产品，提供进口产品参加磋商的</w:t>
      </w:r>
      <w:r>
        <w:rPr>
          <w:rFonts w:hint="eastAsia" w:ascii="宋体" w:hAnsi="宋体" w:eastAsia="宋体" w:cs="宋体"/>
          <w:color w:val="auto"/>
          <w:sz w:val="24"/>
          <w:szCs w:val="24"/>
          <w:highlight w:val="none"/>
          <w:lang w:eastAsia="zh-CN"/>
        </w:rPr>
        <w:t>；</w:t>
      </w:r>
    </w:p>
    <w:p w14:paraId="024C1A3E">
      <w:pPr>
        <w:spacing w:line="400" w:lineRule="exact"/>
        <w:rPr>
          <w:rFonts w:hint="eastAsia" w:ascii="宋体" w:hAnsi="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val="en-GB"/>
        </w:rPr>
        <w:t>磋商有效期响应不足的；</w:t>
      </w:r>
    </w:p>
    <w:p w14:paraId="6F8A21F0">
      <w:pPr>
        <w:spacing w:line="400" w:lineRule="exact"/>
        <w:rPr>
          <w:rFonts w:hint="eastAsia" w:ascii="宋体" w:hAnsi="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val="en-GB"/>
        </w:rPr>
        <w:t>技术文件技术规格中的响应与事实不符或虚假响应的；</w:t>
      </w:r>
    </w:p>
    <w:p w14:paraId="2E3CDB36">
      <w:pPr>
        <w:spacing w:line="400" w:lineRule="exact"/>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超过了采购项目预算或最高限价的；</w:t>
      </w:r>
    </w:p>
    <w:p w14:paraId="75D04258">
      <w:pPr>
        <w:spacing w:line="400" w:lineRule="exact"/>
        <w:rPr>
          <w:rFonts w:hint="eastAsia" w:ascii="宋体" w:hAnsi="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磋商文件规定的其他响应无效条款。</w:t>
      </w:r>
    </w:p>
    <w:p w14:paraId="0368C122">
      <w:pPr>
        <w:spacing w:line="400" w:lineRule="exact"/>
        <w:ind w:left="360" w:hanging="360" w:hangingChars="150"/>
        <w:rPr>
          <w:rFonts w:ascii="宋体" w:hAnsi="宋体" w:cs="宋体"/>
          <w:b/>
          <w:color w:val="auto"/>
          <w:sz w:val="24"/>
          <w:szCs w:val="24"/>
          <w:highlight w:val="none"/>
        </w:rPr>
      </w:pPr>
    </w:p>
    <w:p w14:paraId="66C360BF">
      <w:pPr>
        <w:spacing w:line="360" w:lineRule="exact"/>
        <w:rPr>
          <w:rFonts w:ascii="宋体" w:hAnsi="宋体" w:cs="宋体"/>
          <w:b/>
          <w:color w:val="auto"/>
          <w:sz w:val="32"/>
          <w:szCs w:val="32"/>
          <w:highlight w:val="none"/>
        </w:rPr>
      </w:pPr>
    </w:p>
    <w:p w14:paraId="043E7269">
      <w:pPr>
        <w:rPr>
          <w:rFonts w:ascii="宋体" w:hAnsi="宋体" w:cs="宋体"/>
          <w:color w:val="auto"/>
          <w:highlight w:val="none"/>
        </w:rPr>
      </w:pPr>
    </w:p>
    <w:p w14:paraId="74214157">
      <w:pPr>
        <w:spacing w:line="400" w:lineRule="exact"/>
        <w:rPr>
          <w:rFonts w:ascii="宋体" w:hAnsi="宋体" w:cs="宋体"/>
          <w:b/>
          <w:color w:val="auto"/>
          <w:sz w:val="24"/>
          <w:szCs w:val="24"/>
          <w:highlight w:val="none"/>
        </w:rPr>
      </w:pPr>
      <w:r>
        <w:rPr>
          <w:rFonts w:hint="eastAsia" w:ascii="宋体" w:hAnsi="宋体" w:cs="宋体"/>
          <w:b/>
          <w:color w:val="auto"/>
          <w:sz w:val="24"/>
          <w:szCs w:val="24"/>
          <w:highlight w:val="none"/>
        </w:rPr>
        <w:t>废标情形</w:t>
      </w:r>
    </w:p>
    <w:p w14:paraId="43D2FB40">
      <w:pPr>
        <w:spacing w:line="440" w:lineRule="exact"/>
        <w:rPr>
          <w:rFonts w:ascii="宋体" w:hAnsi="宋体" w:cs="宋体"/>
          <w:color w:val="auto"/>
          <w:sz w:val="24"/>
          <w:szCs w:val="24"/>
          <w:highlight w:val="none"/>
        </w:rPr>
      </w:pPr>
      <w:r>
        <w:rPr>
          <w:rFonts w:hint="eastAsia" w:ascii="宋体" w:hAnsi="宋体" w:cs="宋体"/>
          <w:color w:val="auto"/>
          <w:sz w:val="24"/>
          <w:szCs w:val="24"/>
          <w:highlight w:val="none"/>
        </w:rPr>
        <w:t>在</w:t>
      </w:r>
      <w:r>
        <w:rPr>
          <w:rFonts w:hint="eastAsia" w:ascii="宋体" w:hAnsi="宋体" w:cs="宋体"/>
          <w:color w:val="auto"/>
          <w:sz w:val="24"/>
          <w:szCs w:val="24"/>
          <w:highlight w:val="none"/>
          <w:lang w:val="en-US" w:eastAsia="zh-CN"/>
        </w:rPr>
        <w:t>磋商</w:t>
      </w:r>
      <w:r>
        <w:rPr>
          <w:rFonts w:hint="eastAsia" w:ascii="宋体" w:hAnsi="宋体" w:cs="宋体"/>
          <w:color w:val="auto"/>
          <w:sz w:val="24"/>
          <w:szCs w:val="24"/>
          <w:highlight w:val="none"/>
        </w:rPr>
        <w:t>采购中，出现下列情形之一的，应予</w:t>
      </w:r>
      <w:r>
        <w:rPr>
          <w:rFonts w:hint="eastAsia" w:ascii="宋体" w:hAnsi="宋体" w:cs="宋体"/>
          <w:color w:val="auto"/>
          <w:sz w:val="24"/>
          <w:szCs w:val="24"/>
          <w:highlight w:val="none"/>
          <w:lang w:val="en-US" w:eastAsia="zh-CN"/>
        </w:rPr>
        <w:t>终止采购活动</w:t>
      </w:r>
      <w:r>
        <w:rPr>
          <w:rFonts w:hint="eastAsia" w:ascii="宋体" w:hAnsi="宋体" w:cs="宋体"/>
          <w:color w:val="auto"/>
          <w:sz w:val="24"/>
          <w:szCs w:val="24"/>
          <w:highlight w:val="none"/>
        </w:rPr>
        <w:t>：</w:t>
      </w:r>
    </w:p>
    <w:p w14:paraId="28AAFDD0">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240" w:firstLineChars="1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符合专业条件的供应商或者对</w:t>
      </w:r>
      <w:r>
        <w:rPr>
          <w:rFonts w:hint="eastAsia" w:ascii="宋体" w:hAnsi="宋体" w:cs="宋体"/>
          <w:color w:val="auto"/>
          <w:sz w:val="24"/>
          <w:szCs w:val="24"/>
          <w:highlight w:val="none"/>
          <w:lang w:eastAsia="zh-CN"/>
        </w:rPr>
        <w:t>磋商文件</w:t>
      </w:r>
      <w:r>
        <w:rPr>
          <w:rFonts w:hint="eastAsia" w:ascii="宋体" w:hAnsi="宋体" w:cs="宋体"/>
          <w:color w:val="auto"/>
          <w:sz w:val="24"/>
          <w:szCs w:val="24"/>
          <w:highlight w:val="none"/>
        </w:rPr>
        <w:t>作实质响应的供应商不足三家的；政府购买服务项目（含政府和社会资本合作项目），在采购过程中符合要求的供应商（社会资本）只有2家的，磋商采购活动可以继续进行，采购过程中符合要求的供应商（社会资本）只有1家的，采购人或者采购代理机构应当终止磋商采购活动</w:t>
      </w:r>
      <w:r>
        <w:rPr>
          <w:rFonts w:hint="eastAsia" w:ascii="宋体" w:hAnsi="宋体" w:eastAsia="宋体" w:cs="宋体"/>
          <w:color w:val="auto"/>
          <w:sz w:val="24"/>
          <w:szCs w:val="24"/>
          <w:highlight w:val="none"/>
          <w:lang w:eastAsia="zh-CN"/>
        </w:rPr>
        <w:t>；</w:t>
      </w:r>
    </w:p>
    <w:p w14:paraId="5264E6C5">
      <w:pPr>
        <w:spacing w:line="440" w:lineRule="exact"/>
        <w:ind w:firstLine="240" w:firstLineChars="100"/>
        <w:rPr>
          <w:rFonts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出现影响采购公正的违法、违规行为的；</w:t>
      </w:r>
    </w:p>
    <w:p w14:paraId="29322CBB">
      <w:pPr>
        <w:spacing w:line="440" w:lineRule="exact"/>
        <w:ind w:firstLine="240" w:firstLineChars="100"/>
        <w:rPr>
          <w:rFonts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val="en-US" w:eastAsia="zh-CN"/>
        </w:rPr>
        <w:t>供应商</w:t>
      </w:r>
      <w:r>
        <w:rPr>
          <w:rFonts w:hint="eastAsia" w:ascii="宋体" w:hAnsi="宋体" w:cs="宋体"/>
          <w:color w:val="auto"/>
          <w:sz w:val="24"/>
          <w:szCs w:val="24"/>
          <w:highlight w:val="none"/>
        </w:rPr>
        <w:t>的报价均超过了采购预算，采购人不能支付的；</w:t>
      </w:r>
    </w:p>
    <w:p w14:paraId="3D73D519">
      <w:pPr>
        <w:spacing w:line="440" w:lineRule="exact"/>
        <w:ind w:firstLine="240" w:firstLineChars="100"/>
        <w:rPr>
          <w:rFonts w:cs="仿宋" w:asciiTheme="minorEastAsia" w:hAnsiTheme="minorEastAsia" w:eastAsiaTheme="minorEastAsia"/>
          <w:b/>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rPr>
        <w:t>因重大变故，采购任务取消。</w:t>
      </w:r>
    </w:p>
    <w:p w14:paraId="7815265A">
      <w:pPr>
        <w:spacing w:line="440" w:lineRule="exact"/>
        <w:ind w:firstLine="240" w:firstLineChars="100"/>
        <w:rPr>
          <w:rFonts w:hint="eastAsia" w:ascii="宋体" w:hAnsi="宋体" w:cs="宋体"/>
          <w:color w:val="auto"/>
          <w:sz w:val="24"/>
          <w:szCs w:val="24"/>
          <w:highlight w:val="none"/>
        </w:rPr>
      </w:pPr>
      <w:bookmarkStart w:id="145" w:name="_Toc504641993"/>
      <w:bookmarkStart w:id="146" w:name="_Toc500258558"/>
      <w:bookmarkStart w:id="147" w:name="_Toc505020183"/>
      <w:bookmarkStart w:id="148" w:name="_Toc499818239"/>
    </w:p>
    <w:p w14:paraId="4FF5678C">
      <w:pPr>
        <w:spacing w:line="440" w:lineRule="exact"/>
        <w:ind w:firstLine="240" w:firstLineChars="100"/>
        <w:rPr>
          <w:rFonts w:hint="eastAsia" w:ascii="宋体" w:hAnsi="宋体" w:cs="宋体"/>
          <w:color w:val="auto"/>
          <w:sz w:val="24"/>
          <w:szCs w:val="24"/>
          <w:highlight w:val="none"/>
        </w:rPr>
      </w:pPr>
    </w:p>
    <w:p w14:paraId="54115DBD">
      <w:pPr>
        <w:spacing w:line="440" w:lineRule="exact"/>
        <w:ind w:firstLine="240" w:firstLineChars="100"/>
        <w:rPr>
          <w:rFonts w:hint="eastAsia" w:ascii="宋体" w:hAnsi="宋体" w:cs="宋体"/>
          <w:color w:val="auto"/>
          <w:sz w:val="24"/>
          <w:szCs w:val="24"/>
          <w:highlight w:val="none"/>
        </w:rPr>
      </w:pPr>
    </w:p>
    <w:p w14:paraId="71025426">
      <w:pPr>
        <w:spacing w:line="440" w:lineRule="exact"/>
        <w:ind w:firstLine="240" w:firstLineChars="100"/>
        <w:rPr>
          <w:rFonts w:hint="eastAsia" w:ascii="宋体" w:hAnsi="宋体" w:cs="宋体"/>
          <w:color w:val="auto"/>
          <w:sz w:val="24"/>
          <w:szCs w:val="24"/>
          <w:highlight w:val="none"/>
        </w:rPr>
      </w:pPr>
    </w:p>
    <w:p w14:paraId="5AEE9009">
      <w:pPr>
        <w:spacing w:line="440" w:lineRule="exact"/>
        <w:ind w:firstLine="240" w:firstLineChars="100"/>
        <w:rPr>
          <w:rFonts w:hint="eastAsia" w:ascii="宋体" w:hAnsi="宋体" w:cs="宋体"/>
          <w:color w:val="auto"/>
          <w:sz w:val="24"/>
          <w:szCs w:val="24"/>
          <w:highlight w:val="none"/>
        </w:rPr>
      </w:pPr>
    </w:p>
    <w:bookmarkEnd w:id="145"/>
    <w:bookmarkEnd w:id="146"/>
    <w:bookmarkEnd w:id="147"/>
    <w:bookmarkEnd w:id="148"/>
    <w:p w14:paraId="093C6D6E">
      <w:pP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br w:type="page"/>
      </w:r>
    </w:p>
    <w:p w14:paraId="5BB4C6B8">
      <w:pPr>
        <w:spacing w:line="460" w:lineRule="exact"/>
        <w:ind w:firstLine="482" w:firstLineChars="200"/>
        <w:jc w:val="left"/>
        <w:outlineLvl w:val="0"/>
        <w:rPr>
          <w:rFonts w:hint="eastAsia" w:ascii="宋体" w:hAnsi="宋体" w:eastAsia="宋体" w:cs="宋体"/>
          <w:b/>
          <w:bCs/>
          <w:color w:val="auto"/>
          <w:sz w:val="24"/>
          <w:szCs w:val="24"/>
          <w:highlight w:val="none"/>
        </w:rPr>
      </w:pPr>
      <w:bookmarkStart w:id="149" w:name="_Toc24408"/>
      <w:bookmarkStart w:id="150" w:name="_Toc22119"/>
      <w:r>
        <w:rPr>
          <w:rFonts w:hint="eastAsia" w:ascii="宋体" w:hAnsi="宋体" w:eastAsia="宋体" w:cs="宋体"/>
          <w:b/>
          <w:bCs/>
          <w:color w:val="auto"/>
          <w:sz w:val="24"/>
          <w:szCs w:val="24"/>
          <w:highlight w:val="none"/>
        </w:rPr>
        <w:t>按照磋商文件中规定的评审方法和标准，磋商小组采用综合评分法对符合性审查合格且提交了最后报价的供应商的响应文件和最后报价进行综合评分。</w:t>
      </w:r>
      <w:bookmarkEnd w:id="149"/>
      <w:bookmarkEnd w:id="150"/>
    </w:p>
    <w:p w14:paraId="21515A73">
      <w:pPr>
        <w:spacing w:afterLines="50" w:line="440" w:lineRule="exact"/>
        <w:ind w:firstLine="120" w:firstLineChars="5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价格评分</w:t>
      </w:r>
      <w:r>
        <w:rPr>
          <w:rFonts w:hint="eastAsia" w:ascii="宋体" w:hAnsi="宋体" w:eastAsia="宋体" w:cs="宋体"/>
          <w:b/>
          <w:bCs/>
          <w:color w:val="auto"/>
          <w:sz w:val="24"/>
          <w:szCs w:val="24"/>
          <w:highlight w:val="none"/>
          <w:lang w:val="en-US" w:eastAsia="zh-CN"/>
        </w:rPr>
        <w:t>（15</w:t>
      </w:r>
      <w:r>
        <w:rPr>
          <w:rFonts w:hint="eastAsia" w:ascii="宋体" w:hAnsi="宋体" w:eastAsia="宋体" w:cs="宋体"/>
          <w:b/>
          <w:bCs/>
          <w:color w:val="auto"/>
          <w:sz w:val="24"/>
          <w:szCs w:val="24"/>
          <w:highlight w:val="none"/>
        </w:rPr>
        <w:t>分</w:t>
      </w:r>
      <w:r>
        <w:rPr>
          <w:rFonts w:hint="eastAsia" w:ascii="宋体" w:hAnsi="宋体" w:eastAsia="宋体" w:cs="宋体"/>
          <w:b/>
          <w:bCs/>
          <w:color w:val="auto"/>
          <w:sz w:val="24"/>
          <w:szCs w:val="24"/>
          <w:highlight w:val="none"/>
          <w:lang w:val="en-US" w:eastAsia="zh-CN"/>
        </w:rPr>
        <w:t>)</w:t>
      </w:r>
    </w:p>
    <w:tbl>
      <w:tblPr>
        <w:tblStyle w:val="19"/>
        <w:tblW w:w="9148"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6"/>
        <w:gridCol w:w="842"/>
      </w:tblGrid>
      <w:tr w14:paraId="042A5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306" w:type="dxa"/>
            <w:vAlign w:val="center"/>
          </w:tcPr>
          <w:p w14:paraId="2BBD7AC6">
            <w:pPr>
              <w:spacing w:line="440" w:lineRule="exact"/>
              <w:jc w:val="center"/>
              <w:rPr>
                <w:rFonts w:hint="eastAsia" w:ascii="宋体" w:hAnsi="宋体" w:eastAsia="宋体" w:cs="宋体"/>
                <w:bCs/>
                <w:color w:val="auto"/>
                <w:sz w:val="24"/>
                <w:szCs w:val="24"/>
                <w:highlight w:val="none"/>
              </w:rPr>
            </w:pPr>
            <w:r>
              <w:rPr>
                <w:rFonts w:hint="eastAsia" w:ascii="宋体" w:hAnsi="宋体" w:eastAsia="宋体" w:cs="宋体"/>
                <w:b/>
                <w:bCs/>
                <w:color w:val="auto"/>
                <w:sz w:val="24"/>
                <w:szCs w:val="24"/>
                <w:highlight w:val="none"/>
              </w:rPr>
              <w:t>评审内容</w:t>
            </w:r>
          </w:p>
        </w:tc>
        <w:tc>
          <w:tcPr>
            <w:tcW w:w="842" w:type="dxa"/>
            <w:vAlign w:val="center"/>
          </w:tcPr>
          <w:p w14:paraId="54D4EEFC">
            <w:pPr>
              <w:spacing w:line="440" w:lineRule="exact"/>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分值</w:t>
            </w:r>
          </w:p>
        </w:tc>
      </w:tr>
      <w:tr w14:paraId="0CDED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8" w:hRule="atLeast"/>
        </w:trPr>
        <w:tc>
          <w:tcPr>
            <w:tcW w:w="8306" w:type="dxa"/>
            <w:vAlign w:val="center"/>
          </w:tcPr>
          <w:p w14:paraId="701385BD">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i w:val="0"/>
                <w:iCs w:val="0"/>
                <w:color w:val="auto"/>
                <w:sz w:val="24"/>
                <w:szCs w:val="24"/>
                <w:highlight w:val="none"/>
              </w:rPr>
            </w:pPr>
            <w:r>
              <w:rPr>
                <w:rFonts w:hint="eastAsia" w:ascii="宋体" w:hAnsi="宋体" w:eastAsia="宋体" w:cs="宋体"/>
                <w:i w:val="0"/>
                <w:iCs w:val="0"/>
                <w:color w:val="auto"/>
                <w:sz w:val="24"/>
                <w:szCs w:val="24"/>
                <w:highlight w:val="none"/>
              </w:rPr>
              <w:t>价格分采用低价优先法计算，即满足磋商文件要求且最后报价最低的磋商报价为评标基准价，其价格分为满分。其他供应商的价格分统一按下列公式计算：</w:t>
            </w:r>
          </w:p>
          <w:p w14:paraId="75483DA1">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i w:val="0"/>
                <w:iCs w:val="0"/>
                <w:color w:val="auto"/>
                <w:sz w:val="24"/>
                <w:szCs w:val="24"/>
                <w:highlight w:val="none"/>
              </w:rPr>
            </w:pPr>
            <w:r>
              <w:rPr>
                <w:rFonts w:hint="eastAsia" w:ascii="宋体" w:hAnsi="宋体" w:eastAsia="宋体" w:cs="宋体"/>
                <w:i w:val="0"/>
                <w:iCs w:val="0"/>
                <w:color w:val="auto"/>
                <w:sz w:val="24"/>
                <w:szCs w:val="24"/>
                <w:highlight w:val="none"/>
              </w:rPr>
              <w:t>磋商报价得分=（评标基准价/磋商报价）×</w:t>
            </w:r>
            <w:r>
              <w:rPr>
                <w:rFonts w:hint="eastAsia" w:ascii="宋体" w:hAnsi="宋体" w:eastAsia="宋体" w:cs="宋体"/>
                <w:i w:val="0"/>
                <w:iCs w:val="0"/>
                <w:color w:val="auto"/>
                <w:sz w:val="24"/>
                <w:szCs w:val="24"/>
                <w:highlight w:val="none"/>
                <w:lang w:val="en-US" w:eastAsia="zh-CN"/>
              </w:rPr>
              <w:t>15</w:t>
            </w:r>
            <w:r>
              <w:rPr>
                <w:rFonts w:hint="eastAsia" w:ascii="宋体" w:hAnsi="宋体" w:eastAsia="宋体" w:cs="宋体"/>
                <w:i w:val="0"/>
                <w:iCs w:val="0"/>
                <w:color w:val="auto"/>
                <w:sz w:val="24"/>
                <w:szCs w:val="24"/>
                <w:highlight w:val="none"/>
              </w:rPr>
              <w:t>分</w:t>
            </w:r>
          </w:p>
          <w:p w14:paraId="63A04282">
            <w:pPr>
              <w:keepNext w:val="0"/>
              <w:keepLines w:val="0"/>
              <w:pageBreakBefore w:val="0"/>
              <w:widowControl w:val="0"/>
              <w:kinsoku w:val="0"/>
              <w:wordWrap/>
              <w:overflowPunct/>
              <w:topLinePunct w:val="0"/>
              <w:autoSpaceDE w:val="0"/>
              <w:autoSpaceDN w:val="0"/>
              <w:bidi w:val="0"/>
              <w:adjustRightInd w:val="0"/>
              <w:snapToGrid w:val="0"/>
              <w:spacing w:line="500" w:lineRule="exact"/>
              <w:ind w:right="102" w:firstLine="480" w:firstLineChars="200"/>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注：（</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是否执行</w:t>
            </w:r>
            <w:r>
              <w:rPr>
                <w:rFonts w:hint="eastAsia" w:ascii="宋体" w:hAnsi="宋体" w:eastAsia="宋体" w:cs="宋体"/>
                <w:color w:val="auto"/>
                <w:spacing w:val="0"/>
                <w:position w:val="0"/>
                <w:sz w:val="24"/>
                <w:szCs w:val="24"/>
                <w:lang w:eastAsia="zh-CN"/>
              </w:rPr>
              <w:t>政府采购政策</w:t>
            </w:r>
            <w:r>
              <w:rPr>
                <w:rFonts w:hint="eastAsia" w:ascii="宋体" w:hAnsi="宋体" w:eastAsia="宋体" w:cs="宋体"/>
                <w:color w:val="auto"/>
                <w:spacing w:val="0"/>
                <w:position w:val="0"/>
                <w:sz w:val="24"/>
                <w:szCs w:val="24"/>
                <w:lang w:val="en-US" w:eastAsia="zh-CN"/>
              </w:rPr>
              <w:t>价格扣除</w:t>
            </w:r>
            <w:r>
              <w:rPr>
                <w:rFonts w:hint="eastAsia" w:ascii="宋体" w:hAnsi="宋体" w:eastAsia="宋体" w:cs="宋体"/>
                <w:color w:val="auto"/>
                <w:spacing w:val="0"/>
                <w:position w:val="0"/>
                <w:sz w:val="24"/>
                <w:szCs w:val="24"/>
                <w:lang w:eastAsia="zh-CN"/>
              </w:rPr>
              <w:t>评审</w:t>
            </w:r>
            <w:r>
              <w:rPr>
                <w:rFonts w:hint="eastAsia" w:ascii="宋体" w:hAnsi="宋体" w:eastAsia="宋体" w:cs="宋体"/>
                <w:color w:val="auto"/>
                <w:spacing w:val="0"/>
                <w:position w:val="0"/>
                <w:sz w:val="24"/>
                <w:szCs w:val="24"/>
                <w:lang w:val="en-US" w:eastAsia="zh-CN"/>
              </w:rPr>
              <w:t>优惠，详见竞争性磋商文件第二章供应商须知前附表。</w:t>
            </w:r>
          </w:p>
          <w:p w14:paraId="0C38C5F7">
            <w:pPr>
              <w:keepNext w:val="0"/>
              <w:keepLines w:val="0"/>
              <w:pageBreakBefore w:val="0"/>
              <w:widowControl w:val="0"/>
              <w:kinsoku w:val="0"/>
              <w:wordWrap/>
              <w:overflowPunct/>
              <w:topLinePunct w:val="0"/>
              <w:autoSpaceDE w:val="0"/>
              <w:autoSpaceDN w:val="0"/>
              <w:bidi w:val="0"/>
              <w:adjustRightInd w:val="0"/>
              <w:snapToGrid w:val="0"/>
              <w:spacing w:line="500" w:lineRule="exact"/>
              <w:ind w:right="102"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lang w:val="en-US" w:eastAsia="zh-CN"/>
              </w:rPr>
              <w:t>（2）如</w:t>
            </w:r>
            <w:r>
              <w:rPr>
                <w:rFonts w:hint="default" w:ascii="宋体" w:hAnsi="宋体" w:eastAsia="宋体" w:cs="宋体"/>
                <w:color w:val="auto"/>
                <w:spacing w:val="0"/>
                <w:position w:val="0"/>
                <w:sz w:val="24"/>
                <w:szCs w:val="24"/>
                <w:lang w:val="en-US" w:eastAsia="zh-CN"/>
              </w:rPr>
              <w:t>涉及政府采购政策叠加适用，统一在</w:t>
            </w:r>
            <w:r>
              <w:rPr>
                <w:rFonts w:hint="eastAsia" w:ascii="宋体" w:hAnsi="宋体" w:eastAsia="宋体" w:cs="宋体"/>
                <w:color w:val="auto"/>
                <w:spacing w:val="0"/>
                <w:position w:val="0"/>
                <w:sz w:val="24"/>
                <w:szCs w:val="24"/>
                <w:lang w:val="en-US" w:eastAsia="zh-CN"/>
              </w:rPr>
              <w:t>供应商最后</w:t>
            </w:r>
            <w:r>
              <w:rPr>
                <w:rFonts w:hint="default" w:ascii="宋体" w:hAnsi="宋体" w:eastAsia="宋体" w:cs="宋体"/>
                <w:color w:val="auto"/>
                <w:spacing w:val="0"/>
                <w:position w:val="0"/>
                <w:sz w:val="24"/>
                <w:szCs w:val="24"/>
                <w:lang w:val="en-US" w:eastAsia="zh-CN"/>
              </w:rPr>
              <w:t>报价的基础上进行价格扣除。</w:t>
            </w:r>
            <w:r>
              <w:rPr>
                <w:rFonts w:hint="eastAsia" w:ascii="宋体" w:hAnsi="宋体" w:eastAsia="宋体" w:cs="宋体"/>
                <w:color w:val="auto"/>
                <w:spacing w:val="0"/>
                <w:position w:val="0"/>
                <w:sz w:val="24"/>
                <w:szCs w:val="24"/>
                <w:lang w:val="en-US" w:eastAsia="zh-CN"/>
              </w:rPr>
              <w:t>即</w:t>
            </w:r>
            <w:r>
              <w:rPr>
                <w:rFonts w:hint="default" w:ascii="宋体" w:hAnsi="宋体" w:eastAsia="宋体" w:cs="宋体"/>
                <w:color w:val="auto"/>
                <w:spacing w:val="0"/>
                <w:position w:val="0"/>
                <w:sz w:val="24"/>
                <w:szCs w:val="24"/>
                <w:lang w:val="en-US" w:eastAsia="zh-CN"/>
              </w:rPr>
              <w:t>评</w:t>
            </w:r>
            <w:r>
              <w:rPr>
                <w:rFonts w:hint="eastAsia" w:ascii="宋体" w:hAnsi="宋体" w:eastAsia="宋体" w:cs="宋体"/>
                <w:color w:val="auto"/>
                <w:spacing w:val="0"/>
                <w:position w:val="0"/>
                <w:sz w:val="24"/>
                <w:szCs w:val="24"/>
                <w:lang w:val="en-US" w:eastAsia="zh-CN"/>
              </w:rPr>
              <w:t>审</w:t>
            </w:r>
            <w:r>
              <w:rPr>
                <w:rFonts w:hint="default" w:ascii="宋体" w:hAnsi="宋体" w:eastAsia="宋体" w:cs="宋体"/>
                <w:color w:val="auto"/>
                <w:spacing w:val="0"/>
                <w:position w:val="0"/>
                <w:sz w:val="24"/>
                <w:szCs w:val="24"/>
                <w:lang w:val="en-US" w:eastAsia="zh-CN"/>
              </w:rPr>
              <w:t>价=</w:t>
            </w:r>
            <w:r>
              <w:rPr>
                <w:rFonts w:hint="eastAsia" w:ascii="宋体" w:hAnsi="宋体" w:eastAsia="宋体" w:cs="宋体"/>
                <w:color w:val="auto"/>
                <w:spacing w:val="0"/>
                <w:position w:val="0"/>
                <w:sz w:val="24"/>
                <w:szCs w:val="24"/>
                <w:lang w:val="en-US" w:eastAsia="zh-CN"/>
              </w:rPr>
              <w:t>最后</w:t>
            </w:r>
            <w:r>
              <w:rPr>
                <w:rFonts w:hint="default" w:ascii="宋体" w:hAnsi="宋体" w:eastAsia="宋体" w:cs="宋体"/>
                <w:color w:val="auto"/>
                <w:spacing w:val="0"/>
                <w:position w:val="0"/>
                <w:sz w:val="24"/>
                <w:szCs w:val="24"/>
                <w:lang w:val="en-US" w:eastAsia="zh-CN"/>
              </w:rPr>
              <w:t>报价×</w:t>
            </w:r>
            <w:r>
              <w:rPr>
                <w:rFonts w:hint="eastAsia" w:ascii="宋体" w:hAnsi="宋体" w:eastAsia="宋体" w:cs="宋体"/>
                <w:color w:val="auto"/>
                <w:spacing w:val="0"/>
                <w:position w:val="0"/>
                <w:sz w:val="24"/>
                <w:szCs w:val="24"/>
                <w:lang w:val="en-US" w:eastAsia="zh-CN"/>
              </w:rPr>
              <w:t>【</w:t>
            </w:r>
            <w:r>
              <w:rPr>
                <w:rFonts w:hint="default" w:ascii="宋体" w:hAnsi="宋体" w:eastAsia="宋体" w:cs="宋体"/>
                <w:color w:val="auto"/>
                <w:spacing w:val="0"/>
                <w:position w:val="0"/>
                <w:sz w:val="24"/>
                <w:szCs w:val="24"/>
                <w:lang w:val="en-US" w:eastAsia="zh-CN"/>
              </w:rPr>
              <w:t>1-（本国</w:t>
            </w:r>
            <w:r>
              <w:rPr>
                <w:rFonts w:hint="eastAsia" w:ascii="宋体" w:hAnsi="宋体" w:eastAsia="宋体" w:cs="宋体"/>
                <w:color w:val="auto"/>
                <w:spacing w:val="0"/>
                <w:position w:val="0"/>
                <w:sz w:val="24"/>
                <w:szCs w:val="24"/>
                <w:lang w:val="en-US" w:eastAsia="zh-CN"/>
              </w:rPr>
              <w:t>价格</w:t>
            </w:r>
            <w:r>
              <w:rPr>
                <w:rFonts w:hint="default" w:ascii="宋体" w:hAnsi="宋体" w:eastAsia="宋体" w:cs="宋体"/>
                <w:color w:val="auto"/>
                <w:spacing w:val="0"/>
                <w:position w:val="0"/>
                <w:sz w:val="24"/>
                <w:szCs w:val="24"/>
                <w:lang w:val="en-US" w:eastAsia="zh-CN"/>
              </w:rPr>
              <w:t>扣</w:t>
            </w:r>
            <w:r>
              <w:rPr>
                <w:rFonts w:hint="eastAsia" w:ascii="宋体" w:hAnsi="宋体" w:eastAsia="宋体" w:cs="宋体"/>
                <w:color w:val="auto"/>
                <w:spacing w:val="0"/>
                <w:position w:val="0"/>
                <w:sz w:val="24"/>
                <w:szCs w:val="24"/>
                <w:lang w:val="en-US" w:eastAsia="zh-CN"/>
              </w:rPr>
              <w:t>除</w:t>
            </w:r>
            <w:r>
              <w:rPr>
                <w:rFonts w:hint="default" w:ascii="宋体" w:hAnsi="宋体" w:eastAsia="宋体" w:cs="宋体"/>
                <w:color w:val="auto"/>
                <w:spacing w:val="0"/>
                <w:position w:val="0"/>
                <w:sz w:val="24"/>
                <w:szCs w:val="24"/>
                <w:lang w:val="en-US" w:eastAsia="zh-CN"/>
              </w:rPr>
              <w:t>20%+小</w:t>
            </w:r>
            <w:r>
              <w:rPr>
                <w:rFonts w:hint="eastAsia" w:ascii="宋体" w:hAnsi="宋体" w:eastAsia="宋体" w:cs="宋体"/>
                <w:color w:val="auto"/>
                <w:spacing w:val="0"/>
                <w:position w:val="0"/>
                <w:sz w:val="24"/>
                <w:szCs w:val="24"/>
                <w:lang w:val="en-US" w:eastAsia="zh-CN"/>
              </w:rPr>
              <w:t>微企业价格</w:t>
            </w:r>
            <w:r>
              <w:rPr>
                <w:rFonts w:hint="default" w:ascii="宋体" w:hAnsi="宋体" w:eastAsia="宋体" w:cs="宋体"/>
                <w:color w:val="auto"/>
                <w:spacing w:val="0"/>
                <w:position w:val="0"/>
                <w:sz w:val="24"/>
                <w:szCs w:val="24"/>
                <w:lang w:val="en-US" w:eastAsia="zh-CN"/>
              </w:rPr>
              <w:t>扣</w:t>
            </w:r>
            <w:r>
              <w:rPr>
                <w:rFonts w:hint="eastAsia" w:ascii="宋体" w:hAnsi="宋体" w:eastAsia="宋体" w:cs="宋体"/>
                <w:color w:val="auto"/>
                <w:spacing w:val="0"/>
                <w:position w:val="0"/>
                <w:sz w:val="24"/>
                <w:szCs w:val="24"/>
                <w:lang w:val="en-US" w:eastAsia="zh-CN"/>
              </w:rPr>
              <w:t>除</w:t>
            </w:r>
            <w:r>
              <w:rPr>
                <w:rFonts w:hint="default" w:ascii="宋体" w:hAnsi="宋体" w:eastAsia="宋体" w:cs="宋体"/>
                <w:color w:val="auto"/>
                <w:spacing w:val="0"/>
                <w:position w:val="0"/>
                <w:sz w:val="24"/>
                <w:szCs w:val="24"/>
                <w:lang w:val="en-US" w:eastAsia="zh-CN"/>
              </w:rPr>
              <w:t>10%+</w:t>
            </w:r>
            <w:r>
              <w:rPr>
                <w:rFonts w:hint="eastAsia" w:ascii="宋体" w:hAnsi="宋体" w:eastAsia="宋体" w:cs="宋体"/>
                <w:color w:val="auto"/>
                <w:spacing w:val="0"/>
                <w:position w:val="0"/>
                <w:sz w:val="24"/>
                <w:szCs w:val="24"/>
                <w:lang w:val="en-US" w:eastAsia="zh-CN"/>
              </w:rPr>
              <w:t>......</w:t>
            </w:r>
            <w:r>
              <w:rPr>
                <w:rFonts w:hint="default"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val="en-US" w:eastAsia="zh-CN"/>
              </w:rPr>
              <w:t>】</w:t>
            </w:r>
          </w:p>
        </w:tc>
        <w:tc>
          <w:tcPr>
            <w:tcW w:w="842" w:type="dxa"/>
            <w:vAlign w:val="center"/>
          </w:tcPr>
          <w:p w14:paraId="28C4BBA6">
            <w:pPr>
              <w:keepNext w:val="0"/>
              <w:keepLines w:val="0"/>
              <w:pageBreakBefore w:val="0"/>
              <w:widowControl/>
              <w:kinsoku/>
              <w:wordWrap/>
              <w:overflowPunct/>
              <w:topLinePunct w:val="0"/>
              <w:autoSpaceDE/>
              <w:autoSpaceDN/>
              <w:bidi w:val="0"/>
              <w:adjustRightInd/>
              <w:snapToGrid/>
              <w:spacing w:line="500" w:lineRule="exact"/>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lang w:val="en-US" w:eastAsia="zh-CN"/>
              </w:rPr>
              <w:t>15分</w:t>
            </w:r>
          </w:p>
        </w:tc>
      </w:tr>
    </w:tbl>
    <w:p w14:paraId="7B94B0C3">
      <w:pPr>
        <w:pageBreakBefore w:val="0"/>
        <w:widowControl w:val="0"/>
        <w:wordWrap/>
        <w:overflowPunct/>
        <w:topLinePunct w:val="0"/>
        <w:bidi w:val="0"/>
        <w:spacing w:before="78" w:line="220" w:lineRule="auto"/>
        <w:outlineLvl w:val="1"/>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p>
    <w:p w14:paraId="31B1F6AD">
      <w:pPr>
        <w:spacing w:afterLines="50" w:line="440" w:lineRule="exact"/>
        <w:ind w:firstLine="120" w:firstLineChars="5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（二）技术评</w:t>
      </w:r>
      <w:r>
        <w:rPr>
          <w:rFonts w:hint="eastAsia" w:ascii="宋体" w:hAnsi="宋体" w:eastAsia="宋体" w:cs="宋体"/>
          <w:b/>
          <w:bCs/>
          <w:color w:val="auto"/>
          <w:sz w:val="24"/>
          <w:szCs w:val="24"/>
          <w:highlight w:val="none"/>
          <w:lang w:val="en-US" w:eastAsia="zh-CN"/>
        </w:rPr>
        <w:t>审（25分）</w:t>
      </w:r>
    </w:p>
    <w:tbl>
      <w:tblPr>
        <w:tblStyle w:val="19"/>
        <w:tblW w:w="9150" w:type="dxa"/>
        <w:tblInd w:w="2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6"/>
        <w:gridCol w:w="6862"/>
        <w:gridCol w:w="842"/>
      </w:tblGrid>
      <w:tr w14:paraId="2A177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446" w:type="dxa"/>
            <w:noWrap w:val="0"/>
            <w:vAlign w:val="center"/>
          </w:tcPr>
          <w:p w14:paraId="096D9F78">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评分点</w:t>
            </w:r>
          </w:p>
        </w:tc>
        <w:tc>
          <w:tcPr>
            <w:tcW w:w="6862" w:type="dxa"/>
            <w:noWrap w:val="0"/>
            <w:vAlign w:val="center"/>
          </w:tcPr>
          <w:p w14:paraId="4A68F10F">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评审内容</w:t>
            </w:r>
          </w:p>
        </w:tc>
        <w:tc>
          <w:tcPr>
            <w:tcW w:w="842" w:type="dxa"/>
            <w:noWrap w:val="0"/>
            <w:vAlign w:val="center"/>
          </w:tcPr>
          <w:p w14:paraId="7FB31BC9">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总分值</w:t>
            </w:r>
          </w:p>
        </w:tc>
      </w:tr>
      <w:tr w14:paraId="05427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1446" w:type="dxa"/>
            <w:noWrap w:val="0"/>
            <w:vAlign w:val="center"/>
          </w:tcPr>
          <w:p w14:paraId="00BC383D">
            <w:pPr>
              <w:pageBreakBefore w:val="0"/>
              <w:widowControl/>
              <w:wordWrap/>
              <w:overflowPunct/>
              <w:topLinePunct w:val="0"/>
              <w:bidi w:val="0"/>
              <w:spacing w:line="500" w:lineRule="exact"/>
              <w:jc w:val="center"/>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符合性审查</w:t>
            </w:r>
          </w:p>
        </w:tc>
        <w:tc>
          <w:tcPr>
            <w:tcW w:w="7704" w:type="dxa"/>
            <w:gridSpan w:val="2"/>
            <w:noWrap w:val="0"/>
            <w:vAlign w:val="center"/>
          </w:tcPr>
          <w:p w14:paraId="29DA42E8">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必须全部</w:t>
            </w:r>
            <w:r>
              <w:rPr>
                <w:rFonts w:hint="eastAsia" w:ascii="宋体" w:hAnsi="宋体" w:eastAsia="宋体" w:cs="宋体"/>
                <w:color w:val="auto"/>
                <w:kern w:val="0"/>
                <w:sz w:val="24"/>
                <w:szCs w:val="24"/>
                <w:highlight w:val="none"/>
                <w:lang w:val="en-US" w:eastAsia="zh-CN" w:bidi="ar-SA"/>
              </w:rPr>
              <w:t>满足</w:t>
            </w:r>
            <w:r>
              <w:rPr>
                <w:rFonts w:hint="eastAsia" w:ascii="宋体" w:hAnsi="宋体" w:eastAsia="宋体" w:cs="宋体"/>
                <w:color w:val="auto"/>
                <w:sz w:val="24"/>
                <w:szCs w:val="24"/>
                <w:highlight w:val="none"/>
                <w:lang w:val="en-US" w:eastAsia="zh-CN"/>
              </w:rPr>
              <w:t>磋商文件“第五章 采购需求”中“二、采购要求”内服务需求”的全部要求，</w:t>
            </w:r>
            <w:r>
              <w:rPr>
                <w:rFonts w:hint="eastAsia" w:ascii="宋体" w:hAnsi="宋体" w:eastAsia="宋体" w:cs="宋体"/>
                <w:b/>
                <w:bCs/>
                <w:color w:val="auto"/>
                <w:sz w:val="24"/>
                <w:szCs w:val="24"/>
                <w:highlight w:val="none"/>
                <w:lang w:val="en-US" w:eastAsia="zh-CN"/>
              </w:rPr>
              <w:t>任意一条不满足作无效响应处理。</w:t>
            </w:r>
          </w:p>
          <w:p w14:paraId="2128C92F">
            <w:pPr>
              <w:pStyle w:val="38"/>
              <w:autoSpaceDE w:val="0"/>
              <w:autoSpaceDN w:val="0"/>
              <w:ind w:left="14" w:firstLine="482" w:firstLineChars="200"/>
              <w:jc w:val="left"/>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评审依据：根据供应商提供的技术需求响应/偏离表及其他要求的相应证明材料。</w:t>
            </w:r>
          </w:p>
        </w:tc>
      </w:tr>
      <w:tr w14:paraId="41906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446" w:type="dxa"/>
            <w:noWrap w:val="0"/>
            <w:vAlign w:val="center"/>
          </w:tcPr>
          <w:p w14:paraId="76E31E41">
            <w:pPr>
              <w:rPr>
                <w:rFonts w:hint="eastAsia" w:ascii="宋体" w:hAnsi="宋体" w:eastAsia="宋体" w:cs="宋体"/>
                <w:b/>
                <w:bCs/>
                <w:color w:val="auto"/>
                <w:sz w:val="24"/>
                <w:szCs w:val="24"/>
                <w:highlight w:val="none"/>
              </w:rPr>
            </w:pPr>
            <w:r>
              <w:rPr>
                <w:rFonts w:hint="eastAsia" w:ascii="宋体" w:hAnsi="宋体" w:eastAsia="宋体" w:cs="宋体"/>
                <w:b/>
                <w:bCs/>
                <w:spacing w:val="-6"/>
                <w:sz w:val="24"/>
                <w:szCs w:val="24"/>
                <w:highlight w:val="none"/>
                <w:lang w:bidi="ar"/>
              </w:rPr>
              <w:t>课程思政相关的数字化支撑能力</w:t>
            </w:r>
          </w:p>
        </w:tc>
        <w:tc>
          <w:tcPr>
            <w:tcW w:w="6862" w:type="dxa"/>
            <w:noWrap w:val="0"/>
            <w:vAlign w:val="center"/>
          </w:tcPr>
          <w:p w14:paraId="152E0041">
            <w:pPr>
              <w:widowControl/>
              <w:wordWrap w:val="0"/>
              <w:ind w:firstLine="480" w:firstLineChars="200"/>
              <w:jc w:val="left"/>
              <w:textAlignment w:val="top"/>
              <w:rPr>
                <w:rFonts w:hint="eastAsia" w:ascii="宋体" w:hAnsi="宋体" w:eastAsia="宋体" w:cs="宋体"/>
                <w:sz w:val="24"/>
                <w:szCs w:val="24"/>
                <w:highlight w:val="none"/>
                <w:lang w:eastAsia="zh-CN" w:bidi="ar"/>
              </w:rPr>
            </w:pPr>
            <w:r>
              <w:rPr>
                <w:rFonts w:hint="eastAsia" w:ascii="宋体" w:hAnsi="宋体" w:eastAsia="宋体" w:cs="宋体"/>
                <w:sz w:val="24"/>
                <w:szCs w:val="24"/>
                <w:highlight w:val="none"/>
                <w:lang w:bidi="ar"/>
              </w:rPr>
              <w:t>供应商具备课程思政管理类</w:t>
            </w:r>
            <w:r>
              <w:rPr>
                <w:rFonts w:hint="eastAsia" w:ascii="宋体" w:hAnsi="宋体" w:eastAsia="宋体" w:cs="宋体"/>
                <w:sz w:val="24"/>
                <w:szCs w:val="24"/>
                <w:highlight w:val="none"/>
                <w:lang w:val="en-US" w:eastAsia="zh-CN" w:bidi="ar"/>
              </w:rPr>
              <w:t>能力</w:t>
            </w:r>
            <w:r>
              <w:rPr>
                <w:rFonts w:hint="eastAsia" w:ascii="宋体" w:hAnsi="宋体" w:eastAsia="宋体" w:cs="宋体"/>
                <w:sz w:val="24"/>
                <w:szCs w:val="24"/>
                <w:highlight w:val="none"/>
                <w:lang w:bidi="ar"/>
              </w:rPr>
              <w:t>的得</w:t>
            </w:r>
            <w:r>
              <w:rPr>
                <w:rFonts w:hint="eastAsia" w:ascii="宋体" w:hAnsi="宋体" w:eastAsia="宋体" w:cs="宋体"/>
                <w:sz w:val="24"/>
                <w:szCs w:val="24"/>
                <w:highlight w:val="none"/>
                <w:lang w:val="en-US" w:eastAsia="zh-CN" w:bidi="ar"/>
              </w:rPr>
              <w:t>2</w:t>
            </w:r>
            <w:r>
              <w:rPr>
                <w:rFonts w:hint="eastAsia" w:ascii="宋体" w:hAnsi="宋体" w:eastAsia="宋体" w:cs="宋体"/>
                <w:sz w:val="24"/>
                <w:szCs w:val="24"/>
                <w:highlight w:val="none"/>
                <w:lang w:bidi="ar"/>
              </w:rPr>
              <w:t>分，具备智慧协同备课类</w:t>
            </w:r>
            <w:r>
              <w:rPr>
                <w:rFonts w:hint="eastAsia" w:ascii="宋体" w:hAnsi="宋体" w:eastAsia="宋体" w:cs="宋体"/>
                <w:sz w:val="24"/>
                <w:szCs w:val="24"/>
                <w:highlight w:val="none"/>
                <w:lang w:val="en-US" w:eastAsia="zh-CN" w:bidi="ar"/>
              </w:rPr>
              <w:t>能力</w:t>
            </w:r>
            <w:r>
              <w:rPr>
                <w:rFonts w:hint="eastAsia" w:ascii="宋体" w:hAnsi="宋体" w:eastAsia="宋体" w:cs="宋体"/>
                <w:sz w:val="24"/>
                <w:szCs w:val="24"/>
                <w:highlight w:val="none"/>
                <w:lang w:bidi="ar"/>
              </w:rPr>
              <w:t>的得</w:t>
            </w:r>
            <w:r>
              <w:rPr>
                <w:rFonts w:hint="eastAsia" w:ascii="宋体" w:hAnsi="宋体" w:eastAsia="宋体" w:cs="宋体"/>
                <w:sz w:val="24"/>
                <w:szCs w:val="24"/>
                <w:highlight w:val="none"/>
                <w:lang w:val="en-US" w:eastAsia="zh-CN" w:bidi="ar"/>
              </w:rPr>
              <w:t>2</w:t>
            </w:r>
            <w:r>
              <w:rPr>
                <w:rFonts w:hint="eastAsia" w:ascii="宋体" w:hAnsi="宋体" w:eastAsia="宋体" w:cs="宋体"/>
                <w:sz w:val="24"/>
                <w:szCs w:val="24"/>
                <w:highlight w:val="none"/>
                <w:lang w:bidi="ar"/>
              </w:rPr>
              <w:t>分，具备智能审校检测类</w:t>
            </w:r>
            <w:r>
              <w:rPr>
                <w:rFonts w:hint="eastAsia" w:ascii="宋体" w:hAnsi="宋体" w:eastAsia="宋体" w:cs="宋体"/>
                <w:sz w:val="24"/>
                <w:szCs w:val="24"/>
                <w:highlight w:val="none"/>
                <w:lang w:val="en-US" w:eastAsia="zh-CN" w:bidi="ar"/>
              </w:rPr>
              <w:t>能力</w:t>
            </w:r>
            <w:r>
              <w:rPr>
                <w:rFonts w:hint="eastAsia" w:ascii="宋体" w:hAnsi="宋体" w:eastAsia="宋体" w:cs="宋体"/>
                <w:sz w:val="24"/>
                <w:szCs w:val="24"/>
                <w:highlight w:val="none"/>
                <w:lang w:bidi="ar"/>
              </w:rPr>
              <w:t>的得</w:t>
            </w:r>
            <w:r>
              <w:rPr>
                <w:rFonts w:hint="eastAsia" w:ascii="宋体" w:hAnsi="宋体" w:eastAsia="宋体" w:cs="宋体"/>
                <w:sz w:val="24"/>
                <w:szCs w:val="24"/>
                <w:highlight w:val="none"/>
                <w:lang w:val="en-US" w:eastAsia="zh-CN" w:bidi="ar"/>
              </w:rPr>
              <w:t>2</w:t>
            </w:r>
            <w:r>
              <w:rPr>
                <w:rFonts w:hint="eastAsia" w:ascii="宋体" w:hAnsi="宋体" w:eastAsia="宋体" w:cs="宋体"/>
                <w:sz w:val="24"/>
                <w:szCs w:val="24"/>
                <w:highlight w:val="none"/>
                <w:lang w:bidi="ar"/>
              </w:rPr>
              <w:t>分</w:t>
            </w:r>
            <w:r>
              <w:rPr>
                <w:rFonts w:hint="eastAsia" w:ascii="宋体" w:hAnsi="宋体" w:eastAsia="宋体" w:cs="宋体"/>
                <w:sz w:val="24"/>
                <w:szCs w:val="24"/>
                <w:highlight w:val="none"/>
                <w:lang w:eastAsia="zh-CN" w:bidi="ar"/>
              </w:rPr>
              <w:t>。</w:t>
            </w:r>
          </w:p>
          <w:p w14:paraId="188594A4">
            <w:pPr>
              <w:widowControl/>
              <w:wordWrap w:val="0"/>
              <w:ind w:firstLine="482" w:firstLineChars="200"/>
              <w:jc w:val="left"/>
              <w:textAlignment w:val="top"/>
              <w:rPr>
                <w:rFonts w:hint="eastAsia" w:ascii="宋体" w:hAnsi="宋体" w:eastAsia="宋体" w:cs="宋体"/>
                <w:bCs/>
                <w:color w:val="auto"/>
                <w:sz w:val="24"/>
                <w:szCs w:val="24"/>
                <w:highlight w:val="none"/>
              </w:rPr>
            </w:pPr>
            <w:r>
              <w:rPr>
                <w:rFonts w:hint="eastAsia" w:ascii="宋体" w:hAnsi="宋体" w:eastAsia="宋体" w:cs="宋体"/>
                <w:b/>
                <w:bCs/>
                <w:sz w:val="24"/>
                <w:szCs w:val="24"/>
                <w:highlight w:val="none"/>
                <w:lang w:val="en-US" w:eastAsia="zh-CN"/>
              </w:rPr>
              <w:t>评审依据：</w:t>
            </w:r>
            <w:r>
              <w:rPr>
                <w:rFonts w:hint="eastAsia" w:ascii="宋体" w:hAnsi="宋体" w:eastAsia="宋体" w:cs="宋体"/>
                <w:b/>
                <w:bCs/>
                <w:sz w:val="24"/>
                <w:szCs w:val="24"/>
                <w:highlight w:val="none"/>
              </w:rPr>
              <w:t>提供国家版权局颁发的计算机软件著作权登记证书（如供应商非软件著作权人的，还需提供著作权人出具的合法使用证明）扫描件并加盖供应商公章。</w:t>
            </w:r>
          </w:p>
        </w:tc>
        <w:tc>
          <w:tcPr>
            <w:tcW w:w="842" w:type="dxa"/>
            <w:noWrap w:val="0"/>
            <w:vAlign w:val="center"/>
          </w:tcPr>
          <w:p w14:paraId="575FEE0A">
            <w:pPr>
              <w:jc w:val="center"/>
              <w:rPr>
                <w:rFonts w:hint="eastAsia" w:ascii="宋体" w:hAnsi="宋体" w:eastAsia="宋体" w:cs="宋体"/>
                <w:bCs/>
                <w:color w:val="auto"/>
                <w:sz w:val="24"/>
                <w:szCs w:val="24"/>
                <w:highlight w:val="none"/>
              </w:rPr>
            </w:pPr>
            <w:r>
              <w:rPr>
                <w:rFonts w:hint="eastAsia" w:ascii="宋体" w:hAnsi="宋体" w:eastAsia="宋体" w:cs="宋体"/>
                <w:bCs/>
                <w:sz w:val="24"/>
                <w:szCs w:val="24"/>
                <w:highlight w:val="none"/>
                <w:lang w:val="en-US" w:eastAsia="zh-CN"/>
              </w:rPr>
              <w:t>6</w:t>
            </w:r>
            <w:r>
              <w:rPr>
                <w:rFonts w:hint="eastAsia" w:ascii="宋体" w:hAnsi="宋体" w:eastAsia="宋体" w:cs="宋体"/>
                <w:bCs/>
                <w:sz w:val="24"/>
                <w:szCs w:val="24"/>
                <w:highlight w:val="none"/>
              </w:rPr>
              <w:t>分</w:t>
            </w:r>
          </w:p>
        </w:tc>
      </w:tr>
      <w:tr w14:paraId="0AC3D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446" w:type="dxa"/>
            <w:noWrap w:val="0"/>
            <w:vAlign w:val="center"/>
          </w:tcPr>
          <w:p w14:paraId="2848C3BC">
            <w:pPr>
              <w:rPr>
                <w:rFonts w:hint="eastAsia" w:ascii="宋体" w:hAnsi="宋体" w:eastAsia="宋体" w:cs="宋体"/>
                <w:b/>
                <w:bCs/>
                <w:color w:val="auto"/>
                <w:sz w:val="24"/>
                <w:szCs w:val="24"/>
                <w:highlight w:val="none"/>
              </w:rPr>
            </w:pPr>
            <w:r>
              <w:rPr>
                <w:rFonts w:hint="eastAsia" w:ascii="宋体" w:hAnsi="宋体" w:eastAsia="宋体" w:cs="宋体"/>
                <w:b/>
                <w:bCs/>
                <w:spacing w:val="-6"/>
                <w:sz w:val="24"/>
                <w:szCs w:val="24"/>
                <w:highlight w:val="none"/>
                <w:lang w:bidi="ar"/>
              </w:rPr>
              <w:t>项目管理</w:t>
            </w:r>
            <w:r>
              <w:rPr>
                <w:rFonts w:hint="eastAsia" w:ascii="宋体" w:hAnsi="宋体" w:eastAsia="宋体" w:cs="宋体"/>
                <w:b/>
                <w:bCs/>
                <w:spacing w:val="-6"/>
                <w:sz w:val="24"/>
                <w:szCs w:val="24"/>
                <w:highlight w:val="none"/>
                <w:lang w:val="en-US" w:eastAsia="zh-CN" w:bidi="ar"/>
              </w:rPr>
              <w:t>能力</w:t>
            </w:r>
          </w:p>
        </w:tc>
        <w:tc>
          <w:tcPr>
            <w:tcW w:w="6862" w:type="dxa"/>
            <w:noWrap w:val="0"/>
            <w:vAlign w:val="center"/>
          </w:tcPr>
          <w:p w14:paraId="006CB076">
            <w:pPr>
              <w:widowControl/>
              <w:wordWrap w:val="0"/>
              <w:ind w:firstLine="480" w:firstLineChars="200"/>
              <w:jc w:val="left"/>
              <w:textAlignment w:val="top"/>
              <w:rPr>
                <w:rFonts w:hint="eastAsia" w:ascii="宋体" w:hAnsi="宋体" w:eastAsia="宋体" w:cs="宋体"/>
                <w:sz w:val="24"/>
                <w:szCs w:val="24"/>
                <w:highlight w:val="none"/>
                <w:lang w:val="en-US" w:eastAsia="zh-CN" w:bidi="ar"/>
              </w:rPr>
            </w:pPr>
            <w:r>
              <w:rPr>
                <w:rFonts w:hint="eastAsia" w:ascii="宋体" w:hAnsi="宋体" w:eastAsia="宋体" w:cs="宋体"/>
                <w:sz w:val="24"/>
                <w:szCs w:val="24"/>
                <w:highlight w:val="none"/>
                <w:lang w:bidi="ar"/>
              </w:rPr>
              <w:t>供应商</w:t>
            </w:r>
            <w:r>
              <w:rPr>
                <w:rFonts w:hint="eastAsia" w:ascii="宋体" w:hAnsi="宋体" w:eastAsia="宋体" w:cs="宋体"/>
                <w:sz w:val="24"/>
                <w:szCs w:val="24"/>
                <w:highlight w:val="none"/>
                <w:lang w:val="en-US" w:eastAsia="zh-CN" w:bidi="ar"/>
              </w:rPr>
              <w:t>所投入的团队成员</w:t>
            </w:r>
            <w:r>
              <w:rPr>
                <w:rFonts w:hint="eastAsia" w:ascii="宋体" w:hAnsi="宋体" w:eastAsia="宋体" w:cs="宋体"/>
                <w:sz w:val="24"/>
                <w:szCs w:val="24"/>
                <w:highlight w:val="none"/>
                <w:lang w:bidi="ar"/>
              </w:rPr>
              <w:t>具备</w:t>
            </w:r>
            <w:r>
              <w:rPr>
                <w:rFonts w:hint="eastAsia" w:ascii="宋体" w:hAnsi="宋体" w:eastAsia="宋体" w:cs="宋体"/>
                <w:sz w:val="24"/>
                <w:szCs w:val="24"/>
                <w:highlight w:val="none"/>
                <w:lang w:val="en-US" w:eastAsia="zh-CN" w:bidi="ar"/>
              </w:rPr>
              <w:t>项目</w:t>
            </w:r>
            <w:r>
              <w:rPr>
                <w:rFonts w:hint="eastAsia" w:ascii="宋体" w:hAnsi="宋体" w:eastAsia="宋体" w:cs="宋体"/>
                <w:sz w:val="24"/>
                <w:szCs w:val="24"/>
                <w:highlight w:val="none"/>
                <w:lang w:bidi="ar"/>
              </w:rPr>
              <w:t>管理类</w:t>
            </w:r>
            <w:r>
              <w:rPr>
                <w:rFonts w:hint="eastAsia" w:ascii="宋体" w:hAnsi="宋体" w:eastAsia="宋体" w:cs="宋体"/>
                <w:sz w:val="24"/>
                <w:szCs w:val="24"/>
                <w:highlight w:val="none"/>
                <w:lang w:val="en-US" w:eastAsia="zh-CN" w:bidi="ar"/>
              </w:rPr>
              <w:t>能力</w:t>
            </w:r>
            <w:r>
              <w:rPr>
                <w:rFonts w:hint="eastAsia" w:ascii="宋体" w:hAnsi="宋体" w:eastAsia="宋体" w:cs="宋体"/>
                <w:sz w:val="24"/>
                <w:szCs w:val="24"/>
                <w:highlight w:val="none"/>
                <w:lang w:bidi="ar"/>
              </w:rPr>
              <w:t>的得</w:t>
            </w:r>
            <w:r>
              <w:rPr>
                <w:rFonts w:hint="eastAsia" w:ascii="宋体" w:hAnsi="宋体" w:eastAsia="宋体" w:cs="宋体"/>
                <w:sz w:val="24"/>
                <w:szCs w:val="24"/>
                <w:highlight w:val="none"/>
                <w:lang w:val="en-US" w:eastAsia="zh-CN" w:bidi="ar"/>
              </w:rPr>
              <w:t>2.5</w:t>
            </w:r>
            <w:r>
              <w:rPr>
                <w:rFonts w:hint="eastAsia" w:ascii="宋体" w:hAnsi="宋体" w:eastAsia="宋体" w:cs="宋体"/>
                <w:sz w:val="24"/>
                <w:szCs w:val="24"/>
                <w:highlight w:val="none"/>
                <w:lang w:bidi="ar"/>
              </w:rPr>
              <w:t>分，具备</w:t>
            </w:r>
            <w:r>
              <w:rPr>
                <w:rFonts w:hint="eastAsia" w:ascii="宋体" w:hAnsi="宋体" w:eastAsia="宋体" w:cs="宋体"/>
                <w:sz w:val="24"/>
                <w:szCs w:val="24"/>
                <w:highlight w:val="none"/>
                <w:lang w:eastAsia="zh-CN"/>
              </w:rPr>
              <w:t>系统集成</w:t>
            </w:r>
            <w:r>
              <w:rPr>
                <w:rFonts w:hint="eastAsia" w:ascii="宋体" w:hAnsi="宋体" w:eastAsia="宋体" w:cs="宋体"/>
                <w:sz w:val="24"/>
                <w:szCs w:val="24"/>
                <w:highlight w:val="none"/>
                <w:lang w:val="en-US" w:eastAsia="zh-CN"/>
              </w:rPr>
              <w:t>能力的得2.5分。</w:t>
            </w:r>
          </w:p>
          <w:p w14:paraId="0EFF0449">
            <w:pPr>
              <w:widowControl/>
              <w:wordWrap w:val="0"/>
              <w:ind w:firstLine="482" w:firstLineChars="200"/>
              <w:jc w:val="left"/>
              <w:textAlignment w:val="top"/>
              <w:rPr>
                <w:rFonts w:hint="eastAsia" w:ascii="宋体" w:hAnsi="宋体" w:eastAsia="宋体" w:cs="宋体"/>
                <w:bCs/>
                <w:color w:val="auto"/>
                <w:sz w:val="24"/>
                <w:szCs w:val="24"/>
                <w:highlight w:val="none"/>
              </w:rPr>
            </w:pPr>
            <w:r>
              <w:rPr>
                <w:rFonts w:hint="eastAsia" w:ascii="宋体" w:hAnsi="宋体" w:eastAsia="宋体" w:cs="宋体"/>
                <w:b/>
                <w:bCs/>
                <w:sz w:val="24"/>
                <w:szCs w:val="24"/>
                <w:highlight w:val="none"/>
                <w:lang w:val="en-US" w:eastAsia="zh-CN"/>
              </w:rPr>
              <w:t>评审依据：提供人力资源和社会保障部、工业和信息化部颁发的</w:t>
            </w:r>
            <w:r>
              <w:rPr>
                <w:rFonts w:hint="eastAsia" w:ascii="宋体" w:hAnsi="宋体" w:eastAsia="宋体" w:cs="宋体"/>
                <w:b/>
                <w:bCs/>
                <w:sz w:val="24"/>
                <w:szCs w:val="24"/>
                <w:highlight w:val="none"/>
              </w:rPr>
              <w:t>信息系统项目管理师</w:t>
            </w:r>
            <w:r>
              <w:rPr>
                <w:rFonts w:hint="eastAsia" w:ascii="宋体" w:hAnsi="宋体" w:eastAsia="宋体" w:cs="宋体"/>
                <w:b/>
                <w:bCs/>
                <w:sz w:val="24"/>
                <w:szCs w:val="24"/>
                <w:highlight w:val="none"/>
                <w:lang w:eastAsia="zh-CN"/>
              </w:rPr>
              <w:t>、系统集成项目管理工程师</w:t>
            </w:r>
            <w:r>
              <w:rPr>
                <w:rFonts w:hint="eastAsia" w:ascii="宋体" w:hAnsi="宋体" w:eastAsia="宋体" w:cs="宋体"/>
                <w:b/>
                <w:bCs/>
                <w:sz w:val="24"/>
                <w:szCs w:val="24"/>
                <w:highlight w:val="none"/>
              </w:rPr>
              <w:t>证书</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以及</w:t>
            </w:r>
            <w:r>
              <w:rPr>
                <w:rFonts w:hint="eastAsia" w:ascii="宋体" w:hAnsi="宋体" w:eastAsia="宋体" w:cs="宋体"/>
                <w:b/>
                <w:bCs/>
                <w:sz w:val="24"/>
                <w:szCs w:val="24"/>
                <w:highlight w:val="none"/>
                <w:lang w:val="zh-CN" w:eastAsia="zh-CN"/>
              </w:rPr>
              <w:t>开标前</w:t>
            </w:r>
            <w:r>
              <w:rPr>
                <w:rFonts w:hint="eastAsia" w:ascii="宋体" w:hAnsi="宋体" w:eastAsia="宋体" w:cs="宋体"/>
                <w:b/>
                <w:bCs/>
                <w:sz w:val="24"/>
                <w:szCs w:val="24"/>
                <w:highlight w:val="none"/>
                <w:lang w:val="en-US" w:eastAsia="zh-CN"/>
              </w:rPr>
              <w:t>六</w:t>
            </w:r>
            <w:r>
              <w:rPr>
                <w:rFonts w:hint="eastAsia" w:ascii="宋体" w:hAnsi="宋体" w:eastAsia="宋体" w:cs="宋体"/>
                <w:b/>
                <w:bCs/>
                <w:sz w:val="24"/>
                <w:szCs w:val="24"/>
                <w:highlight w:val="none"/>
                <w:lang w:val="zh-CN" w:eastAsia="zh-CN"/>
              </w:rPr>
              <w:t>个月</w:t>
            </w:r>
            <w:r>
              <w:rPr>
                <w:rFonts w:hint="eastAsia" w:ascii="宋体" w:hAnsi="宋体" w:eastAsia="宋体" w:cs="宋体"/>
                <w:b/>
                <w:bCs/>
                <w:sz w:val="24"/>
                <w:szCs w:val="24"/>
                <w:highlight w:val="none"/>
                <w:lang w:val="en-US" w:eastAsia="zh-CN"/>
              </w:rPr>
              <w:t>任意一个月供应商</w:t>
            </w:r>
            <w:r>
              <w:rPr>
                <w:rFonts w:hint="eastAsia" w:ascii="宋体" w:hAnsi="宋体" w:eastAsia="宋体" w:cs="宋体"/>
                <w:b/>
                <w:bCs/>
                <w:sz w:val="24"/>
                <w:szCs w:val="24"/>
                <w:highlight w:val="none"/>
                <w:lang w:val="zh-CN" w:eastAsia="zh-CN"/>
              </w:rPr>
              <w:t>为其缴纳社保证明</w:t>
            </w:r>
            <w:r>
              <w:rPr>
                <w:rFonts w:hint="eastAsia" w:ascii="宋体" w:hAnsi="宋体" w:eastAsia="宋体" w:cs="宋体"/>
                <w:b/>
                <w:bCs/>
                <w:sz w:val="24"/>
                <w:szCs w:val="24"/>
                <w:highlight w:val="none"/>
                <w:lang w:val="en-US" w:eastAsia="zh-CN"/>
              </w:rPr>
              <w:t>扫描件</w:t>
            </w:r>
            <w:r>
              <w:rPr>
                <w:rFonts w:hint="eastAsia" w:ascii="宋体" w:hAnsi="宋体" w:eastAsia="宋体" w:cs="宋体"/>
                <w:b/>
                <w:bCs/>
                <w:sz w:val="24"/>
                <w:szCs w:val="24"/>
                <w:highlight w:val="none"/>
                <w:lang w:val="zh-CN" w:eastAsia="zh-CN"/>
              </w:rPr>
              <w:t>加盖公章</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拟安排服务团队人员不重复计分</w:t>
            </w:r>
            <w:r>
              <w:rPr>
                <w:rFonts w:hint="eastAsia" w:ascii="宋体" w:hAnsi="宋体" w:eastAsia="宋体" w:cs="宋体"/>
                <w:b/>
                <w:bCs/>
                <w:sz w:val="24"/>
                <w:szCs w:val="24"/>
                <w:highlight w:val="none"/>
                <w:lang w:eastAsia="zh-CN"/>
              </w:rPr>
              <w:t>。</w:t>
            </w:r>
          </w:p>
        </w:tc>
        <w:tc>
          <w:tcPr>
            <w:tcW w:w="842" w:type="dxa"/>
            <w:noWrap w:val="0"/>
            <w:vAlign w:val="center"/>
          </w:tcPr>
          <w:p w14:paraId="699F7DBF">
            <w:pPr>
              <w:jc w:val="center"/>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分</w:t>
            </w:r>
          </w:p>
        </w:tc>
      </w:tr>
      <w:tr w14:paraId="3936A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446" w:type="dxa"/>
            <w:noWrap w:val="0"/>
            <w:vAlign w:val="center"/>
          </w:tcPr>
          <w:p w14:paraId="2C4AD5E1">
            <w:pPr>
              <w:jc w:val="center"/>
              <w:rPr>
                <w:rFonts w:hint="eastAsia" w:ascii="宋体" w:hAnsi="宋体" w:eastAsia="宋体" w:cs="宋体"/>
                <w:b/>
                <w:bCs/>
                <w:color w:val="auto"/>
                <w:sz w:val="24"/>
                <w:szCs w:val="24"/>
                <w:highlight w:val="none"/>
              </w:rPr>
            </w:pPr>
            <w:r>
              <w:rPr>
                <w:rFonts w:hint="eastAsia" w:ascii="宋体" w:hAnsi="宋体" w:eastAsia="宋体" w:cs="宋体"/>
                <w:b/>
                <w:bCs/>
                <w:sz w:val="24"/>
                <w:szCs w:val="24"/>
                <w:highlight w:val="none"/>
                <w:lang w:bidi="ar"/>
              </w:rPr>
              <w:t>同类项目业绩</w:t>
            </w:r>
          </w:p>
        </w:tc>
        <w:tc>
          <w:tcPr>
            <w:tcW w:w="6862" w:type="dxa"/>
            <w:noWrap w:val="0"/>
            <w:vAlign w:val="center"/>
          </w:tcPr>
          <w:p w14:paraId="1AC2CFF1">
            <w:pPr>
              <w:ind w:firstLine="480" w:firstLineChars="200"/>
              <w:jc w:val="left"/>
              <w:rPr>
                <w:rFonts w:hint="eastAsia" w:ascii="宋体" w:hAnsi="宋体" w:eastAsia="宋体" w:cs="宋体"/>
                <w:sz w:val="24"/>
                <w:szCs w:val="24"/>
                <w:highlight w:val="none"/>
                <w:lang w:bidi="ar"/>
              </w:rPr>
            </w:pPr>
            <w:r>
              <w:rPr>
                <w:rFonts w:hint="eastAsia" w:ascii="宋体" w:hAnsi="宋体" w:eastAsia="宋体" w:cs="宋体"/>
                <w:sz w:val="24"/>
                <w:szCs w:val="24"/>
                <w:highlight w:val="none"/>
                <w:lang w:bidi="ar"/>
              </w:rPr>
              <w:t>供应商自2021年1月1日以来（以合同最终签订时间为准）具有同类项目业绩（含课程思政），具有1份得3分，本项最高得9分。</w:t>
            </w:r>
          </w:p>
          <w:p w14:paraId="293EC846">
            <w:pPr>
              <w:ind w:firstLine="480" w:firstLineChars="200"/>
              <w:jc w:val="left"/>
              <w:rPr>
                <w:rFonts w:hint="eastAsia" w:ascii="宋体" w:hAnsi="宋体" w:eastAsia="宋体" w:cs="宋体"/>
                <w:bCs/>
                <w:color w:val="auto"/>
                <w:sz w:val="24"/>
                <w:szCs w:val="24"/>
                <w:highlight w:val="none"/>
              </w:rPr>
            </w:pPr>
            <w:r>
              <w:rPr>
                <w:rFonts w:hint="eastAsia" w:ascii="宋体" w:hAnsi="宋体" w:eastAsia="宋体" w:cs="宋体"/>
                <w:sz w:val="24"/>
                <w:szCs w:val="24"/>
                <w:highlight w:val="none"/>
                <w:lang w:bidi="ar"/>
              </w:rPr>
              <w:t>评审依据：供应商提供的合同扫描件，不提供不得分。</w:t>
            </w:r>
          </w:p>
        </w:tc>
        <w:tc>
          <w:tcPr>
            <w:tcW w:w="842" w:type="dxa"/>
            <w:noWrap w:val="0"/>
            <w:vAlign w:val="center"/>
          </w:tcPr>
          <w:p w14:paraId="1A17A0B5">
            <w:pPr>
              <w:jc w:val="center"/>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9</w:t>
            </w:r>
            <w:r>
              <w:rPr>
                <w:rFonts w:hint="eastAsia" w:ascii="宋体" w:hAnsi="宋体" w:eastAsia="宋体" w:cs="宋体"/>
                <w:bCs/>
                <w:sz w:val="24"/>
                <w:szCs w:val="24"/>
                <w:highlight w:val="none"/>
              </w:rPr>
              <w:t>分</w:t>
            </w:r>
          </w:p>
        </w:tc>
      </w:tr>
      <w:tr w14:paraId="50940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446" w:type="dxa"/>
            <w:noWrap w:val="0"/>
            <w:vAlign w:val="center"/>
          </w:tcPr>
          <w:p w14:paraId="40ECC832">
            <w:pPr>
              <w:rPr>
                <w:rFonts w:hint="eastAsia" w:ascii="宋体" w:hAnsi="宋体" w:eastAsia="宋体" w:cs="宋体"/>
                <w:b/>
                <w:bCs/>
                <w:color w:val="auto"/>
                <w:sz w:val="24"/>
                <w:szCs w:val="24"/>
                <w:highlight w:val="none"/>
              </w:rPr>
            </w:pPr>
            <w:r>
              <w:rPr>
                <w:rFonts w:hint="eastAsia" w:ascii="宋体" w:hAnsi="宋体" w:eastAsia="宋体" w:cs="宋体"/>
                <w:b/>
                <w:sz w:val="24"/>
                <w:szCs w:val="24"/>
                <w:highlight w:val="none"/>
              </w:rPr>
              <w:t>售后服务方案及承诺</w:t>
            </w:r>
          </w:p>
        </w:tc>
        <w:tc>
          <w:tcPr>
            <w:tcW w:w="6862" w:type="dxa"/>
            <w:noWrap w:val="0"/>
            <w:vAlign w:val="center"/>
          </w:tcPr>
          <w:p w14:paraId="410B68F3">
            <w:pPr>
              <w:widowControl/>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针对本项目提出的售后服务方案包含但不限于</w:t>
            </w:r>
            <w:r>
              <w:rPr>
                <w:rFonts w:hint="eastAsia" w:ascii="宋体" w:hAnsi="宋体" w:eastAsia="宋体" w:cs="宋体"/>
                <w:sz w:val="24"/>
                <w:szCs w:val="24"/>
                <w:highlight w:val="none"/>
                <w:lang w:val="en-US" w:eastAsia="zh-CN"/>
              </w:rPr>
              <w:t>售后服务承诺</w:t>
            </w:r>
            <w:r>
              <w:rPr>
                <w:rFonts w:hint="eastAsia" w:ascii="宋体" w:hAnsi="宋体" w:eastAsia="宋体" w:cs="宋体"/>
                <w:sz w:val="24"/>
                <w:szCs w:val="24"/>
                <w:highlight w:val="none"/>
              </w:rPr>
              <w:t>、响应时间、服务措施、培训计划、服务保障机制等内容，每具备以上一点得</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分，最多得</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分；未提供方案</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或方案与本项目无关的不得分。</w:t>
            </w:r>
          </w:p>
          <w:p w14:paraId="0C227F5B">
            <w:pPr>
              <w:pStyle w:val="2"/>
              <w:ind w:firstLine="482" w:firstLineChars="200"/>
              <w:rPr>
                <w:rFonts w:hint="default"/>
                <w:lang w:val="en-US"/>
              </w:rPr>
            </w:pPr>
            <w:r>
              <w:rPr>
                <w:rFonts w:hint="eastAsia" w:ascii="宋体" w:hAnsi="宋体" w:eastAsia="宋体" w:cs="宋体"/>
                <w:b/>
                <w:bCs/>
                <w:sz w:val="24"/>
                <w:szCs w:val="24"/>
                <w:highlight w:val="none"/>
                <w:lang w:val="en-US" w:eastAsia="zh-CN"/>
              </w:rPr>
              <w:t>评审依据：提供的售后服务方案。</w:t>
            </w:r>
          </w:p>
        </w:tc>
        <w:tc>
          <w:tcPr>
            <w:tcW w:w="842" w:type="dxa"/>
            <w:noWrap w:val="0"/>
            <w:vAlign w:val="center"/>
          </w:tcPr>
          <w:p w14:paraId="4CB58125">
            <w:pPr>
              <w:jc w:val="center"/>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分</w:t>
            </w:r>
          </w:p>
        </w:tc>
      </w:tr>
    </w:tbl>
    <w:p w14:paraId="5D316876">
      <w:pPr>
        <w:rPr>
          <w:rFonts w:hint="eastAsia" w:ascii="宋体" w:hAnsi="宋体" w:eastAsia="宋体" w:cs="宋体"/>
          <w:color w:val="auto"/>
          <w:sz w:val="24"/>
          <w:szCs w:val="24"/>
          <w:highlight w:val="none"/>
        </w:rPr>
      </w:pPr>
    </w:p>
    <w:p w14:paraId="512423BA">
      <w:pPr>
        <w:spacing w:afterLines="50" w:line="440" w:lineRule="exact"/>
        <w:ind w:firstLine="120" w:firstLineChars="5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（三）商务评</w:t>
      </w:r>
      <w:r>
        <w:rPr>
          <w:rFonts w:hint="eastAsia" w:ascii="宋体" w:hAnsi="宋体" w:eastAsia="宋体" w:cs="宋体"/>
          <w:b/>
          <w:bCs/>
          <w:color w:val="auto"/>
          <w:sz w:val="24"/>
          <w:szCs w:val="24"/>
          <w:highlight w:val="none"/>
          <w:lang w:val="en-US" w:eastAsia="zh-CN"/>
        </w:rPr>
        <w:t>审（60分）</w:t>
      </w:r>
    </w:p>
    <w:tbl>
      <w:tblPr>
        <w:tblStyle w:val="19"/>
        <w:tblW w:w="9165" w:type="dxa"/>
        <w:tblInd w:w="2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1"/>
        <w:gridCol w:w="6747"/>
        <w:gridCol w:w="827"/>
      </w:tblGrid>
      <w:tr w14:paraId="7F30C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591" w:type="dxa"/>
            <w:noWrap w:val="0"/>
            <w:vAlign w:val="center"/>
          </w:tcPr>
          <w:p w14:paraId="4DB55F7C">
            <w:pPr>
              <w:keepNext w:val="0"/>
              <w:keepLines w:val="0"/>
              <w:pageBreakBefore w:val="0"/>
              <w:widowControl/>
              <w:kinsoku w:val="0"/>
              <w:wordWrap/>
              <w:overflowPunct/>
              <w:topLinePunct w:val="0"/>
              <w:autoSpaceDE w:val="0"/>
              <w:autoSpaceDN w:val="0"/>
              <w:bidi w:val="0"/>
              <w:adjustRightInd w:val="0"/>
              <w:snapToGrid w:val="0"/>
              <w:spacing w:line="50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评分点</w:t>
            </w:r>
          </w:p>
        </w:tc>
        <w:tc>
          <w:tcPr>
            <w:tcW w:w="6747" w:type="dxa"/>
            <w:noWrap w:val="0"/>
            <w:vAlign w:val="center"/>
          </w:tcPr>
          <w:p w14:paraId="663FD1EE">
            <w:pPr>
              <w:keepNext w:val="0"/>
              <w:keepLines w:val="0"/>
              <w:pageBreakBefore w:val="0"/>
              <w:widowControl/>
              <w:kinsoku w:val="0"/>
              <w:wordWrap/>
              <w:overflowPunct/>
              <w:topLinePunct w:val="0"/>
              <w:autoSpaceDE w:val="0"/>
              <w:autoSpaceDN w:val="0"/>
              <w:bidi w:val="0"/>
              <w:adjustRightInd w:val="0"/>
              <w:snapToGrid w:val="0"/>
              <w:spacing w:line="50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评审内容</w:t>
            </w:r>
          </w:p>
        </w:tc>
        <w:tc>
          <w:tcPr>
            <w:tcW w:w="827" w:type="dxa"/>
            <w:noWrap w:val="0"/>
            <w:vAlign w:val="center"/>
          </w:tcPr>
          <w:p w14:paraId="7A704E7D">
            <w:pPr>
              <w:keepNext w:val="0"/>
              <w:keepLines w:val="0"/>
              <w:pageBreakBefore w:val="0"/>
              <w:widowControl/>
              <w:kinsoku w:val="0"/>
              <w:wordWrap/>
              <w:overflowPunct/>
              <w:topLinePunct w:val="0"/>
              <w:autoSpaceDE w:val="0"/>
              <w:autoSpaceDN w:val="0"/>
              <w:bidi w:val="0"/>
              <w:adjustRightInd w:val="0"/>
              <w:snapToGrid w:val="0"/>
              <w:spacing w:line="50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分值</w:t>
            </w:r>
          </w:p>
        </w:tc>
      </w:tr>
      <w:tr w14:paraId="165CC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91" w:type="dxa"/>
            <w:noWrap w:val="0"/>
            <w:vAlign w:val="center"/>
          </w:tcPr>
          <w:p w14:paraId="2DB9DC55">
            <w:pPr>
              <w:pageBreakBefore w:val="0"/>
              <w:widowControl/>
              <w:kinsoku w:val="0"/>
              <w:wordWrap/>
              <w:overflowPunct/>
              <w:topLinePunct w:val="0"/>
              <w:autoSpaceDE w:val="0"/>
              <w:autoSpaceDN w:val="0"/>
              <w:bidi w:val="0"/>
              <w:adjustRightInd w:val="0"/>
              <w:snapToGrid w:val="0"/>
              <w:spacing w:line="500" w:lineRule="exact"/>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符合性审查</w:t>
            </w:r>
          </w:p>
        </w:tc>
        <w:tc>
          <w:tcPr>
            <w:tcW w:w="7574" w:type="dxa"/>
            <w:gridSpan w:val="2"/>
            <w:noWrap w:val="0"/>
            <w:vAlign w:val="center"/>
          </w:tcPr>
          <w:p w14:paraId="74B68532">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必须全部满足磋商文件“第五章 采购需求”中“二、采购要求”内“商务条件”的全部要求，</w:t>
            </w:r>
            <w:r>
              <w:rPr>
                <w:rFonts w:hint="eastAsia" w:ascii="宋体" w:hAnsi="宋体" w:eastAsia="宋体" w:cs="宋体"/>
                <w:b/>
                <w:bCs/>
                <w:color w:val="auto"/>
                <w:sz w:val="24"/>
                <w:szCs w:val="24"/>
                <w:highlight w:val="none"/>
                <w:lang w:val="en-US" w:eastAsia="zh-CN"/>
              </w:rPr>
              <w:t>任意一条不满足作无效响应处理。</w:t>
            </w:r>
          </w:p>
          <w:p w14:paraId="200DF863">
            <w:pPr>
              <w:pStyle w:val="38"/>
              <w:autoSpaceDE w:val="0"/>
              <w:autoSpaceDN w:val="0"/>
              <w:ind w:left="14" w:firstLine="482" w:firstLineChars="200"/>
              <w:jc w:val="left"/>
              <w:rPr>
                <w:rFonts w:hint="eastAsia" w:ascii="宋体" w:hAnsi="宋体" w:eastAsia="宋体" w:cs="宋体"/>
                <w:b w:val="0"/>
                <w:bCs w:val="0"/>
                <w:color w:val="auto"/>
                <w:sz w:val="24"/>
                <w:szCs w:val="24"/>
                <w:highlight w:val="none"/>
              </w:rPr>
            </w:pPr>
            <w:r>
              <w:rPr>
                <w:rFonts w:hint="eastAsia" w:ascii="宋体" w:hAnsi="宋体" w:eastAsia="宋体" w:cs="宋体"/>
                <w:b/>
                <w:bCs/>
                <w:color w:val="auto"/>
                <w:sz w:val="24"/>
                <w:szCs w:val="24"/>
                <w:highlight w:val="none"/>
                <w:lang w:val="en-US" w:eastAsia="zh-CN"/>
              </w:rPr>
              <w:t>评审依据：根据供应商提供的商务条件响应/偏离表。</w:t>
            </w:r>
          </w:p>
        </w:tc>
      </w:tr>
      <w:tr w14:paraId="40469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591" w:type="dxa"/>
            <w:noWrap w:val="0"/>
            <w:vAlign w:val="center"/>
          </w:tcPr>
          <w:p w14:paraId="306B312D">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系统功能展示</w:t>
            </w:r>
          </w:p>
        </w:tc>
        <w:tc>
          <w:tcPr>
            <w:tcW w:w="6747" w:type="dxa"/>
            <w:noWrap w:val="0"/>
            <w:vAlign w:val="center"/>
          </w:tcPr>
          <w:p w14:paraId="47E4B997">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课程思政元素库列表的筛选维度包括相关专业、思政元素、地域特色、应用建议、资源类型，列表数据的排序维度包括使用热度、浏览次数、收藏次数、发布时间，资源详情页可查看所适用的专业、课程思政元素、应用建议等信息。满足上述要求的得2分。</w:t>
            </w:r>
          </w:p>
          <w:p w14:paraId="7151193A">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思政元素体系可中心布局、树形布局两种图谱形式展现。满足上述要求的得2分。</w:t>
            </w:r>
          </w:p>
          <w:p w14:paraId="6690863A">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一级思政元素可查看思政元素内涵理解相关说明，说明包括元素说明、设置目的、内涵理解、内核凸显、适用专业、应用建议等信息。满足上述要求的得2分。</w:t>
            </w:r>
          </w:p>
          <w:p w14:paraId="5C6778D9">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课程思政元素库的资源支持进行标注知识点归类。满足上述要求的得2分。</w:t>
            </w:r>
          </w:p>
          <w:p w14:paraId="0B0FEF8F">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课程思政元素库资源上传支持在线编辑器填写和支持文件上传录入，支持设置专业分类、思政元素、知识点、应用建议、地域特色，资源来源情况等信息。满足上述要求的得2分。</w:t>
            </w:r>
          </w:p>
          <w:p w14:paraId="26DF9A78">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支持示范课程库建设，添加示范课程时支持设置教学视频、教学说课、教学设计、教学课件，各部分的资源支持从备课资源库中选择，支持本地上传文档、视频等资源文件，可关联设置多个授课教师，设定课程级别，包括国家级、省级、校级。满足上述要求的得2分。</w:t>
            </w:r>
          </w:p>
          <w:p w14:paraId="42AE4E0F">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资源审核页面具备风险检测，检测范围包括资源的标题、简介、资源详细内容，检测维度包括的涉政、涉黄、涉恐、涉暴、价值观等风险信息，检测结果给出具体违规的内容提示。满足上述要求的得2分。</w:t>
            </w:r>
          </w:p>
          <w:p w14:paraId="0EFE060E">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从资源查看页可进入协同备课平台，可满足用户只选择一部分文本、一张图片、一个视频进行在线备课。满足上述要求的得2分。</w:t>
            </w:r>
          </w:p>
          <w:p w14:paraId="10056A94">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文档类资源编辑时支持对文本进行字号、加粗等格式等设置，支持导出pdf、导出图片的文件，支持查看历史编辑协作记录，协作记录显示编辑的具体内容、时间等。满足上述要求的得2分。</w:t>
            </w:r>
          </w:p>
          <w:p w14:paraId="768F4304">
            <w:pPr>
              <w:pStyle w:val="38"/>
              <w:autoSpaceDE w:val="0"/>
              <w:autoSpaceDN w:val="0"/>
              <w:ind w:left="14"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支持对word/ppt类资源开启协同备课，开协同备课时可多选多个教师，也可通过链接邀请的方式发送给对方开放协同备课。满足上述要求的得2分。</w:t>
            </w:r>
          </w:p>
          <w:p w14:paraId="1B4A1D88">
            <w:pPr>
              <w:pStyle w:val="38"/>
              <w:autoSpaceDE w:val="0"/>
              <w:autoSpaceDN w:val="0"/>
              <w:ind w:left="14" w:firstLine="482"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评审依据：供应商提供的系统截图并加盖公章，未提供截图或提供截图不完全满足的不得分。</w:t>
            </w:r>
          </w:p>
        </w:tc>
        <w:tc>
          <w:tcPr>
            <w:tcW w:w="827" w:type="dxa"/>
            <w:noWrap w:val="0"/>
            <w:vAlign w:val="center"/>
          </w:tcPr>
          <w:p w14:paraId="491543BB">
            <w:pPr>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kern w:val="2"/>
                <w:sz w:val="24"/>
                <w:szCs w:val="24"/>
                <w:highlight w:val="none"/>
                <w:lang w:val="en-US" w:eastAsia="zh-CN" w:bidi="ar-SA"/>
              </w:rPr>
              <w:t>20分</w:t>
            </w:r>
          </w:p>
        </w:tc>
      </w:tr>
      <w:tr w14:paraId="5E58B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591" w:type="dxa"/>
            <w:noWrap w:val="0"/>
            <w:vAlign w:val="center"/>
          </w:tcPr>
          <w:p w14:paraId="067AE258">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项目实施方案</w:t>
            </w:r>
          </w:p>
        </w:tc>
        <w:tc>
          <w:tcPr>
            <w:tcW w:w="6747" w:type="dxa"/>
            <w:noWrap w:val="0"/>
            <w:vAlign w:val="center"/>
          </w:tcPr>
          <w:p w14:paraId="0E36D4B9">
            <w:pPr>
              <w:tabs>
                <w:tab w:val="left" w:pos="540"/>
              </w:tabs>
              <w:adjustRightInd w:val="0"/>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针对课程思政教学研究中心数字化资源及信息化平台建设提出的项目实施方案包含但不限于实施进度计划、进度控制、质量及安全保障、风险控制、组织机构人员配置齐全，每具备以上一点得2分，最多得10分；</w:t>
            </w:r>
          </w:p>
          <w:p w14:paraId="61D5605D">
            <w:pPr>
              <w:widowControl/>
              <w:adjustRightInd/>
              <w:ind w:firstLine="482"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sz w:val="24"/>
                <w:szCs w:val="24"/>
                <w:highlight w:val="none"/>
                <w:lang w:val="en-US" w:eastAsia="zh-CN"/>
              </w:rPr>
              <w:t>评审依据：供应商提供的方案</w:t>
            </w:r>
            <w:r>
              <w:rPr>
                <w:rFonts w:hint="eastAsia" w:ascii="宋体" w:hAnsi="宋体" w:eastAsia="宋体" w:cs="宋体"/>
                <w:b/>
                <w:bCs/>
                <w:sz w:val="24"/>
                <w:szCs w:val="24"/>
                <w:highlight w:val="none"/>
              </w:rPr>
              <w:t>。</w:t>
            </w:r>
          </w:p>
        </w:tc>
        <w:tc>
          <w:tcPr>
            <w:tcW w:w="827" w:type="dxa"/>
            <w:noWrap w:val="0"/>
            <w:vAlign w:val="center"/>
          </w:tcPr>
          <w:p w14:paraId="2997EC05">
            <w:pPr>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kern w:val="2"/>
                <w:sz w:val="24"/>
                <w:szCs w:val="24"/>
                <w:highlight w:val="none"/>
                <w:lang w:val="en-US" w:eastAsia="zh-CN" w:bidi="ar-SA"/>
              </w:rPr>
              <w:t>10分</w:t>
            </w:r>
          </w:p>
        </w:tc>
      </w:tr>
      <w:tr w14:paraId="771CB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591" w:type="dxa"/>
            <w:noWrap w:val="0"/>
            <w:vAlign w:val="center"/>
          </w:tcPr>
          <w:p w14:paraId="6B52541F">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专题思政资源建设与宣传实施方案</w:t>
            </w:r>
          </w:p>
        </w:tc>
        <w:tc>
          <w:tcPr>
            <w:tcW w:w="6747" w:type="dxa"/>
            <w:noWrap w:val="0"/>
            <w:vAlign w:val="center"/>
          </w:tcPr>
          <w:p w14:paraId="7E0ABB5F">
            <w:pPr>
              <w:tabs>
                <w:tab w:val="left" w:pos="540"/>
              </w:tabs>
              <w:adjustRightInd w:val="0"/>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针对专题思政资源建设与宣传提出的专题思政资源建设与宣传实施方案，应包含但不限于资源策划与内容设计、资源建设实施路径、宣传推广策略、质量保障与风险控制、组织机构及人员配置等内容。每具备以上一点得2分，最多得10分。</w:t>
            </w:r>
          </w:p>
          <w:p w14:paraId="6A57BDA1">
            <w:pPr>
              <w:widowControl/>
              <w:ind w:firstLine="482"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sz w:val="24"/>
                <w:szCs w:val="24"/>
                <w:highlight w:val="none"/>
                <w:lang w:val="en-US" w:eastAsia="zh-CN"/>
              </w:rPr>
              <w:t>评审依据：供应商提供的方案</w:t>
            </w:r>
            <w:r>
              <w:rPr>
                <w:rFonts w:hint="eastAsia" w:ascii="宋体" w:hAnsi="宋体" w:eastAsia="宋体" w:cs="宋体"/>
                <w:b/>
                <w:bCs/>
                <w:sz w:val="24"/>
                <w:szCs w:val="24"/>
                <w:highlight w:val="none"/>
              </w:rPr>
              <w:t>。</w:t>
            </w:r>
          </w:p>
        </w:tc>
        <w:tc>
          <w:tcPr>
            <w:tcW w:w="827" w:type="dxa"/>
            <w:noWrap w:val="0"/>
            <w:vAlign w:val="center"/>
          </w:tcPr>
          <w:p w14:paraId="3F05E88A">
            <w:pPr>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kern w:val="2"/>
                <w:sz w:val="24"/>
                <w:szCs w:val="24"/>
                <w:highlight w:val="none"/>
                <w:lang w:val="en-US" w:eastAsia="zh-CN" w:bidi="ar-SA"/>
              </w:rPr>
              <w:t>10分</w:t>
            </w:r>
          </w:p>
        </w:tc>
      </w:tr>
      <w:tr w14:paraId="73236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591" w:type="dxa"/>
            <w:noWrap w:val="0"/>
            <w:vAlign w:val="center"/>
          </w:tcPr>
          <w:p w14:paraId="61791A42">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课程思政示范课建设实施方案</w:t>
            </w:r>
          </w:p>
        </w:tc>
        <w:tc>
          <w:tcPr>
            <w:tcW w:w="6747" w:type="dxa"/>
            <w:noWrap w:val="0"/>
            <w:vAlign w:val="center"/>
          </w:tcPr>
          <w:p w14:paraId="2F9773F4">
            <w:pPr>
              <w:tabs>
                <w:tab w:val="left" w:pos="540"/>
              </w:tabs>
              <w:adjustRightInd w:val="0"/>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针对</w:t>
            </w:r>
            <w:r>
              <w:rPr>
                <w:rFonts w:hint="eastAsia" w:ascii="宋体" w:hAnsi="宋体" w:eastAsia="宋体" w:cs="宋体"/>
                <w:kern w:val="0"/>
                <w:sz w:val="24"/>
                <w:szCs w:val="24"/>
                <w:highlight w:val="none"/>
              </w:rPr>
              <w:t>课程思政示范课建设</w:t>
            </w:r>
            <w:r>
              <w:rPr>
                <w:rFonts w:hint="eastAsia" w:ascii="宋体" w:hAnsi="宋体" w:eastAsia="宋体" w:cs="宋体"/>
                <w:sz w:val="24"/>
                <w:szCs w:val="24"/>
                <w:highlight w:val="none"/>
              </w:rPr>
              <w:t>提出的课程思政示范课建设实施方案，应包含但不限于示范课程遴选与培育机制、课程思政教学设计与融入路径、教学实施与课堂组织安排、成果打磨与示范推广、质量保障与风险控制等内容。每具备以上一点得2分，最多得10分。</w:t>
            </w:r>
          </w:p>
          <w:p w14:paraId="0568E72C">
            <w:pPr>
              <w:widowControl/>
              <w:ind w:firstLine="482"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sz w:val="24"/>
                <w:szCs w:val="24"/>
                <w:highlight w:val="none"/>
                <w:lang w:val="en-US" w:eastAsia="zh-CN"/>
              </w:rPr>
              <w:t>评审依据：供应商提供的方案</w:t>
            </w:r>
            <w:r>
              <w:rPr>
                <w:rFonts w:hint="eastAsia" w:ascii="宋体" w:hAnsi="宋体" w:eastAsia="宋体" w:cs="宋体"/>
                <w:b/>
                <w:bCs/>
                <w:sz w:val="24"/>
                <w:szCs w:val="24"/>
                <w:highlight w:val="none"/>
              </w:rPr>
              <w:t>。</w:t>
            </w:r>
          </w:p>
        </w:tc>
        <w:tc>
          <w:tcPr>
            <w:tcW w:w="827" w:type="dxa"/>
            <w:noWrap w:val="0"/>
            <w:vAlign w:val="center"/>
          </w:tcPr>
          <w:p w14:paraId="44883907">
            <w:pPr>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10分</w:t>
            </w:r>
          </w:p>
        </w:tc>
      </w:tr>
      <w:tr w14:paraId="2B674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591" w:type="dxa"/>
            <w:noWrap w:val="0"/>
            <w:vAlign w:val="center"/>
          </w:tcPr>
          <w:p w14:paraId="722D8DB7">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培训方案（平台部分）</w:t>
            </w:r>
          </w:p>
        </w:tc>
        <w:tc>
          <w:tcPr>
            <w:tcW w:w="6747" w:type="dxa"/>
            <w:noWrap w:val="0"/>
            <w:vAlign w:val="center"/>
          </w:tcPr>
          <w:p w14:paraId="12D8DEF4">
            <w:pPr>
              <w:widowControl/>
              <w:ind w:firstLine="480" w:firstLineChars="200"/>
              <w:jc w:val="left"/>
              <w:rPr>
                <w:rStyle w:val="26"/>
                <w:rFonts w:hint="eastAsia" w:ascii="宋体" w:hAnsi="宋体" w:eastAsia="宋体" w:cs="宋体"/>
                <w:sz w:val="24"/>
                <w:szCs w:val="24"/>
                <w:highlight w:val="none"/>
              </w:rPr>
            </w:pPr>
            <w:bookmarkStart w:id="151" w:name="OLE_LINK3"/>
            <w:r>
              <w:rPr>
                <w:rFonts w:hint="eastAsia" w:ascii="宋体" w:hAnsi="宋体" w:eastAsia="宋体" w:cs="宋体"/>
                <w:sz w:val="24"/>
                <w:szCs w:val="24"/>
                <w:highlight w:val="none"/>
                <w:lang w:eastAsia="zh-CN"/>
              </w:rPr>
              <w:t>供应商</w:t>
            </w:r>
            <w:r>
              <w:rPr>
                <w:rFonts w:hint="eastAsia" w:ascii="宋体" w:hAnsi="宋体" w:eastAsia="宋体" w:cs="宋体"/>
                <w:sz w:val="24"/>
                <w:szCs w:val="24"/>
                <w:highlight w:val="none"/>
              </w:rPr>
              <w:t>针对本项目提出的培训实施方案包含但不限于</w:t>
            </w:r>
            <w:r>
              <w:rPr>
                <w:rFonts w:hint="eastAsia" w:ascii="宋体" w:hAnsi="宋体" w:eastAsia="宋体" w:cs="宋体"/>
                <w:sz w:val="24"/>
                <w:szCs w:val="24"/>
                <w:highlight w:val="none"/>
                <w:lang w:val="en-US" w:eastAsia="zh-CN"/>
              </w:rPr>
              <w:t>培训计划</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培训</w:t>
            </w:r>
            <w:r>
              <w:rPr>
                <w:rFonts w:hint="eastAsia" w:ascii="宋体" w:hAnsi="宋体" w:eastAsia="宋体" w:cs="宋体"/>
                <w:sz w:val="24"/>
                <w:szCs w:val="24"/>
                <w:highlight w:val="none"/>
              </w:rPr>
              <w:t>措施、</w:t>
            </w:r>
            <w:r>
              <w:rPr>
                <w:rFonts w:hint="eastAsia" w:ascii="宋体" w:hAnsi="宋体" w:eastAsia="宋体" w:cs="宋体"/>
                <w:sz w:val="24"/>
                <w:szCs w:val="24"/>
                <w:highlight w:val="none"/>
                <w:lang w:val="en-US" w:eastAsia="zh-CN"/>
              </w:rPr>
              <w:t>培训</w:t>
            </w:r>
            <w:r>
              <w:rPr>
                <w:rFonts w:hint="eastAsia" w:ascii="宋体" w:hAnsi="宋体" w:eastAsia="宋体" w:cs="宋体"/>
                <w:sz w:val="24"/>
                <w:szCs w:val="24"/>
                <w:highlight w:val="none"/>
              </w:rPr>
              <w:t>安排、培训方案、培训人员资质等内容，每具备以上一点得2分，最多得10分</w:t>
            </w:r>
            <w:bookmarkEnd w:id="151"/>
          </w:p>
          <w:p w14:paraId="2C3BFBCB">
            <w:pPr>
              <w:widowControl/>
              <w:ind w:firstLine="482" w:firstLineChars="200"/>
              <w:jc w:val="left"/>
              <w:textAlignment w:val="cente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评审依据：供应商提供的方案</w:t>
            </w:r>
            <w:r>
              <w:rPr>
                <w:rFonts w:hint="eastAsia" w:ascii="宋体" w:hAnsi="宋体" w:eastAsia="宋体" w:cs="宋体"/>
                <w:b/>
                <w:bCs/>
                <w:sz w:val="24"/>
                <w:szCs w:val="24"/>
                <w:highlight w:val="none"/>
              </w:rPr>
              <w:t>。</w:t>
            </w:r>
          </w:p>
        </w:tc>
        <w:tc>
          <w:tcPr>
            <w:tcW w:w="827" w:type="dxa"/>
            <w:noWrap w:val="0"/>
            <w:vAlign w:val="center"/>
          </w:tcPr>
          <w:p w14:paraId="47E9EAB0">
            <w:pPr>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10分</w:t>
            </w:r>
          </w:p>
        </w:tc>
      </w:tr>
    </w:tbl>
    <w:p w14:paraId="0A23E8C7">
      <w:pPr>
        <w:pStyle w:val="18"/>
        <w:rPr>
          <w:color w:val="auto"/>
          <w:highlight w:val="none"/>
          <w:lang w:eastAsia="zh-CN"/>
        </w:rPr>
      </w:pPr>
    </w:p>
    <w:sectPr>
      <w:pgSz w:w="11906" w:h="16839"/>
      <w:pgMar w:top="1066" w:right="1304" w:bottom="986"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B75ED14-AA51-422A-9C4B-56001DBEF795}"/>
  </w:font>
  <w:font w:name="黑体">
    <w:panose1 w:val="02010609060101010101"/>
    <w:charset w:val="86"/>
    <w:family w:val="auto"/>
    <w:pitch w:val="default"/>
    <w:sig w:usb0="800002BF" w:usb1="38CF7CFA" w:usb2="00000016" w:usb3="00000000" w:csb0="00040001" w:csb1="00000000"/>
    <w:embedRegular r:id="rId2" w:fontKey="{625F7D9E-0C32-4372-B543-4CC2A83794D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3" w:fontKey="{7EA82AB6-B80C-4FC5-835D-9851E7D9538C}"/>
  </w:font>
  <w:font w:name="微软雅黑">
    <w:panose1 w:val="020B0503020204020204"/>
    <w:charset w:val="86"/>
    <w:family w:val="swiss"/>
    <w:pitch w:val="default"/>
    <w:sig w:usb0="80000287" w:usb1="2ACF3C50" w:usb2="00000016" w:usb3="00000000" w:csb0="0004001F" w:csb1="00000000"/>
    <w:embedRegular r:id="rId4" w:fontKey="{846687C7-9EB2-43F2-85F3-CD7EB3033AB4}"/>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5" w:fontKey="{493EDC53-DDCC-4D74-8B8D-B05CC6415CAC}"/>
  </w:font>
  <w:font w:name="方正小标宋简体">
    <w:altName w:val="黑体"/>
    <w:panose1 w:val="02010601030101010101"/>
    <w:charset w:val="86"/>
    <w:family w:val="auto"/>
    <w:pitch w:val="default"/>
    <w:sig w:usb0="00000000" w:usb1="00000000" w:usb2="00000000" w:usb3="00000000" w:csb0="00040000" w:csb1="00000000"/>
    <w:embedRegular r:id="rId6" w:fontKey="{3D897DAF-6637-4854-AB0E-71B867C85814}"/>
  </w:font>
  <w:font w:name="Cambria Math">
    <w:panose1 w:val="02040503050406030204"/>
    <w:charset w:val="00"/>
    <w:family w:val="auto"/>
    <w:pitch w:val="default"/>
    <w:sig w:usb0="E00006FF" w:usb1="420024FF" w:usb2="02000000" w:usb3="00000000" w:csb0="2000019F" w:csb1="00000000"/>
    <w:embedRegular r:id="rId7" w:fontKey="{C03939E7-2CAC-4994-84CC-E0979BF0737F}"/>
  </w:font>
  <w:font w:name="WPSEMBED8">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0C5F9">
    <w:pPr>
      <w:pStyle w:val="12"/>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4F6B0">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FDDCB5">
                          <w:pPr>
                            <w:pStyle w:val="12"/>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2EFDDCB5">
                    <w:pPr>
                      <w:pStyle w:val="12"/>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9051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7802A0">
                          <w:pPr>
                            <w:pStyle w:val="12"/>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4D7802A0">
                    <w:pPr>
                      <w:pStyle w:val="12"/>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128AF">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5E8E03">
                          <w:pPr>
                            <w:pStyle w:val="12"/>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685E8E03">
                    <w:pPr>
                      <w:pStyle w:val="12"/>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9346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4C22FB">
                          <w:pPr>
                            <w:pStyle w:val="12"/>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6E4C22FB">
                    <w:pPr>
                      <w:pStyle w:val="12"/>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044FD">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FE6CC5">
                          <w:pPr>
                            <w:pStyle w:val="12"/>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55FE6CC5">
                    <w:pPr>
                      <w:pStyle w:val="12"/>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917B3">
    <w:pPr>
      <w:pStyle w:val="12"/>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5FE501">
                          <w:pPr>
                            <w:pStyle w:val="12"/>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335FE501">
                    <w:pPr>
                      <w:pStyle w:val="12"/>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7A396">
    <w:pPr>
      <w:pStyle w:val="12"/>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56739B">
                          <w:pPr>
                            <w:pStyle w:val="12"/>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056739B">
                    <w:pPr>
                      <w:pStyle w:val="12"/>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58286">
    <w:pPr>
      <w:pStyle w:val="12"/>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6CE047">
                          <w:pPr>
                            <w:pStyle w:val="12"/>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2B6CE047">
                    <w:pPr>
                      <w:pStyle w:val="12"/>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562DB">
    <w:pPr>
      <w:pStyle w:val="12"/>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557207">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7A557207">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014C2">
    <w:pPr>
      <w:pStyle w:val="12"/>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9D3FA9">
                          <w:pPr>
                            <w:pStyle w:val="1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579D3FA9">
                    <w:pPr>
                      <w:pStyle w:val="1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B4496">
    <w:pPr>
      <w:pStyle w:val="12"/>
      <w:tabs>
        <w:tab w:val="center" w:pos="4533"/>
        <w:tab w:val="clear" w:pos="4153"/>
      </w:tabs>
    </w:pPr>
    <w:r>
      <w:rPr>
        <w:rFonts w:hint="eastAsia" w:eastAsia="宋体"/>
        <w:lang w:eastAsia="zh-CN"/>
      </w:rP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985C9">
    <w:pPr>
      <w:pStyle w:val="12"/>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BD3EA6">
                          <w:pPr>
                            <w:pStyle w:val="12"/>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6CBD3EA6">
                    <w:pPr>
                      <w:pStyle w:val="12"/>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336A3">
    <w:pPr>
      <w:pStyle w:val="12"/>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02F48E">
                          <w:pPr>
                            <w:pStyle w:val="12"/>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1D02F48E">
                    <w:pPr>
                      <w:pStyle w:val="12"/>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12"/>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12"/>
      <w:rPr>
        <w:lang w:eastAsia="zh-CN"/>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B87C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BDA772">
                          <w:pPr>
                            <w:pStyle w:val="12"/>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37BDA772">
                    <w:pPr>
                      <w:pStyle w:val="12"/>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303A5">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33840A">
                          <w:pPr>
                            <w:pStyle w:val="12"/>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0533840A">
                    <w:pPr>
                      <w:pStyle w:val="1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34C20">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78D06D">
                          <w:pPr>
                            <w:pStyle w:val="12"/>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1778D06D">
                    <w:pPr>
                      <w:pStyle w:val="12"/>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A8815">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0FD07E">
                          <w:pPr>
                            <w:pStyle w:val="12"/>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260FD07E">
                    <w:pPr>
                      <w:pStyle w:val="12"/>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B0DA4">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ACAC41">
                          <w:pPr>
                            <w:pStyle w:val="1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21ACAC41">
                    <w:pPr>
                      <w:pStyle w:val="12"/>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0E889">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E22D0B">
                          <w:pPr>
                            <w:pStyle w:val="1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6FE22D0B">
                    <w:pPr>
                      <w:pStyle w:val="12"/>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F8353">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CA981">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7ECCA981">
                    <w:pPr>
                      <w:pStyle w:val="12"/>
                    </w:pPr>
                    <w:r>
                      <w:fldChar w:fldCharType="begin"/>
                    </w:r>
                    <w:r>
                      <w:instrText xml:space="preserve"> PAGE  \* MERGEFORMAT </w:instrText>
                    </w:r>
                    <w:r>
                      <w:fldChar w:fldCharType="separate"/>
                    </w:r>
                    <w:r>
                      <w:t>37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2D86EB">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EA36093F"/>
    <w:multiLevelType w:val="singleLevel"/>
    <w:tmpl w:val="EA36093F"/>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5YzFjMGYwNjBhYjFkZDBhM2NjNzNhZDQ4MjJkMzIifQ=="/>
  </w:docVars>
  <w:rsids>
    <w:rsidRoot w:val="00F72BE7"/>
    <w:rsid w:val="0031198B"/>
    <w:rsid w:val="00412A37"/>
    <w:rsid w:val="004A13DE"/>
    <w:rsid w:val="004E6C2D"/>
    <w:rsid w:val="005D75BC"/>
    <w:rsid w:val="006308AB"/>
    <w:rsid w:val="007E7821"/>
    <w:rsid w:val="00847DE1"/>
    <w:rsid w:val="00A12741"/>
    <w:rsid w:val="00A95A9A"/>
    <w:rsid w:val="00CD47AB"/>
    <w:rsid w:val="00D6521D"/>
    <w:rsid w:val="00F431B9"/>
    <w:rsid w:val="00F72BE7"/>
    <w:rsid w:val="013637D1"/>
    <w:rsid w:val="013D404E"/>
    <w:rsid w:val="014707D5"/>
    <w:rsid w:val="0183453D"/>
    <w:rsid w:val="01891B53"/>
    <w:rsid w:val="01C0501B"/>
    <w:rsid w:val="01D856D2"/>
    <w:rsid w:val="01E178D6"/>
    <w:rsid w:val="01F176F8"/>
    <w:rsid w:val="022950E4"/>
    <w:rsid w:val="023D46EC"/>
    <w:rsid w:val="02F62DEB"/>
    <w:rsid w:val="030A499E"/>
    <w:rsid w:val="039D18E6"/>
    <w:rsid w:val="03A14F29"/>
    <w:rsid w:val="03F11C32"/>
    <w:rsid w:val="044D1E30"/>
    <w:rsid w:val="04621F8C"/>
    <w:rsid w:val="047C47B6"/>
    <w:rsid w:val="04B54199"/>
    <w:rsid w:val="04D72BD5"/>
    <w:rsid w:val="04F64D19"/>
    <w:rsid w:val="04FA27AC"/>
    <w:rsid w:val="05106822"/>
    <w:rsid w:val="05194F33"/>
    <w:rsid w:val="0528257B"/>
    <w:rsid w:val="052B325D"/>
    <w:rsid w:val="055600A9"/>
    <w:rsid w:val="05E10EEF"/>
    <w:rsid w:val="05F07017"/>
    <w:rsid w:val="062D088E"/>
    <w:rsid w:val="062D4DCC"/>
    <w:rsid w:val="06EF65AB"/>
    <w:rsid w:val="06F25881"/>
    <w:rsid w:val="0711465D"/>
    <w:rsid w:val="0735266F"/>
    <w:rsid w:val="075151B2"/>
    <w:rsid w:val="076566A7"/>
    <w:rsid w:val="079A2F4B"/>
    <w:rsid w:val="079F131C"/>
    <w:rsid w:val="07B64740"/>
    <w:rsid w:val="07C733D5"/>
    <w:rsid w:val="07CF796E"/>
    <w:rsid w:val="081F5E69"/>
    <w:rsid w:val="08210512"/>
    <w:rsid w:val="0893590C"/>
    <w:rsid w:val="08D31953"/>
    <w:rsid w:val="08D800EA"/>
    <w:rsid w:val="08D86F1C"/>
    <w:rsid w:val="090C7D3F"/>
    <w:rsid w:val="09436A8B"/>
    <w:rsid w:val="098C4275"/>
    <w:rsid w:val="099C2AD0"/>
    <w:rsid w:val="09BE4364"/>
    <w:rsid w:val="09E36E7B"/>
    <w:rsid w:val="0A075D0B"/>
    <w:rsid w:val="0A5474C3"/>
    <w:rsid w:val="0A5F7AD5"/>
    <w:rsid w:val="0A630BD7"/>
    <w:rsid w:val="0AAA50E9"/>
    <w:rsid w:val="0ABB6AF5"/>
    <w:rsid w:val="0ADF4592"/>
    <w:rsid w:val="0B02017B"/>
    <w:rsid w:val="0B212C64"/>
    <w:rsid w:val="0B3C7C36"/>
    <w:rsid w:val="0B614FF2"/>
    <w:rsid w:val="0B8D0492"/>
    <w:rsid w:val="0BCE5A19"/>
    <w:rsid w:val="0BD25EA5"/>
    <w:rsid w:val="0C027923"/>
    <w:rsid w:val="0C1E16F8"/>
    <w:rsid w:val="0C3B4061"/>
    <w:rsid w:val="0C4F6BDA"/>
    <w:rsid w:val="0C664AFA"/>
    <w:rsid w:val="0D18315C"/>
    <w:rsid w:val="0D3F319F"/>
    <w:rsid w:val="0D847672"/>
    <w:rsid w:val="0DB63714"/>
    <w:rsid w:val="0DBF7C0D"/>
    <w:rsid w:val="0DD264ED"/>
    <w:rsid w:val="0DD809E2"/>
    <w:rsid w:val="0DDA54E4"/>
    <w:rsid w:val="0DE84CCE"/>
    <w:rsid w:val="0E045967"/>
    <w:rsid w:val="0E306947"/>
    <w:rsid w:val="0E7A2A88"/>
    <w:rsid w:val="0EAA115A"/>
    <w:rsid w:val="0EAA4EB7"/>
    <w:rsid w:val="0F7D6A6F"/>
    <w:rsid w:val="0F8346BB"/>
    <w:rsid w:val="0FA80009"/>
    <w:rsid w:val="0FAD17DF"/>
    <w:rsid w:val="0FAE5D7D"/>
    <w:rsid w:val="0FD77696"/>
    <w:rsid w:val="102659DB"/>
    <w:rsid w:val="103A226A"/>
    <w:rsid w:val="107F306E"/>
    <w:rsid w:val="10D80401"/>
    <w:rsid w:val="11170296"/>
    <w:rsid w:val="113C1506"/>
    <w:rsid w:val="114948FA"/>
    <w:rsid w:val="119D0D43"/>
    <w:rsid w:val="11CB5781"/>
    <w:rsid w:val="11E61D28"/>
    <w:rsid w:val="11F058CE"/>
    <w:rsid w:val="121E36B7"/>
    <w:rsid w:val="125E1331"/>
    <w:rsid w:val="126757A9"/>
    <w:rsid w:val="128B5679"/>
    <w:rsid w:val="1292624E"/>
    <w:rsid w:val="12955EB0"/>
    <w:rsid w:val="129C0FBA"/>
    <w:rsid w:val="129D2A07"/>
    <w:rsid w:val="12C0114D"/>
    <w:rsid w:val="139F6FB4"/>
    <w:rsid w:val="13D053C0"/>
    <w:rsid w:val="14004C89"/>
    <w:rsid w:val="143E0B0F"/>
    <w:rsid w:val="14B561ED"/>
    <w:rsid w:val="14BF5434"/>
    <w:rsid w:val="14F13A81"/>
    <w:rsid w:val="14FC713E"/>
    <w:rsid w:val="15195660"/>
    <w:rsid w:val="1538599A"/>
    <w:rsid w:val="155802A4"/>
    <w:rsid w:val="155E69FB"/>
    <w:rsid w:val="156B0BFC"/>
    <w:rsid w:val="15700B8E"/>
    <w:rsid w:val="158B0678"/>
    <w:rsid w:val="159D3D21"/>
    <w:rsid w:val="15A703A2"/>
    <w:rsid w:val="160C6457"/>
    <w:rsid w:val="16431CA6"/>
    <w:rsid w:val="16702E8A"/>
    <w:rsid w:val="16A356CC"/>
    <w:rsid w:val="16AC5697"/>
    <w:rsid w:val="16DF5435"/>
    <w:rsid w:val="17190E2C"/>
    <w:rsid w:val="173418E5"/>
    <w:rsid w:val="17342109"/>
    <w:rsid w:val="178A4649"/>
    <w:rsid w:val="178E538D"/>
    <w:rsid w:val="17D60801"/>
    <w:rsid w:val="17FF1B42"/>
    <w:rsid w:val="182E6B2B"/>
    <w:rsid w:val="18363C5F"/>
    <w:rsid w:val="186009B5"/>
    <w:rsid w:val="18846779"/>
    <w:rsid w:val="18C97898"/>
    <w:rsid w:val="18E4551E"/>
    <w:rsid w:val="18E84F59"/>
    <w:rsid w:val="18F643B3"/>
    <w:rsid w:val="19102702"/>
    <w:rsid w:val="19241D0A"/>
    <w:rsid w:val="193E2DCB"/>
    <w:rsid w:val="193E542D"/>
    <w:rsid w:val="196206F1"/>
    <w:rsid w:val="19726F19"/>
    <w:rsid w:val="198158BA"/>
    <w:rsid w:val="19C00A2E"/>
    <w:rsid w:val="19DB5E7F"/>
    <w:rsid w:val="19DC1D42"/>
    <w:rsid w:val="19F33BB6"/>
    <w:rsid w:val="1A24476A"/>
    <w:rsid w:val="1A551963"/>
    <w:rsid w:val="1A626AD9"/>
    <w:rsid w:val="1A7016AA"/>
    <w:rsid w:val="1A705206"/>
    <w:rsid w:val="1A772A39"/>
    <w:rsid w:val="1A7A6085"/>
    <w:rsid w:val="1A9F3D3E"/>
    <w:rsid w:val="1AAF3BB2"/>
    <w:rsid w:val="1ABF7F3C"/>
    <w:rsid w:val="1AD0292A"/>
    <w:rsid w:val="1AF44F33"/>
    <w:rsid w:val="1B1E113A"/>
    <w:rsid w:val="1B4548E5"/>
    <w:rsid w:val="1B702014"/>
    <w:rsid w:val="1B8F6D81"/>
    <w:rsid w:val="1B946DF0"/>
    <w:rsid w:val="1BC17CE4"/>
    <w:rsid w:val="1BD32665"/>
    <w:rsid w:val="1BD47A17"/>
    <w:rsid w:val="1BE162D5"/>
    <w:rsid w:val="1C1D13BE"/>
    <w:rsid w:val="1C827473"/>
    <w:rsid w:val="1CF94BB7"/>
    <w:rsid w:val="1D085BCA"/>
    <w:rsid w:val="1D74500E"/>
    <w:rsid w:val="1DC55869"/>
    <w:rsid w:val="1DD800C0"/>
    <w:rsid w:val="1DEA6C42"/>
    <w:rsid w:val="1E43791C"/>
    <w:rsid w:val="1E6C3F37"/>
    <w:rsid w:val="1E933BB9"/>
    <w:rsid w:val="1EB12291"/>
    <w:rsid w:val="1EB678A8"/>
    <w:rsid w:val="1F274302"/>
    <w:rsid w:val="1F2952CA"/>
    <w:rsid w:val="1F6E513F"/>
    <w:rsid w:val="1F7A01FE"/>
    <w:rsid w:val="1FAB6CE1"/>
    <w:rsid w:val="1FE04429"/>
    <w:rsid w:val="1FE10C4F"/>
    <w:rsid w:val="20026D16"/>
    <w:rsid w:val="206155F1"/>
    <w:rsid w:val="207417C9"/>
    <w:rsid w:val="207F650F"/>
    <w:rsid w:val="20A91472"/>
    <w:rsid w:val="20B54DB2"/>
    <w:rsid w:val="20D44015"/>
    <w:rsid w:val="20EA3839"/>
    <w:rsid w:val="2100305C"/>
    <w:rsid w:val="21042B4C"/>
    <w:rsid w:val="210A6AC5"/>
    <w:rsid w:val="213A566A"/>
    <w:rsid w:val="21444A90"/>
    <w:rsid w:val="21742B65"/>
    <w:rsid w:val="21797D8F"/>
    <w:rsid w:val="2195298B"/>
    <w:rsid w:val="21CB71C6"/>
    <w:rsid w:val="21CE72BA"/>
    <w:rsid w:val="22072FB3"/>
    <w:rsid w:val="22112B50"/>
    <w:rsid w:val="221E19EC"/>
    <w:rsid w:val="224433AA"/>
    <w:rsid w:val="22791318"/>
    <w:rsid w:val="2284238D"/>
    <w:rsid w:val="22A85555"/>
    <w:rsid w:val="22FD3CF7"/>
    <w:rsid w:val="23056708"/>
    <w:rsid w:val="2324639D"/>
    <w:rsid w:val="234D0A23"/>
    <w:rsid w:val="23746473"/>
    <w:rsid w:val="23B5012E"/>
    <w:rsid w:val="23C04A55"/>
    <w:rsid w:val="24164BF7"/>
    <w:rsid w:val="246102B6"/>
    <w:rsid w:val="246979BF"/>
    <w:rsid w:val="24722EAE"/>
    <w:rsid w:val="248E1514"/>
    <w:rsid w:val="24F353B2"/>
    <w:rsid w:val="25076D21"/>
    <w:rsid w:val="250F39C9"/>
    <w:rsid w:val="254554E2"/>
    <w:rsid w:val="25533D7B"/>
    <w:rsid w:val="25823163"/>
    <w:rsid w:val="25E2090D"/>
    <w:rsid w:val="25F37706"/>
    <w:rsid w:val="26BE3321"/>
    <w:rsid w:val="26D33051"/>
    <w:rsid w:val="2722776F"/>
    <w:rsid w:val="27457A1B"/>
    <w:rsid w:val="274B704D"/>
    <w:rsid w:val="274E68CF"/>
    <w:rsid w:val="276531E2"/>
    <w:rsid w:val="27963526"/>
    <w:rsid w:val="279C2686"/>
    <w:rsid w:val="27AB1F74"/>
    <w:rsid w:val="27EF1D1C"/>
    <w:rsid w:val="28042C4F"/>
    <w:rsid w:val="280660E7"/>
    <w:rsid w:val="28706D19"/>
    <w:rsid w:val="28CF57EE"/>
    <w:rsid w:val="28CF7D70"/>
    <w:rsid w:val="28D472A8"/>
    <w:rsid w:val="291F3D28"/>
    <w:rsid w:val="298E126E"/>
    <w:rsid w:val="299F1664"/>
    <w:rsid w:val="29B126DC"/>
    <w:rsid w:val="29DA5D7B"/>
    <w:rsid w:val="29F02881"/>
    <w:rsid w:val="2A071140"/>
    <w:rsid w:val="2A491FC7"/>
    <w:rsid w:val="2AB2711F"/>
    <w:rsid w:val="2AC967C3"/>
    <w:rsid w:val="2ACB46DB"/>
    <w:rsid w:val="2B020E86"/>
    <w:rsid w:val="2B0F5B99"/>
    <w:rsid w:val="2B5C1158"/>
    <w:rsid w:val="2B6C5691"/>
    <w:rsid w:val="2B797C93"/>
    <w:rsid w:val="2BDA2720"/>
    <w:rsid w:val="2BE93C1A"/>
    <w:rsid w:val="2BED313B"/>
    <w:rsid w:val="2C133D9F"/>
    <w:rsid w:val="2C39284C"/>
    <w:rsid w:val="2C695F59"/>
    <w:rsid w:val="2C7B401D"/>
    <w:rsid w:val="2C815051"/>
    <w:rsid w:val="2CA90A4C"/>
    <w:rsid w:val="2CE90E48"/>
    <w:rsid w:val="2CF55C1F"/>
    <w:rsid w:val="2CF972DD"/>
    <w:rsid w:val="2D4D7629"/>
    <w:rsid w:val="2D5B1D46"/>
    <w:rsid w:val="2D665E74"/>
    <w:rsid w:val="2D99286E"/>
    <w:rsid w:val="2D9B65E7"/>
    <w:rsid w:val="2DA9678E"/>
    <w:rsid w:val="2DF41412"/>
    <w:rsid w:val="2DF84522"/>
    <w:rsid w:val="2E234DC0"/>
    <w:rsid w:val="2E2B0E5E"/>
    <w:rsid w:val="2E575FCC"/>
    <w:rsid w:val="2E693B84"/>
    <w:rsid w:val="2E7D65B9"/>
    <w:rsid w:val="2E8645F4"/>
    <w:rsid w:val="2EB108A7"/>
    <w:rsid w:val="2ED9380E"/>
    <w:rsid w:val="2F3C1896"/>
    <w:rsid w:val="2F5F04B7"/>
    <w:rsid w:val="2F5F3B7C"/>
    <w:rsid w:val="2F884949"/>
    <w:rsid w:val="2FAD15F5"/>
    <w:rsid w:val="2FB63E0A"/>
    <w:rsid w:val="2FC17E5A"/>
    <w:rsid w:val="2FEE50F3"/>
    <w:rsid w:val="2FF344B8"/>
    <w:rsid w:val="30136908"/>
    <w:rsid w:val="302A2D00"/>
    <w:rsid w:val="305E1890"/>
    <w:rsid w:val="30677FAE"/>
    <w:rsid w:val="307366BE"/>
    <w:rsid w:val="307E2DE3"/>
    <w:rsid w:val="30FF6F51"/>
    <w:rsid w:val="31104BF6"/>
    <w:rsid w:val="31195DC3"/>
    <w:rsid w:val="31353885"/>
    <w:rsid w:val="314D409C"/>
    <w:rsid w:val="31526CE7"/>
    <w:rsid w:val="31554CFE"/>
    <w:rsid w:val="316B62D0"/>
    <w:rsid w:val="318178A1"/>
    <w:rsid w:val="31AC0DC2"/>
    <w:rsid w:val="31C55E0D"/>
    <w:rsid w:val="31E76326"/>
    <w:rsid w:val="31FE5396"/>
    <w:rsid w:val="320E7E13"/>
    <w:rsid w:val="321C6AB4"/>
    <w:rsid w:val="322A6639"/>
    <w:rsid w:val="3233535A"/>
    <w:rsid w:val="323572F6"/>
    <w:rsid w:val="323E39E4"/>
    <w:rsid w:val="32566F80"/>
    <w:rsid w:val="3292724F"/>
    <w:rsid w:val="329A3D4F"/>
    <w:rsid w:val="32BD0DAD"/>
    <w:rsid w:val="32BE2A91"/>
    <w:rsid w:val="32EE71B8"/>
    <w:rsid w:val="33074498"/>
    <w:rsid w:val="330D4250"/>
    <w:rsid w:val="33525E3B"/>
    <w:rsid w:val="336B51FF"/>
    <w:rsid w:val="33983A81"/>
    <w:rsid w:val="33AE791F"/>
    <w:rsid w:val="33B61918"/>
    <w:rsid w:val="33B7605A"/>
    <w:rsid w:val="33F26834"/>
    <w:rsid w:val="33FC31EA"/>
    <w:rsid w:val="3408478C"/>
    <w:rsid w:val="34325184"/>
    <w:rsid w:val="343B467F"/>
    <w:rsid w:val="346559BF"/>
    <w:rsid w:val="346E1C27"/>
    <w:rsid w:val="34A9783B"/>
    <w:rsid w:val="34DF14AF"/>
    <w:rsid w:val="34F27B67"/>
    <w:rsid w:val="3522571C"/>
    <w:rsid w:val="35591BE5"/>
    <w:rsid w:val="357A1851"/>
    <w:rsid w:val="35D01B4B"/>
    <w:rsid w:val="35FA0B23"/>
    <w:rsid w:val="35FE0154"/>
    <w:rsid w:val="36064E50"/>
    <w:rsid w:val="362863AF"/>
    <w:rsid w:val="363D2A3D"/>
    <w:rsid w:val="36597105"/>
    <w:rsid w:val="36844F22"/>
    <w:rsid w:val="36D178DD"/>
    <w:rsid w:val="37AF0454"/>
    <w:rsid w:val="37D05C01"/>
    <w:rsid w:val="37D3697D"/>
    <w:rsid w:val="384E10B3"/>
    <w:rsid w:val="38590496"/>
    <w:rsid w:val="38613F89"/>
    <w:rsid w:val="388C7E77"/>
    <w:rsid w:val="3899102A"/>
    <w:rsid w:val="38B12F90"/>
    <w:rsid w:val="38B62F41"/>
    <w:rsid w:val="38E34C6A"/>
    <w:rsid w:val="39012FAB"/>
    <w:rsid w:val="39225E0E"/>
    <w:rsid w:val="39371F9D"/>
    <w:rsid w:val="39477622"/>
    <w:rsid w:val="39754190"/>
    <w:rsid w:val="39865752"/>
    <w:rsid w:val="398A76FF"/>
    <w:rsid w:val="39916AF0"/>
    <w:rsid w:val="39A352DB"/>
    <w:rsid w:val="39B003B6"/>
    <w:rsid w:val="39B20135"/>
    <w:rsid w:val="39D440DC"/>
    <w:rsid w:val="39D96E5F"/>
    <w:rsid w:val="39E43DB6"/>
    <w:rsid w:val="3A1B5E20"/>
    <w:rsid w:val="3A221A8C"/>
    <w:rsid w:val="3A2F07E2"/>
    <w:rsid w:val="3A6B125E"/>
    <w:rsid w:val="3A954F3B"/>
    <w:rsid w:val="3ACC4E51"/>
    <w:rsid w:val="3AD218BA"/>
    <w:rsid w:val="3B163B4E"/>
    <w:rsid w:val="3B7E51F7"/>
    <w:rsid w:val="3B8811A4"/>
    <w:rsid w:val="3BAC10D3"/>
    <w:rsid w:val="3BC6514F"/>
    <w:rsid w:val="3C0F220A"/>
    <w:rsid w:val="3C116459"/>
    <w:rsid w:val="3C267544"/>
    <w:rsid w:val="3C8C6D91"/>
    <w:rsid w:val="3CD44D29"/>
    <w:rsid w:val="3CDE029E"/>
    <w:rsid w:val="3D0F170F"/>
    <w:rsid w:val="3D3305EA"/>
    <w:rsid w:val="3D36354C"/>
    <w:rsid w:val="3D3831E2"/>
    <w:rsid w:val="3D3954D4"/>
    <w:rsid w:val="3D3B749E"/>
    <w:rsid w:val="3DB334D8"/>
    <w:rsid w:val="3DBB413B"/>
    <w:rsid w:val="3DC93A44"/>
    <w:rsid w:val="3DD11BB1"/>
    <w:rsid w:val="3DED4811"/>
    <w:rsid w:val="3DFD6502"/>
    <w:rsid w:val="3E1D6EB4"/>
    <w:rsid w:val="3E1F3CAD"/>
    <w:rsid w:val="3E292C29"/>
    <w:rsid w:val="3E417CA1"/>
    <w:rsid w:val="3E78615B"/>
    <w:rsid w:val="3E8E35FE"/>
    <w:rsid w:val="3E8F22E6"/>
    <w:rsid w:val="3F19434D"/>
    <w:rsid w:val="3F23468E"/>
    <w:rsid w:val="3F261A88"/>
    <w:rsid w:val="3F381EE7"/>
    <w:rsid w:val="3F984C13"/>
    <w:rsid w:val="3FCF2120"/>
    <w:rsid w:val="40176267"/>
    <w:rsid w:val="40271DD6"/>
    <w:rsid w:val="40DA57F1"/>
    <w:rsid w:val="41015B84"/>
    <w:rsid w:val="410C362B"/>
    <w:rsid w:val="41230975"/>
    <w:rsid w:val="428E7BE1"/>
    <w:rsid w:val="42B11629"/>
    <w:rsid w:val="42B20B36"/>
    <w:rsid w:val="42FB66C8"/>
    <w:rsid w:val="43192944"/>
    <w:rsid w:val="43210EE4"/>
    <w:rsid w:val="43394480"/>
    <w:rsid w:val="43F959BD"/>
    <w:rsid w:val="445D207E"/>
    <w:rsid w:val="447255E6"/>
    <w:rsid w:val="44B30D3B"/>
    <w:rsid w:val="44CD7E13"/>
    <w:rsid w:val="45352A25"/>
    <w:rsid w:val="453A628D"/>
    <w:rsid w:val="454B2248"/>
    <w:rsid w:val="455235D7"/>
    <w:rsid w:val="456B28EB"/>
    <w:rsid w:val="456C173C"/>
    <w:rsid w:val="45B61DB8"/>
    <w:rsid w:val="45D2152F"/>
    <w:rsid w:val="45EE0F95"/>
    <w:rsid w:val="45F42F70"/>
    <w:rsid w:val="45F85626"/>
    <w:rsid w:val="462273F5"/>
    <w:rsid w:val="46607F75"/>
    <w:rsid w:val="466556B5"/>
    <w:rsid w:val="46710516"/>
    <w:rsid w:val="467529A8"/>
    <w:rsid w:val="468E4AE3"/>
    <w:rsid w:val="4692195B"/>
    <w:rsid w:val="46A24E41"/>
    <w:rsid w:val="46B609DC"/>
    <w:rsid w:val="46F21269"/>
    <w:rsid w:val="46FD241A"/>
    <w:rsid w:val="470E15D4"/>
    <w:rsid w:val="47234C6F"/>
    <w:rsid w:val="47305B9A"/>
    <w:rsid w:val="47E36768"/>
    <w:rsid w:val="4810142F"/>
    <w:rsid w:val="48142C67"/>
    <w:rsid w:val="484162BE"/>
    <w:rsid w:val="48643D4D"/>
    <w:rsid w:val="486F44A0"/>
    <w:rsid w:val="48711FC6"/>
    <w:rsid w:val="487D7E3E"/>
    <w:rsid w:val="48967192"/>
    <w:rsid w:val="489A6313"/>
    <w:rsid w:val="48A95C04"/>
    <w:rsid w:val="48CE0A5C"/>
    <w:rsid w:val="490C7F41"/>
    <w:rsid w:val="49431BB4"/>
    <w:rsid w:val="4949445D"/>
    <w:rsid w:val="495A3295"/>
    <w:rsid w:val="49B51BAE"/>
    <w:rsid w:val="49E54B73"/>
    <w:rsid w:val="4A1225DB"/>
    <w:rsid w:val="4A2E3F45"/>
    <w:rsid w:val="4A413C1A"/>
    <w:rsid w:val="4A442B3D"/>
    <w:rsid w:val="4A5E47CC"/>
    <w:rsid w:val="4A7E09CA"/>
    <w:rsid w:val="4A884CC6"/>
    <w:rsid w:val="4A965A40"/>
    <w:rsid w:val="4AA55BC3"/>
    <w:rsid w:val="4ABC7D85"/>
    <w:rsid w:val="4AC97E97"/>
    <w:rsid w:val="4BA3693A"/>
    <w:rsid w:val="4BE7343D"/>
    <w:rsid w:val="4C254B4B"/>
    <w:rsid w:val="4C4D6F48"/>
    <w:rsid w:val="4C676E45"/>
    <w:rsid w:val="4CFF2296"/>
    <w:rsid w:val="4D07114B"/>
    <w:rsid w:val="4D403EDA"/>
    <w:rsid w:val="4D954046"/>
    <w:rsid w:val="4E1E04FA"/>
    <w:rsid w:val="4E1F24C4"/>
    <w:rsid w:val="4E202AF3"/>
    <w:rsid w:val="4E5B63EE"/>
    <w:rsid w:val="4E6D29C4"/>
    <w:rsid w:val="4E7A06F8"/>
    <w:rsid w:val="4E9A0D74"/>
    <w:rsid w:val="4EB84816"/>
    <w:rsid w:val="4EFC023A"/>
    <w:rsid w:val="4F1D7BF0"/>
    <w:rsid w:val="4F282F37"/>
    <w:rsid w:val="4F701691"/>
    <w:rsid w:val="4FAA2095"/>
    <w:rsid w:val="4FC13833"/>
    <w:rsid w:val="4FC60E49"/>
    <w:rsid w:val="4FCD31AD"/>
    <w:rsid w:val="4FD317B8"/>
    <w:rsid w:val="4FF52C71"/>
    <w:rsid w:val="503A7A08"/>
    <w:rsid w:val="50416722"/>
    <w:rsid w:val="50512976"/>
    <w:rsid w:val="5052092F"/>
    <w:rsid w:val="5055041F"/>
    <w:rsid w:val="509A51EA"/>
    <w:rsid w:val="509E3ED1"/>
    <w:rsid w:val="50B44F07"/>
    <w:rsid w:val="50B82ABB"/>
    <w:rsid w:val="50CE013F"/>
    <w:rsid w:val="50D779D7"/>
    <w:rsid w:val="50E92BDF"/>
    <w:rsid w:val="51397C3A"/>
    <w:rsid w:val="514E559A"/>
    <w:rsid w:val="518A40F8"/>
    <w:rsid w:val="51CE6734"/>
    <w:rsid w:val="51D610EC"/>
    <w:rsid w:val="51E92988"/>
    <w:rsid w:val="520E62B8"/>
    <w:rsid w:val="52524C16"/>
    <w:rsid w:val="528312E8"/>
    <w:rsid w:val="528A2602"/>
    <w:rsid w:val="529A4BA7"/>
    <w:rsid w:val="52AD4542"/>
    <w:rsid w:val="52B50FFA"/>
    <w:rsid w:val="52BB3578"/>
    <w:rsid w:val="52C31E67"/>
    <w:rsid w:val="52C34E27"/>
    <w:rsid w:val="52DA54E7"/>
    <w:rsid w:val="52E468A6"/>
    <w:rsid w:val="52E8669F"/>
    <w:rsid w:val="531F42E7"/>
    <w:rsid w:val="533B1B4E"/>
    <w:rsid w:val="533B56AA"/>
    <w:rsid w:val="53492EE7"/>
    <w:rsid w:val="539C385A"/>
    <w:rsid w:val="53D6797D"/>
    <w:rsid w:val="53E775E0"/>
    <w:rsid w:val="541509B0"/>
    <w:rsid w:val="54723052"/>
    <w:rsid w:val="54843081"/>
    <w:rsid w:val="54BC690A"/>
    <w:rsid w:val="54FD5330"/>
    <w:rsid w:val="55132EB9"/>
    <w:rsid w:val="55E101CF"/>
    <w:rsid w:val="55F00828"/>
    <w:rsid w:val="56174AC2"/>
    <w:rsid w:val="56431446"/>
    <w:rsid w:val="564D7C8C"/>
    <w:rsid w:val="5683437C"/>
    <w:rsid w:val="56C5390E"/>
    <w:rsid w:val="56D57BC4"/>
    <w:rsid w:val="56E5591B"/>
    <w:rsid w:val="56E8059A"/>
    <w:rsid w:val="57091C60"/>
    <w:rsid w:val="570D462C"/>
    <w:rsid w:val="57631674"/>
    <w:rsid w:val="5794495B"/>
    <w:rsid w:val="57A500D0"/>
    <w:rsid w:val="57C351F2"/>
    <w:rsid w:val="57C6432D"/>
    <w:rsid w:val="57D4431F"/>
    <w:rsid w:val="58532224"/>
    <w:rsid w:val="586903C5"/>
    <w:rsid w:val="58711142"/>
    <w:rsid w:val="588726B7"/>
    <w:rsid w:val="58CD7EEF"/>
    <w:rsid w:val="58F0097C"/>
    <w:rsid w:val="58F57085"/>
    <w:rsid w:val="593212FE"/>
    <w:rsid w:val="593E1362"/>
    <w:rsid w:val="59590F80"/>
    <w:rsid w:val="59A732EE"/>
    <w:rsid w:val="59C3464B"/>
    <w:rsid w:val="59DE2BBE"/>
    <w:rsid w:val="5A28151F"/>
    <w:rsid w:val="5A410A6F"/>
    <w:rsid w:val="5A4A2677"/>
    <w:rsid w:val="5A9F6E67"/>
    <w:rsid w:val="5AC55338"/>
    <w:rsid w:val="5AF73FD1"/>
    <w:rsid w:val="5B1F58B2"/>
    <w:rsid w:val="5B3F45CC"/>
    <w:rsid w:val="5B773940"/>
    <w:rsid w:val="5BC17152"/>
    <w:rsid w:val="5C157C52"/>
    <w:rsid w:val="5C2C0286"/>
    <w:rsid w:val="5C432399"/>
    <w:rsid w:val="5C65447A"/>
    <w:rsid w:val="5C73216A"/>
    <w:rsid w:val="5CCA7DBF"/>
    <w:rsid w:val="5CCD039C"/>
    <w:rsid w:val="5CE05C01"/>
    <w:rsid w:val="5D067F46"/>
    <w:rsid w:val="5D4226C0"/>
    <w:rsid w:val="5D670D19"/>
    <w:rsid w:val="5D7C5EAE"/>
    <w:rsid w:val="5DEA6484"/>
    <w:rsid w:val="5E0C10BA"/>
    <w:rsid w:val="5E2A0506"/>
    <w:rsid w:val="5E784FC1"/>
    <w:rsid w:val="5E7F55FA"/>
    <w:rsid w:val="5E993BCD"/>
    <w:rsid w:val="5F125074"/>
    <w:rsid w:val="5F6A55E4"/>
    <w:rsid w:val="5F816B3B"/>
    <w:rsid w:val="5F8A2976"/>
    <w:rsid w:val="5F8B5C0B"/>
    <w:rsid w:val="5FB9070F"/>
    <w:rsid w:val="5FE039CC"/>
    <w:rsid w:val="5FEF7F48"/>
    <w:rsid w:val="600E7957"/>
    <w:rsid w:val="60194202"/>
    <w:rsid w:val="603641E3"/>
    <w:rsid w:val="606D70BF"/>
    <w:rsid w:val="60781824"/>
    <w:rsid w:val="60B82A30"/>
    <w:rsid w:val="60C87067"/>
    <w:rsid w:val="60D137C0"/>
    <w:rsid w:val="60EB4FAC"/>
    <w:rsid w:val="611C2FBF"/>
    <w:rsid w:val="613D03AF"/>
    <w:rsid w:val="614757BD"/>
    <w:rsid w:val="615269E1"/>
    <w:rsid w:val="61901848"/>
    <w:rsid w:val="62141EE8"/>
    <w:rsid w:val="622C1128"/>
    <w:rsid w:val="622E3F9D"/>
    <w:rsid w:val="62840C9B"/>
    <w:rsid w:val="62E95123"/>
    <w:rsid w:val="62EA2C49"/>
    <w:rsid w:val="634E31D8"/>
    <w:rsid w:val="63753EA0"/>
    <w:rsid w:val="63923347"/>
    <w:rsid w:val="63A35C79"/>
    <w:rsid w:val="63A60D41"/>
    <w:rsid w:val="63C45248"/>
    <w:rsid w:val="63C6035F"/>
    <w:rsid w:val="640D6BEF"/>
    <w:rsid w:val="644B3B98"/>
    <w:rsid w:val="646E0F66"/>
    <w:rsid w:val="64912F7B"/>
    <w:rsid w:val="64982F22"/>
    <w:rsid w:val="649A1D1D"/>
    <w:rsid w:val="64E04304"/>
    <w:rsid w:val="65055B18"/>
    <w:rsid w:val="65150451"/>
    <w:rsid w:val="65672FDC"/>
    <w:rsid w:val="65926B87"/>
    <w:rsid w:val="65960E66"/>
    <w:rsid w:val="659B691E"/>
    <w:rsid w:val="65D242C5"/>
    <w:rsid w:val="65D43361"/>
    <w:rsid w:val="65F10142"/>
    <w:rsid w:val="66124991"/>
    <w:rsid w:val="66140709"/>
    <w:rsid w:val="662D17CA"/>
    <w:rsid w:val="662D4F6B"/>
    <w:rsid w:val="66527C9E"/>
    <w:rsid w:val="66770C98"/>
    <w:rsid w:val="66E10C4D"/>
    <w:rsid w:val="67035B0B"/>
    <w:rsid w:val="67421D91"/>
    <w:rsid w:val="676236F6"/>
    <w:rsid w:val="676A25AA"/>
    <w:rsid w:val="67763831"/>
    <w:rsid w:val="67A63E75"/>
    <w:rsid w:val="67C06B9F"/>
    <w:rsid w:val="67D22629"/>
    <w:rsid w:val="67F06280"/>
    <w:rsid w:val="681F2C93"/>
    <w:rsid w:val="68406640"/>
    <w:rsid w:val="685D140B"/>
    <w:rsid w:val="685F692B"/>
    <w:rsid w:val="68D47A7B"/>
    <w:rsid w:val="68DF193E"/>
    <w:rsid w:val="68E84E3F"/>
    <w:rsid w:val="68F76E5C"/>
    <w:rsid w:val="69455133"/>
    <w:rsid w:val="695928D6"/>
    <w:rsid w:val="697063ED"/>
    <w:rsid w:val="69937B96"/>
    <w:rsid w:val="69C2222A"/>
    <w:rsid w:val="69DF21C2"/>
    <w:rsid w:val="6A0F002E"/>
    <w:rsid w:val="6A2627B9"/>
    <w:rsid w:val="6A292C42"/>
    <w:rsid w:val="6A321B28"/>
    <w:rsid w:val="6A3757AC"/>
    <w:rsid w:val="6A463F09"/>
    <w:rsid w:val="6A62031D"/>
    <w:rsid w:val="6A701523"/>
    <w:rsid w:val="6A721EA2"/>
    <w:rsid w:val="6A894429"/>
    <w:rsid w:val="6AC1406F"/>
    <w:rsid w:val="6AD00976"/>
    <w:rsid w:val="6B225676"/>
    <w:rsid w:val="6B4120C8"/>
    <w:rsid w:val="6B58506D"/>
    <w:rsid w:val="6B79224C"/>
    <w:rsid w:val="6B8E33C6"/>
    <w:rsid w:val="6B9B5986"/>
    <w:rsid w:val="6BDD42B9"/>
    <w:rsid w:val="6BE84649"/>
    <w:rsid w:val="6BEC7A32"/>
    <w:rsid w:val="6C085287"/>
    <w:rsid w:val="6C401523"/>
    <w:rsid w:val="6C447F32"/>
    <w:rsid w:val="6C5C6966"/>
    <w:rsid w:val="6C7D0E73"/>
    <w:rsid w:val="6CD00EA6"/>
    <w:rsid w:val="6CE6131C"/>
    <w:rsid w:val="6D1A2C05"/>
    <w:rsid w:val="6D313420"/>
    <w:rsid w:val="6D582B5E"/>
    <w:rsid w:val="6D5835D1"/>
    <w:rsid w:val="6D617FAC"/>
    <w:rsid w:val="6DDB7D5E"/>
    <w:rsid w:val="6DDD5A51"/>
    <w:rsid w:val="6DE51FC5"/>
    <w:rsid w:val="6E042F01"/>
    <w:rsid w:val="6E787FFF"/>
    <w:rsid w:val="6E7E029A"/>
    <w:rsid w:val="6E9047F2"/>
    <w:rsid w:val="6EA15698"/>
    <w:rsid w:val="6EA231BA"/>
    <w:rsid w:val="6ED30F77"/>
    <w:rsid w:val="6F20011E"/>
    <w:rsid w:val="6F3A3E03"/>
    <w:rsid w:val="6F482D42"/>
    <w:rsid w:val="6F497F47"/>
    <w:rsid w:val="6FA523D2"/>
    <w:rsid w:val="6FAA57D6"/>
    <w:rsid w:val="6FDE58E3"/>
    <w:rsid w:val="6FDE5D6B"/>
    <w:rsid w:val="701045B5"/>
    <w:rsid w:val="701C133B"/>
    <w:rsid w:val="703D37EB"/>
    <w:rsid w:val="70BC118D"/>
    <w:rsid w:val="70BF5715"/>
    <w:rsid w:val="712D6B22"/>
    <w:rsid w:val="71305754"/>
    <w:rsid w:val="715B4B81"/>
    <w:rsid w:val="71744751"/>
    <w:rsid w:val="717B055E"/>
    <w:rsid w:val="717E737E"/>
    <w:rsid w:val="71B16C93"/>
    <w:rsid w:val="71E36184"/>
    <w:rsid w:val="724F0F1D"/>
    <w:rsid w:val="729C3F60"/>
    <w:rsid w:val="729C5468"/>
    <w:rsid w:val="729E26DA"/>
    <w:rsid w:val="72D4516E"/>
    <w:rsid w:val="7301390F"/>
    <w:rsid w:val="73070F3B"/>
    <w:rsid w:val="734B3290"/>
    <w:rsid w:val="73A963B2"/>
    <w:rsid w:val="73B07EB2"/>
    <w:rsid w:val="73D61F49"/>
    <w:rsid w:val="73ED585D"/>
    <w:rsid w:val="74090D35"/>
    <w:rsid w:val="741B7106"/>
    <w:rsid w:val="741E6BF6"/>
    <w:rsid w:val="74257F85"/>
    <w:rsid w:val="7460720F"/>
    <w:rsid w:val="747607E0"/>
    <w:rsid w:val="747D1B6F"/>
    <w:rsid w:val="74885165"/>
    <w:rsid w:val="74B54BB0"/>
    <w:rsid w:val="751000FD"/>
    <w:rsid w:val="755037CE"/>
    <w:rsid w:val="757A7E5C"/>
    <w:rsid w:val="75E01033"/>
    <w:rsid w:val="76065B94"/>
    <w:rsid w:val="760D554A"/>
    <w:rsid w:val="760F2C9B"/>
    <w:rsid w:val="768C4EBA"/>
    <w:rsid w:val="768C7E47"/>
    <w:rsid w:val="76B15B00"/>
    <w:rsid w:val="76BB01D4"/>
    <w:rsid w:val="76CA4E14"/>
    <w:rsid w:val="76D56593"/>
    <w:rsid w:val="775A1CF3"/>
    <w:rsid w:val="775C313C"/>
    <w:rsid w:val="77624692"/>
    <w:rsid w:val="778446AD"/>
    <w:rsid w:val="77845FB9"/>
    <w:rsid w:val="77B77E4A"/>
    <w:rsid w:val="77DF59B7"/>
    <w:rsid w:val="77F51A1C"/>
    <w:rsid w:val="783F4636"/>
    <w:rsid w:val="78AE6557"/>
    <w:rsid w:val="78E75FB4"/>
    <w:rsid w:val="794949B1"/>
    <w:rsid w:val="794F0C6E"/>
    <w:rsid w:val="79A47B9E"/>
    <w:rsid w:val="79F151EA"/>
    <w:rsid w:val="79FE1404"/>
    <w:rsid w:val="7A043533"/>
    <w:rsid w:val="7A430F46"/>
    <w:rsid w:val="7A4B1055"/>
    <w:rsid w:val="7A5944E4"/>
    <w:rsid w:val="7A63567B"/>
    <w:rsid w:val="7A684727"/>
    <w:rsid w:val="7A7F4E68"/>
    <w:rsid w:val="7ADC47C3"/>
    <w:rsid w:val="7B4B6523"/>
    <w:rsid w:val="7B611E27"/>
    <w:rsid w:val="7B764AA9"/>
    <w:rsid w:val="7BC6204D"/>
    <w:rsid w:val="7BD07335"/>
    <w:rsid w:val="7BD227A0"/>
    <w:rsid w:val="7C07399B"/>
    <w:rsid w:val="7C2D5E41"/>
    <w:rsid w:val="7C305719"/>
    <w:rsid w:val="7C7F0961"/>
    <w:rsid w:val="7C8D434B"/>
    <w:rsid w:val="7CA010C3"/>
    <w:rsid w:val="7CA34E54"/>
    <w:rsid w:val="7CAA4F4C"/>
    <w:rsid w:val="7CB912D6"/>
    <w:rsid w:val="7CCE6A29"/>
    <w:rsid w:val="7CF33270"/>
    <w:rsid w:val="7D02603F"/>
    <w:rsid w:val="7D2C2B03"/>
    <w:rsid w:val="7D4A280A"/>
    <w:rsid w:val="7D4F4257"/>
    <w:rsid w:val="7D7550E8"/>
    <w:rsid w:val="7DC205F3"/>
    <w:rsid w:val="7DE43ECB"/>
    <w:rsid w:val="7E146C66"/>
    <w:rsid w:val="7E1D3989"/>
    <w:rsid w:val="7E261D0D"/>
    <w:rsid w:val="7E6E437D"/>
    <w:rsid w:val="7E7538B7"/>
    <w:rsid w:val="7EA23005"/>
    <w:rsid w:val="7EBF1493"/>
    <w:rsid w:val="7ED61979"/>
    <w:rsid w:val="7F051133"/>
    <w:rsid w:val="7F150C8C"/>
    <w:rsid w:val="7F61079B"/>
    <w:rsid w:val="7FA04963"/>
    <w:rsid w:val="7FC50EA3"/>
    <w:rsid w:val="7FF058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unhideWhenUsed/>
    <w:qFormat/>
    <w:uiPriority w:val="9"/>
    <w:pPr>
      <w:keepNext/>
      <w:keepLines/>
      <w:spacing w:before="260" w:after="260" w:line="416" w:lineRule="auto"/>
      <w:outlineLvl w:val="2"/>
    </w:pPr>
    <w:rPr>
      <w:rFonts w:ascii="Times New Roman" w:hAnsi="Times New Roman" w:eastAsia="宋体" w:cs="Times New Roman"/>
      <w:b/>
      <w:bCs/>
      <w:sz w:val="32"/>
      <w:szCs w:val="32"/>
    </w:rPr>
  </w:style>
  <w:style w:type="paragraph" w:styleId="6">
    <w:name w:val="heading 4"/>
    <w:basedOn w:val="1"/>
    <w:next w:val="1"/>
    <w:link w:val="33"/>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7">
    <w:name w:val="annotation text"/>
    <w:basedOn w:val="1"/>
    <w:qFormat/>
    <w:uiPriority w:val="0"/>
    <w:pPr>
      <w:jc w:val="left"/>
    </w:p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Body Text First Indent 2"/>
    <w:basedOn w:val="8"/>
    <w:qFormat/>
    <w:uiPriority w:val="0"/>
    <w:pPr>
      <w:ind w:firstLine="420"/>
    </w:pPr>
  </w:style>
  <w:style w:type="paragraph" w:styleId="10">
    <w:name w:val="toc 3"/>
    <w:basedOn w:val="1"/>
    <w:next w:val="1"/>
    <w:qFormat/>
    <w:uiPriority w:val="0"/>
    <w:pPr>
      <w:ind w:left="840" w:leftChars="400"/>
    </w:pPr>
  </w:style>
  <w:style w:type="paragraph" w:styleId="11">
    <w:name w:val="Plain Text"/>
    <w:basedOn w:val="1"/>
    <w:qFormat/>
    <w:uiPriority w:val="0"/>
    <w:rPr>
      <w:rFonts w:ascii="宋体" w:hAnsi="Courier New"/>
      <w:kern w:val="0"/>
      <w:sz w:val="20"/>
      <w:szCs w:val="21"/>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toc 1"/>
    <w:basedOn w:val="1"/>
    <w:next w:val="1"/>
    <w:qFormat/>
    <w:uiPriority w:val="0"/>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toc 2"/>
    <w:basedOn w:val="1"/>
    <w:next w:val="1"/>
    <w:qFormat/>
    <w:uiPriority w:val="0"/>
    <w:pPr>
      <w:ind w:left="420" w:leftChars="200"/>
    </w:pPr>
  </w:style>
  <w:style w:type="paragraph" w:styleId="17">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8">
    <w:name w:val="Body Text First Indent"/>
    <w:basedOn w:val="2"/>
    <w:qFormat/>
    <w:uiPriority w:val="0"/>
    <w:pPr>
      <w:ind w:firstLine="420" w:firstLineChars="10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basedOn w:val="21"/>
    <w:qFormat/>
    <w:uiPriority w:val="0"/>
    <w:rPr>
      <w:b/>
    </w:rPr>
  </w:style>
  <w:style w:type="character" w:styleId="23">
    <w:name w:val="page number"/>
    <w:basedOn w:val="21"/>
    <w:qFormat/>
    <w:uiPriority w:val="99"/>
    <w:rPr>
      <w:rFonts w:cs="Times New Roman"/>
    </w:rPr>
  </w:style>
  <w:style w:type="character" w:styleId="24">
    <w:name w:val="Emphasis"/>
    <w:qFormat/>
    <w:uiPriority w:val="0"/>
  </w:style>
  <w:style w:type="character" w:styleId="25">
    <w:name w:val="Hyperlink"/>
    <w:basedOn w:val="21"/>
    <w:qFormat/>
    <w:uiPriority w:val="0"/>
    <w:rPr>
      <w:color w:val="0000FF"/>
      <w:u w:val="single"/>
    </w:rPr>
  </w:style>
  <w:style w:type="character" w:styleId="26">
    <w:name w:val="annotation reference"/>
    <w:basedOn w:val="21"/>
    <w:unhideWhenUsed/>
    <w:qFormat/>
    <w:uiPriority w:val="0"/>
    <w:rPr>
      <w:sz w:val="21"/>
      <w:szCs w:val="21"/>
    </w:rPr>
  </w:style>
  <w:style w:type="paragraph" w:customStyle="1" w:styleId="27">
    <w:name w:val="Normal Indent"/>
    <w:basedOn w:val="1"/>
    <w:qFormat/>
    <w:uiPriority w:val="0"/>
    <w:pPr>
      <w:widowControl/>
      <w:ind w:firstLine="420" w:firstLineChars="200"/>
    </w:p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Table Text"/>
    <w:basedOn w:val="1"/>
    <w:semiHidden/>
    <w:qFormat/>
    <w:uiPriority w:val="0"/>
  </w:style>
  <w:style w:type="paragraph" w:customStyle="1" w:styleId="30">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1">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2">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3">
    <w:name w:val="标题 4 Char"/>
    <w:link w:val="6"/>
    <w:qFormat/>
    <w:uiPriority w:val="0"/>
    <w:rPr>
      <w:rFonts w:ascii="Arial" w:hAnsi="Arial" w:eastAsia="黑体"/>
      <w:b/>
      <w:sz w:val="28"/>
    </w:rPr>
  </w:style>
  <w:style w:type="paragraph" w:customStyle="1" w:styleId="34">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5">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6">
    <w:name w:val="font31"/>
    <w:qFormat/>
    <w:uiPriority w:val="0"/>
    <w:rPr>
      <w:rFonts w:hint="eastAsia" w:ascii="宋体" w:hAnsi="宋体" w:eastAsia="宋体" w:cs="宋体"/>
      <w:color w:val="000000"/>
      <w:sz w:val="21"/>
      <w:szCs w:val="21"/>
      <w:u w:val="none"/>
    </w:rPr>
  </w:style>
  <w:style w:type="paragraph" w:customStyle="1" w:styleId="3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8">
    <w:name w:val="Table Paragraph"/>
    <w:basedOn w:val="1"/>
    <w:qFormat/>
    <w:uiPriority w:val="1"/>
    <w:rPr>
      <w:rFonts w:ascii="宋体" w:hAnsi="宋体" w:eastAsia="宋体" w:cs="宋体"/>
      <w:lang w:val="zh-CN" w:bidi="zh-CN"/>
    </w:rPr>
  </w:style>
  <w:style w:type="paragraph" w:customStyle="1" w:styleId="39">
    <w:name w:val="_Style 14"/>
    <w:basedOn w:val="1"/>
    <w:next w:val="40"/>
    <w:qFormat/>
    <w:uiPriority w:val="34"/>
    <w:pPr>
      <w:ind w:firstLine="420"/>
    </w:pPr>
    <w:rPr>
      <w:rFonts w:eastAsia="微软雅黑"/>
      <w:sz w:val="24"/>
      <w:szCs w:val="24"/>
    </w:rPr>
  </w:style>
  <w:style w:type="paragraph" w:styleId="40">
    <w:name w:val="List Paragraph"/>
    <w:basedOn w:val="1"/>
    <w:qFormat/>
    <w:uiPriority w:val="34"/>
    <w:pPr>
      <w:ind w:firstLine="420" w:firstLineChars="200"/>
    </w:pPr>
  </w:style>
  <w:style w:type="paragraph" w:customStyle="1" w:styleId="41">
    <w:name w:val="正文2"/>
    <w:basedOn w:val="2"/>
    <w:autoRedefine/>
    <w:qFormat/>
    <w:uiPriority w:val="0"/>
    <w:pPr>
      <w:spacing w:line="360" w:lineRule="auto"/>
      <w:ind w:firstLine="480" w:firstLineChars="200"/>
    </w:pPr>
    <w:rPr>
      <w:rFonts w:ascii="宋体"/>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png"/><Relationship Id="rId27" Type="http://schemas.openxmlformats.org/officeDocument/2006/relationships/theme" Target="theme/theme1.xml"/><Relationship Id="rId26" Type="http://schemas.openxmlformats.org/officeDocument/2006/relationships/footer" Target="footer23.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84</Pages>
  <Words>7649</Words>
  <Characters>8431</Characters>
  <Lines>230</Lines>
  <Paragraphs>64</Paragraphs>
  <TotalTime>36</TotalTime>
  <ScaleCrop>false</ScaleCrop>
  <LinksUpToDate>false</LinksUpToDate>
  <CharactersWithSpaces>8895</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黄鲜铭</cp:lastModifiedBy>
  <cp:lastPrinted>2026-04-13T04:29:00Z</cp:lastPrinted>
  <dcterms:modified xsi:type="dcterms:W3CDTF">2026-05-27T09:08:53Z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C52CDC8543BA43A3AE7777D58753DB76_13</vt:lpwstr>
  </property>
  <property fmtid="{D5CDD505-2E9C-101B-9397-08002B2CF9AE}" pid="6" name="KSOTemplateDocerSaveRecord">
    <vt:lpwstr>eyJoZGlkIjoiODNlYzI4ODlmNDlkNzAyNmU4ZGJmYjdiMDUzNTZmYjEiLCJ1c2VySWQiOiIxMDQwOTcyMTEyIn0=</vt:lpwstr>
  </property>
</Properties>
</file>