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075EBE2">
      <w:pPr>
        <w:jc w:val="center"/>
        <w:rPr>
          <w:rStyle w:val="7"/>
          <w:rFonts w:hint="eastAsia"/>
          <w:b/>
          <w:color w:val="auto"/>
          <w:sz w:val="32"/>
          <w:highlight w:val="none"/>
        </w:rPr>
      </w:pPr>
      <w:r>
        <w:rPr>
          <w:rStyle w:val="7"/>
          <w:rFonts w:hint="eastAsia"/>
          <w:b/>
          <w:color w:val="auto"/>
          <w:sz w:val="32"/>
          <w:highlight w:val="none"/>
        </w:rPr>
        <w:t>技术/服务部分</w:t>
      </w:r>
    </w:p>
    <w:p w14:paraId="1FFE239F">
      <w:pPr>
        <w:pStyle w:val="2"/>
        <w:rPr>
          <w:rFonts w:hint="eastAsia" w:cs="微软雅黑"/>
          <w:b/>
          <w:color w:val="auto"/>
          <w:spacing w:val="2"/>
          <w:sz w:val="24"/>
          <w:szCs w:val="24"/>
          <w:highlight w:val="none"/>
        </w:rPr>
      </w:pPr>
    </w:p>
    <w:p w14:paraId="2E51FA50">
      <w:pPr>
        <w:spacing w:line="360" w:lineRule="auto"/>
        <w:ind w:firstLine="482" w:firstLineChars="200"/>
        <w:rPr>
          <w:rFonts w:hint="eastAsia" w:ascii="宋体" w:hAnsi="宋体" w:cs="宋体"/>
          <w:b/>
          <w:color w:val="auto"/>
          <w:szCs w:val="24"/>
          <w:highlight w:val="none"/>
        </w:rPr>
      </w:pPr>
      <w:r>
        <w:rPr>
          <w:rFonts w:hint="eastAsia" w:ascii="宋体" w:hAnsi="宋体" w:cs="宋体"/>
          <w:b/>
          <w:color w:val="auto"/>
          <w:szCs w:val="24"/>
          <w:highlight w:val="none"/>
        </w:rPr>
        <w:t>（一）项目概况</w:t>
      </w:r>
    </w:p>
    <w:p w14:paraId="102A2BA7">
      <w:pPr>
        <w:spacing w:line="360" w:lineRule="auto"/>
        <w:ind w:firstLine="482" w:firstLineChars="200"/>
        <w:rPr>
          <w:rFonts w:hint="eastAsia" w:ascii="宋体" w:hAnsi="宋体" w:cs="宋体"/>
          <w:color w:val="auto"/>
          <w:szCs w:val="24"/>
          <w:highlight w:val="none"/>
        </w:rPr>
      </w:pPr>
      <w:r>
        <w:rPr>
          <w:rFonts w:hint="eastAsia" w:ascii="宋体" w:hAnsi="宋体" w:cs="宋体"/>
          <w:b/>
          <w:color w:val="auto"/>
          <w:szCs w:val="24"/>
          <w:highlight w:val="none"/>
        </w:rPr>
        <w:t>项目名称：</w:t>
      </w:r>
      <w:r>
        <w:rPr>
          <w:rFonts w:hint="eastAsia" w:ascii="宋体" w:hAnsi="宋体" w:cs="宋体"/>
          <w:color w:val="auto"/>
          <w:szCs w:val="24"/>
          <w:highlight w:val="none"/>
        </w:rPr>
        <w:t>江西省能源矿产资源潜力调查评价广域电磁法勘探</w:t>
      </w:r>
    </w:p>
    <w:p w14:paraId="170834A1">
      <w:pPr>
        <w:spacing w:line="360" w:lineRule="auto"/>
        <w:ind w:firstLine="482" w:firstLineChars="200"/>
        <w:rPr>
          <w:rFonts w:hint="eastAsia" w:ascii="宋体" w:hAnsi="宋体" w:cs="宋体"/>
          <w:color w:val="auto"/>
          <w:szCs w:val="24"/>
          <w:highlight w:val="none"/>
        </w:rPr>
      </w:pPr>
      <w:r>
        <w:rPr>
          <w:rFonts w:hint="eastAsia" w:ascii="宋体" w:hAnsi="宋体" w:cs="宋体"/>
          <w:b/>
          <w:color w:val="auto"/>
          <w:szCs w:val="24"/>
          <w:highlight w:val="none"/>
        </w:rPr>
        <w:t>实施单位：</w:t>
      </w:r>
      <w:r>
        <w:rPr>
          <w:rFonts w:hint="eastAsia" w:ascii="宋体" w:hAnsi="宋体" w:cs="宋体"/>
          <w:color w:val="auto"/>
          <w:szCs w:val="24"/>
          <w:highlight w:val="none"/>
        </w:rPr>
        <w:t>江西省煤田地质勘察研究院</w:t>
      </w:r>
    </w:p>
    <w:p w14:paraId="39ECF93B">
      <w:pPr>
        <w:spacing w:line="360" w:lineRule="auto"/>
        <w:ind w:firstLine="482" w:firstLineChars="200"/>
        <w:rPr>
          <w:rFonts w:hint="eastAsia" w:ascii="宋体" w:hAnsi="宋体" w:cs="宋体"/>
          <w:bCs/>
          <w:color w:val="auto"/>
          <w:szCs w:val="24"/>
          <w:highlight w:val="none"/>
        </w:rPr>
      </w:pPr>
      <w:r>
        <w:rPr>
          <w:rFonts w:hint="eastAsia" w:ascii="宋体" w:hAnsi="宋体" w:cs="宋体"/>
          <w:b/>
          <w:color w:val="auto"/>
          <w:szCs w:val="24"/>
          <w:highlight w:val="none"/>
        </w:rPr>
        <w:t>工作周期：</w:t>
      </w:r>
      <w:r>
        <w:rPr>
          <w:rFonts w:hint="eastAsia" w:ascii="宋体" w:hAnsi="宋体" w:cs="宋体"/>
          <w:bCs/>
          <w:color w:val="auto"/>
          <w:szCs w:val="24"/>
          <w:highlight w:val="none"/>
        </w:rPr>
        <w:t>2026年6月～2026年9月</w:t>
      </w:r>
    </w:p>
    <w:p w14:paraId="46350818">
      <w:pPr>
        <w:spacing w:line="360" w:lineRule="auto"/>
        <w:ind w:firstLine="482" w:firstLineChars="200"/>
        <w:rPr>
          <w:rFonts w:hint="eastAsia" w:ascii="宋体" w:hAnsi="宋体" w:cs="宋体"/>
          <w:color w:val="auto"/>
          <w:szCs w:val="24"/>
          <w:highlight w:val="none"/>
        </w:rPr>
      </w:pPr>
      <w:r>
        <w:rPr>
          <w:rFonts w:hint="eastAsia" w:ascii="宋体" w:hAnsi="宋体" w:cs="宋体"/>
          <w:b/>
          <w:color w:val="auto"/>
          <w:szCs w:val="24"/>
          <w:highlight w:val="none"/>
        </w:rPr>
        <w:t>采购预算：</w:t>
      </w:r>
      <w:r>
        <w:rPr>
          <w:rFonts w:hint="eastAsia" w:ascii="宋体" w:hAnsi="宋体" w:cs="宋体"/>
          <w:color w:val="auto"/>
          <w:szCs w:val="24"/>
          <w:highlight w:val="none"/>
        </w:rPr>
        <w:t>110.52万元</w:t>
      </w:r>
    </w:p>
    <w:p w14:paraId="033DFB53">
      <w:pPr>
        <w:spacing w:line="360" w:lineRule="auto"/>
        <w:ind w:firstLine="482" w:firstLineChars="200"/>
        <w:rPr>
          <w:rFonts w:hint="eastAsia" w:ascii="宋体" w:hAnsi="宋体" w:cs="宋体"/>
          <w:color w:val="auto"/>
          <w:szCs w:val="24"/>
          <w:highlight w:val="none"/>
        </w:rPr>
      </w:pPr>
      <w:r>
        <w:rPr>
          <w:rFonts w:hint="eastAsia" w:ascii="宋体" w:hAnsi="宋体" w:cs="宋体"/>
          <w:b/>
          <w:color w:val="auto"/>
          <w:szCs w:val="24"/>
          <w:highlight w:val="none"/>
        </w:rPr>
        <w:t>工作范围：萍乡市湘东区、丰城市</w:t>
      </w:r>
    </w:p>
    <w:p w14:paraId="1BD5849A">
      <w:pPr>
        <w:spacing w:line="360" w:lineRule="auto"/>
        <w:ind w:firstLine="482" w:firstLineChars="200"/>
        <w:rPr>
          <w:rFonts w:hint="eastAsia" w:ascii="宋体" w:hAnsi="宋体" w:cs="宋体"/>
          <w:b/>
          <w:color w:val="auto"/>
          <w:szCs w:val="24"/>
          <w:highlight w:val="none"/>
        </w:rPr>
      </w:pPr>
      <w:r>
        <w:rPr>
          <w:rFonts w:hint="eastAsia" w:ascii="宋体" w:hAnsi="宋体" w:cs="宋体"/>
          <w:b/>
          <w:color w:val="auto"/>
          <w:szCs w:val="24"/>
          <w:highlight w:val="none"/>
        </w:rPr>
        <w:t>（二）目的任务</w:t>
      </w:r>
    </w:p>
    <w:p w14:paraId="7B1738ED">
      <w:pPr>
        <w:spacing w:line="360" w:lineRule="auto"/>
        <w:ind w:firstLine="480" w:firstLineChars="200"/>
        <w:rPr>
          <w:rFonts w:ascii="宋体" w:hAnsi="宋体" w:cs="宋体"/>
          <w:color w:val="auto"/>
          <w:szCs w:val="24"/>
          <w:highlight w:val="none"/>
        </w:rPr>
      </w:pPr>
      <w:r>
        <w:rPr>
          <w:rFonts w:hint="eastAsia" w:ascii="宋体" w:hAnsi="宋体" w:cs="宋体"/>
          <w:color w:val="auto"/>
          <w:szCs w:val="24"/>
          <w:highlight w:val="none"/>
        </w:rPr>
        <w:t>根据“多种勘探方法相结合”及前期预研究成果，依据工作任务的需要，本次拟对煤炭及煤层气重点调查区开展广域电磁法剖面测量工作。煤炭方面采用广域电磁法技术手段，获取调查区深部电性结构特征，重点推断解释二叠、三叠纪重要成煤期含煤地层、断裂构造、及褶皱等空间展布，综合研究各煤层有关的深部地质-地球物理特征，为后期地质钻探工作提供依据。煤层气方面进一步确定安源组煤层（系）深部含煤地层、煤层气储层空间展布特征，明晰区内控煤构造特征、断层分布特征等成藏基础地质条件，进一步查研究区内地层、构造及岩体分布特征，为重点调查区找矿潜力提供地质依据。预测各煤层埋深及煤层（系）气有利区。</w:t>
      </w:r>
    </w:p>
    <w:p w14:paraId="1D89115B">
      <w:pPr>
        <w:spacing w:line="360" w:lineRule="auto"/>
        <w:ind w:firstLine="482" w:firstLineChars="200"/>
        <w:rPr>
          <w:rFonts w:hint="eastAsia" w:ascii="宋体" w:hAnsi="宋体" w:cs="宋体"/>
          <w:b/>
          <w:color w:val="auto"/>
          <w:szCs w:val="24"/>
          <w:highlight w:val="none"/>
        </w:rPr>
      </w:pPr>
      <w:r>
        <w:rPr>
          <w:rFonts w:hint="eastAsia" w:ascii="宋体" w:hAnsi="宋体" w:cs="宋体"/>
          <w:b/>
          <w:color w:val="auto"/>
          <w:szCs w:val="24"/>
          <w:highlight w:val="none"/>
        </w:rPr>
        <w:t>（三）自然地理与经济地理</w:t>
      </w:r>
    </w:p>
    <w:p w14:paraId="1620CCF7">
      <w:pPr>
        <w:spacing w:line="360" w:lineRule="auto"/>
        <w:ind w:firstLine="480" w:firstLineChars="200"/>
        <w:rPr>
          <w:rFonts w:hint="eastAsia" w:ascii="宋体" w:hAnsi="宋体" w:cs="宋体"/>
          <w:color w:val="auto"/>
          <w:szCs w:val="24"/>
          <w:highlight w:val="none"/>
        </w:rPr>
      </w:pPr>
      <w:r>
        <w:rPr>
          <w:rFonts w:hint="eastAsia" w:ascii="宋体" w:hAnsi="宋体" w:cs="宋体"/>
          <w:color w:val="auto"/>
          <w:szCs w:val="24"/>
          <w:highlight w:val="none"/>
        </w:rPr>
        <w:t>萍乡地区煤层气重点调查区位于萍乡市中部，其地理座标：东经113°34′51″～114°0′31″，北纬27°29′02″～27°42′58″。其范围行政隶属萍乡市湘东区、安源区、芦溪县、上粟县管辖。矿区西起湖南与江西省界，东至高坑煤矿、裴家，北至福田、赤山，南至源泮、林坊，长约42～32.5km，宽约20km，面积665km</w:t>
      </w:r>
      <w:r>
        <w:rPr>
          <w:rFonts w:hint="eastAsia" w:ascii="宋体" w:hAnsi="宋体" w:cs="宋体"/>
          <w:color w:val="auto"/>
          <w:szCs w:val="24"/>
          <w:highlight w:val="none"/>
          <w:vertAlign w:val="superscript"/>
        </w:rPr>
        <w:t>2</w:t>
      </w:r>
      <w:r>
        <w:rPr>
          <w:rFonts w:hint="eastAsia" w:ascii="宋体" w:hAnsi="宋体" w:cs="宋体"/>
          <w:color w:val="auto"/>
          <w:szCs w:val="24"/>
          <w:highlight w:val="none"/>
        </w:rPr>
        <w:t>。</w:t>
      </w:r>
    </w:p>
    <w:p w14:paraId="2F8CD217">
      <w:pPr>
        <w:spacing w:line="360" w:lineRule="auto"/>
        <w:ind w:firstLine="480" w:firstLineChars="200"/>
        <w:rPr>
          <w:rFonts w:hint="eastAsia" w:ascii="宋体" w:hAnsi="宋体" w:cs="宋体"/>
          <w:color w:val="auto"/>
          <w:szCs w:val="24"/>
          <w:highlight w:val="none"/>
        </w:rPr>
      </w:pPr>
      <w:r>
        <w:rPr>
          <w:rFonts w:hint="eastAsia" w:ascii="宋体" w:hAnsi="宋体" w:cs="宋体"/>
          <w:color w:val="auto"/>
          <w:szCs w:val="24"/>
          <w:highlight w:val="none"/>
        </w:rPr>
        <w:t>丰城东坑-甘家煤矿重点调查区位于丰城市城区方位294°，直距约26km处，处于丰城市与高安市相接处，其行政区划属丰城市董家镇（梅林镇、泉港镇）、高安市独城镇管辖。其两极地理坐标（2000大地坐标系）为：东经115°29＇49.586＂～115°35＇24.974”，北纬28°11＇57.842＂～28°16＇10.899＂，面积31.58 km</w:t>
      </w:r>
      <w:r>
        <w:rPr>
          <w:rFonts w:hint="eastAsia" w:ascii="宋体" w:hAnsi="宋体" w:cs="宋体"/>
          <w:color w:val="auto"/>
          <w:szCs w:val="24"/>
          <w:highlight w:val="none"/>
          <w:vertAlign w:val="superscript"/>
        </w:rPr>
        <w:t>2</w:t>
      </w:r>
      <w:r>
        <w:rPr>
          <w:rFonts w:hint="eastAsia" w:ascii="宋体" w:hAnsi="宋体" w:cs="宋体"/>
          <w:color w:val="auto"/>
          <w:szCs w:val="24"/>
          <w:highlight w:val="none"/>
        </w:rPr>
        <w:t>。</w:t>
      </w:r>
    </w:p>
    <w:p w14:paraId="334DB0AD">
      <w:pPr>
        <w:spacing w:line="360" w:lineRule="auto"/>
        <w:ind w:firstLine="482" w:firstLineChars="200"/>
        <w:rPr>
          <w:rFonts w:hint="eastAsia" w:ascii="宋体" w:hAnsi="宋体" w:cs="宋体"/>
          <w:b/>
          <w:color w:val="auto"/>
          <w:szCs w:val="24"/>
          <w:highlight w:val="none"/>
        </w:rPr>
      </w:pPr>
      <w:r>
        <w:rPr>
          <w:rFonts w:hint="eastAsia" w:ascii="宋体" w:hAnsi="宋体" w:cs="宋体"/>
          <w:b/>
          <w:color w:val="auto"/>
          <w:szCs w:val="24"/>
          <w:highlight w:val="none"/>
        </w:rPr>
        <w:t>（四）工作技术标准</w:t>
      </w:r>
    </w:p>
    <w:p w14:paraId="39A2FB3D">
      <w:pPr>
        <w:spacing w:line="360" w:lineRule="auto"/>
        <w:ind w:firstLine="480" w:firstLineChars="200"/>
        <w:rPr>
          <w:rFonts w:hint="eastAsia" w:ascii="宋体" w:hAnsi="宋体" w:cs="宋体"/>
          <w:color w:val="auto"/>
          <w:szCs w:val="24"/>
          <w:highlight w:val="none"/>
        </w:rPr>
      </w:pPr>
      <w:r>
        <w:rPr>
          <w:rFonts w:hint="eastAsia" w:ascii="宋体" w:hAnsi="宋体" w:cs="宋体"/>
          <w:color w:val="auto"/>
          <w:szCs w:val="24"/>
          <w:highlight w:val="none"/>
        </w:rPr>
        <w:t>（1）《物化探工程测量规范》（DZ/T0153-2014）；</w:t>
      </w:r>
    </w:p>
    <w:p w14:paraId="279E3316">
      <w:pPr>
        <w:spacing w:line="360" w:lineRule="auto"/>
        <w:ind w:firstLine="480" w:firstLineChars="200"/>
        <w:rPr>
          <w:rFonts w:hint="eastAsia" w:ascii="宋体" w:hAnsi="宋体" w:cs="宋体"/>
          <w:color w:val="auto"/>
          <w:szCs w:val="24"/>
          <w:highlight w:val="none"/>
        </w:rPr>
      </w:pPr>
      <w:r>
        <w:rPr>
          <w:rFonts w:hint="eastAsia" w:ascii="宋体" w:hAnsi="宋体" w:cs="宋体"/>
          <w:color w:val="auto"/>
          <w:szCs w:val="24"/>
          <w:highlight w:val="none"/>
        </w:rPr>
        <w:t>（2）《广域电磁法技术规程》（DZ/T 0407-2022）；</w:t>
      </w:r>
    </w:p>
    <w:p w14:paraId="0C7B4C24">
      <w:pPr>
        <w:spacing w:line="360" w:lineRule="auto"/>
        <w:ind w:firstLine="480" w:firstLineChars="200"/>
        <w:rPr>
          <w:rFonts w:hint="eastAsia" w:ascii="宋体" w:hAnsi="宋体" w:cs="宋体"/>
          <w:color w:val="auto"/>
          <w:szCs w:val="24"/>
          <w:highlight w:val="none"/>
        </w:rPr>
      </w:pPr>
      <w:r>
        <w:rPr>
          <w:rFonts w:hint="eastAsia" w:ascii="宋体" w:hAnsi="宋体" w:cs="宋体"/>
          <w:color w:val="auto"/>
          <w:szCs w:val="24"/>
          <w:highlight w:val="none"/>
        </w:rPr>
        <w:t>（3）《地球物理勘查图图式图例及用色标准》（DZ/T 0069-2024）；</w:t>
      </w:r>
    </w:p>
    <w:p w14:paraId="1154E949">
      <w:pPr>
        <w:spacing w:line="360" w:lineRule="auto"/>
        <w:ind w:firstLine="480" w:firstLineChars="200"/>
        <w:rPr>
          <w:rFonts w:ascii="宋体" w:hAnsi="宋体" w:cs="宋体"/>
          <w:color w:val="auto"/>
          <w:szCs w:val="24"/>
          <w:highlight w:val="none"/>
        </w:rPr>
      </w:pPr>
      <w:r>
        <w:rPr>
          <w:rFonts w:hint="eastAsia" w:ascii="宋体" w:hAnsi="宋体" w:cs="宋体"/>
          <w:color w:val="auto"/>
          <w:szCs w:val="24"/>
          <w:highlight w:val="none"/>
        </w:rPr>
        <w:t>（4）《江西省能源矿产资源潜力调查评价项目设计书》。</w:t>
      </w:r>
    </w:p>
    <w:p w14:paraId="07D877EC">
      <w:pPr>
        <w:spacing w:line="360" w:lineRule="auto"/>
        <w:ind w:firstLine="480" w:firstLineChars="200"/>
        <w:rPr>
          <w:rFonts w:hint="eastAsia" w:ascii="宋体" w:hAnsi="宋体" w:cs="宋体"/>
          <w:color w:val="auto"/>
          <w:szCs w:val="24"/>
          <w:highlight w:val="none"/>
        </w:rPr>
      </w:pPr>
      <w:r>
        <w:rPr>
          <w:rFonts w:hint="eastAsia" w:ascii="宋体" w:hAnsi="宋体" w:cs="宋体"/>
          <w:color w:val="auto"/>
          <w:szCs w:val="24"/>
          <w:highlight w:val="none"/>
        </w:rPr>
        <w:t>所有工作应满足上述相应规程规范的有关技术要求。</w:t>
      </w:r>
    </w:p>
    <w:p w14:paraId="2AFA5431">
      <w:pPr>
        <w:spacing w:line="360" w:lineRule="auto"/>
        <w:ind w:firstLine="482" w:firstLineChars="200"/>
        <w:rPr>
          <w:rFonts w:hint="eastAsia" w:ascii="宋体" w:hAnsi="宋体" w:cs="宋体"/>
          <w:b/>
          <w:color w:val="auto"/>
          <w:szCs w:val="24"/>
          <w:highlight w:val="none"/>
        </w:rPr>
      </w:pPr>
      <w:r>
        <w:rPr>
          <w:rFonts w:hint="eastAsia" w:ascii="宋体" w:hAnsi="宋体" w:cs="宋体"/>
          <w:b/>
          <w:color w:val="auto"/>
          <w:szCs w:val="24"/>
          <w:highlight w:val="none"/>
        </w:rPr>
        <w:t>（五）工作内容主要技术要求</w:t>
      </w:r>
    </w:p>
    <w:p w14:paraId="453139F3">
      <w:pPr>
        <w:spacing w:line="360" w:lineRule="auto"/>
        <w:ind w:firstLine="480" w:firstLineChars="200"/>
        <w:rPr>
          <w:rFonts w:ascii="宋体" w:hAnsi="宋体" w:cs="宋体"/>
          <w:color w:val="auto"/>
          <w:szCs w:val="24"/>
          <w:highlight w:val="none"/>
        </w:rPr>
      </w:pPr>
      <w:r>
        <w:rPr>
          <w:rFonts w:hint="eastAsia" w:ascii="宋体" w:hAnsi="宋体" w:cs="宋体"/>
          <w:color w:val="auto"/>
          <w:szCs w:val="24"/>
          <w:highlight w:val="none"/>
        </w:rPr>
        <w:t>1、工作内容</w:t>
      </w:r>
    </w:p>
    <w:p w14:paraId="73FA9EAB">
      <w:pPr>
        <w:spacing w:line="360" w:lineRule="auto"/>
        <w:ind w:firstLine="480" w:firstLineChars="200"/>
        <w:rPr>
          <w:rFonts w:ascii="宋体" w:hAnsi="宋体" w:cs="宋体"/>
          <w:color w:val="auto"/>
          <w:szCs w:val="24"/>
          <w:highlight w:val="none"/>
        </w:rPr>
      </w:pPr>
      <w:r>
        <w:rPr>
          <w:rFonts w:hint="eastAsia" w:ascii="宋体" w:hAnsi="宋体" w:cs="宋体"/>
          <w:color w:val="auto"/>
          <w:szCs w:val="24"/>
          <w:highlight w:val="none"/>
        </w:rPr>
        <w:t>本次广域电磁法拟在萍乡巨源-青山煤层气及丰城市东坑-高安市甘家煤矿重点调查区布置40km，400点测线。其中萍乡煤层气重点调查区</w:t>
      </w:r>
      <w:r>
        <w:rPr>
          <w:rFonts w:ascii="宋体" w:hAnsi="宋体" w:cs="宋体"/>
          <w:color w:val="auto"/>
          <w:szCs w:val="24"/>
          <w:highlight w:val="none"/>
        </w:rPr>
        <w:t>布设</w:t>
      </w:r>
      <w:r>
        <w:rPr>
          <w:rFonts w:hint="eastAsia" w:ascii="宋体" w:hAnsi="宋体" w:cs="宋体"/>
          <w:color w:val="auto"/>
          <w:szCs w:val="24"/>
          <w:highlight w:val="none"/>
        </w:rPr>
        <w:t>4</w:t>
      </w:r>
      <w:r>
        <w:rPr>
          <w:rFonts w:ascii="宋体" w:hAnsi="宋体" w:cs="宋体"/>
          <w:color w:val="auto"/>
          <w:szCs w:val="24"/>
          <w:highlight w:val="none"/>
        </w:rPr>
        <w:t>条</w:t>
      </w:r>
      <w:bookmarkStart w:id="0" w:name="OLE_LINK6"/>
      <w:r>
        <w:rPr>
          <w:rFonts w:ascii="宋体" w:hAnsi="宋体" w:cs="宋体"/>
          <w:color w:val="auto"/>
          <w:szCs w:val="24"/>
          <w:highlight w:val="none"/>
        </w:rPr>
        <w:t>NW-SE</w:t>
      </w:r>
      <w:bookmarkEnd w:id="0"/>
      <w:r>
        <w:rPr>
          <w:rFonts w:ascii="宋体" w:hAnsi="宋体" w:cs="宋体"/>
          <w:color w:val="auto"/>
          <w:szCs w:val="24"/>
          <w:highlight w:val="none"/>
        </w:rPr>
        <w:t>的广域电磁法剖面</w:t>
      </w:r>
      <w:r>
        <w:rPr>
          <w:rFonts w:hint="eastAsia" w:ascii="宋体" w:hAnsi="宋体" w:cs="宋体"/>
          <w:color w:val="auto"/>
          <w:szCs w:val="24"/>
          <w:highlight w:val="none"/>
        </w:rPr>
        <w:t>30km，300点测线。</w:t>
      </w:r>
      <w:r>
        <w:rPr>
          <w:rFonts w:ascii="宋体" w:hAnsi="宋体" w:cs="宋体"/>
          <w:color w:val="auto"/>
          <w:szCs w:val="24"/>
          <w:highlight w:val="none"/>
        </w:rPr>
        <w:t>主要用于探测深部</w:t>
      </w:r>
      <w:r>
        <w:rPr>
          <w:rFonts w:hint="eastAsia" w:ascii="宋体" w:hAnsi="宋体" w:cs="宋体"/>
          <w:color w:val="auto"/>
          <w:szCs w:val="24"/>
          <w:highlight w:val="none"/>
        </w:rPr>
        <w:t>安源组</w:t>
      </w:r>
      <w:r>
        <w:rPr>
          <w:rFonts w:ascii="宋体" w:hAnsi="宋体" w:cs="宋体"/>
          <w:color w:val="auto"/>
          <w:szCs w:val="24"/>
          <w:highlight w:val="none"/>
        </w:rPr>
        <w:t>煤系气赋存层位、断裂构造及</w:t>
      </w:r>
      <w:r>
        <w:rPr>
          <w:rFonts w:hint="eastAsia" w:ascii="宋体" w:hAnsi="宋体" w:cs="宋体"/>
          <w:color w:val="auto"/>
          <w:szCs w:val="24"/>
          <w:highlight w:val="none"/>
        </w:rPr>
        <w:t>褶皱</w:t>
      </w:r>
      <w:r>
        <w:rPr>
          <w:rFonts w:ascii="宋体" w:hAnsi="宋体" w:cs="宋体"/>
          <w:color w:val="auto"/>
          <w:szCs w:val="24"/>
          <w:highlight w:val="none"/>
        </w:rPr>
        <w:t>等空间展布，综合研究</w:t>
      </w:r>
      <w:r>
        <w:rPr>
          <w:rFonts w:hint="eastAsia" w:ascii="宋体" w:hAnsi="宋体" w:cs="宋体"/>
          <w:color w:val="auto"/>
          <w:szCs w:val="24"/>
          <w:highlight w:val="none"/>
        </w:rPr>
        <w:t>各</w:t>
      </w:r>
      <w:r>
        <w:rPr>
          <w:rFonts w:ascii="宋体" w:hAnsi="宋体" w:cs="宋体"/>
          <w:color w:val="auto"/>
          <w:szCs w:val="24"/>
          <w:highlight w:val="none"/>
        </w:rPr>
        <w:t>煤层有关的深部地质-地球物理特征。</w:t>
      </w:r>
    </w:p>
    <w:p w14:paraId="17A70882">
      <w:pPr>
        <w:spacing w:line="360" w:lineRule="auto"/>
        <w:ind w:firstLine="480" w:firstLineChars="200"/>
        <w:rPr>
          <w:rFonts w:ascii="宋体" w:hAnsi="宋体" w:cs="宋体"/>
          <w:color w:val="auto"/>
          <w:szCs w:val="24"/>
          <w:highlight w:val="none"/>
        </w:rPr>
      </w:pPr>
      <w:r>
        <w:rPr>
          <w:rFonts w:ascii="宋体" w:hAnsi="宋体" w:cs="宋体"/>
          <w:color w:val="auto"/>
          <w:szCs w:val="24"/>
          <w:highlight w:val="none"/>
        </w:rPr>
        <w:t>在</w:t>
      </w:r>
      <w:r>
        <w:rPr>
          <w:rFonts w:hint="eastAsia" w:ascii="宋体" w:hAnsi="宋体" w:cs="宋体"/>
          <w:color w:val="auto"/>
          <w:szCs w:val="24"/>
          <w:highlight w:val="none"/>
        </w:rPr>
        <w:t>丰城市东坑-高安市甘家煤矿重点调查区</w:t>
      </w:r>
      <w:r>
        <w:rPr>
          <w:rFonts w:ascii="宋体" w:hAnsi="宋体" w:cs="宋体"/>
          <w:color w:val="auto"/>
          <w:szCs w:val="24"/>
          <w:highlight w:val="none"/>
        </w:rPr>
        <w:t>共布设2条广域电磁法剖面，共计</w:t>
      </w:r>
      <w:r>
        <w:rPr>
          <w:rFonts w:hint="eastAsia" w:ascii="宋体" w:hAnsi="宋体" w:cs="宋体"/>
          <w:color w:val="auto"/>
          <w:szCs w:val="24"/>
          <w:highlight w:val="none"/>
        </w:rPr>
        <w:t>10km，</w:t>
      </w:r>
      <w:r>
        <w:rPr>
          <w:rFonts w:ascii="宋体" w:hAnsi="宋体" w:cs="宋体"/>
          <w:color w:val="auto"/>
          <w:szCs w:val="24"/>
          <w:highlight w:val="none"/>
        </w:rPr>
        <w:t>100点测</w:t>
      </w:r>
      <w:r>
        <w:rPr>
          <w:rFonts w:hint="eastAsia" w:ascii="宋体" w:hAnsi="宋体" w:cs="宋体"/>
          <w:color w:val="auto"/>
          <w:szCs w:val="24"/>
          <w:highlight w:val="none"/>
        </w:rPr>
        <w:t>线</w:t>
      </w:r>
      <w:r>
        <w:rPr>
          <w:rFonts w:ascii="宋体" w:hAnsi="宋体" w:cs="宋体"/>
          <w:color w:val="auto"/>
          <w:szCs w:val="24"/>
          <w:highlight w:val="none"/>
        </w:rPr>
        <w:t>，主要用于探测深部</w:t>
      </w:r>
      <w:r>
        <w:rPr>
          <w:rFonts w:hint="eastAsia" w:ascii="宋体" w:hAnsi="宋体" w:cs="宋体"/>
          <w:color w:val="auto"/>
          <w:szCs w:val="24"/>
          <w:highlight w:val="none"/>
        </w:rPr>
        <w:t>含煤地层</w:t>
      </w:r>
      <w:r>
        <w:rPr>
          <w:rFonts w:ascii="宋体" w:hAnsi="宋体" w:cs="宋体"/>
          <w:color w:val="auto"/>
          <w:szCs w:val="24"/>
          <w:highlight w:val="none"/>
        </w:rPr>
        <w:t>位置、断裂构造及褶皱等空间展布，综合研究各煤层有关的深部地质-地球物理特征。</w:t>
      </w:r>
    </w:p>
    <w:p w14:paraId="0ECE4A17">
      <w:pPr>
        <w:jc w:val="center"/>
        <w:rPr>
          <w:b/>
          <w:color w:val="auto"/>
          <w:szCs w:val="21"/>
          <w:highlight w:val="none"/>
        </w:rPr>
      </w:pPr>
      <w:r>
        <w:rPr>
          <w:b/>
          <w:color w:val="auto"/>
          <w:szCs w:val="21"/>
          <w:highlight w:val="none"/>
        </w:rPr>
        <w:t>总体工作部署方案表</w:t>
      </w:r>
    </w:p>
    <w:tbl>
      <w:tblPr>
        <w:tblStyle w:val="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30"/>
        <w:gridCol w:w="1130"/>
        <w:gridCol w:w="2615"/>
        <w:gridCol w:w="2272"/>
        <w:gridCol w:w="1375"/>
      </w:tblGrid>
      <w:tr w14:paraId="1A016F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9" w:hRule="atLeast"/>
          <w:jc w:val="center"/>
        </w:trPr>
        <w:tc>
          <w:tcPr>
            <w:tcW w:w="663" w:type="pct"/>
            <w:noWrap w:val="0"/>
            <w:vAlign w:val="center"/>
          </w:tcPr>
          <w:p w14:paraId="2AF7B1AB">
            <w:pPr>
              <w:adjustRightInd w:val="0"/>
              <w:snapToGrid w:val="0"/>
              <w:jc w:val="center"/>
              <w:rPr>
                <w:rFonts w:hint="eastAsia" w:ascii="宋体" w:hAnsi="宋体" w:cs="宋体"/>
                <w:color w:val="auto"/>
                <w:highlight w:val="none"/>
              </w:rPr>
            </w:pPr>
            <w:r>
              <w:rPr>
                <w:rFonts w:hint="eastAsia" w:ascii="宋体" w:hAnsi="宋体" w:cs="宋体"/>
                <w:color w:val="auto"/>
                <w:highlight w:val="none"/>
              </w:rPr>
              <w:t>工作区</w:t>
            </w:r>
          </w:p>
        </w:tc>
        <w:tc>
          <w:tcPr>
            <w:tcW w:w="663" w:type="pct"/>
            <w:noWrap w:val="0"/>
            <w:vAlign w:val="center"/>
          </w:tcPr>
          <w:p w14:paraId="74F94E5F">
            <w:pPr>
              <w:adjustRightInd w:val="0"/>
              <w:snapToGrid w:val="0"/>
              <w:jc w:val="center"/>
              <w:rPr>
                <w:rFonts w:hint="eastAsia" w:ascii="宋体" w:hAnsi="宋体" w:cs="宋体"/>
                <w:color w:val="auto"/>
                <w:highlight w:val="none"/>
              </w:rPr>
            </w:pPr>
            <w:r>
              <w:rPr>
                <w:rFonts w:hint="eastAsia" w:ascii="宋体" w:hAnsi="宋体" w:cs="宋体"/>
                <w:color w:val="auto"/>
                <w:highlight w:val="none"/>
              </w:rPr>
              <w:t>技术</w:t>
            </w:r>
          </w:p>
          <w:p w14:paraId="354DCC9F">
            <w:pPr>
              <w:adjustRightInd w:val="0"/>
              <w:snapToGrid w:val="0"/>
              <w:jc w:val="center"/>
              <w:rPr>
                <w:rFonts w:hint="eastAsia" w:ascii="宋体" w:hAnsi="宋体" w:cs="宋体"/>
                <w:color w:val="auto"/>
                <w:highlight w:val="none"/>
              </w:rPr>
            </w:pPr>
            <w:r>
              <w:rPr>
                <w:rFonts w:hint="eastAsia" w:ascii="宋体" w:hAnsi="宋体" w:cs="宋体"/>
                <w:color w:val="auto"/>
                <w:highlight w:val="none"/>
              </w:rPr>
              <w:t>方法</w:t>
            </w:r>
          </w:p>
        </w:tc>
        <w:tc>
          <w:tcPr>
            <w:tcW w:w="1534" w:type="pct"/>
            <w:noWrap w:val="0"/>
            <w:vAlign w:val="center"/>
          </w:tcPr>
          <w:p w14:paraId="7CC757C8">
            <w:pPr>
              <w:adjustRightInd w:val="0"/>
              <w:snapToGrid w:val="0"/>
              <w:jc w:val="center"/>
              <w:rPr>
                <w:rFonts w:hint="eastAsia" w:ascii="宋体" w:hAnsi="宋体" w:cs="宋体"/>
                <w:color w:val="auto"/>
                <w:highlight w:val="none"/>
              </w:rPr>
            </w:pPr>
            <w:r>
              <w:rPr>
                <w:rFonts w:hint="eastAsia" w:ascii="宋体" w:hAnsi="宋体" w:cs="宋体"/>
                <w:color w:val="auto"/>
                <w:highlight w:val="none"/>
              </w:rPr>
              <w:t>主要技术参数</w:t>
            </w:r>
          </w:p>
        </w:tc>
        <w:tc>
          <w:tcPr>
            <w:tcW w:w="1333" w:type="pct"/>
            <w:noWrap w:val="0"/>
            <w:vAlign w:val="center"/>
          </w:tcPr>
          <w:p w14:paraId="642679F3">
            <w:pPr>
              <w:adjustRightInd w:val="0"/>
              <w:snapToGrid w:val="0"/>
              <w:jc w:val="center"/>
              <w:rPr>
                <w:rFonts w:hint="eastAsia" w:ascii="宋体" w:hAnsi="宋体" w:cs="宋体"/>
                <w:color w:val="auto"/>
                <w:highlight w:val="none"/>
              </w:rPr>
            </w:pPr>
            <w:r>
              <w:rPr>
                <w:rFonts w:hint="eastAsia" w:ascii="宋体" w:hAnsi="宋体" w:cs="宋体"/>
                <w:color w:val="auto"/>
                <w:highlight w:val="none"/>
              </w:rPr>
              <w:t>部署情况</w:t>
            </w:r>
          </w:p>
        </w:tc>
        <w:tc>
          <w:tcPr>
            <w:tcW w:w="807" w:type="pct"/>
            <w:noWrap w:val="0"/>
            <w:vAlign w:val="center"/>
          </w:tcPr>
          <w:p w14:paraId="22B92DD2">
            <w:pPr>
              <w:adjustRightInd w:val="0"/>
              <w:snapToGrid w:val="0"/>
              <w:jc w:val="center"/>
              <w:rPr>
                <w:rFonts w:hint="eastAsia" w:ascii="宋体" w:hAnsi="宋体" w:cs="宋体"/>
                <w:color w:val="auto"/>
                <w:highlight w:val="none"/>
              </w:rPr>
            </w:pPr>
            <w:r>
              <w:rPr>
                <w:rFonts w:hint="eastAsia" w:ascii="宋体" w:hAnsi="宋体" w:cs="宋体"/>
                <w:color w:val="auto"/>
                <w:highlight w:val="none"/>
              </w:rPr>
              <w:t>工作量</w:t>
            </w:r>
          </w:p>
        </w:tc>
      </w:tr>
      <w:tr w14:paraId="7BDB69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65" w:hRule="atLeast"/>
          <w:jc w:val="center"/>
        </w:trPr>
        <w:tc>
          <w:tcPr>
            <w:tcW w:w="663" w:type="pct"/>
            <w:noWrap w:val="0"/>
            <w:vAlign w:val="center"/>
          </w:tcPr>
          <w:p w14:paraId="57A195CF">
            <w:pPr>
              <w:adjustRightInd w:val="0"/>
              <w:snapToGrid w:val="0"/>
              <w:jc w:val="center"/>
              <w:rPr>
                <w:rFonts w:hint="eastAsia" w:ascii="宋体" w:hAnsi="宋体" w:cs="宋体"/>
                <w:color w:val="auto"/>
                <w:highlight w:val="none"/>
              </w:rPr>
            </w:pPr>
            <w:r>
              <w:rPr>
                <w:rFonts w:hint="eastAsia" w:ascii="宋体" w:hAnsi="宋体" w:cs="宋体"/>
                <w:color w:val="auto"/>
                <w:highlight w:val="none"/>
              </w:rPr>
              <w:t>萍乡巨源-青山煤层气重点调查区</w:t>
            </w:r>
          </w:p>
        </w:tc>
        <w:tc>
          <w:tcPr>
            <w:tcW w:w="663" w:type="pct"/>
            <w:noWrap w:val="0"/>
            <w:vAlign w:val="center"/>
          </w:tcPr>
          <w:p w14:paraId="67A24511">
            <w:pPr>
              <w:adjustRightInd w:val="0"/>
              <w:snapToGrid w:val="0"/>
              <w:jc w:val="center"/>
              <w:rPr>
                <w:rFonts w:hint="eastAsia" w:ascii="宋体" w:hAnsi="宋体" w:cs="宋体"/>
                <w:color w:val="auto"/>
                <w:highlight w:val="none"/>
              </w:rPr>
            </w:pPr>
            <w:r>
              <w:rPr>
                <w:rFonts w:hint="eastAsia" w:ascii="宋体" w:hAnsi="宋体" w:cs="宋体"/>
                <w:color w:val="auto"/>
                <w:highlight w:val="none"/>
              </w:rPr>
              <w:t>广域</w:t>
            </w:r>
          </w:p>
          <w:p w14:paraId="2057A7D3">
            <w:pPr>
              <w:adjustRightInd w:val="0"/>
              <w:snapToGrid w:val="0"/>
              <w:jc w:val="center"/>
              <w:rPr>
                <w:rFonts w:hint="eastAsia" w:ascii="宋体" w:hAnsi="宋体" w:cs="宋体"/>
                <w:color w:val="auto"/>
                <w:highlight w:val="none"/>
              </w:rPr>
            </w:pPr>
            <w:r>
              <w:rPr>
                <w:rFonts w:hint="eastAsia" w:ascii="宋体" w:hAnsi="宋体" w:cs="宋体"/>
                <w:color w:val="auto"/>
                <w:highlight w:val="none"/>
              </w:rPr>
              <w:t>电磁法</w:t>
            </w:r>
          </w:p>
        </w:tc>
        <w:tc>
          <w:tcPr>
            <w:tcW w:w="1534" w:type="pct"/>
            <w:noWrap w:val="0"/>
            <w:vAlign w:val="center"/>
          </w:tcPr>
          <w:p w14:paraId="4140C3AF">
            <w:pPr>
              <w:adjustRightInd w:val="0"/>
              <w:snapToGrid w:val="0"/>
              <w:jc w:val="left"/>
              <w:rPr>
                <w:rFonts w:hint="eastAsia" w:ascii="宋体" w:hAnsi="宋体" w:cs="宋体"/>
                <w:color w:val="auto"/>
                <w:highlight w:val="none"/>
              </w:rPr>
            </w:pPr>
            <w:r>
              <w:rPr>
                <w:rFonts w:hint="eastAsia" w:ascii="宋体" w:hAnsi="宋体" w:cs="宋体"/>
                <w:color w:val="auto"/>
                <w:highlight w:val="none"/>
              </w:rPr>
              <w:t>点距100m，采集频率0.0117-8192Hz，方位角</w:t>
            </w:r>
            <w:r>
              <w:rPr>
                <w:rFonts w:ascii="宋体" w:hAnsi="宋体" w:cs="宋体"/>
                <w:color w:val="auto"/>
                <w:highlight w:val="none"/>
              </w:rPr>
              <w:t>117.32°</w:t>
            </w:r>
            <w:r>
              <w:rPr>
                <w:rFonts w:hint="eastAsia" w:ascii="宋体" w:hAnsi="宋体" w:cs="宋体"/>
                <w:color w:val="auto"/>
                <w:highlight w:val="none"/>
              </w:rPr>
              <w:t>，探测深度0-2500m，偶极场源，赤道装置，E-Ex测量方式</w:t>
            </w:r>
          </w:p>
        </w:tc>
        <w:tc>
          <w:tcPr>
            <w:tcW w:w="1333" w:type="pct"/>
            <w:noWrap w:val="0"/>
            <w:vAlign w:val="center"/>
          </w:tcPr>
          <w:p w14:paraId="4D36C292">
            <w:pPr>
              <w:adjustRightInd w:val="0"/>
              <w:snapToGrid w:val="0"/>
              <w:jc w:val="center"/>
              <w:rPr>
                <w:rFonts w:hint="eastAsia" w:ascii="宋体" w:hAnsi="宋体" w:cs="宋体"/>
                <w:color w:val="auto"/>
                <w:highlight w:val="none"/>
              </w:rPr>
            </w:pPr>
            <w:r>
              <w:rPr>
                <w:rFonts w:hint="eastAsia" w:ascii="宋体" w:hAnsi="宋体" w:cs="宋体"/>
                <w:color w:val="auto"/>
                <w:highlight w:val="none"/>
              </w:rPr>
              <w:t>布设4条剖面</w:t>
            </w:r>
          </w:p>
        </w:tc>
        <w:tc>
          <w:tcPr>
            <w:tcW w:w="807" w:type="pct"/>
            <w:noWrap w:val="0"/>
            <w:vAlign w:val="center"/>
          </w:tcPr>
          <w:p w14:paraId="2326E2AD">
            <w:pPr>
              <w:adjustRightInd w:val="0"/>
              <w:snapToGrid w:val="0"/>
              <w:jc w:val="center"/>
              <w:rPr>
                <w:rFonts w:hint="eastAsia" w:ascii="宋体" w:hAnsi="宋体" w:cs="宋体"/>
                <w:color w:val="auto"/>
                <w:highlight w:val="none"/>
              </w:rPr>
            </w:pPr>
            <w:r>
              <w:rPr>
                <w:rFonts w:hint="eastAsia" w:ascii="宋体" w:hAnsi="宋体" w:cs="宋体"/>
                <w:color w:val="auto"/>
                <w:highlight w:val="none"/>
              </w:rPr>
              <w:t>30km/300点</w:t>
            </w:r>
          </w:p>
        </w:tc>
      </w:tr>
      <w:tr w14:paraId="53FD04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89" w:hRule="atLeast"/>
          <w:jc w:val="center"/>
        </w:trPr>
        <w:tc>
          <w:tcPr>
            <w:tcW w:w="663" w:type="pct"/>
            <w:noWrap w:val="0"/>
            <w:vAlign w:val="center"/>
          </w:tcPr>
          <w:p w14:paraId="35D5C2AB">
            <w:pPr>
              <w:adjustRightInd w:val="0"/>
              <w:snapToGrid w:val="0"/>
              <w:jc w:val="center"/>
              <w:rPr>
                <w:rFonts w:hint="eastAsia" w:ascii="宋体" w:hAnsi="宋体" w:cs="宋体"/>
                <w:color w:val="auto"/>
                <w:highlight w:val="none"/>
              </w:rPr>
            </w:pPr>
            <w:r>
              <w:rPr>
                <w:rFonts w:hint="eastAsia" w:ascii="宋体" w:hAnsi="宋体" w:cs="宋体"/>
                <w:color w:val="auto"/>
                <w:sz w:val="28"/>
                <w:szCs w:val="30"/>
                <w:highlight w:val="none"/>
              </w:rPr>
              <w:t>丰</w:t>
            </w:r>
            <w:r>
              <w:rPr>
                <w:rFonts w:hint="eastAsia" w:ascii="宋体" w:hAnsi="宋体" w:cs="宋体"/>
                <w:color w:val="auto"/>
                <w:highlight w:val="none"/>
              </w:rPr>
              <w:t>城市东坑-高安市甘家煤矿重点调查区</w:t>
            </w:r>
          </w:p>
        </w:tc>
        <w:tc>
          <w:tcPr>
            <w:tcW w:w="663" w:type="pct"/>
            <w:noWrap w:val="0"/>
            <w:vAlign w:val="center"/>
          </w:tcPr>
          <w:p w14:paraId="2537D018">
            <w:pPr>
              <w:adjustRightInd w:val="0"/>
              <w:snapToGrid w:val="0"/>
              <w:jc w:val="center"/>
              <w:rPr>
                <w:rFonts w:hint="eastAsia" w:ascii="宋体" w:hAnsi="宋体" w:cs="宋体"/>
                <w:color w:val="auto"/>
                <w:highlight w:val="none"/>
              </w:rPr>
            </w:pPr>
            <w:r>
              <w:rPr>
                <w:rFonts w:hint="eastAsia" w:ascii="宋体" w:hAnsi="宋体" w:cs="宋体"/>
                <w:color w:val="auto"/>
                <w:highlight w:val="none"/>
              </w:rPr>
              <w:t>广域</w:t>
            </w:r>
          </w:p>
          <w:p w14:paraId="74F4DF79">
            <w:pPr>
              <w:adjustRightInd w:val="0"/>
              <w:snapToGrid w:val="0"/>
              <w:jc w:val="center"/>
              <w:rPr>
                <w:rFonts w:hint="eastAsia" w:ascii="宋体" w:hAnsi="宋体" w:cs="宋体"/>
                <w:color w:val="auto"/>
                <w:highlight w:val="none"/>
              </w:rPr>
            </w:pPr>
            <w:r>
              <w:rPr>
                <w:rFonts w:hint="eastAsia" w:ascii="宋体" w:hAnsi="宋体" w:cs="宋体"/>
                <w:color w:val="auto"/>
                <w:highlight w:val="none"/>
              </w:rPr>
              <w:t>电磁法</w:t>
            </w:r>
          </w:p>
        </w:tc>
        <w:tc>
          <w:tcPr>
            <w:tcW w:w="1534" w:type="pct"/>
            <w:noWrap w:val="0"/>
            <w:vAlign w:val="center"/>
          </w:tcPr>
          <w:p w14:paraId="1E35EF67">
            <w:pPr>
              <w:adjustRightInd w:val="0"/>
              <w:snapToGrid w:val="0"/>
              <w:jc w:val="left"/>
              <w:rPr>
                <w:rFonts w:hint="eastAsia" w:ascii="宋体" w:hAnsi="宋体" w:cs="宋体"/>
                <w:color w:val="auto"/>
                <w:highlight w:val="none"/>
              </w:rPr>
            </w:pPr>
            <w:r>
              <w:rPr>
                <w:rFonts w:hint="eastAsia" w:ascii="宋体" w:hAnsi="宋体" w:cs="宋体"/>
                <w:color w:val="auto"/>
                <w:highlight w:val="none"/>
              </w:rPr>
              <w:t>点距100m，采集频率0.0117-8192Hz，方位角180.50°，探测深度0-2500m，偶极场源，赤道装置，E-Ex测量方式</w:t>
            </w:r>
          </w:p>
        </w:tc>
        <w:tc>
          <w:tcPr>
            <w:tcW w:w="1333" w:type="pct"/>
            <w:noWrap w:val="0"/>
            <w:vAlign w:val="center"/>
          </w:tcPr>
          <w:p w14:paraId="3810ABCC">
            <w:pPr>
              <w:adjustRightInd w:val="0"/>
              <w:snapToGrid w:val="0"/>
              <w:jc w:val="center"/>
              <w:rPr>
                <w:rFonts w:hint="eastAsia" w:ascii="宋体" w:hAnsi="宋体" w:cs="宋体"/>
                <w:color w:val="auto"/>
                <w:highlight w:val="none"/>
              </w:rPr>
            </w:pPr>
            <w:r>
              <w:rPr>
                <w:rFonts w:hint="eastAsia" w:ascii="宋体" w:hAnsi="宋体" w:cs="宋体"/>
                <w:color w:val="auto"/>
                <w:highlight w:val="none"/>
              </w:rPr>
              <w:t>布设2条剖面</w:t>
            </w:r>
          </w:p>
        </w:tc>
        <w:tc>
          <w:tcPr>
            <w:tcW w:w="807" w:type="pct"/>
            <w:noWrap w:val="0"/>
            <w:vAlign w:val="center"/>
          </w:tcPr>
          <w:p w14:paraId="4C02D6F2">
            <w:pPr>
              <w:adjustRightInd w:val="0"/>
              <w:snapToGrid w:val="0"/>
              <w:jc w:val="center"/>
              <w:rPr>
                <w:rFonts w:hint="eastAsia" w:ascii="宋体" w:hAnsi="宋体" w:cs="宋体"/>
                <w:color w:val="auto"/>
                <w:highlight w:val="none"/>
              </w:rPr>
            </w:pPr>
            <w:r>
              <w:rPr>
                <w:rFonts w:hint="eastAsia" w:ascii="宋体" w:hAnsi="宋体" w:cs="宋体"/>
                <w:color w:val="auto"/>
                <w:highlight w:val="none"/>
              </w:rPr>
              <w:t>10km/100点</w:t>
            </w:r>
          </w:p>
        </w:tc>
      </w:tr>
      <w:tr w14:paraId="3F49AD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0" w:hRule="atLeast"/>
          <w:jc w:val="center"/>
        </w:trPr>
        <w:tc>
          <w:tcPr>
            <w:tcW w:w="663" w:type="pct"/>
            <w:noWrap w:val="0"/>
            <w:vAlign w:val="center"/>
          </w:tcPr>
          <w:p w14:paraId="4346FF3F">
            <w:pPr>
              <w:adjustRightInd w:val="0"/>
              <w:snapToGrid w:val="0"/>
              <w:jc w:val="center"/>
              <w:rPr>
                <w:rFonts w:hint="eastAsia" w:ascii="宋体" w:hAnsi="宋体" w:cs="宋体"/>
                <w:color w:val="auto"/>
                <w:highlight w:val="none"/>
              </w:rPr>
            </w:pPr>
            <w:r>
              <w:rPr>
                <w:rFonts w:hint="eastAsia" w:ascii="宋体" w:hAnsi="宋体" w:cs="宋体"/>
                <w:color w:val="auto"/>
                <w:highlight w:val="none"/>
              </w:rPr>
              <w:t>备注</w:t>
            </w:r>
          </w:p>
        </w:tc>
        <w:tc>
          <w:tcPr>
            <w:tcW w:w="663" w:type="pct"/>
            <w:noWrap w:val="0"/>
            <w:vAlign w:val="center"/>
          </w:tcPr>
          <w:p w14:paraId="2D45DECB">
            <w:pPr>
              <w:adjustRightInd w:val="0"/>
              <w:snapToGrid w:val="0"/>
              <w:jc w:val="center"/>
              <w:rPr>
                <w:rFonts w:hint="eastAsia" w:ascii="宋体" w:hAnsi="宋体" w:cs="宋体"/>
                <w:color w:val="auto"/>
                <w:highlight w:val="none"/>
              </w:rPr>
            </w:pPr>
            <w:r>
              <w:rPr>
                <w:rFonts w:hint="eastAsia" w:ascii="宋体" w:hAnsi="宋体" w:cs="宋体"/>
                <w:color w:val="auto"/>
                <w:highlight w:val="none"/>
              </w:rPr>
              <w:t>物性测量</w:t>
            </w:r>
          </w:p>
        </w:tc>
        <w:tc>
          <w:tcPr>
            <w:tcW w:w="1534" w:type="pct"/>
            <w:noWrap w:val="0"/>
            <w:vAlign w:val="center"/>
          </w:tcPr>
          <w:p w14:paraId="7348A22B">
            <w:pPr>
              <w:adjustRightInd w:val="0"/>
              <w:snapToGrid w:val="0"/>
              <w:jc w:val="left"/>
              <w:rPr>
                <w:rFonts w:hint="eastAsia" w:ascii="宋体" w:hAnsi="宋体" w:cs="宋体"/>
                <w:color w:val="auto"/>
                <w:highlight w:val="none"/>
              </w:rPr>
            </w:pPr>
            <w:r>
              <w:rPr>
                <w:rFonts w:hint="eastAsia" w:ascii="宋体" w:hAnsi="宋体" w:cs="宋体"/>
                <w:color w:val="auto"/>
                <w:highlight w:val="none"/>
              </w:rPr>
              <w:t>每个工作区主要岩（矿）石标本每类不少于30块</w:t>
            </w:r>
          </w:p>
        </w:tc>
        <w:tc>
          <w:tcPr>
            <w:tcW w:w="1333" w:type="pct"/>
            <w:noWrap w:val="0"/>
            <w:vAlign w:val="center"/>
          </w:tcPr>
          <w:p w14:paraId="789033D1">
            <w:pPr>
              <w:adjustRightInd w:val="0"/>
              <w:snapToGrid w:val="0"/>
              <w:jc w:val="center"/>
              <w:rPr>
                <w:rFonts w:hint="eastAsia" w:ascii="宋体" w:hAnsi="宋体" w:cs="宋体"/>
                <w:color w:val="auto"/>
                <w:highlight w:val="none"/>
              </w:rPr>
            </w:pPr>
            <w:r>
              <w:rPr>
                <w:rFonts w:hint="eastAsia" w:ascii="宋体" w:hAnsi="宋体" w:cs="宋体"/>
                <w:color w:val="auto"/>
                <w:highlight w:val="none"/>
              </w:rPr>
              <w:t>测量工作区内各种岩（矿）石标本的电阻率参数</w:t>
            </w:r>
          </w:p>
        </w:tc>
        <w:tc>
          <w:tcPr>
            <w:tcW w:w="807" w:type="pct"/>
            <w:noWrap w:val="0"/>
            <w:vAlign w:val="center"/>
          </w:tcPr>
          <w:p w14:paraId="722774A5">
            <w:pPr>
              <w:adjustRightInd w:val="0"/>
              <w:snapToGrid w:val="0"/>
              <w:jc w:val="center"/>
              <w:rPr>
                <w:rFonts w:hint="eastAsia" w:ascii="宋体" w:hAnsi="宋体" w:cs="宋体"/>
                <w:color w:val="auto"/>
                <w:highlight w:val="none"/>
              </w:rPr>
            </w:pPr>
            <w:r>
              <w:rPr>
                <w:rFonts w:hint="eastAsia" w:ascii="宋体" w:hAnsi="宋体" w:cs="宋体"/>
                <w:color w:val="auto"/>
                <w:highlight w:val="none"/>
              </w:rPr>
              <w:t>/</w:t>
            </w:r>
          </w:p>
        </w:tc>
      </w:tr>
    </w:tbl>
    <w:p w14:paraId="1906522E">
      <w:pPr>
        <w:spacing w:line="360" w:lineRule="auto"/>
        <w:ind w:firstLine="480" w:firstLineChars="200"/>
        <w:rPr>
          <w:rFonts w:ascii="宋体" w:hAnsi="宋体" w:cs="宋体"/>
          <w:color w:val="auto"/>
          <w:szCs w:val="24"/>
          <w:highlight w:val="none"/>
        </w:rPr>
      </w:pPr>
      <w:r>
        <w:rPr>
          <w:rFonts w:hint="eastAsia" w:ascii="宋体" w:hAnsi="宋体" w:cs="宋体"/>
          <w:color w:val="auto"/>
          <w:szCs w:val="24"/>
          <w:highlight w:val="none"/>
        </w:rPr>
        <w:t>2、技术要求</w:t>
      </w:r>
    </w:p>
    <w:p w14:paraId="438176FC">
      <w:pPr>
        <w:spacing w:line="360" w:lineRule="auto"/>
        <w:ind w:firstLine="480" w:firstLineChars="200"/>
        <w:rPr>
          <w:rFonts w:hint="eastAsia" w:ascii="宋体" w:hAnsi="宋体" w:cs="宋体"/>
          <w:color w:val="auto"/>
          <w:szCs w:val="24"/>
          <w:highlight w:val="none"/>
        </w:rPr>
      </w:pPr>
      <w:bookmarkStart w:id="1" w:name="_Toc161094192"/>
      <w:bookmarkStart w:id="2" w:name="_Toc173322037"/>
      <w:r>
        <w:rPr>
          <w:rFonts w:ascii="宋体" w:hAnsi="宋体" w:cs="宋体"/>
          <w:color w:val="auto"/>
          <w:szCs w:val="24"/>
          <w:highlight w:val="none"/>
        </w:rPr>
        <w:t>本次广域电磁法测量参照《广域电磁法技术规程》DZ/T 0407-2022执行。</w:t>
      </w:r>
    </w:p>
    <w:p w14:paraId="75F57DDD">
      <w:pPr>
        <w:spacing w:line="360" w:lineRule="auto"/>
        <w:ind w:firstLine="480" w:firstLineChars="200"/>
        <w:rPr>
          <w:rFonts w:ascii="宋体" w:hAnsi="宋体" w:cs="宋体"/>
          <w:color w:val="auto"/>
          <w:szCs w:val="24"/>
          <w:highlight w:val="none"/>
        </w:rPr>
      </w:pPr>
      <w:r>
        <w:rPr>
          <w:rFonts w:ascii="宋体" w:hAnsi="宋体" w:cs="宋体"/>
          <w:color w:val="auto"/>
          <w:szCs w:val="24"/>
          <w:highlight w:val="none"/>
        </w:rPr>
        <w:t>1</w:t>
      </w:r>
      <w:r>
        <w:rPr>
          <w:rFonts w:hint="eastAsia" w:ascii="宋体" w:hAnsi="宋体" w:cs="宋体"/>
          <w:color w:val="auto"/>
          <w:szCs w:val="24"/>
          <w:highlight w:val="none"/>
        </w:rPr>
        <w:t>）</w:t>
      </w:r>
      <w:r>
        <w:rPr>
          <w:rFonts w:ascii="宋体" w:hAnsi="宋体" w:cs="宋体"/>
          <w:color w:val="auto"/>
          <w:szCs w:val="24"/>
          <w:highlight w:val="none"/>
        </w:rPr>
        <w:t>测地精度</w:t>
      </w:r>
      <w:bookmarkEnd w:id="1"/>
      <w:bookmarkEnd w:id="2"/>
    </w:p>
    <w:p w14:paraId="34EB022D">
      <w:pPr>
        <w:spacing w:line="360" w:lineRule="auto"/>
        <w:ind w:firstLine="480" w:firstLineChars="200"/>
        <w:rPr>
          <w:rFonts w:ascii="宋体" w:hAnsi="宋体" w:cs="宋体"/>
          <w:color w:val="auto"/>
          <w:szCs w:val="24"/>
          <w:highlight w:val="none"/>
        </w:rPr>
      </w:pPr>
      <w:r>
        <w:rPr>
          <w:rFonts w:ascii="宋体" w:hAnsi="宋体" w:cs="宋体"/>
          <w:color w:val="auto"/>
          <w:szCs w:val="24"/>
          <w:highlight w:val="none"/>
        </w:rPr>
        <w:t>测地工作采用2000国家大地坐标系，高程控制系统采用1985年国家高程基准，高斯-克吕格3度分带。本次广域电磁法点距100m，使用的工作图件比例尺为1:10000，等高线距2米。测点的平面点位误差在工作比例尺的成果图上应不大于0.5mm，高程点位中误差要求为0.5等高线距。故本次广域电磁法测地工作精度要求为：</w:t>
      </w:r>
    </w:p>
    <w:p w14:paraId="7F1EA5DC">
      <w:pPr>
        <w:spacing w:line="360" w:lineRule="auto"/>
        <w:ind w:firstLine="480" w:firstLineChars="200"/>
        <w:rPr>
          <w:rFonts w:ascii="宋体" w:hAnsi="宋体" w:cs="宋体"/>
          <w:color w:val="auto"/>
          <w:szCs w:val="24"/>
          <w:highlight w:val="none"/>
        </w:rPr>
      </w:pPr>
      <w:r>
        <w:rPr>
          <w:rFonts w:ascii="宋体" w:hAnsi="宋体" w:cs="宋体"/>
          <w:color w:val="auto"/>
          <w:szCs w:val="24"/>
          <w:highlight w:val="none"/>
        </w:rPr>
        <w:t>测点平面点位中误差：≤±5m；</w:t>
      </w:r>
    </w:p>
    <w:p w14:paraId="4A4ED560">
      <w:pPr>
        <w:spacing w:line="360" w:lineRule="auto"/>
        <w:ind w:firstLine="480" w:firstLineChars="200"/>
        <w:rPr>
          <w:rFonts w:ascii="宋体" w:hAnsi="宋体" w:cs="宋体"/>
          <w:color w:val="auto"/>
          <w:szCs w:val="24"/>
          <w:highlight w:val="none"/>
        </w:rPr>
      </w:pPr>
      <w:r>
        <w:rPr>
          <w:rFonts w:ascii="宋体" w:hAnsi="宋体" w:cs="宋体"/>
          <w:color w:val="auto"/>
          <w:szCs w:val="24"/>
          <w:highlight w:val="none"/>
        </w:rPr>
        <w:t>测点高程中误差：≤±1m。</w:t>
      </w:r>
    </w:p>
    <w:p w14:paraId="47391B6B">
      <w:pPr>
        <w:spacing w:line="360" w:lineRule="auto"/>
        <w:ind w:firstLine="480" w:firstLineChars="200"/>
        <w:rPr>
          <w:rFonts w:ascii="宋体" w:hAnsi="宋体" w:cs="宋体"/>
          <w:color w:val="auto"/>
          <w:szCs w:val="24"/>
          <w:highlight w:val="none"/>
        </w:rPr>
      </w:pPr>
      <w:r>
        <w:rPr>
          <w:rFonts w:ascii="宋体" w:hAnsi="宋体" w:cs="宋体"/>
          <w:color w:val="auto"/>
          <w:szCs w:val="24"/>
          <w:highlight w:val="none"/>
        </w:rPr>
        <w:t>接收电极MN极距误差不应大于设计的1%。</w:t>
      </w:r>
    </w:p>
    <w:p w14:paraId="163E6B35">
      <w:pPr>
        <w:spacing w:line="360" w:lineRule="auto"/>
        <w:ind w:firstLine="480" w:firstLineChars="200"/>
        <w:rPr>
          <w:rFonts w:ascii="宋体" w:hAnsi="宋体" w:cs="宋体"/>
          <w:color w:val="auto"/>
          <w:szCs w:val="24"/>
          <w:highlight w:val="none"/>
        </w:rPr>
      </w:pPr>
      <w:r>
        <w:rPr>
          <w:rFonts w:hint="eastAsia" w:ascii="宋体" w:hAnsi="宋体" w:cs="宋体"/>
          <w:color w:val="auto"/>
          <w:szCs w:val="24"/>
          <w:highlight w:val="none"/>
        </w:rPr>
        <w:t>2）</w:t>
      </w:r>
      <w:r>
        <w:rPr>
          <w:rFonts w:ascii="宋体" w:hAnsi="宋体" w:cs="宋体"/>
          <w:color w:val="auto"/>
          <w:szCs w:val="24"/>
          <w:highlight w:val="none"/>
        </w:rPr>
        <w:t>采集装置</w:t>
      </w:r>
    </w:p>
    <w:p w14:paraId="4FF46299">
      <w:pPr>
        <w:spacing w:line="360" w:lineRule="auto"/>
        <w:ind w:firstLine="480" w:firstLineChars="200"/>
        <w:rPr>
          <w:rFonts w:ascii="宋体" w:hAnsi="宋体" w:cs="宋体"/>
          <w:color w:val="auto"/>
          <w:szCs w:val="24"/>
          <w:highlight w:val="none"/>
        </w:rPr>
      </w:pPr>
      <w:r>
        <w:rPr>
          <w:rFonts w:ascii="宋体" w:hAnsi="宋体" w:cs="宋体"/>
          <w:color w:val="auto"/>
          <w:szCs w:val="24"/>
          <w:highlight w:val="none"/>
        </w:rPr>
        <w:t>广域电磁法采用一对接地电极形成的电流偶极源作为场源，采用测量电场水平分量Ex的E-Ex广域电磁测深方式。</w:t>
      </w:r>
    </w:p>
    <w:p w14:paraId="4DFD9217">
      <w:pPr>
        <w:spacing w:line="360" w:lineRule="auto"/>
        <w:ind w:firstLine="480" w:firstLineChars="200"/>
        <w:rPr>
          <w:rFonts w:ascii="宋体" w:hAnsi="宋体" w:cs="宋体"/>
          <w:color w:val="auto"/>
          <w:szCs w:val="24"/>
          <w:highlight w:val="none"/>
        </w:rPr>
      </w:pPr>
      <w:r>
        <w:rPr>
          <w:rFonts w:hint="eastAsia" w:ascii="宋体" w:hAnsi="宋体" w:cs="宋体"/>
          <w:color w:val="auto"/>
          <w:szCs w:val="24"/>
          <w:highlight w:val="none"/>
        </w:rPr>
        <w:t>3）</w:t>
      </w:r>
      <w:r>
        <w:rPr>
          <w:rFonts w:ascii="宋体" w:hAnsi="宋体" w:cs="宋体"/>
          <w:color w:val="auto"/>
          <w:szCs w:val="24"/>
          <w:highlight w:val="none"/>
        </w:rPr>
        <w:t>数据采集技术要求</w:t>
      </w:r>
    </w:p>
    <w:p w14:paraId="5E74A3F4">
      <w:pPr>
        <w:spacing w:line="360" w:lineRule="auto"/>
        <w:ind w:firstLine="480" w:firstLineChars="200"/>
        <w:rPr>
          <w:rFonts w:ascii="宋体" w:hAnsi="宋体" w:cs="宋体"/>
          <w:color w:val="auto"/>
          <w:szCs w:val="24"/>
          <w:highlight w:val="none"/>
        </w:rPr>
      </w:pPr>
      <w:r>
        <w:rPr>
          <w:rFonts w:ascii="宋体" w:hAnsi="宋体" w:cs="宋体"/>
          <w:color w:val="auto"/>
          <w:szCs w:val="24"/>
          <w:highlight w:val="none"/>
        </w:rPr>
        <w:t>A、施工期间定期对仪器检修、维护、确保在仪器性能正常的状态下工作；</w:t>
      </w:r>
    </w:p>
    <w:p w14:paraId="33A7CBC7">
      <w:pPr>
        <w:spacing w:line="360" w:lineRule="auto"/>
        <w:ind w:firstLine="480" w:firstLineChars="200"/>
        <w:rPr>
          <w:rFonts w:ascii="宋体" w:hAnsi="宋体" w:cs="宋体"/>
          <w:color w:val="auto"/>
          <w:szCs w:val="24"/>
          <w:highlight w:val="none"/>
        </w:rPr>
      </w:pPr>
      <w:r>
        <w:rPr>
          <w:rFonts w:ascii="宋体" w:hAnsi="宋体" w:cs="宋体"/>
          <w:color w:val="auto"/>
          <w:szCs w:val="24"/>
          <w:highlight w:val="none"/>
        </w:rPr>
        <w:t>B、接地条件</w:t>
      </w:r>
    </w:p>
    <w:p w14:paraId="0D4696B6">
      <w:pPr>
        <w:spacing w:line="360" w:lineRule="auto"/>
        <w:ind w:firstLine="480" w:firstLineChars="200"/>
        <w:rPr>
          <w:rFonts w:ascii="宋体" w:hAnsi="宋体" w:cs="宋体"/>
          <w:color w:val="auto"/>
          <w:szCs w:val="24"/>
          <w:highlight w:val="none"/>
        </w:rPr>
      </w:pPr>
      <w:r>
        <w:rPr>
          <w:rFonts w:ascii="宋体" w:hAnsi="宋体" w:cs="宋体"/>
          <w:color w:val="auto"/>
          <w:szCs w:val="24"/>
          <w:highlight w:val="none"/>
        </w:rPr>
        <w:t>在施工中，认真处理好供电电极A、B和测量电极的接地条件是非常重要的。</w:t>
      </w:r>
    </w:p>
    <w:p w14:paraId="0A81BFA2">
      <w:pPr>
        <w:spacing w:line="360" w:lineRule="auto"/>
        <w:ind w:firstLine="480" w:firstLineChars="200"/>
        <w:rPr>
          <w:rFonts w:ascii="宋体" w:hAnsi="宋体" w:cs="宋体"/>
          <w:color w:val="auto"/>
          <w:szCs w:val="24"/>
          <w:highlight w:val="none"/>
        </w:rPr>
      </w:pPr>
      <w:r>
        <w:rPr>
          <w:rFonts w:ascii="宋体" w:hAnsi="宋体" w:cs="宋体"/>
          <w:color w:val="auto"/>
          <w:szCs w:val="24"/>
          <w:highlight w:val="none"/>
        </w:rPr>
        <w:t>电极应埋入土中20～30cm，保持与土壤接触良好，多个电极的埋设条件基本相同，不能埋在树根、流水旁、繁忙的公路边和村庄内，同时应避免埋设在沟、坎边。</w:t>
      </w:r>
    </w:p>
    <w:p w14:paraId="678219D9">
      <w:pPr>
        <w:spacing w:line="360" w:lineRule="auto"/>
        <w:ind w:firstLine="480" w:firstLineChars="200"/>
        <w:rPr>
          <w:rFonts w:ascii="宋体" w:hAnsi="宋体" w:cs="宋体"/>
          <w:color w:val="auto"/>
          <w:szCs w:val="24"/>
          <w:highlight w:val="none"/>
        </w:rPr>
      </w:pPr>
      <w:r>
        <w:rPr>
          <w:rFonts w:ascii="宋体" w:hAnsi="宋体" w:cs="宋体"/>
          <w:color w:val="auto"/>
          <w:szCs w:val="24"/>
          <w:highlight w:val="none"/>
        </w:rPr>
        <w:t>当遇到电极接地条件较差的地区，为了取得较好的资料，施工中每一电极点均需精心处理，如接收电极由单个不极化电极改为多个并联；改棒状供电电极为板状电极(如铝板等)以增加接地面积；提前挖坑、和泥、浇灌盐水等，有效地减小接地电阻，要求接地电阻不大于2kΩ。</w:t>
      </w:r>
    </w:p>
    <w:p w14:paraId="379C8939">
      <w:pPr>
        <w:spacing w:line="360" w:lineRule="auto"/>
        <w:ind w:firstLine="480" w:firstLineChars="200"/>
        <w:rPr>
          <w:rFonts w:ascii="宋体" w:hAnsi="宋体" w:cs="宋体"/>
          <w:color w:val="auto"/>
          <w:szCs w:val="24"/>
          <w:highlight w:val="none"/>
        </w:rPr>
      </w:pPr>
      <w:r>
        <w:rPr>
          <w:rFonts w:ascii="宋体" w:hAnsi="宋体" w:cs="宋体"/>
          <w:color w:val="auto"/>
          <w:szCs w:val="24"/>
          <w:highlight w:val="none"/>
        </w:rPr>
        <w:t>C、压制干扰</w:t>
      </w:r>
    </w:p>
    <w:p w14:paraId="4DDC9784">
      <w:pPr>
        <w:spacing w:line="360" w:lineRule="auto"/>
        <w:ind w:firstLine="480" w:firstLineChars="200"/>
        <w:rPr>
          <w:rFonts w:ascii="宋体" w:hAnsi="宋体" w:cs="宋体"/>
          <w:color w:val="auto"/>
          <w:szCs w:val="24"/>
          <w:highlight w:val="none"/>
        </w:rPr>
      </w:pPr>
      <w:r>
        <w:rPr>
          <w:rFonts w:ascii="宋体" w:hAnsi="宋体" w:cs="宋体"/>
          <w:color w:val="auto"/>
          <w:szCs w:val="24"/>
          <w:highlight w:val="none"/>
        </w:rPr>
        <w:t>对于少数游散电流和干扰较大的测线段，为取得更好效果、确保第一手资料准确可靠，采取增大发射功率、减小接地电阻、提高信噪比、增加叠加次数、延长观测时间、滤波等措施，有效地压制或避开随机干扰，保证数据采集质量。</w:t>
      </w:r>
    </w:p>
    <w:p w14:paraId="5DED1323">
      <w:pPr>
        <w:spacing w:line="360" w:lineRule="auto"/>
        <w:ind w:firstLine="480" w:firstLineChars="200"/>
        <w:rPr>
          <w:rFonts w:ascii="宋体" w:hAnsi="宋体" w:cs="宋体"/>
          <w:color w:val="auto"/>
          <w:szCs w:val="24"/>
          <w:highlight w:val="none"/>
        </w:rPr>
      </w:pPr>
      <w:r>
        <w:rPr>
          <w:rFonts w:ascii="宋体" w:hAnsi="宋体" w:cs="宋体"/>
          <w:color w:val="auto"/>
          <w:szCs w:val="24"/>
          <w:highlight w:val="none"/>
        </w:rPr>
        <w:t>D、安全措施</w:t>
      </w:r>
    </w:p>
    <w:p w14:paraId="2EA29228">
      <w:pPr>
        <w:spacing w:line="360" w:lineRule="auto"/>
        <w:ind w:firstLine="480" w:firstLineChars="200"/>
        <w:rPr>
          <w:rFonts w:ascii="宋体" w:hAnsi="宋体" w:cs="宋体"/>
          <w:color w:val="auto"/>
          <w:szCs w:val="24"/>
          <w:highlight w:val="none"/>
        </w:rPr>
      </w:pPr>
      <w:r>
        <w:rPr>
          <w:rFonts w:ascii="宋体" w:hAnsi="宋体" w:cs="宋体"/>
          <w:color w:val="auto"/>
          <w:szCs w:val="24"/>
          <w:highlight w:val="none"/>
        </w:rPr>
        <w:t>每天数据采集之前，对发电机、发射机与接收机的各项技术指标进行严格的检查；开工前对所有的电缆线均要进行漏电检查，对所有漏电部位进行重新连接，做绝缘处理；每一供电电极点必须有专人看守，严防无关人员和牲畜靠近极点。做好以上技术、安全措施后，方可通知供电，进行数据采集。</w:t>
      </w:r>
    </w:p>
    <w:p w14:paraId="383561F6">
      <w:pPr>
        <w:spacing w:line="360" w:lineRule="auto"/>
        <w:ind w:firstLine="480" w:firstLineChars="200"/>
        <w:rPr>
          <w:rFonts w:ascii="宋体" w:hAnsi="宋体" w:cs="宋体"/>
          <w:color w:val="auto"/>
          <w:szCs w:val="24"/>
          <w:highlight w:val="none"/>
        </w:rPr>
      </w:pPr>
      <w:r>
        <w:rPr>
          <w:rFonts w:ascii="宋体" w:hAnsi="宋体" w:cs="宋体"/>
          <w:color w:val="auto"/>
          <w:szCs w:val="24"/>
          <w:highlight w:val="none"/>
        </w:rPr>
        <w:t>E、数据采集及质量监控</w:t>
      </w:r>
    </w:p>
    <w:p w14:paraId="3E68D67E">
      <w:pPr>
        <w:spacing w:line="360" w:lineRule="auto"/>
        <w:ind w:firstLine="480" w:firstLineChars="200"/>
        <w:rPr>
          <w:rFonts w:ascii="宋体" w:hAnsi="宋体" w:cs="宋体"/>
          <w:color w:val="auto"/>
          <w:szCs w:val="24"/>
          <w:highlight w:val="none"/>
        </w:rPr>
      </w:pPr>
      <w:r>
        <w:rPr>
          <w:rFonts w:ascii="宋体" w:hAnsi="宋体" w:cs="宋体"/>
          <w:color w:val="auto"/>
          <w:szCs w:val="24"/>
          <w:highlight w:val="none"/>
        </w:rPr>
        <w:t>数据采集时，应及时做好野外班报记录，对测点周围主要地形、地物、干扰源进行具体描述。监控时间信号的采集，对离差大的点、畸变点进行重复检查观测。对干扰大的接收道密切监视，及时检查原因，排除干扰后重测。</w:t>
      </w:r>
    </w:p>
    <w:p w14:paraId="2B780CF2">
      <w:pPr>
        <w:spacing w:line="360" w:lineRule="auto"/>
        <w:ind w:firstLine="480" w:firstLineChars="200"/>
        <w:rPr>
          <w:rFonts w:ascii="宋体" w:hAnsi="宋体" w:cs="宋体"/>
          <w:color w:val="auto"/>
          <w:szCs w:val="24"/>
          <w:highlight w:val="none"/>
        </w:rPr>
      </w:pPr>
      <w:r>
        <w:rPr>
          <w:rFonts w:ascii="宋体" w:hAnsi="宋体" w:cs="宋体"/>
          <w:color w:val="auto"/>
          <w:szCs w:val="24"/>
          <w:highlight w:val="none"/>
        </w:rPr>
        <w:t>野外施工队设解释组并配有专职的处理人员及时对野外资料进行初步处理、逐日检查验收，发现问题及时反馈到野外作业组。如：对预处理中发现的一些畸变点、突变点或干扰背景过大的测段及时地采取补做，直到满意为止，确保野外第一手资料的准确、可靠。野外工作期间及时对资料进行评价，发现不合格的点寻找原因并及时补测或返工。</w:t>
      </w:r>
    </w:p>
    <w:p w14:paraId="560FDF91">
      <w:pPr>
        <w:spacing w:line="360" w:lineRule="auto"/>
        <w:ind w:firstLine="480" w:firstLineChars="200"/>
        <w:rPr>
          <w:rFonts w:hint="eastAsia" w:ascii="宋体" w:hAnsi="宋体" w:cs="宋体"/>
          <w:color w:val="auto"/>
          <w:szCs w:val="24"/>
          <w:highlight w:val="none"/>
        </w:rPr>
      </w:pPr>
      <w:r>
        <w:rPr>
          <w:rFonts w:hint="eastAsia" w:ascii="宋体" w:hAnsi="宋体" w:cs="宋体"/>
          <w:color w:val="auto"/>
          <w:szCs w:val="24"/>
          <w:highlight w:val="none"/>
        </w:rPr>
        <w:t>3）</w:t>
      </w:r>
      <w:r>
        <w:rPr>
          <w:rFonts w:ascii="宋体" w:hAnsi="宋体" w:cs="宋体"/>
          <w:color w:val="auto"/>
          <w:szCs w:val="24"/>
          <w:highlight w:val="none"/>
        </w:rPr>
        <w:t>数据记录及数据质量要求</w:t>
      </w:r>
    </w:p>
    <w:p w14:paraId="5439EEF7">
      <w:pPr>
        <w:spacing w:line="360" w:lineRule="auto"/>
        <w:ind w:firstLine="480" w:firstLineChars="200"/>
        <w:rPr>
          <w:rFonts w:hint="eastAsia" w:ascii="宋体" w:hAnsi="宋体" w:cs="宋体"/>
          <w:color w:val="auto"/>
          <w:szCs w:val="24"/>
          <w:highlight w:val="none"/>
        </w:rPr>
      </w:pPr>
      <w:r>
        <w:rPr>
          <w:rFonts w:ascii="宋体" w:hAnsi="宋体" w:cs="宋体"/>
          <w:color w:val="auto"/>
          <w:szCs w:val="24"/>
          <w:highlight w:val="none"/>
        </w:rPr>
        <w:t>（1）数据记录要求</w:t>
      </w:r>
    </w:p>
    <w:p w14:paraId="6D2494DB">
      <w:pPr>
        <w:spacing w:line="360" w:lineRule="auto"/>
        <w:ind w:firstLine="480" w:firstLineChars="200"/>
        <w:rPr>
          <w:rFonts w:hint="eastAsia" w:ascii="宋体" w:hAnsi="宋体" w:cs="宋体"/>
          <w:color w:val="auto"/>
          <w:szCs w:val="24"/>
          <w:highlight w:val="none"/>
        </w:rPr>
      </w:pPr>
      <w:r>
        <w:rPr>
          <w:rFonts w:ascii="宋体" w:hAnsi="宋体" w:cs="宋体"/>
          <w:color w:val="auto"/>
          <w:szCs w:val="24"/>
          <w:highlight w:val="none"/>
        </w:rPr>
        <w:t>数据采集前，操作员应确保接收机与发射机的时钟处于同步状态；操作员应检测MN连线与电极的连通情况，确保电极接地良好。</w:t>
      </w:r>
    </w:p>
    <w:p w14:paraId="413EDE1F">
      <w:pPr>
        <w:spacing w:line="360" w:lineRule="auto"/>
        <w:ind w:firstLine="480" w:firstLineChars="200"/>
        <w:rPr>
          <w:rFonts w:hint="eastAsia" w:ascii="宋体" w:hAnsi="宋体" w:cs="宋体"/>
          <w:color w:val="auto"/>
          <w:szCs w:val="24"/>
          <w:highlight w:val="none"/>
        </w:rPr>
      </w:pPr>
      <w:r>
        <w:rPr>
          <w:rFonts w:ascii="宋体" w:hAnsi="宋体" w:cs="宋体"/>
          <w:color w:val="auto"/>
          <w:szCs w:val="24"/>
          <w:highlight w:val="none"/>
        </w:rPr>
        <w:t>在供电之前，应观测噪声水平，根据噪声情况，设定叠加次数和重复观测次数。供电观测时，应停止无线电通信。当工频干扰较严重时，可选取陷波滤波器抑制噪声。强干扰条件下应选择避开干扰严重的时间段采集数据。当干扰较小时，单个频点一般至少取六次读数；在干扰较强时，应增加观测次数。</w:t>
      </w:r>
    </w:p>
    <w:p w14:paraId="53E339A3">
      <w:pPr>
        <w:spacing w:line="360" w:lineRule="auto"/>
        <w:ind w:firstLine="480" w:firstLineChars="200"/>
        <w:rPr>
          <w:rFonts w:hint="eastAsia" w:ascii="宋体" w:hAnsi="宋体" w:cs="宋体"/>
          <w:color w:val="auto"/>
          <w:szCs w:val="24"/>
          <w:highlight w:val="none"/>
        </w:rPr>
      </w:pPr>
      <w:r>
        <w:rPr>
          <w:rFonts w:ascii="宋体" w:hAnsi="宋体" w:cs="宋体"/>
          <w:color w:val="auto"/>
          <w:szCs w:val="24"/>
          <w:highlight w:val="none"/>
        </w:rPr>
        <w:t>观测时要做野外观测现场工作记录。除按规定记录点、线号等信息外，还应记录观测点附近影响观测结果的地质现象、地形地貌、可能引起噪声的干扰源等，要求字迹清晰。</w:t>
      </w:r>
    </w:p>
    <w:p w14:paraId="2450D0B2">
      <w:pPr>
        <w:spacing w:line="360" w:lineRule="auto"/>
        <w:ind w:firstLine="480" w:firstLineChars="200"/>
        <w:rPr>
          <w:rFonts w:hint="eastAsia" w:ascii="宋体" w:hAnsi="宋体" w:cs="宋体"/>
          <w:color w:val="auto"/>
          <w:szCs w:val="24"/>
          <w:highlight w:val="none"/>
        </w:rPr>
      </w:pPr>
      <w:r>
        <w:rPr>
          <w:rFonts w:ascii="宋体" w:hAnsi="宋体" w:cs="宋体"/>
          <w:color w:val="auto"/>
          <w:szCs w:val="24"/>
          <w:highlight w:val="none"/>
        </w:rPr>
        <w:t>野外工作期间，如遇仪器发生故障无法排除时，应立即送回基地（或返厂）维修，不得自行拆卸，并做好记录。严禁仪器带故障工作。野外必须建立仪器检测、维护记录，详细记述仪器使用中出现的故障和排除故障的措施，野外施工过程需要有严谨全面的备忘录。</w:t>
      </w:r>
    </w:p>
    <w:p w14:paraId="3C9AFEE7">
      <w:pPr>
        <w:spacing w:line="360" w:lineRule="auto"/>
        <w:ind w:firstLine="480" w:firstLineChars="200"/>
        <w:rPr>
          <w:rFonts w:hint="eastAsia" w:ascii="宋体" w:hAnsi="宋体" w:cs="宋体"/>
          <w:color w:val="auto"/>
          <w:szCs w:val="24"/>
          <w:highlight w:val="none"/>
        </w:rPr>
      </w:pPr>
      <w:r>
        <w:rPr>
          <w:rFonts w:ascii="宋体" w:hAnsi="宋体" w:cs="宋体"/>
          <w:color w:val="auto"/>
          <w:szCs w:val="24"/>
          <w:highlight w:val="none"/>
        </w:rPr>
        <w:t>收工后应及时将当天采集的数据传入计算机，经检查确认无丢失遗漏数据后，另存盘备份并设定为唯一标识，直至确认所有数据无遗漏并备份成功后方可清除仪器内存储的数据。</w:t>
      </w:r>
    </w:p>
    <w:p w14:paraId="211E94A9">
      <w:pPr>
        <w:spacing w:line="360" w:lineRule="auto"/>
        <w:ind w:firstLine="480" w:firstLineChars="200"/>
        <w:rPr>
          <w:rFonts w:hint="eastAsia" w:ascii="宋体" w:hAnsi="宋体" w:cs="宋体"/>
          <w:color w:val="auto"/>
          <w:szCs w:val="24"/>
          <w:highlight w:val="none"/>
        </w:rPr>
      </w:pPr>
      <w:r>
        <w:rPr>
          <w:rFonts w:ascii="宋体" w:hAnsi="宋体" w:cs="宋体"/>
          <w:color w:val="auto"/>
          <w:szCs w:val="24"/>
          <w:highlight w:val="none"/>
        </w:rPr>
        <w:t>（2）数据采集质量要求</w:t>
      </w:r>
    </w:p>
    <w:p w14:paraId="40913D81">
      <w:pPr>
        <w:spacing w:line="360" w:lineRule="auto"/>
        <w:ind w:firstLine="480" w:firstLineChars="200"/>
        <w:rPr>
          <w:rFonts w:hint="eastAsia" w:ascii="宋体" w:hAnsi="宋体" w:cs="宋体"/>
          <w:color w:val="auto"/>
          <w:szCs w:val="24"/>
          <w:highlight w:val="none"/>
        </w:rPr>
      </w:pPr>
      <w:r>
        <w:rPr>
          <w:rFonts w:ascii="宋体" w:hAnsi="宋体" w:cs="宋体"/>
          <w:color w:val="auto"/>
          <w:szCs w:val="24"/>
          <w:highlight w:val="none"/>
        </w:rPr>
        <w:t>单测点视电阻率质量评价标准分为：</w:t>
      </w:r>
    </w:p>
    <w:p w14:paraId="6DD8FB64">
      <w:pPr>
        <w:spacing w:line="360" w:lineRule="auto"/>
        <w:ind w:firstLine="480" w:firstLineChars="200"/>
        <w:rPr>
          <w:rFonts w:hint="eastAsia" w:ascii="宋体" w:hAnsi="宋体" w:cs="宋体"/>
          <w:color w:val="auto"/>
          <w:szCs w:val="24"/>
          <w:highlight w:val="none"/>
        </w:rPr>
      </w:pPr>
      <w:r>
        <w:rPr>
          <w:rFonts w:ascii="宋体" w:hAnsi="宋体" w:cs="宋体"/>
          <w:color w:val="auto"/>
          <w:szCs w:val="24"/>
          <w:highlight w:val="none"/>
        </w:rPr>
        <w:t>Ⅰ级：无畸变频点，曲线圆滑连续，能唯一确定曲线，误差不超过设计工作精度；</w:t>
      </w:r>
    </w:p>
    <w:p w14:paraId="5F809098">
      <w:pPr>
        <w:spacing w:line="360" w:lineRule="auto"/>
        <w:ind w:firstLine="480" w:firstLineChars="200"/>
        <w:rPr>
          <w:rFonts w:hint="eastAsia" w:ascii="宋体" w:hAnsi="宋体" w:cs="宋体"/>
          <w:color w:val="auto"/>
          <w:szCs w:val="24"/>
          <w:highlight w:val="none"/>
        </w:rPr>
      </w:pPr>
      <w:r>
        <w:rPr>
          <w:rFonts w:ascii="宋体" w:hAnsi="宋体" w:cs="宋体"/>
          <w:color w:val="auto"/>
          <w:szCs w:val="24"/>
          <w:highlight w:val="none"/>
        </w:rPr>
        <w:t>Ⅱ级：无三个以上的连续畸变频点，曲线形态明确，误差不超过2倍设计工作精度；</w:t>
      </w:r>
    </w:p>
    <w:p w14:paraId="36AB8A60">
      <w:pPr>
        <w:spacing w:line="360" w:lineRule="auto"/>
        <w:ind w:firstLine="480" w:firstLineChars="200"/>
        <w:rPr>
          <w:rFonts w:hint="eastAsia" w:ascii="宋体" w:hAnsi="宋体" w:cs="宋体"/>
          <w:color w:val="auto"/>
          <w:szCs w:val="24"/>
          <w:highlight w:val="none"/>
        </w:rPr>
      </w:pPr>
      <w:r>
        <w:rPr>
          <w:rFonts w:ascii="宋体" w:hAnsi="宋体" w:cs="宋体"/>
          <w:color w:val="auto"/>
          <w:szCs w:val="24"/>
          <w:highlight w:val="none"/>
        </w:rPr>
        <w:t>III级（不合格）：数据点分散，不能满足Ⅱ级的要求。</w:t>
      </w:r>
    </w:p>
    <w:p w14:paraId="24CD2B81">
      <w:pPr>
        <w:spacing w:line="360" w:lineRule="auto"/>
        <w:ind w:firstLine="480" w:firstLineChars="200"/>
        <w:rPr>
          <w:rFonts w:hint="eastAsia" w:ascii="宋体" w:hAnsi="宋体" w:cs="宋体"/>
          <w:color w:val="auto"/>
          <w:szCs w:val="24"/>
          <w:highlight w:val="none"/>
        </w:rPr>
      </w:pPr>
      <w:r>
        <w:rPr>
          <w:rFonts w:ascii="宋体" w:hAnsi="宋体" w:cs="宋体"/>
          <w:color w:val="auto"/>
          <w:szCs w:val="24"/>
          <w:highlight w:val="none"/>
        </w:rPr>
        <w:t>每个测点的视电阻率应分别评定，按级登记，对Ⅲ级曲线还应注明原因。</w:t>
      </w:r>
    </w:p>
    <w:p w14:paraId="6641D3E5">
      <w:pPr>
        <w:spacing w:line="360" w:lineRule="auto"/>
        <w:ind w:firstLine="480" w:firstLineChars="200"/>
        <w:rPr>
          <w:rFonts w:hint="eastAsia" w:ascii="宋体" w:hAnsi="宋体" w:cs="宋体"/>
          <w:color w:val="auto"/>
          <w:szCs w:val="24"/>
          <w:highlight w:val="none"/>
        </w:rPr>
      </w:pPr>
      <w:r>
        <w:rPr>
          <w:rFonts w:ascii="宋体" w:hAnsi="宋体" w:cs="宋体"/>
          <w:color w:val="auto"/>
          <w:szCs w:val="24"/>
          <w:highlight w:val="none"/>
        </w:rPr>
        <w:t>（3）物理点质量评价标准：</w:t>
      </w:r>
    </w:p>
    <w:p w14:paraId="0539576F">
      <w:pPr>
        <w:spacing w:line="360" w:lineRule="auto"/>
        <w:ind w:firstLine="480" w:firstLineChars="200"/>
        <w:rPr>
          <w:rFonts w:hint="eastAsia" w:ascii="宋体" w:hAnsi="宋体" w:cs="宋体"/>
          <w:color w:val="auto"/>
          <w:szCs w:val="24"/>
          <w:highlight w:val="none"/>
        </w:rPr>
      </w:pPr>
      <w:r>
        <w:rPr>
          <w:rFonts w:hint="eastAsia" w:ascii="宋体" w:hAnsi="宋体" w:cs="宋体"/>
          <w:color w:val="auto"/>
          <w:szCs w:val="24"/>
          <w:highlight w:val="none"/>
        </w:rPr>
        <w:t>①</w:t>
      </w:r>
      <w:r>
        <w:rPr>
          <w:rFonts w:ascii="宋体" w:hAnsi="宋体" w:cs="宋体"/>
          <w:color w:val="auto"/>
          <w:szCs w:val="24"/>
          <w:highlight w:val="none"/>
        </w:rPr>
        <w:t xml:space="preserve"> 测点质量评价满足I级品率不小于80%，且III级品率不大于 2%，视为野外工作质量合格；</w:t>
      </w:r>
    </w:p>
    <w:p w14:paraId="6011E23E">
      <w:pPr>
        <w:spacing w:line="360" w:lineRule="auto"/>
        <w:ind w:firstLine="480" w:firstLineChars="200"/>
        <w:rPr>
          <w:rFonts w:hint="eastAsia" w:ascii="宋体" w:hAnsi="宋体" w:cs="宋体"/>
          <w:color w:val="auto"/>
          <w:szCs w:val="24"/>
          <w:highlight w:val="none"/>
        </w:rPr>
      </w:pPr>
      <w:r>
        <w:rPr>
          <w:rFonts w:hint="eastAsia" w:ascii="宋体" w:hAnsi="宋体" w:cs="宋体"/>
          <w:color w:val="auto"/>
          <w:szCs w:val="24"/>
          <w:highlight w:val="none"/>
        </w:rPr>
        <w:t>②</w:t>
      </w:r>
      <w:r>
        <w:rPr>
          <w:rFonts w:ascii="宋体" w:hAnsi="宋体" w:cs="宋体"/>
          <w:color w:val="auto"/>
          <w:szCs w:val="24"/>
          <w:highlight w:val="none"/>
        </w:rPr>
        <w:t xml:space="preserve"> 强干扰地区或地形复杂可适当调整。</w:t>
      </w:r>
    </w:p>
    <w:p w14:paraId="7BA30A4D">
      <w:pPr>
        <w:spacing w:line="360" w:lineRule="auto"/>
        <w:ind w:firstLine="482" w:firstLineChars="200"/>
        <w:rPr>
          <w:rFonts w:ascii="宋体" w:hAnsi="宋体" w:cs="宋体"/>
          <w:b/>
          <w:bCs/>
          <w:color w:val="auto"/>
          <w:szCs w:val="24"/>
          <w:highlight w:val="none"/>
        </w:rPr>
      </w:pPr>
      <w:r>
        <w:rPr>
          <w:rFonts w:hint="eastAsia" w:ascii="宋体" w:hAnsi="宋体" w:cs="宋体"/>
          <w:b/>
          <w:bCs/>
          <w:color w:val="auto"/>
          <w:szCs w:val="24"/>
          <w:highlight w:val="none"/>
        </w:rPr>
        <w:t>4）</w:t>
      </w:r>
      <w:r>
        <w:rPr>
          <w:rFonts w:ascii="宋体" w:hAnsi="宋体" w:cs="宋体"/>
          <w:b/>
          <w:bCs/>
          <w:color w:val="auto"/>
          <w:szCs w:val="24"/>
          <w:highlight w:val="none"/>
        </w:rPr>
        <w:t>资料处理</w:t>
      </w:r>
    </w:p>
    <w:p w14:paraId="46121C11">
      <w:pPr>
        <w:spacing w:line="360" w:lineRule="auto"/>
        <w:ind w:firstLine="480" w:firstLineChars="200"/>
        <w:rPr>
          <w:rFonts w:ascii="宋体" w:hAnsi="宋体" w:cs="宋体"/>
          <w:color w:val="auto"/>
          <w:szCs w:val="24"/>
          <w:highlight w:val="none"/>
        </w:rPr>
      </w:pPr>
      <w:r>
        <w:rPr>
          <w:rFonts w:hint="eastAsia" w:ascii="宋体" w:hAnsi="宋体" w:cs="宋体"/>
          <w:color w:val="auto"/>
          <w:szCs w:val="24"/>
          <w:highlight w:val="none"/>
        </w:rPr>
        <w:t>针对本次综合物探项目研究要求，在全面分析研究地球物理异常特征及前人研究成果的基础上，提出如下综合处理解释思路。</w:t>
      </w:r>
    </w:p>
    <w:p w14:paraId="2DCE0BE6">
      <w:pPr>
        <w:spacing w:line="360" w:lineRule="auto"/>
        <w:ind w:firstLine="480" w:firstLineChars="200"/>
        <w:rPr>
          <w:rFonts w:hint="eastAsia" w:ascii="宋体" w:hAnsi="宋体" w:cs="宋体"/>
          <w:color w:val="auto"/>
          <w:szCs w:val="24"/>
          <w:highlight w:val="none"/>
        </w:rPr>
      </w:pPr>
      <w:r>
        <w:rPr>
          <w:rFonts w:hint="eastAsia" w:ascii="宋体" w:hAnsi="宋体" w:cs="宋体"/>
          <w:color w:val="auto"/>
          <w:szCs w:val="24"/>
          <w:highlight w:val="none"/>
        </w:rPr>
        <w:t>（1）钻井约束反演，坚持钻井与剖面解释相结合，提高纵向解释精度。</w:t>
      </w:r>
    </w:p>
    <w:p w14:paraId="07EA59C7">
      <w:pPr>
        <w:spacing w:line="360" w:lineRule="auto"/>
        <w:ind w:firstLine="480" w:firstLineChars="200"/>
        <w:rPr>
          <w:rFonts w:hint="eastAsia" w:ascii="宋体" w:hAnsi="宋体" w:cs="宋体"/>
          <w:color w:val="auto"/>
          <w:szCs w:val="24"/>
          <w:highlight w:val="none"/>
        </w:rPr>
      </w:pPr>
      <w:r>
        <w:rPr>
          <w:rFonts w:hint="eastAsia" w:ascii="宋体" w:hAnsi="宋体" w:cs="宋体"/>
          <w:color w:val="auto"/>
          <w:szCs w:val="24"/>
          <w:highlight w:val="none"/>
        </w:rPr>
        <w:t>（2）以岩石电性为基础，从岩石的电阻率特征出发，对所掌握的岩石电性参数进行分析研究，从统计角度上掌握电性变化规律，为地质地球物理模型的建立、正反演计算和资料解释提供可靠的依据。</w:t>
      </w:r>
    </w:p>
    <w:p w14:paraId="3A22ECD7">
      <w:pPr>
        <w:spacing w:line="360" w:lineRule="auto"/>
        <w:ind w:firstLine="480" w:firstLineChars="200"/>
        <w:rPr>
          <w:rFonts w:hint="eastAsia" w:ascii="宋体" w:hAnsi="宋体" w:cs="宋体"/>
          <w:color w:val="auto"/>
          <w:szCs w:val="24"/>
          <w:highlight w:val="none"/>
        </w:rPr>
      </w:pPr>
      <w:r>
        <w:rPr>
          <w:rFonts w:hint="eastAsia" w:ascii="宋体" w:hAnsi="宋体" w:cs="宋体"/>
          <w:color w:val="auto"/>
          <w:szCs w:val="24"/>
          <w:highlight w:val="none"/>
        </w:rPr>
        <w:t>（3）基于“频率-视电阻率”拟断面图进行初步的断层系统和构造单元的划分，采用一维连续介质反演、二维连续介质反演对初步划分结果进行进一步的修正和完善，最后结合地质和其它资料实现断层系统和构造单元的划分。</w:t>
      </w:r>
    </w:p>
    <w:p w14:paraId="4A93232C">
      <w:pPr>
        <w:spacing w:line="360" w:lineRule="auto"/>
        <w:ind w:firstLine="480" w:firstLineChars="200"/>
        <w:rPr>
          <w:rFonts w:hint="eastAsia" w:ascii="宋体" w:hAnsi="宋体" w:cs="宋体"/>
          <w:color w:val="auto"/>
          <w:szCs w:val="24"/>
          <w:highlight w:val="none"/>
        </w:rPr>
      </w:pPr>
      <w:r>
        <w:rPr>
          <w:rFonts w:hint="eastAsia" w:ascii="宋体" w:hAnsi="宋体" w:cs="宋体"/>
          <w:color w:val="auto"/>
          <w:szCs w:val="24"/>
          <w:highlight w:val="none"/>
        </w:rPr>
        <w:t>（4）采用物性分析资料（电测井资料、广域电磁法视电阻率首支统计、岩石标本电阻率测试），结合由钻井控制的地区地层系统资料确定层序划分标准。</w:t>
      </w:r>
    </w:p>
    <w:p w14:paraId="6A8FBE0C">
      <w:pPr>
        <w:spacing w:line="360" w:lineRule="auto"/>
        <w:ind w:firstLine="480" w:firstLineChars="200"/>
        <w:rPr>
          <w:rFonts w:hint="eastAsia" w:ascii="宋体" w:hAnsi="宋体" w:cs="宋体"/>
          <w:color w:val="auto"/>
          <w:szCs w:val="24"/>
          <w:highlight w:val="none"/>
        </w:rPr>
      </w:pPr>
      <w:r>
        <w:rPr>
          <w:rFonts w:hint="eastAsia" w:ascii="宋体" w:hAnsi="宋体" w:cs="宋体"/>
          <w:color w:val="auto"/>
          <w:szCs w:val="24"/>
          <w:highlight w:val="none"/>
        </w:rPr>
        <w:t>（5）地质与物探有机地结合，各种方法相互约束、联合解释，使各项资料得到合理的解释。</w:t>
      </w:r>
    </w:p>
    <w:p w14:paraId="63B1FAFF">
      <w:pPr>
        <w:spacing w:line="360" w:lineRule="auto"/>
        <w:ind w:firstLine="480" w:firstLineChars="200"/>
        <w:rPr>
          <w:rFonts w:hint="eastAsia" w:ascii="宋体" w:hAnsi="宋体" w:cs="宋体"/>
          <w:color w:val="auto"/>
          <w:szCs w:val="24"/>
          <w:highlight w:val="none"/>
        </w:rPr>
      </w:pPr>
      <w:r>
        <w:rPr>
          <w:rFonts w:hint="eastAsia" w:ascii="宋体" w:hAnsi="宋体" w:cs="宋体"/>
          <w:color w:val="auto"/>
          <w:szCs w:val="24"/>
          <w:highlight w:val="none"/>
        </w:rPr>
        <w:t>（6）在有含煤层位已知且稳定的前提下，地质研究内容主要包括：①成矿构造期次、序次及其控矿作用与地位；②矿区赋矿岩系的岩性、组构、产状及其与控矿构造的匹配关系；③各类地质体、地质构造及相应介质与环境条件约束下的电磁学信息响应特征。</w:t>
      </w:r>
    </w:p>
    <w:p w14:paraId="735C7B18">
      <w:pPr>
        <w:spacing w:line="360" w:lineRule="auto"/>
        <w:ind w:firstLine="480" w:firstLineChars="200"/>
        <w:rPr>
          <w:rFonts w:ascii="宋体" w:hAnsi="宋体" w:cs="宋体"/>
          <w:color w:val="auto"/>
          <w:szCs w:val="24"/>
          <w:highlight w:val="none"/>
        </w:rPr>
      </w:pPr>
      <w:r>
        <w:rPr>
          <w:rFonts w:hint="eastAsia" w:ascii="宋体" w:hAnsi="宋体" w:cs="宋体"/>
          <w:color w:val="auto"/>
          <w:szCs w:val="24"/>
          <w:highlight w:val="none"/>
        </w:rPr>
        <w:t>通过系统分析研究地质地球物理资料，编写地质解译报告，最终建立广域电磁法测量结果的地质解释标志。</w:t>
      </w:r>
    </w:p>
    <w:p w14:paraId="01A48FA5">
      <w:pPr>
        <w:spacing w:line="360" w:lineRule="auto"/>
        <w:ind w:firstLine="482" w:firstLineChars="200"/>
        <w:rPr>
          <w:rFonts w:hint="eastAsia" w:ascii="宋体" w:hAnsi="宋体" w:cs="宋体"/>
          <w:b/>
          <w:color w:val="auto"/>
          <w:szCs w:val="24"/>
          <w:highlight w:val="none"/>
        </w:rPr>
      </w:pPr>
      <w:r>
        <w:rPr>
          <w:rFonts w:hint="eastAsia" w:ascii="宋体" w:hAnsi="宋体" w:cs="宋体"/>
          <w:b/>
          <w:color w:val="auto"/>
          <w:szCs w:val="24"/>
          <w:highlight w:val="none"/>
        </w:rPr>
        <w:t>（六）预期成果</w:t>
      </w:r>
    </w:p>
    <w:p w14:paraId="58DDCF41">
      <w:pPr>
        <w:spacing w:line="360" w:lineRule="auto"/>
        <w:ind w:firstLine="480" w:firstLineChars="200"/>
        <w:rPr>
          <w:rFonts w:hint="eastAsia" w:ascii="宋体" w:hAnsi="宋体" w:cs="宋体"/>
          <w:color w:val="auto"/>
          <w:szCs w:val="24"/>
          <w:highlight w:val="none"/>
        </w:rPr>
      </w:pPr>
      <w:r>
        <w:rPr>
          <w:rFonts w:hint="eastAsia" w:ascii="宋体" w:hAnsi="宋体" w:cs="宋体"/>
          <w:color w:val="auto"/>
          <w:szCs w:val="24"/>
          <w:highlight w:val="none"/>
        </w:rPr>
        <w:t>按时完成设计实物工作量并且验收合格。</w:t>
      </w:r>
    </w:p>
    <w:p w14:paraId="5ED07A0F">
      <w:pPr>
        <w:spacing w:line="360" w:lineRule="auto"/>
        <w:ind w:firstLine="480" w:firstLineChars="200"/>
        <w:rPr>
          <w:rFonts w:hint="eastAsia" w:ascii="宋体" w:hAnsi="宋体" w:cs="宋体"/>
          <w:color w:val="auto"/>
          <w:szCs w:val="24"/>
          <w:highlight w:val="none"/>
        </w:rPr>
      </w:pPr>
    </w:p>
    <w:p w14:paraId="4B4B2D48">
      <w:pPr>
        <w:spacing w:line="360" w:lineRule="auto"/>
        <w:ind w:firstLine="482" w:firstLineChars="200"/>
        <w:rPr>
          <w:rFonts w:hint="eastAsia" w:ascii="宋体" w:hAnsi="宋体" w:cs="宋体"/>
          <w:color w:val="auto"/>
          <w:szCs w:val="22"/>
          <w:highlight w:val="none"/>
        </w:rPr>
      </w:pPr>
      <w:r>
        <w:rPr>
          <w:rFonts w:hint="eastAsia" w:ascii="宋体" w:hAnsi="宋体" w:cs="宋体"/>
          <w:b/>
          <w:bCs/>
          <w:color w:val="auto"/>
          <w:szCs w:val="22"/>
          <w:highlight w:val="none"/>
        </w:rPr>
        <w:t>注:以上所有技术/服务部分要求必须完全满足，否则视为无效响应。</w:t>
      </w:r>
    </w:p>
    <w:p w14:paraId="19726981">
      <w:bookmarkStart w:id="3" w:name="_GoBack"/>
      <w:bookmarkEnd w:id="3"/>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E161078"/>
    <w:rsid w:val="4E16107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sz w:val="24"/>
      <w:lang w:val="en-US" w:eastAsia="zh-CN" w:bidi="ar-SA"/>
    </w:rPr>
  </w:style>
  <w:style w:type="character" w:default="1" w:styleId="6">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w:basedOn w:val="1"/>
    <w:next w:val="3"/>
    <w:qFormat/>
    <w:uiPriority w:val="1"/>
    <w:pPr>
      <w:ind w:left="718"/>
    </w:pPr>
    <w:rPr>
      <w:rFonts w:ascii="宋体" w:hAnsi="宋体" w:eastAsia="宋体" w:cs="宋体"/>
      <w:sz w:val="28"/>
      <w:szCs w:val="28"/>
      <w:lang w:val="zh-CN" w:eastAsia="zh-CN" w:bidi="zh-CN"/>
    </w:rPr>
  </w:style>
  <w:style w:type="paragraph" w:styleId="3">
    <w:name w:val="Body Text First Indent"/>
    <w:basedOn w:val="2"/>
    <w:qFormat/>
    <w:uiPriority w:val="0"/>
    <w:pPr>
      <w:ind w:firstLine="420" w:firstLineChars="100"/>
    </w:pPr>
  </w:style>
  <w:style w:type="paragraph" w:styleId="4">
    <w:name w:val="Plain Text"/>
    <w:basedOn w:val="1"/>
    <w:qFormat/>
    <w:uiPriority w:val="0"/>
    <w:rPr>
      <w:rFonts w:ascii="宋体" w:hAnsi="Courier New"/>
      <w:sz w:val="20"/>
      <w:szCs w:val="24"/>
    </w:rPr>
  </w:style>
  <w:style w:type="character" w:customStyle="1" w:styleId="7">
    <w:name w:val="纯文本 字符1"/>
    <w:uiPriority w:val="0"/>
    <w:rPr>
      <w:rFonts w:ascii="宋体" w:hAnsi="Courier New"/>
      <w:szCs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2026-05-27T06:58:00Z</dcterms:created>
  <dc:creator>周妍</dc:creator>
  <cp:lastModifiedBy>周妍</cp:lastModifiedBy>
  <dcterms:modified xsi:type="dcterms:W3CDTF">2026-05-27T06:58:39Z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793C72890755400B9AC913AE9FE93A3A_11</vt:lpwstr>
  </property>
  <property fmtid="{D5CDD505-2E9C-101B-9397-08002B2CF9AE}" pid="4" name="KSOTemplateDocerSaveRecord">
    <vt:lpwstr>eyJoZGlkIjoiNzgxYjg4OWViMmFmNDAxYjdlMmI5ZTY2NzU3MWQ1YWEiLCJ1c2VySWQiOiIxNTU5ODk3Njg1In0=</vt:lpwstr>
  </property>
</Properties>
</file>