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Style w:val="2"/>
        <w:bidi w:val="0"/>
        <w:rPr>
          <w:lang w:eastAsia="zh-CN"/>
        </w:rPr>
      </w:pPr>
      <w:bookmarkStart w:id="0" w:name="_Toc12046"/>
      <w:r>
        <w:rPr>
          <w:lang w:eastAsia="zh-CN"/>
        </w:rPr>
        <w:t xml:space="preserve">第五章  </w:t>
      </w:r>
      <w:r>
        <w:rPr>
          <w:rFonts w:hint="eastAsia"/>
          <w:lang w:eastAsia="zh-CN"/>
        </w:rPr>
        <w:t>采购需求</w:t>
      </w:r>
      <w:bookmarkEnd w:id="0"/>
    </w:p>
    <w:p w14:paraId="0F2A714C">
      <w:pPr>
        <w:widowControl w:val="0"/>
        <w:spacing w:line="360" w:lineRule="auto"/>
        <w:rPr>
          <w:rFonts w:hint="eastAsia" w:asciiTheme="minorEastAsia" w:hAnsiTheme="minorEastAsia" w:eastAsiaTheme="minorEastAsia" w:cstheme="minorEastAsia"/>
          <w:b/>
          <w:bCs/>
          <w:color w:val="auto"/>
          <w:sz w:val="24"/>
          <w:szCs w:val="24"/>
        </w:rPr>
      </w:pPr>
      <w:bookmarkStart w:id="1" w:name="_Toc13244"/>
      <w:r>
        <w:rPr>
          <w:rFonts w:hint="eastAsia" w:asciiTheme="minorEastAsia" w:hAnsiTheme="minorEastAsia" w:eastAsiaTheme="minorEastAsia" w:cstheme="minorEastAsia"/>
          <w:b/>
          <w:bCs/>
          <w:color w:val="auto"/>
          <w:sz w:val="24"/>
          <w:szCs w:val="24"/>
        </w:rPr>
        <w:t>一、</w:t>
      </w:r>
      <w:r>
        <w:rPr>
          <w:rFonts w:hint="eastAsia" w:asciiTheme="minorEastAsia" w:hAnsiTheme="minorEastAsia" w:eastAsiaTheme="minorEastAsia" w:cstheme="minorEastAsia"/>
          <w:b/>
          <w:bCs/>
          <w:color w:val="auto"/>
          <w:sz w:val="24"/>
          <w:szCs w:val="24"/>
          <w:lang w:val="en-US" w:eastAsia="zh-CN"/>
        </w:rPr>
        <w:t>采购</w:t>
      </w:r>
      <w:r>
        <w:rPr>
          <w:rFonts w:hint="eastAsia" w:asciiTheme="minorEastAsia" w:hAnsiTheme="minorEastAsia" w:eastAsiaTheme="minorEastAsia" w:cstheme="minorEastAsia"/>
          <w:b/>
          <w:bCs/>
          <w:color w:val="auto"/>
          <w:sz w:val="24"/>
          <w:szCs w:val="24"/>
        </w:rPr>
        <w:t>需求表</w:t>
      </w:r>
      <w:bookmarkEnd w:id="1"/>
    </w:p>
    <w:p w14:paraId="00D6E72B">
      <w:pPr>
        <w:pageBreakBefore w:val="0"/>
        <w:widowControl w:val="0"/>
        <w:wordWrap/>
        <w:overflowPunct/>
        <w:topLinePunct w:val="0"/>
        <w:bidi w:val="0"/>
        <w:spacing w:before="64"/>
        <w:outlineLvl w:val="9"/>
        <w:rPr>
          <w:color w:val="auto"/>
          <w:highlight w:val="none"/>
        </w:rPr>
      </w:pPr>
    </w:p>
    <w:tbl>
      <w:tblPr>
        <w:tblStyle w:val="2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outlineLvl w:val="9"/>
              <w:rPr>
                <w:rFonts w:ascii="宋体" w:hAnsi="宋体" w:eastAsia="宋体" w:cs="宋体"/>
                <w:color w:val="auto"/>
                <w:sz w:val="24"/>
                <w:szCs w:val="24"/>
                <w:highlight w:val="none"/>
              </w:rPr>
            </w:pPr>
            <w:r>
              <w:rPr>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C82F925">
            <w:pPr>
              <w:pStyle w:val="27"/>
              <w:pageBreakBefore w:val="0"/>
              <w:widowControl w:val="0"/>
              <w:wordWrap/>
              <w:overflowPunct/>
              <w:topLinePunct w:val="0"/>
              <w:bidi w:val="0"/>
              <w:spacing w:line="245" w:lineRule="auto"/>
              <w:outlineLvl w:val="9"/>
              <w:rPr>
                <w:color w:val="auto"/>
                <w:highlight w:val="none"/>
              </w:rPr>
            </w:pPr>
          </w:p>
          <w:p w14:paraId="40F7ED8D">
            <w:pPr>
              <w:pStyle w:val="27"/>
              <w:pageBreakBefore w:val="0"/>
              <w:widowControl w:val="0"/>
              <w:wordWrap/>
              <w:overflowPunct/>
              <w:topLinePunct w:val="0"/>
              <w:bidi w:val="0"/>
              <w:spacing w:line="246" w:lineRule="auto"/>
              <w:outlineLvl w:val="9"/>
              <w:rPr>
                <w:color w:val="auto"/>
                <w:highlight w:val="none"/>
              </w:rPr>
            </w:pPr>
          </w:p>
          <w:p w14:paraId="22D0E8F0">
            <w:pPr>
              <w:pageBreakBefore w:val="0"/>
              <w:widowControl w:val="0"/>
              <w:wordWrap/>
              <w:overflowPunct/>
              <w:topLinePunct w:val="0"/>
              <w:bidi w:val="0"/>
              <w:spacing w:before="78" w:line="219" w:lineRule="auto"/>
              <w:ind w:left="481"/>
              <w:outlineLvl w:val="9"/>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27"/>
              <w:pageBreakBefore w:val="0"/>
              <w:widowControl w:val="0"/>
              <w:wordWrap/>
              <w:overflowPunct/>
              <w:topLinePunct w:val="0"/>
              <w:bidi w:val="0"/>
              <w:spacing w:line="338" w:lineRule="auto"/>
              <w:outlineLvl w:val="9"/>
              <w:rPr>
                <w:color w:val="auto"/>
                <w:highlight w:val="none"/>
              </w:rPr>
            </w:pPr>
          </w:p>
          <w:p w14:paraId="56739E74">
            <w:pPr>
              <w:pageBreakBefore w:val="0"/>
              <w:widowControl w:val="0"/>
              <w:wordWrap/>
              <w:overflowPunct/>
              <w:topLinePunct w:val="0"/>
              <w:bidi w:val="0"/>
              <w:spacing w:before="78" w:line="220" w:lineRule="auto"/>
              <w:ind w:left="1311"/>
              <w:outlineLvl w:val="9"/>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27"/>
              <w:pageBreakBefore w:val="0"/>
              <w:widowControl w:val="0"/>
              <w:wordWrap/>
              <w:overflowPunct/>
              <w:topLinePunct w:val="0"/>
              <w:bidi w:val="0"/>
              <w:spacing w:line="263" w:lineRule="auto"/>
              <w:outlineLvl w:val="9"/>
              <w:rPr>
                <w:color w:val="auto"/>
                <w:highlight w:val="none"/>
              </w:rPr>
            </w:pPr>
          </w:p>
          <w:p w14:paraId="0743B18A">
            <w:pPr>
              <w:pStyle w:val="27"/>
              <w:pageBreakBefore w:val="0"/>
              <w:widowControl w:val="0"/>
              <w:wordWrap/>
              <w:overflowPunct/>
              <w:topLinePunct w:val="0"/>
              <w:bidi w:val="0"/>
              <w:spacing w:line="263" w:lineRule="auto"/>
              <w:outlineLvl w:val="9"/>
              <w:rPr>
                <w:color w:val="auto"/>
                <w:highlight w:val="none"/>
              </w:rPr>
            </w:pPr>
          </w:p>
          <w:p w14:paraId="144BF3D0">
            <w:pPr>
              <w:pStyle w:val="27"/>
              <w:pageBreakBefore w:val="0"/>
              <w:widowControl w:val="0"/>
              <w:wordWrap/>
              <w:overflowPunct/>
              <w:topLinePunct w:val="0"/>
              <w:bidi w:val="0"/>
              <w:spacing w:line="264" w:lineRule="auto"/>
              <w:outlineLvl w:val="9"/>
              <w:rPr>
                <w:color w:val="auto"/>
                <w:highlight w:val="none"/>
              </w:rPr>
            </w:pPr>
          </w:p>
          <w:p w14:paraId="537402C6">
            <w:pPr>
              <w:pageBreakBefore w:val="0"/>
              <w:widowControl w:val="0"/>
              <w:wordWrap/>
              <w:overflowPunct/>
              <w:topLinePunct w:val="0"/>
              <w:bidi w:val="0"/>
              <w:spacing w:before="78" w:line="221" w:lineRule="auto"/>
              <w:ind w:left="192"/>
              <w:outlineLvl w:val="9"/>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vAlign w:val="center"/>
          </w:tcPr>
          <w:p w14:paraId="49A5ED64">
            <w:pPr>
              <w:widowControl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lang w:eastAsia="zh-CN"/>
              </w:rPr>
              <w:t>信州区2025-2026年度茅家岭街道松材线虫枯死树除治项目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outlineLvl w:val="9"/>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14:paraId="0E4CD573">
            <w:pPr>
              <w:pStyle w:val="27"/>
              <w:pageBreakBefore w:val="0"/>
              <w:widowControl w:val="0"/>
              <w:wordWrap/>
              <w:overflowPunct/>
              <w:topLinePunct w:val="0"/>
              <w:bidi w:val="0"/>
              <w:jc w:val="left"/>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outlineLvl w:val="9"/>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14:paraId="4DE7CF1B">
            <w:pPr>
              <w:pStyle w:val="27"/>
              <w:pageBreakBefore w:val="0"/>
              <w:widowControl w:val="0"/>
              <w:wordWrap/>
              <w:overflowPunct/>
              <w:topLinePunct w:val="0"/>
              <w:bidi w:val="0"/>
              <w:jc w:val="left"/>
              <w:outlineLvl w:val="9"/>
              <w:rPr>
                <w:rFonts w:hint="eastAsia" w:asciiTheme="minorEastAsia" w:hAnsiTheme="minorEastAsia" w:eastAsiaTheme="minorEastAsia" w:cstheme="minorEastAsia"/>
                <w:color w:val="0000FF"/>
                <w:sz w:val="24"/>
                <w:szCs w:val="24"/>
                <w:highlight w:val="none"/>
              </w:rPr>
            </w:pPr>
            <w:r>
              <w:rPr>
                <w:rFonts w:hint="eastAsia" w:asciiTheme="minorEastAsia" w:hAnsiTheme="minorEastAsia" w:eastAsiaTheme="minorEastAsia" w:cstheme="minorEastAsia"/>
                <w:bCs/>
                <w:color w:val="auto"/>
                <w:sz w:val="24"/>
                <w:szCs w:val="24"/>
                <w:lang w:eastAsia="zh-CN"/>
              </w:rPr>
              <w:t>合同签订后二个月内前完成。</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outlineLvl w:val="9"/>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14:paraId="4BB6DCE7">
            <w:pPr>
              <w:pStyle w:val="27"/>
              <w:pageBreakBefore w:val="0"/>
              <w:widowControl w:val="0"/>
              <w:wordWrap/>
              <w:overflowPunct/>
              <w:topLinePunct w:val="0"/>
              <w:bidi w:val="0"/>
              <w:jc w:val="left"/>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茅家岭街道</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68" w:hRule="atLeast"/>
        </w:trPr>
        <w:tc>
          <w:tcPr>
            <w:tcW w:w="2865" w:type="dxa"/>
            <w:gridSpan w:val="2"/>
            <w:vAlign w:val="center"/>
          </w:tcPr>
          <w:p w14:paraId="62C91BD2">
            <w:pPr>
              <w:pageBreakBefore w:val="0"/>
              <w:widowControl w:val="0"/>
              <w:wordWrap/>
              <w:overflowPunct/>
              <w:topLinePunct w:val="0"/>
              <w:bidi w:val="0"/>
              <w:spacing w:before="256" w:line="221" w:lineRule="auto"/>
              <w:ind w:left="1189"/>
              <w:jc w:val="both"/>
              <w:outlineLvl w:val="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center"/>
          </w:tcPr>
          <w:p w14:paraId="43A95CBB">
            <w:pPr>
              <w:pStyle w:val="27"/>
              <w:pageBreakBefore w:val="0"/>
              <w:widowControl w:val="0"/>
              <w:wordWrap/>
              <w:overflowPunct/>
              <w:topLinePunct w:val="0"/>
              <w:bidi w:val="0"/>
              <w:jc w:val="left"/>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Cs/>
                <w:color w:val="auto"/>
                <w:sz w:val="24"/>
                <w:szCs w:val="24"/>
                <w:lang w:eastAsia="zh-CN"/>
              </w:rPr>
              <w:t>本项目</w:t>
            </w:r>
            <w:r>
              <w:rPr>
                <w:rFonts w:hint="eastAsia" w:asciiTheme="minorEastAsia" w:hAnsiTheme="minorEastAsia" w:eastAsiaTheme="minorEastAsia" w:cstheme="minorEastAsia"/>
                <w:bCs/>
                <w:color w:val="auto"/>
                <w:sz w:val="24"/>
                <w:szCs w:val="24"/>
                <w:lang w:val="en-US" w:eastAsia="zh-CN"/>
              </w:rPr>
              <w:t>磋商</w:t>
            </w:r>
            <w:r>
              <w:rPr>
                <w:rFonts w:hint="eastAsia" w:asciiTheme="minorEastAsia" w:hAnsiTheme="minorEastAsia" w:eastAsiaTheme="minorEastAsia" w:cstheme="minorEastAsia"/>
                <w:bCs/>
                <w:color w:val="auto"/>
                <w:sz w:val="24"/>
                <w:szCs w:val="24"/>
                <w:lang w:eastAsia="zh-CN"/>
              </w:rPr>
              <w:t>报价包人工、包材料、包运输、包机械、包质量、包工期、包安全、包税费等完成该项目所需要的一切费用。最终具体以地势、交通等因素确定疫木除治单价且按实际发生的数量（株）进行结算。</w:t>
            </w:r>
          </w:p>
        </w:tc>
      </w:tr>
    </w:tbl>
    <w:p w14:paraId="4F86D054">
      <w:pPr>
        <w:pageBreakBefore w:val="0"/>
        <w:widowControl w:val="0"/>
        <w:wordWrap/>
        <w:overflowPunct/>
        <w:topLinePunct w:val="0"/>
        <w:bidi w:val="0"/>
        <w:outlineLvl w:val="9"/>
        <w:rPr>
          <w:color w:val="auto"/>
          <w:highlight w:val="none"/>
        </w:rPr>
      </w:pPr>
    </w:p>
    <w:p w14:paraId="0C0723DB">
      <w:pPr>
        <w:pageBreakBefore w:val="0"/>
        <w:widowControl w:val="0"/>
        <w:wordWrap/>
        <w:overflowPunct/>
        <w:topLinePunct w:val="0"/>
        <w:bidi w:val="0"/>
        <w:outlineLvl w:val="9"/>
        <w:rPr>
          <w:color w:val="auto"/>
          <w:highlight w:val="none"/>
        </w:rPr>
        <w:sectPr>
          <w:footerReference r:id="rId3" w:type="default"/>
          <w:pgSz w:w="11906" w:h="16839"/>
          <w:pgMar w:top="1134" w:right="1134" w:bottom="1134" w:left="1134" w:header="0" w:footer="994" w:gutter="0"/>
          <w:pgNumType w:fmt="decimal"/>
          <w:cols w:space="720" w:num="1"/>
          <w:rtlGutter w:val="0"/>
          <w:docGrid w:linePitch="0" w:charSpace="0"/>
        </w:sectPr>
      </w:pPr>
    </w:p>
    <w:p w14:paraId="63C46ABF">
      <w:pPr>
        <w:pageBreakBefore w:val="0"/>
        <w:widowControl w:val="0"/>
        <w:wordWrap/>
        <w:overflowPunct/>
        <w:topLinePunct w:val="0"/>
        <w:bidi w:val="0"/>
        <w:spacing w:before="78" w:line="219" w:lineRule="auto"/>
        <w:jc w:val="center"/>
        <w:outlineLvl w:val="9"/>
        <w:rPr>
          <w:rFonts w:ascii="宋体" w:hAnsi="宋体" w:eastAsia="宋体" w:cs="宋体"/>
          <w:b/>
          <w:bCs/>
          <w:color w:val="auto"/>
          <w:spacing w:val="-5"/>
          <w:sz w:val="24"/>
          <w:szCs w:val="24"/>
          <w:highlight w:val="none"/>
        </w:rPr>
      </w:pPr>
      <w:bookmarkStart w:id="2" w:name="_Toc29217"/>
      <w:r>
        <w:rPr>
          <w:rFonts w:ascii="宋体" w:hAnsi="宋体" w:eastAsia="宋体" w:cs="宋体"/>
          <w:b/>
          <w:bCs/>
          <w:color w:val="auto"/>
          <w:spacing w:val="-5"/>
          <w:sz w:val="24"/>
          <w:szCs w:val="24"/>
          <w:highlight w:val="none"/>
        </w:rPr>
        <w:t>二、采购</w:t>
      </w:r>
      <w:r>
        <w:rPr>
          <w:rFonts w:hint="eastAsia" w:ascii="宋体" w:hAnsi="宋体" w:eastAsia="宋体" w:cs="宋体"/>
          <w:b/>
          <w:bCs/>
          <w:color w:val="auto"/>
          <w:spacing w:val="-5"/>
          <w:sz w:val="24"/>
          <w:szCs w:val="24"/>
          <w:highlight w:val="none"/>
          <w:lang w:val="en-US" w:eastAsia="zh-CN"/>
        </w:rPr>
        <w:t>要</w:t>
      </w:r>
      <w:r>
        <w:rPr>
          <w:rFonts w:ascii="宋体" w:hAnsi="宋体" w:eastAsia="宋体" w:cs="宋体"/>
          <w:b/>
          <w:bCs/>
          <w:color w:val="auto"/>
          <w:spacing w:val="-5"/>
          <w:sz w:val="24"/>
          <w:szCs w:val="24"/>
          <w:highlight w:val="none"/>
        </w:rPr>
        <w:t>求</w:t>
      </w:r>
      <w:bookmarkEnd w:id="2"/>
    </w:p>
    <w:p w14:paraId="5D258939">
      <w:pPr>
        <w:pageBreakBefore w:val="0"/>
        <w:widowControl w:val="0"/>
        <w:wordWrap/>
        <w:overflowPunct/>
        <w:topLinePunct w:val="0"/>
        <w:bidi w:val="0"/>
        <w:spacing w:line="257" w:lineRule="auto"/>
        <w:outlineLvl w:val="9"/>
        <w:rPr>
          <w:color w:val="auto"/>
          <w:highlight w:val="none"/>
        </w:rPr>
      </w:pPr>
    </w:p>
    <w:p w14:paraId="6EF4E5D2">
      <w:pPr>
        <w:pageBreakBefore w:val="0"/>
        <w:widowControl w:val="0"/>
        <w:wordWrap/>
        <w:overflowPunct/>
        <w:topLinePunct w:val="0"/>
        <w:bidi w:val="0"/>
        <w:spacing w:line="258" w:lineRule="auto"/>
        <w:outlineLvl w:val="9"/>
        <w:rPr>
          <w:color w:val="auto"/>
          <w:highlight w:val="none"/>
        </w:rPr>
      </w:pPr>
    </w:p>
    <w:p w14:paraId="0D9C0787">
      <w:pPr>
        <w:pageBreakBefore w:val="0"/>
        <w:widowControl w:val="0"/>
        <w:wordWrap/>
        <w:overflowPunct/>
        <w:topLinePunct w:val="0"/>
        <w:bidi w:val="0"/>
        <w:spacing w:line="258" w:lineRule="auto"/>
        <w:outlineLvl w:val="9"/>
        <w:rPr>
          <w:color w:val="auto"/>
          <w:highlight w:val="none"/>
        </w:rPr>
      </w:pPr>
    </w:p>
    <w:p w14:paraId="213747FE">
      <w:pPr>
        <w:pageBreakBefore w:val="0"/>
        <w:widowControl w:val="0"/>
        <w:wordWrap/>
        <w:overflowPunct/>
        <w:topLinePunct w:val="0"/>
        <w:bidi w:val="0"/>
        <w:spacing w:before="78" w:line="219" w:lineRule="auto"/>
        <w:outlineLvl w:val="9"/>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A134F56">
      <w:pPr>
        <w:pageBreakBefore w:val="0"/>
        <w:widowControl w:val="0"/>
        <w:wordWrap/>
        <w:overflowPunct/>
        <w:topLinePunct w:val="0"/>
        <w:bidi w:val="0"/>
        <w:spacing w:line="242" w:lineRule="auto"/>
        <w:outlineLvl w:val="9"/>
        <w:rPr>
          <w:color w:val="auto"/>
          <w:highlight w:val="none"/>
        </w:rPr>
      </w:pPr>
    </w:p>
    <w:p w14:paraId="3EF8C992">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一、基本情况</w:t>
      </w:r>
    </w:p>
    <w:p w14:paraId="40F9292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全区松林面积</w:t>
      </w:r>
      <w:r>
        <w:rPr>
          <w:rFonts w:hint="eastAsia" w:asciiTheme="minorEastAsia" w:hAnsiTheme="minorEastAsia" w:eastAsiaTheme="minorEastAsia" w:cstheme="minorEastAsia"/>
          <w:b/>
          <w:bCs/>
          <w:color w:val="auto"/>
          <w:spacing w:val="-5"/>
          <w:sz w:val="24"/>
          <w:szCs w:val="24"/>
          <w:lang w:eastAsia="zh-CN"/>
        </w:rPr>
        <w:t>10.86</w:t>
      </w:r>
      <w:r>
        <w:rPr>
          <w:rFonts w:hint="eastAsia" w:asciiTheme="minorEastAsia" w:hAnsiTheme="minorEastAsia" w:eastAsiaTheme="minorEastAsia" w:cstheme="minorEastAsia"/>
          <w:b w:val="0"/>
          <w:bCs w:val="0"/>
          <w:color w:val="auto"/>
          <w:spacing w:val="-5"/>
          <w:sz w:val="24"/>
          <w:szCs w:val="24"/>
          <w:lang w:eastAsia="zh-CN"/>
        </w:rPr>
        <w:t>万亩，普查率达到</w:t>
      </w:r>
      <w:r>
        <w:rPr>
          <w:rFonts w:hint="eastAsia" w:asciiTheme="minorEastAsia" w:hAnsiTheme="minorEastAsia" w:eastAsiaTheme="minorEastAsia" w:cstheme="minorEastAsia"/>
          <w:b/>
          <w:bCs/>
          <w:color w:val="auto"/>
          <w:spacing w:val="-5"/>
          <w:sz w:val="24"/>
          <w:szCs w:val="24"/>
          <w:lang w:eastAsia="zh-CN"/>
        </w:rPr>
        <w:t>100%</w:t>
      </w:r>
      <w:r>
        <w:rPr>
          <w:rFonts w:hint="eastAsia" w:asciiTheme="minorEastAsia" w:hAnsiTheme="minorEastAsia" w:eastAsiaTheme="minorEastAsia" w:cstheme="minorEastAsia"/>
          <w:b w:val="0"/>
          <w:bCs w:val="0"/>
          <w:color w:val="auto"/>
          <w:spacing w:val="-5"/>
          <w:sz w:val="24"/>
          <w:szCs w:val="24"/>
          <w:lang w:eastAsia="zh-CN"/>
        </w:rPr>
        <w:t>。</w:t>
      </w:r>
      <w:r>
        <w:rPr>
          <w:rFonts w:hint="eastAsia" w:asciiTheme="minorEastAsia" w:hAnsiTheme="minorEastAsia" w:eastAsiaTheme="minorEastAsia" w:cstheme="minorEastAsia"/>
          <w:b/>
          <w:bCs/>
          <w:color w:val="auto"/>
          <w:spacing w:val="-5"/>
          <w:sz w:val="24"/>
          <w:szCs w:val="24"/>
          <w:lang w:eastAsia="zh-CN"/>
        </w:rPr>
        <w:t>2025</w:t>
      </w:r>
      <w:r>
        <w:rPr>
          <w:rFonts w:hint="eastAsia" w:asciiTheme="minorEastAsia" w:hAnsiTheme="minorEastAsia" w:eastAsiaTheme="minorEastAsia" w:cstheme="minorEastAsia"/>
          <w:b w:val="0"/>
          <w:bCs w:val="0"/>
          <w:color w:val="auto"/>
          <w:spacing w:val="-5"/>
          <w:sz w:val="24"/>
          <w:szCs w:val="24"/>
          <w:lang w:eastAsia="zh-CN"/>
        </w:rPr>
        <w:t>年秋季普查共发现死树</w:t>
      </w:r>
      <w:r>
        <w:rPr>
          <w:rFonts w:hint="eastAsia" w:asciiTheme="minorEastAsia" w:hAnsiTheme="minorEastAsia" w:eastAsiaTheme="minorEastAsia" w:cstheme="minorEastAsia"/>
          <w:b/>
          <w:bCs/>
          <w:color w:val="auto"/>
          <w:spacing w:val="-5"/>
          <w:sz w:val="24"/>
          <w:szCs w:val="24"/>
          <w:lang w:eastAsia="zh-CN"/>
        </w:rPr>
        <w:t>3514</w:t>
      </w:r>
      <w:r>
        <w:rPr>
          <w:rFonts w:hint="eastAsia" w:asciiTheme="minorEastAsia" w:hAnsiTheme="minorEastAsia" w:eastAsiaTheme="minorEastAsia" w:cstheme="minorEastAsia"/>
          <w:b w:val="0"/>
          <w:bCs w:val="0"/>
          <w:color w:val="auto"/>
          <w:spacing w:val="-5"/>
          <w:sz w:val="24"/>
          <w:szCs w:val="24"/>
          <w:lang w:eastAsia="zh-CN"/>
        </w:rPr>
        <w:t>株，其中松材线虫致病死松树</w:t>
      </w:r>
      <w:r>
        <w:rPr>
          <w:rFonts w:hint="eastAsia" w:asciiTheme="minorEastAsia" w:hAnsiTheme="minorEastAsia" w:eastAsiaTheme="minorEastAsia" w:cstheme="minorEastAsia"/>
          <w:b/>
          <w:bCs/>
          <w:color w:val="auto"/>
          <w:spacing w:val="-5"/>
          <w:sz w:val="24"/>
          <w:szCs w:val="24"/>
          <w:lang w:eastAsia="zh-CN"/>
        </w:rPr>
        <w:t>2533</w:t>
      </w:r>
      <w:r>
        <w:rPr>
          <w:rFonts w:hint="eastAsia" w:asciiTheme="minorEastAsia" w:hAnsiTheme="minorEastAsia" w:eastAsiaTheme="minorEastAsia" w:cstheme="minorEastAsia"/>
          <w:b w:val="0"/>
          <w:bCs w:val="0"/>
          <w:color w:val="auto"/>
          <w:spacing w:val="-5"/>
          <w:sz w:val="24"/>
          <w:szCs w:val="24"/>
          <w:lang w:eastAsia="zh-CN"/>
        </w:rPr>
        <w:t>株，其他原因致死松树</w:t>
      </w:r>
      <w:r>
        <w:rPr>
          <w:rFonts w:hint="eastAsia" w:asciiTheme="minorEastAsia" w:hAnsiTheme="minorEastAsia" w:eastAsiaTheme="minorEastAsia" w:cstheme="minorEastAsia"/>
          <w:b/>
          <w:bCs/>
          <w:color w:val="auto"/>
          <w:spacing w:val="-5"/>
          <w:sz w:val="24"/>
          <w:szCs w:val="24"/>
          <w:lang w:eastAsia="zh-CN"/>
        </w:rPr>
        <w:t>981</w:t>
      </w:r>
      <w:r>
        <w:rPr>
          <w:rFonts w:hint="eastAsia" w:asciiTheme="minorEastAsia" w:hAnsiTheme="minorEastAsia" w:eastAsiaTheme="minorEastAsia" w:cstheme="minorEastAsia"/>
          <w:b w:val="0"/>
          <w:bCs w:val="0"/>
          <w:color w:val="auto"/>
          <w:spacing w:val="-5"/>
          <w:sz w:val="24"/>
          <w:szCs w:val="24"/>
          <w:lang w:eastAsia="zh-CN"/>
        </w:rPr>
        <w:t>株，发生面积</w:t>
      </w:r>
      <w:r>
        <w:rPr>
          <w:rFonts w:hint="eastAsia" w:asciiTheme="minorEastAsia" w:hAnsiTheme="minorEastAsia" w:eastAsiaTheme="minorEastAsia" w:cstheme="minorEastAsia"/>
          <w:b/>
          <w:bCs/>
          <w:color w:val="auto"/>
          <w:spacing w:val="-5"/>
          <w:sz w:val="24"/>
          <w:szCs w:val="24"/>
          <w:lang w:eastAsia="zh-CN"/>
        </w:rPr>
        <w:t>0.40224</w:t>
      </w:r>
      <w:r>
        <w:rPr>
          <w:rFonts w:hint="eastAsia" w:asciiTheme="minorEastAsia" w:hAnsiTheme="minorEastAsia" w:eastAsiaTheme="minorEastAsia" w:cstheme="minorEastAsia"/>
          <w:b w:val="0"/>
          <w:bCs w:val="0"/>
          <w:color w:val="auto"/>
          <w:spacing w:val="-5"/>
          <w:sz w:val="24"/>
          <w:szCs w:val="24"/>
          <w:lang w:eastAsia="zh-CN"/>
        </w:rPr>
        <w:t>万亩，疫情小班</w:t>
      </w:r>
      <w:r>
        <w:rPr>
          <w:rFonts w:hint="eastAsia" w:asciiTheme="minorEastAsia" w:hAnsiTheme="minorEastAsia" w:eastAsiaTheme="minorEastAsia" w:cstheme="minorEastAsia"/>
          <w:b/>
          <w:bCs/>
          <w:color w:val="auto"/>
          <w:spacing w:val="-5"/>
          <w:sz w:val="24"/>
          <w:szCs w:val="24"/>
          <w:lang w:eastAsia="zh-CN"/>
        </w:rPr>
        <w:t>34</w:t>
      </w:r>
      <w:r>
        <w:rPr>
          <w:rFonts w:hint="eastAsia" w:asciiTheme="minorEastAsia" w:hAnsiTheme="minorEastAsia" w:eastAsiaTheme="minorEastAsia" w:cstheme="minorEastAsia"/>
          <w:b w:val="0"/>
          <w:bCs w:val="0"/>
          <w:color w:val="auto"/>
          <w:spacing w:val="-5"/>
          <w:sz w:val="24"/>
          <w:szCs w:val="24"/>
          <w:lang w:eastAsia="zh-CN"/>
        </w:rPr>
        <w:t>个。因松树感染松材线虫病死亡有一个过程，死树的数量是动态变化的，随着时间的推移，死树数量会逐渐增加。</w:t>
      </w:r>
    </w:p>
    <w:p w14:paraId="65940D95">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二、防控目标与步骤</w:t>
      </w:r>
    </w:p>
    <w:p w14:paraId="7CA6CCFF">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（一）目标任务</w:t>
      </w:r>
    </w:p>
    <w:p w14:paraId="44EF03B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巩固除治成果，进一步压缩沙溪镇、秦峰镇和朝阳镇的疫情发生面积和病死松树的数量；实现灵溪街道、茅家岭街道和水南街道疫情不反弹；加强北门街道松材线虫病疫情监测，确保第一时间发现新疫情，并及时除治。</w:t>
      </w:r>
    </w:p>
    <w:p w14:paraId="792155B4">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（二）防控步骤</w:t>
      </w:r>
    </w:p>
    <w:p w14:paraId="61309A3E">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1.全面普查阶段。</w:t>
      </w:r>
      <w:r>
        <w:rPr>
          <w:rFonts w:hint="eastAsia" w:asciiTheme="minorEastAsia" w:hAnsiTheme="minorEastAsia" w:eastAsiaTheme="minorEastAsia" w:cstheme="minorEastAsia"/>
          <w:b w:val="0"/>
          <w:bCs w:val="0"/>
          <w:color w:val="auto"/>
          <w:spacing w:val="-5"/>
          <w:sz w:val="24"/>
          <w:szCs w:val="24"/>
          <w:lang w:eastAsia="zh-CN"/>
        </w:rPr>
        <w:t>组织开展枯死松树普查登记、采样，摸清枯死松树分布情况，初步确定疫木除治（择伐清理、皆伐清理）、媒介昆虫防治（打孔注药、释放天敌）的小班，完成报告的提交和数据的录入。</w:t>
      </w:r>
    </w:p>
    <w:p w14:paraId="2B4203EB">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2.前期准备阶段。</w:t>
      </w:r>
      <w:r>
        <w:rPr>
          <w:rFonts w:hint="eastAsia" w:asciiTheme="minorEastAsia" w:hAnsiTheme="minorEastAsia" w:eastAsiaTheme="minorEastAsia" w:cstheme="minorEastAsia"/>
          <w:b w:val="0"/>
          <w:bCs w:val="0"/>
          <w:color w:val="auto"/>
          <w:spacing w:val="-5"/>
          <w:sz w:val="24"/>
          <w:szCs w:val="24"/>
          <w:lang w:eastAsia="zh-CN"/>
        </w:rPr>
        <w:t>制定完成具体防控方案和作业设计等，并报市林业有害生物防控工作指挥部办公室审批。年度防控方案中明确各疫情小班疫木除治（择伐清理、皆伐清理）和媒介昆虫防治（打孔注药、释放天敌）等相应的防控措施。</w:t>
      </w:r>
    </w:p>
    <w:p w14:paraId="3BDDA125">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3.集中会战阶段。</w:t>
      </w:r>
      <w:r>
        <w:rPr>
          <w:rFonts w:hint="eastAsia" w:asciiTheme="minorEastAsia" w:hAnsiTheme="minorEastAsia" w:eastAsiaTheme="minorEastAsia" w:cstheme="minorEastAsia"/>
          <w:b w:val="0"/>
          <w:bCs w:val="0"/>
          <w:color w:val="auto"/>
          <w:spacing w:val="-5"/>
          <w:sz w:val="24"/>
          <w:szCs w:val="24"/>
          <w:lang w:eastAsia="zh-CN"/>
        </w:rPr>
        <w:t>镇街为疫木除治和综合防治（疫木择伐清理、皆伐清理以及松树打孔注药、释放天敌）的责任主体，区林业分局负责业务指导服务、跟踪监督、质量检查等。</w:t>
      </w:r>
    </w:p>
    <w:p w14:paraId="7D14939E">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4.检查验收阶段。</w:t>
      </w:r>
      <w:r>
        <w:rPr>
          <w:rFonts w:hint="eastAsia" w:asciiTheme="minorEastAsia" w:hAnsiTheme="minorEastAsia" w:eastAsiaTheme="minorEastAsia" w:cstheme="minorEastAsia"/>
          <w:b w:val="0"/>
          <w:bCs w:val="0"/>
          <w:color w:val="auto"/>
          <w:spacing w:val="-5"/>
          <w:sz w:val="24"/>
          <w:szCs w:val="24"/>
          <w:lang w:eastAsia="zh-CN"/>
        </w:rPr>
        <w:t>完成本辖区内的松材线虫病除治自查验收工作，并形成报告报区林业分局核查，核查合格后报省市复核。</w:t>
      </w:r>
    </w:p>
    <w:p w14:paraId="05F07887">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（三）防控任务</w:t>
      </w:r>
    </w:p>
    <w:p w14:paraId="4BEBB88D">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做好枯死松树集中和日常的清理工作，枯死松树除治以单株清理为主，结合小片皆伐更新造林;做好综合防治工作，对主要干道沿线、名胜风景区及重点地区实施松林打孔注药、投放花绒寄甲等措施；加强检疫执法，组织林业执法力量对发生疫情村房前屋后、涉木企业和在建工程进行执法检查，集中销毁存放、使用的松木材料（包括松柴），严厉打击违法经营加工行为，最大限度地消除疫情传播源。</w:t>
      </w:r>
    </w:p>
    <w:p w14:paraId="721DB298">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三、疫情防治</w:t>
      </w:r>
    </w:p>
    <w:p w14:paraId="4F5DAC5D">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（一）总体思路</w:t>
      </w:r>
    </w:p>
    <w:p w14:paraId="4A35CB7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以保护松林资源，营造健康森林为总原则，坚持预防为主、治理为要、监管为重的防控理念，以全面控制为目标，按照分区分级管理、科学精准施策要求，加大风景名胜区等重点生态区域疫情防控力度，加强疫情监测、强化疫源管控、提高清理质量，确保完成“控制增量，消减存量”和疫情发生面积株数、镇街疫点数量“双下降”的目标任务，切实提高我区松材线虫病防控能力和水平，有效遏制疫情扩散蔓延态势，为城市提供生态保障。</w:t>
      </w:r>
    </w:p>
    <w:p w14:paraId="275401B5">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（二）防控区划</w:t>
      </w:r>
    </w:p>
    <w:p w14:paraId="7C3FD9F0">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根据我区森林资源分布和松材线虫病发生情况，将我区划分为四类区域，即重点预防区、重型疫区、新拔除疫情区、一般预防区。通过划分区域类别，分别确定具体目标和防控措施，因地制宜，分类施策，科学治理。</w:t>
      </w:r>
    </w:p>
    <w:p w14:paraId="2E6E7D01">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1.重点预防区：</w:t>
      </w:r>
      <w:r>
        <w:rPr>
          <w:rFonts w:hint="eastAsia" w:asciiTheme="minorEastAsia" w:hAnsiTheme="minorEastAsia" w:eastAsiaTheme="minorEastAsia" w:cstheme="minorEastAsia"/>
          <w:b w:val="0"/>
          <w:bCs w:val="0"/>
          <w:color w:val="auto"/>
          <w:spacing w:val="-5"/>
          <w:sz w:val="24"/>
          <w:szCs w:val="24"/>
          <w:lang w:eastAsia="zh-CN"/>
        </w:rPr>
        <w:t>云碧峰国家森林公园、三清山机场周边及茅家岭烈士陵园、龙潭湖公园和紫阳公园。</w:t>
      </w:r>
    </w:p>
    <w:p w14:paraId="113E45C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防控目标：严防疫情传入，确保始终不发生疫情为目标。</w:t>
      </w:r>
    </w:p>
    <w:p w14:paraId="620FFC3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采取措施：加强疫情监测和检疫执法，结合打孔注药保护优势松树。</w:t>
      </w:r>
    </w:p>
    <w:p w14:paraId="667C87CC">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2.重型疫区：</w:t>
      </w:r>
      <w:r>
        <w:rPr>
          <w:rFonts w:hint="eastAsia" w:asciiTheme="minorEastAsia" w:hAnsiTheme="minorEastAsia" w:eastAsiaTheme="minorEastAsia" w:cstheme="minorEastAsia"/>
          <w:b w:val="0"/>
          <w:bCs w:val="0"/>
          <w:color w:val="auto"/>
          <w:spacing w:val="-5"/>
          <w:sz w:val="24"/>
          <w:szCs w:val="24"/>
          <w:lang w:eastAsia="zh-CN"/>
        </w:rPr>
        <w:t>沙溪镇、秦峰镇和朝阳镇。</w:t>
      </w:r>
    </w:p>
    <w:p w14:paraId="65967B31">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防控目标：通过严格有效的管控，阻击松材线虫病，防止疫情扩散蔓延，由外向内压缩疫情。</w:t>
      </w:r>
    </w:p>
    <w:p w14:paraId="285B0030">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一是按照“由外向内、先轻后重、先易后难、先重点后一般”的原则，采取集中除治和即死即清相结合的方式，全面、及时清除辖区范围内病枯死松树；二是强化疫木监管，严格落实现场监管人员，确保除治质量达标、疫木流向明确；三是加大检疫执法力度，坚决打击违法采伐、调运、经营、加工、利用松科植物及其制品的行为；四是对镇街边界区域，重点生态区域周边，高铁高速、国省道沿线等重点区域以及松树占比较高、死树量大的林分，优先开展林相改造，人工更新，营造以油茶为主的健康林，由外向内压缩疫情范围。五是对疫情发生区域通过媒介昆虫防治等方式，控制松褐天牛种群密度，强化优势松树保护。</w:t>
      </w:r>
    </w:p>
    <w:p w14:paraId="1759328F">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3.新拔除疫情区：</w:t>
      </w:r>
      <w:r>
        <w:rPr>
          <w:rFonts w:hint="eastAsia" w:asciiTheme="minorEastAsia" w:hAnsiTheme="minorEastAsia" w:eastAsiaTheme="minorEastAsia" w:cstheme="minorEastAsia"/>
          <w:b w:val="0"/>
          <w:bCs w:val="0"/>
          <w:color w:val="auto"/>
          <w:spacing w:val="-5"/>
          <w:sz w:val="24"/>
          <w:szCs w:val="24"/>
          <w:lang w:eastAsia="zh-CN"/>
        </w:rPr>
        <w:t>灵溪街道、茅家岭街道和水南街道。</w:t>
      </w:r>
    </w:p>
    <w:p w14:paraId="1C4524D5">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防控目标：加强综合防控，防止疫情反弹为目标。</w:t>
      </w:r>
    </w:p>
    <w:p w14:paraId="034AF16C">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按照“集中歼灭”原则，着重突出“清、保、改”三项技术措施歼灭疫情。“集中清理”和“即死即清”相结合，全面、及时采伐清理辖区范围内濒死、枯死、因灾致死松树；对重点区域的大径材松树采取打孔注药保护的方式，有效控制疫情。针对纯松林区域，可采取“改”的方式，即在清理枯死松树的基础上，开展林相改造，补植阔叶树。加大检疫执法力度，严厉打击违法调运、经营、加工、利用松科植物及其制品的行为。</w:t>
      </w:r>
    </w:p>
    <w:p w14:paraId="10C7E032">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4.一般预防区：</w:t>
      </w:r>
      <w:r>
        <w:rPr>
          <w:rFonts w:hint="eastAsia" w:asciiTheme="minorEastAsia" w:hAnsiTheme="minorEastAsia" w:eastAsiaTheme="minorEastAsia" w:cstheme="minorEastAsia"/>
          <w:b w:val="0"/>
          <w:bCs w:val="0"/>
          <w:color w:val="auto"/>
          <w:spacing w:val="-5"/>
          <w:sz w:val="24"/>
          <w:szCs w:val="24"/>
          <w:lang w:eastAsia="zh-CN"/>
        </w:rPr>
        <w:t>北门街道。</w:t>
      </w:r>
    </w:p>
    <w:p w14:paraId="1453DC3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防控目标：以严防疫情传入为目标。</w:t>
      </w:r>
    </w:p>
    <w:p w14:paraId="609B96D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采取措施：采取专项普查和日常监测相结合的普查监测制度，实现监测全覆盖，确保第一时间发现疫情、第一时间开展除治，做到“即死即清”，并增加对大树打孔注药保护。</w:t>
      </w:r>
    </w:p>
    <w:p w14:paraId="7B2E4BF7">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（三）主要防治措施</w:t>
      </w:r>
    </w:p>
    <w:p w14:paraId="6AE3ED7C">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1.疫木除治</w:t>
      </w:r>
    </w:p>
    <w:p w14:paraId="6072FA7D">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（1）择伐清理（由镇街组织实施，区林业分局负责业务指导服务、跟踪监督、质量检查等工作）</w:t>
      </w:r>
    </w:p>
    <w:p w14:paraId="7FBDFA3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除治时间：详见《饶信府字【2025】83号文》规定要求，若采购人另有要求，以合同为准。</w:t>
      </w:r>
    </w:p>
    <w:p w14:paraId="2F20B131">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除治对象：辖区内所有死亡（病死、其他原因致死）松木。</w:t>
      </w:r>
    </w:p>
    <w:p w14:paraId="6A24B0D9">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施工队伍：由镇街组织招投标（或政府采购），确定信用等级高的专业化除治公司开展除治。</w:t>
      </w:r>
    </w:p>
    <w:p w14:paraId="7F4FC123">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施工队伍基本条件：除治公司在除治过程中出现重大事故、弄虚作假、除治质量不达标或受到上级部门通报等情况的，两年内不得在信州区内从事松材线虫病除治工作等林业灾害综合防治工作。</w:t>
      </w:r>
    </w:p>
    <w:p w14:paraId="200A28A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作业要求：清理疫木前以镇街或村居为单位编制采伐设计，填报林木采伐简易申报卡，统一办理采伐许可。疫木清理统一按照“5、1、0”的要求实施，即伐桩高度不得超过5厘米；山场1厘米以上的枝桠和主材全部处理干净；小班及其周边死树和附近村庄松材全部清零。疫木采伐后伐兜需按顺序编号，疫木以焚烧处理为主，为降低防火压力和火场人工看护成本，主材可就地就近送往疫木定点企业进行闭环无害化处理。经区林业分局、属地镇街综合认定，对于人迹罕至、不通道路的小班，可采取钢丝网罩处理（按第三方评估株数结算费用），也可以在满足用火条件的前提下经审批后采取焚烧方式进行无害化处理（按第三方验收株数结算费用）。严禁未经审批擅自焚烧疫木，一经发现将依照《江西省森林防火条例》进行处罚。</w:t>
      </w:r>
    </w:p>
    <w:p w14:paraId="172FB49A">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（2）皆伐清理（由镇街组织实施，区林业分局负责业务指导服务、跟踪监督等工作）</w:t>
      </w:r>
    </w:p>
    <w:p w14:paraId="1581FB3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除治对象：对疫情严重的或森林生态条件好的区域，可结合疫木除治开展低产低效林改造，更新采伐，营造以油茶为主的健康林，提高对松材线虫病的抵御能力。</w:t>
      </w:r>
    </w:p>
    <w:p w14:paraId="5AA6ABFA">
      <w:pPr>
        <w:widowControl w:val="0"/>
        <w:spacing w:before="78" w:line="360" w:lineRule="auto"/>
        <w:ind w:firstLine="460" w:firstLineChars="200"/>
        <w:rPr>
          <w:rFonts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皆伐小班应以镇街或村居为单位编制采伐设计和造林作业设计。皆伐后的林木就地就近运往疫木无害化处理定点企业闭环无害化处理。</w:t>
      </w:r>
    </w:p>
    <w:p w14:paraId="7A92381B">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作业要求：同择伐清理，参照“5、1、0”标准实施。</w:t>
      </w:r>
    </w:p>
    <w:p w14:paraId="65494D2C">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（3）即死即清（由各镇街组织实施，区林业分局做好配合工作）</w:t>
      </w:r>
    </w:p>
    <w:p w14:paraId="3F6E8DC1">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除治对象：集中除治后又发现的零星死亡松树。</w:t>
      </w:r>
    </w:p>
    <w:p w14:paraId="3AAA3152">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施工队伍：由属地镇街组织信用等级高的专业化除治公司进行日常清理。</w:t>
      </w:r>
    </w:p>
    <w:p w14:paraId="7D525C61">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作业要求：按照“5、1、0”标准执行。其中，针对零星分布和重点区域内的病枯死松树，发现一株、除治一株，采取就地焚烧处理，并进行编号、定位，拍照存档，“即死即清”处理的疫木，按株数结算费用（价格参考集中除治单价）。</w:t>
      </w:r>
    </w:p>
    <w:p w14:paraId="48EE4194">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（4）征占用林地采伐</w:t>
      </w:r>
    </w:p>
    <w:p w14:paraId="25F22BB4">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征占用林地、低产低效林改造、森林抚育、火烧迹地清理等涉及采伐松木的建设项目，要按照《关于进一步加强松木采伐管理的通知》（饶林防字〔2022〕52号）文件要求对采伐的松科植物实行单独堆放，凭《建设项目涉及的松木采伐疫木无害化处理联系单》，由符合疫木运输条件的封闭型厢式货车就地就近送往疫木定点企业进行无害化处理，其他任何车辆均不得擅自运输。松木原则上做到日采日处，即当天伐倒松木的当天下山、当天装车运至疫木定点企业、当天实行无害化处理，做到松木采伐、集材、装车、运输、送达、处理等环节全过程闭环监管。采伐期间由所在镇街指定专人对松木的采伐和运输实施监管，认真登记采伐规格、数量、运输车辆等信息，确保采伐与运输的数量一致，严防松木外流。</w:t>
      </w:r>
    </w:p>
    <w:p w14:paraId="102A6E91">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（5）焚烧要求</w:t>
      </w:r>
    </w:p>
    <w:p w14:paraId="59B4CCD0">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一是实行审批报备。按照《江西省森林防火条例》规定，实行审批报备，报告用火时间、植被情况、气候条件、用火人员、看护人员、管护措施。施工单位在作业施工前，需将《特殊野外用火审批表》报告所在镇街，经区林业主管部门与区应急管理部门审核后，由区人民政府审批，并在江西省野外特殊用火监管平台备案。</w:t>
      </w:r>
    </w:p>
    <w:p w14:paraId="0A24BC9F">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二是明确用火条件。松材线虫病疫木销毁野外用火必须在阴雨天，地面、空气达到相应湿度等条件下方能实施，用火范围周边相对空旷，确保安全用火。</w:t>
      </w:r>
    </w:p>
    <w:p w14:paraId="20E1040D">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三是提升应急能力。焚烧现场必须配备不少于2名施工人员、1名镇（村）现场监管人员以及必要的扑火器具，实行全过程旁站式监管。疫木烧毁处理现场，施工作业人员应当做好影像记录、台账登记，并存档备查。每日17：00前各焚烧点必须将余火熄灭，余火未彻底熄灭前看守人员不允许离开。</w:t>
      </w:r>
    </w:p>
    <w:p w14:paraId="0C695EC8">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各镇街应密切关注各地疫木野外用火情况，提升森林消防应急能力，有效杜绝因疫木销毁用火造成的森林火灾。</w:t>
      </w:r>
    </w:p>
    <w:p w14:paraId="2BA332FE">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四是执行禁烧规定。做到焚烧场地不安全不烧、点火时间晚不烧、风较大不烧、值守人员不到位不烧、打火工具不备齐不烧、重点区域不烧。对违反相关要求的责任单位或个人，将视情况依法依规严肃处理。</w:t>
      </w:r>
    </w:p>
    <w:p w14:paraId="001F6898">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2.综合防治措施</w:t>
      </w:r>
    </w:p>
    <w:p w14:paraId="03965205">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为切实做好松褐天牛防治工作，特别是做好重点预防区松褐天牛防治，降低松褐天牛的虫口密度，严防疫情发生和蔓延，采取天敌生物、打孔注药和改造林分等多种举措对重点预防区进行综合防治。</w:t>
      </w:r>
    </w:p>
    <w:p w14:paraId="6B57C330">
      <w:pPr>
        <w:widowControl w:val="0"/>
        <w:spacing w:before="78" w:line="360" w:lineRule="auto"/>
        <w:ind w:firstLine="482"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bCs/>
          <w:color w:val="auto"/>
          <w:sz w:val="24"/>
          <w:szCs w:val="24"/>
          <w:lang w:eastAsia="zh-CN"/>
        </w:rPr>
        <w:t>（1）天敌生物</w:t>
      </w:r>
    </w:p>
    <w:p w14:paraId="2E62A655">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设置地点:重点治理区和一般预防区，实施面积4000亩，预计施放8万头花绒寄甲。（沙溪镇、秦峰镇和朝阳镇）。</w:t>
      </w:r>
    </w:p>
    <w:p w14:paraId="2AC7AED7">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作业要求：在弱势松树上按每株1管，每亩3-4管，进行投放，将装有花绒寄甲的试管瓶口朝下倾斜固定在松树上。</w:t>
      </w:r>
    </w:p>
    <w:p w14:paraId="10A58B3A">
      <w:pPr>
        <w:widowControl w:val="0"/>
        <w:spacing w:before="78"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（2）打孔注药</w:t>
      </w:r>
    </w:p>
    <w:p w14:paraId="47D144FD">
      <w:pPr>
        <w:widowControl w:val="0"/>
        <w:spacing w:before="78"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实施对象：干道沿线、名胜风景区及重点地区实施松林打孔注药，预计打孔注药1.5万株，注药2万针（沙溪镇、秦峰镇和朝阳镇）。</w:t>
      </w:r>
    </w:p>
    <w:p w14:paraId="4896FD80">
      <w:pPr>
        <w:widowControl w:val="0"/>
        <w:spacing w:before="78" w:line="360" w:lineRule="auto"/>
        <w:ind w:firstLine="480" w:firstLineChars="200"/>
        <w:rPr>
          <w:rFonts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实施方法：对实施小班打孔注药，胸径20cm松树注药1瓶，21-30cm胸径注药增加1瓶，以此类推，注孔向下倾斜。</w:t>
      </w:r>
    </w:p>
    <w:p w14:paraId="4D8DA43A">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严格按照相关技术要求实施打孔注药工作，打孔注药所需费用，严格按照市林防指办《关于做好重点预防区打孔注药工作的紧急通知》（饶林防指办〔2022〕11号）要求，经验收合格后按“4、5、1”的比例分3年进行支付。</w:t>
      </w:r>
    </w:p>
    <w:p w14:paraId="4B3548F1">
      <w:pPr>
        <w:widowControl w:val="0"/>
        <w:spacing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3、检疫监管</w:t>
      </w:r>
    </w:p>
    <w:p w14:paraId="493DF018">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1）强化除治山场监管。镇街要落实属地管理责任，成立现场监管队伍，对每一个疫情小班的除治工作进行现场监管。其中，钢丝网罩处理的，处理前、后要使用元道经纬相机App的水印照片模式定位拍照存档，并由现场监管人员签字确认，确保质量。区林业主管部门组织专业技术人员到山场进行现场技术指导和抽查监管。所有除治小班做到除治一个，监管检查一个，确保除治质量到位、疫木源头不流失。</w:t>
      </w:r>
    </w:p>
    <w:p w14:paraId="1B3F4BA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（2）强化涉木企业监管。区林业主管部门对辖区内木材经营加工企业建档，经常性开展检疫检查，严肃查处违法违规收购、采伐、运输、经营、加工、利用松科植物及其制品的行为。</w:t>
      </w:r>
    </w:p>
    <w:p w14:paraId="0A506618">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3）强化疫木处置监管。疫木处理以焚烧为主，对现场条件不满足焚烧条件的疫木，则主材下山并一律送往疫木定点无害化处理企业进行无害化处理。定点企业必须凭运输车辆同行的疫木联系单收购疫木，并建立包括疫木入厂时间、疫木运输车牌号、联系单号、疫木种类（原木、枝桠）及数量（吨）、疫木来源等内容的收购台账。</w:t>
      </w:r>
    </w:p>
    <w:p w14:paraId="7E7FFBE5">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严禁定点企业收购无联系单的疫木、严禁跨县级行政区域收购疫木、严禁非定点企业从事疫木的收购和加工经营活动，一经发现将按照非法收购疫木案件严肃查处。</w:t>
      </w:r>
    </w:p>
    <w:p w14:paraId="79D23D6B">
      <w:pPr>
        <w:widowControl w:val="0"/>
        <w:spacing w:line="360" w:lineRule="auto"/>
        <w:ind w:firstLine="482"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bCs/>
          <w:color w:val="auto"/>
          <w:sz w:val="24"/>
          <w:szCs w:val="24"/>
          <w:lang w:eastAsia="zh-CN"/>
        </w:rPr>
        <w:t>4、检疫检查</w:t>
      </w:r>
      <w:r>
        <w:rPr>
          <w:rFonts w:hint="eastAsia" w:asciiTheme="minorEastAsia" w:hAnsiTheme="minorEastAsia" w:eastAsiaTheme="minorEastAsia" w:cstheme="minorEastAsia"/>
          <w:b w:val="0"/>
          <w:bCs w:val="0"/>
          <w:color w:val="auto"/>
          <w:sz w:val="24"/>
          <w:szCs w:val="24"/>
          <w:lang w:eastAsia="zh-CN"/>
        </w:rPr>
        <w:t>（该项工作由区林业分局牵头，相关职能部门各负其职）</w:t>
      </w:r>
    </w:p>
    <w:p w14:paraId="6C1A635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在全区范围内开展检疫检查，主要查处涉木企业是否有违规加工经营疫木，百姓房前屋后是否有疫木堆放。强调住房和城乡建设（园林）、交通运输、民政、市管、工信、文广新旅、科技、出入境检验检疫、铁路、电力、通信、邮政等部门的分工协作，严肃“森林植物及产品落地报检”制度。</w:t>
      </w:r>
    </w:p>
    <w:p w14:paraId="426A149B">
      <w:pPr>
        <w:widowControl w:val="0"/>
        <w:spacing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（四）档案管理</w:t>
      </w:r>
    </w:p>
    <w:p w14:paraId="0D7BEA8A">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建立完整的松材线虫病防控资料，所有资料要求专人保管，主要包括：</w:t>
      </w:r>
    </w:p>
    <w:p w14:paraId="1BFCF3D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1、政府和主管部门制定印发的松材线虫病相关文件、防治方案、防治经费以及相关会议资料。</w:t>
      </w:r>
    </w:p>
    <w:p w14:paraId="213DCE39">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2、松材线虫病疫情监测、普查、取样、检测和除治监督等工作台账。</w:t>
      </w:r>
    </w:p>
    <w:p w14:paraId="284DAF62">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3、辖区内检疫检查、涉木企业及个人登记备案情况。</w:t>
      </w:r>
    </w:p>
    <w:p w14:paraId="2720790D">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4、松材线虫病除治作业、疫木监管等情况。</w:t>
      </w:r>
    </w:p>
    <w:p w14:paraId="66BA5F86">
      <w:pPr>
        <w:widowControl w:val="0"/>
        <w:spacing w:line="360" w:lineRule="auto"/>
        <w:ind w:firstLine="480" w:firstLineChars="200"/>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5、松材线虫病除治现场图片、影像等资料。</w:t>
      </w:r>
    </w:p>
    <w:p w14:paraId="06F06355">
      <w:pPr>
        <w:widowControl w:val="0"/>
        <w:spacing w:line="360" w:lineRule="auto"/>
        <w:ind w:firstLine="480" w:firstLineChars="200"/>
        <w:rPr>
          <w:rFonts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eastAsia="zh-CN"/>
        </w:rPr>
        <w:t>6、松材线虫病防治成效检查、工作总结等材料。</w:t>
      </w:r>
    </w:p>
    <w:p w14:paraId="6FD28AB7">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四、除治质量验收及绩效评价</w:t>
      </w:r>
    </w:p>
    <w:p w14:paraId="2F244CDA">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（一）除治质量验收</w:t>
      </w:r>
    </w:p>
    <w:p w14:paraId="594E177C">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1、验收组织</w:t>
      </w:r>
    </w:p>
    <w:p w14:paraId="6D06CF7C">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由各镇街组织相关人员或聘请第三方评估公司完成本辖区内松材线虫病除治自查验收工作，并形成验收报告报区林业分局，由区林业分局组织进行核查，合格后报省市进行复核。</w:t>
      </w:r>
    </w:p>
    <w:p w14:paraId="0CF01EBC">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2、核查内容</w:t>
      </w:r>
    </w:p>
    <w:p w14:paraId="017EA938">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枯死松木除治完成情况、除治质量情况、疫木源头管理情况和影像资料档案管理情况等内容。</w:t>
      </w:r>
    </w:p>
    <w:p w14:paraId="2410900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（1）除治完成情况。实地调查除治小班病（枯）死松木的伐除率。</w:t>
      </w:r>
    </w:p>
    <w:p w14:paraId="46403BAC">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（2）除治质量情况。实地调查除治小班是否严格按照技术规程开展除治，调查病（枯）死松木除治合格率。</w:t>
      </w:r>
    </w:p>
    <w:p w14:paraId="7479DC53">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3）疫木源头管理情况。通过随机抽查除治小班所在村的3－5户农户，核查房前屋后是否堆放松木、松枝、松柴块和松木制品；通过实地核查疫点镇街境内的涉木企业是否存在违规加工、收购松木及其制品行为；通过核实小班被采伐松木去向是否明确等方式检查疫木源头管理情况。</w:t>
      </w:r>
    </w:p>
    <w:p w14:paraId="6D0DD59A">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（4）影像资料档案管理情况。检查除治日报表、现场监督记录、除治照片等资料是否完整。</w:t>
      </w:r>
    </w:p>
    <w:p w14:paraId="48ABF6C5">
      <w:pPr>
        <w:widowControl w:val="0"/>
        <w:spacing w:before="78" w:line="360" w:lineRule="auto"/>
        <w:ind w:firstLine="462"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五、经费预算</w:t>
      </w:r>
    </w:p>
    <w:p w14:paraId="255391C5">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根据询价及参考周边县区情况，结合我区实际，原则上以株数结算疫木除治费用（地径8厘米以下不计算费用），结算情况：疫木除治单价分区域定价，茅家岭街道单价最高为60元/株（相对集中连片的择伐清理单价最高为60元/株）；</w:t>
      </w:r>
    </w:p>
    <w:p w14:paraId="01643E85">
      <w:pPr>
        <w:widowControl w:val="0"/>
        <w:spacing w:before="78" w:line="360" w:lineRule="auto"/>
        <w:jc w:val="center"/>
        <w:rPr>
          <w:rFonts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2025-2026年度松材线虫病防治工作所需经费预算表</w:t>
      </w:r>
    </w:p>
    <w:tbl>
      <w:tblPr>
        <w:tblStyle w:val="26"/>
        <w:tblW w:w="937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28"/>
        <w:gridCol w:w="2178"/>
        <w:gridCol w:w="1570"/>
        <w:gridCol w:w="1633"/>
        <w:gridCol w:w="1183"/>
        <w:gridCol w:w="1381"/>
      </w:tblGrid>
      <w:tr w14:paraId="61BE3A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3606" w:type="dxa"/>
            <w:gridSpan w:val="2"/>
            <w:vAlign w:val="top"/>
          </w:tcPr>
          <w:p w14:paraId="0C8E67DF">
            <w:pPr>
              <w:spacing w:before="229" w:line="222" w:lineRule="auto"/>
              <w:ind w:left="153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5"/>
                <w:sz w:val="24"/>
                <w:szCs w:val="24"/>
              </w:rPr>
              <w:t>项目</w:t>
            </w:r>
          </w:p>
        </w:tc>
        <w:tc>
          <w:tcPr>
            <w:tcW w:w="1570" w:type="dxa"/>
            <w:vAlign w:val="top"/>
          </w:tcPr>
          <w:p w14:paraId="3AD188CE">
            <w:pPr>
              <w:spacing w:before="229" w:line="223" w:lineRule="auto"/>
              <w:ind w:left="51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6"/>
                <w:sz w:val="24"/>
                <w:szCs w:val="24"/>
              </w:rPr>
              <w:t>数量</w:t>
            </w:r>
          </w:p>
        </w:tc>
        <w:tc>
          <w:tcPr>
            <w:tcW w:w="1633" w:type="dxa"/>
            <w:vAlign w:val="top"/>
          </w:tcPr>
          <w:p w14:paraId="76CB83A8">
            <w:pPr>
              <w:spacing w:before="229" w:line="222" w:lineRule="auto"/>
              <w:ind w:left="55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9"/>
                <w:sz w:val="24"/>
                <w:szCs w:val="24"/>
              </w:rPr>
              <w:t>单价</w:t>
            </w:r>
          </w:p>
        </w:tc>
        <w:tc>
          <w:tcPr>
            <w:tcW w:w="1183" w:type="dxa"/>
            <w:vAlign w:val="top"/>
          </w:tcPr>
          <w:p w14:paraId="0DE9D281">
            <w:pPr>
              <w:spacing w:before="229" w:line="222" w:lineRule="auto"/>
              <w:ind w:left="323"/>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6"/>
                <w:sz w:val="24"/>
                <w:szCs w:val="24"/>
              </w:rPr>
              <w:t>金额</w:t>
            </w:r>
          </w:p>
        </w:tc>
        <w:tc>
          <w:tcPr>
            <w:tcW w:w="1381" w:type="dxa"/>
            <w:vAlign w:val="top"/>
          </w:tcPr>
          <w:p w14:paraId="6B15ACCD">
            <w:pPr>
              <w:spacing w:before="230" w:line="224" w:lineRule="auto"/>
              <w:ind w:left="41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6"/>
                <w:sz w:val="24"/>
                <w:szCs w:val="24"/>
              </w:rPr>
              <w:t>合计</w:t>
            </w:r>
          </w:p>
        </w:tc>
      </w:tr>
      <w:tr w14:paraId="51DE63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restart"/>
            <w:tcBorders>
              <w:bottom w:val="nil"/>
            </w:tcBorders>
            <w:vAlign w:val="center"/>
          </w:tcPr>
          <w:p w14:paraId="0CF51067">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监测</w:t>
            </w:r>
          </w:p>
        </w:tc>
        <w:tc>
          <w:tcPr>
            <w:tcW w:w="2178" w:type="dxa"/>
            <w:vAlign w:val="top"/>
          </w:tcPr>
          <w:p w14:paraId="535ABFDD">
            <w:pPr>
              <w:spacing w:before="223" w:line="219" w:lineRule="auto"/>
              <w:ind w:left="12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3"/>
                <w:sz w:val="24"/>
                <w:szCs w:val="24"/>
              </w:rPr>
              <w:t>春、秋专项普查</w:t>
            </w:r>
          </w:p>
        </w:tc>
        <w:tc>
          <w:tcPr>
            <w:tcW w:w="1570" w:type="dxa"/>
            <w:vAlign w:val="top"/>
          </w:tcPr>
          <w:p w14:paraId="5EFEF7E6">
            <w:pPr>
              <w:pStyle w:val="27"/>
              <w:spacing w:before="225" w:line="221" w:lineRule="auto"/>
              <w:ind w:left="17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7"/>
                <w:sz w:val="24"/>
                <w:szCs w:val="24"/>
              </w:rPr>
              <w:t>10.86</w:t>
            </w:r>
            <w:r>
              <w:rPr>
                <w:rFonts w:hint="eastAsia" w:asciiTheme="majorEastAsia" w:hAnsiTheme="majorEastAsia" w:eastAsiaTheme="majorEastAsia" w:cstheme="majorEastAsia"/>
                <w:spacing w:val="-7"/>
                <w:sz w:val="24"/>
                <w:szCs w:val="24"/>
              </w:rPr>
              <w:t>万亩</w:t>
            </w:r>
          </w:p>
        </w:tc>
        <w:tc>
          <w:tcPr>
            <w:tcW w:w="1633" w:type="dxa"/>
            <w:vAlign w:val="top"/>
          </w:tcPr>
          <w:p w14:paraId="3423B7FD">
            <w:pPr>
              <w:pStyle w:val="27"/>
              <w:spacing w:before="224" w:line="222" w:lineRule="auto"/>
              <w:ind w:left="29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0.1</w:t>
            </w:r>
            <w:r>
              <w:rPr>
                <w:rFonts w:hint="eastAsia" w:asciiTheme="majorEastAsia" w:hAnsiTheme="majorEastAsia" w:eastAsiaTheme="majorEastAsia" w:cstheme="majorEastAsia"/>
                <w:spacing w:val="-5"/>
                <w:sz w:val="24"/>
                <w:szCs w:val="24"/>
              </w:rPr>
              <w:t>元</w:t>
            </w:r>
            <w:r>
              <w:rPr>
                <w:rFonts w:hint="eastAsia" w:asciiTheme="majorEastAsia" w:hAnsiTheme="majorEastAsia" w:eastAsiaTheme="majorEastAsia" w:cstheme="majorEastAsia"/>
                <w:b/>
                <w:bCs/>
                <w:spacing w:val="-5"/>
                <w:sz w:val="24"/>
                <w:szCs w:val="24"/>
              </w:rPr>
              <w:t>/</w:t>
            </w:r>
            <w:r>
              <w:rPr>
                <w:rFonts w:hint="eastAsia" w:asciiTheme="majorEastAsia" w:hAnsiTheme="majorEastAsia" w:eastAsiaTheme="majorEastAsia" w:cstheme="majorEastAsia"/>
                <w:spacing w:val="-5"/>
                <w:sz w:val="24"/>
                <w:szCs w:val="24"/>
              </w:rPr>
              <w:t>亩</w:t>
            </w:r>
          </w:p>
        </w:tc>
        <w:tc>
          <w:tcPr>
            <w:tcW w:w="1183" w:type="dxa"/>
            <w:vAlign w:val="top"/>
          </w:tcPr>
          <w:p w14:paraId="362C0F5C">
            <w:pPr>
              <w:pStyle w:val="27"/>
              <w:spacing w:before="225" w:line="221" w:lineRule="auto"/>
              <w:ind w:left="24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2.2</w:t>
            </w:r>
            <w:r>
              <w:rPr>
                <w:rFonts w:hint="eastAsia" w:asciiTheme="majorEastAsia" w:hAnsiTheme="majorEastAsia" w:eastAsiaTheme="majorEastAsia" w:cstheme="majorEastAsia"/>
                <w:spacing w:val="-2"/>
                <w:sz w:val="24"/>
                <w:szCs w:val="24"/>
              </w:rPr>
              <w:t>万</w:t>
            </w:r>
          </w:p>
        </w:tc>
        <w:tc>
          <w:tcPr>
            <w:tcW w:w="1381" w:type="dxa"/>
            <w:vMerge w:val="restart"/>
            <w:tcBorders>
              <w:bottom w:val="nil"/>
            </w:tcBorders>
            <w:vAlign w:val="center"/>
          </w:tcPr>
          <w:p w14:paraId="539E27EC">
            <w:pPr>
              <w:pStyle w:val="27"/>
              <w:spacing w:before="91" w:line="221" w:lineRule="auto"/>
              <w:jc w:val="cente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4.2</w:t>
            </w:r>
            <w:r>
              <w:rPr>
                <w:rFonts w:hint="eastAsia" w:asciiTheme="majorEastAsia" w:hAnsiTheme="majorEastAsia" w:eastAsiaTheme="majorEastAsia" w:cstheme="majorEastAsia"/>
                <w:spacing w:val="-2"/>
                <w:sz w:val="24"/>
                <w:szCs w:val="24"/>
              </w:rPr>
              <w:t>万</w:t>
            </w:r>
          </w:p>
        </w:tc>
      </w:tr>
      <w:tr w14:paraId="69ED68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continue"/>
            <w:tcBorders>
              <w:top w:val="nil"/>
            </w:tcBorders>
            <w:vAlign w:val="center"/>
          </w:tcPr>
          <w:p w14:paraId="06C86E3A">
            <w:pPr>
              <w:pStyle w:val="27"/>
              <w:spacing w:before="91" w:line="221" w:lineRule="auto"/>
              <w:jc w:val="center"/>
              <w:rPr>
                <w:rFonts w:hint="eastAsia" w:asciiTheme="majorEastAsia" w:hAnsiTheme="majorEastAsia" w:eastAsiaTheme="majorEastAsia" w:cstheme="majorEastAsia"/>
                <w:b w:val="0"/>
                <w:bCs w:val="0"/>
                <w:spacing w:val="-2"/>
                <w:sz w:val="24"/>
                <w:szCs w:val="24"/>
              </w:rPr>
            </w:pPr>
          </w:p>
        </w:tc>
        <w:tc>
          <w:tcPr>
            <w:tcW w:w="2178" w:type="dxa"/>
            <w:vAlign w:val="top"/>
          </w:tcPr>
          <w:p w14:paraId="4BE02E03">
            <w:pPr>
              <w:spacing w:before="225" w:line="218" w:lineRule="auto"/>
              <w:ind w:left="58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16"/>
                <w:sz w:val="24"/>
                <w:szCs w:val="24"/>
              </w:rPr>
              <w:t>日常监测</w:t>
            </w:r>
          </w:p>
        </w:tc>
        <w:tc>
          <w:tcPr>
            <w:tcW w:w="1570" w:type="dxa"/>
            <w:vAlign w:val="top"/>
          </w:tcPr>
          <w:p w14:paraId="44ADE30F">
            <w:pPr>
              <w:pStyle w:val="27"/>
              <w:spacing w:before="226" w:line="221" w:lineRule="auto"/>
              <w:ind w:left="22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20.3</w:t>
            </w:r>
            <w:r>
              <w:rPr>
                <w:rFonts w:hint="eastAsia" w:asciiTheme="majorEastAsia" w:hAnsiTheme="majorEastAsia" w:eastAsiaTheme="majorEastAsia" w:cstheme="majorEastAsia"/>
                <w:spacing w:val="-6"/>
                <w:sz w:val="24"/>
                <w:szCs w:val="24"/>
              </w:rPr>
              <w:t>万亩</w:t>
            </w:r>
          </w:p>
        </w:tc>
        <w:tc>
          <w:tcPr>
            <w:tcW w:w="1633" w:type="dxa"/>
            <w:vAlign w:val="top"/>
          </w:tcPr>
          <w:p w14:paraId="635BD4BF">
            <w:pPr>
              <w:pStyle w:val="27"/>
              <w:spacing w:before="226" w:line="222" w:lineRule="auto"/>
              <w:ind w:left="29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0.1</w:t>
            </w:r>
            <w:r>
              <w:rPr>
                <w:rFonts w:hint="eastAsia" w:asciiTheme="majorEastAsia" w:hAnsiTheme="majorEastAsia" w:eastAsiaTheme="majorEastAsia" w:cstheme="majorEastAsia"/>
                <w:spacing w:val="-5"/>
                <w:sz w:val="24"/>
                <w:szCs w:val="24"/>
              </w:rPr>
              <w:t>元</w:t>
            </w:r>
            <w:r>
              <w:rPr>
                <w:rFonts w:hint="eastAsia" w:asciiTheme="majorEastAsia" w:hAnsiTheme="majorEastAsia" w:eastAsiaTheme="majorEastAsia" w:cstheme="majorEastAsia"/>
                <w:b/>
                <w:bCs/>
                <w:spacing w:val="-5"/>
                <w:sz w:val="24"/>
                <w:szCs w:val="24"/>
              </w:rPr>
              <w:t>/</w:t>
            </w:r>
            <w:r>
              <w:rPr>
                <w:rFonts w:hint="eastAsia" w:asciiTheme="majorEastAsia" w:hAnsiTheme="majorEastAsia" w:eastAsiaTheme="majorEastAsia" w:cstheme="majorEastAsia"/>
                <w:spacing w:val="-5"/>
                <w:sz w:val="24"/>
                <w:szCs w:val="24"/>
              </w:rPr>
              <w:t>亩</w:t>
            </w:r>
          </w:p>
        </w:tc>
        <w:tc>
          <w:tcPr>
            <w:tcW w:w="1183" w:type="dxa"/>
            <w:vAlign w:val="top"/>
          </w:tcPr>
          <w:p w14:paraId="656DB5B8">
            <w:pPr>
              <w:pStyle w:val="27"/>
              <w:spacing w:before="226" w:line="221" w:lineRule="auto"/>
              <w:ind w:left="35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2</w:t>
            </w:r>
            <w:r>
              <w:rPr>
                <w:rFonts w:hint="eastAsia" w:asciiTheme="majorEastAsia" w:hAnsiTheme="majorEastAsia" w:eastAsiaTheme="majorEastAsia" w:cstheme="majorEastAsia"/>
                <w:spacing w:val="-4"/>
                <w:sz w:val="24"/>
                <w:szCs w:val="24"/>
              </w:rPr>
              <w:t>万</w:t>
            </w:r>
          </w:p>
        </w:tc>
        <w:tc>
          <w:tcPr>
            <w:tcW w:w="1381" w:type="dxa"/>
            <w:vMerge w:val="continue"/>
            <w:tcBorders>
              <w:top w:val="nil"/>
            </w:tcBorders>
            <w:vAlign w:val="center"/>
          </w:tcPr>
          <w:p w14:paraId="3BAC5672">
            <w:pPr>
              <w:jc w:val="center"/>
              <w:rPr>
                <w:rFonts w:hint="eastAsia" w:asciiTheme="majorEastAsia" w:hAnsiTheme="majorEastAsia" w:eastAsiaTheme="majorEastAsia" w:cstheme="majorEastAsia"/>
                <w:sz w:val="24"/>
                <w:szCs w:val="24"/>
              </w:rPr>
            </w:pPr>
          </w:p>
        </w:tc>
      </w:tr>
      <w:tr w14:paraId="416DEB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restart"/>
            <w:tcBorders>
              <w:bottom w:val="nil"/>
            </w:tcBorders>
            <w:vAlign w:val="center"/>
          </w:tcPr>
          <w:p w14:paraId="7F41820D">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病（枯死）清理</w:t>
            </w:r>
          </w:p>
        </w:tc>
        <w:tc>
          <w:tcPr>
            <w:tcW w:w="2178" w:type="dxa"/>
            <w:vAlign w:val="top"/>
          </w:tcPr>
          <w:p w14:paraId="350C7733">
            <w:pPr>
              <w:spacing w:before="226" w:line="219" w:lineRule="auto"/>
              <w:ind w:left="69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9"/>
                <w:sz w:val="24"/>
                <w:szCs w:val="24"/>
              </w:rPr>
              <w:t>沙溪镇</w:t>
            </w:r>
          </w:p>
        </w:tc>
        <w:tc>
          <w:tcPr>
            <w:tcW w:w="1570" w:type="dxa"/>
            <w:vAlign w:val="top"/>
          </w:tcPr>
          <w:p w14:paraId="75611498">
            <w:pPr>
              <w:pStyle w:val="27"/>
              <w:spacing w:before="227" w:line="215" w:lineRule="auto"/>
              <w:ind w:left="26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
                <w:sz w:val="24"/>
                <w:szCs w:val="24"/>
              </w:rPr>
              <w:t>21430</w:t>
            </w:r>
            <w:r>
              <w:rPr>
                <w:rFonts w:hint="eastAsia" w:asciiTheme="majorEastAsia" w:hAnsiTheme="majorEastAsia" w:eastAsiaTheme="majorEastAsia" w:cstheme="majorEastAsia"/>
                <w:spacing w:val="-1"/>
                <w:sz w:val="24"/>
                <w:szCs w:val="24"/>
              </w:rPr>
              <w:t>株</w:t>
            </w:r>
          </w:p>
        </w:tc>
        <w:tc>
          <w:tcPr>
            <w:tcW w:w="1633" w:type="dxa"/>
            <w:vAlign w:val="top"/>
          </w:tcPr>
          <w:p w14:paraId="7A6579E8">
            <w:pPr>
              <w:pStyle w:val="27"/>
              <w:spacing w:before="227"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70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08C8F8BB">
            <w:pPr>
              <w:pStyle w:val="27"/>
              <w:spacing w:before="227" w:line="221" w:lineRule="auto"/>
              <w:ind w:left="22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150</w:t>
            </w:r>
            <w:r>
              <w:rPr>
                <w:rFonts w:hint="eastAsia" w:asciiTheme="majorEastAsia" w:hAnsiTheme="majorEastAsia" w:eastAsiaTheme="majorEastAsia" w:cstheme="majorEastAsia"/>
                <w:spacing w:val="-5"/>
                <w:sz w:val="24"/>
                <w:szCs w:val="24"/>
              </w:rPr>
              <w:t>万</w:t>
            </w:r>
          </w:p>
        </w:tc>
        <w:tc>
          <w:tcPr>
            <w:tcW w:w="1381" w:type="dxa"/>
            <w:vMerge w:val="restart"/>
            <w:tcBorders>
              <w:bottom w:val="nil"/>
            </w:tcBorders>
            <w:vAlign w:val="center"/>
          </w:tcPr>
          <w:p w14:paraId="5364F58C">
            <w:pPr>
              <w:pStyle w:val="27"/>
              <w:spacing w:before="91" w:line="221" w:lineRule="auto"/>
              <w:ind w:left="133"/>
              <w:jc w:val="cente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457.85</w:t>
            </w:r>
            <w:r>
              <w:rPr>
                <w:rFonts w:hint="eastAsia" w:asciiTheme="majorEastAsia" w:hAnsiTheme="majorEastAsia" w:eastAsiaTheme="majorEastAsia" w:cstheme="majorEastAsia"/>
                <w:spacing w:val="-2"/>
                <w:sz w:val="24"/>
                <w:szCs w:val="24"/>
              </w:rPr>
              <w:t>万</w:t>
            </w:r>
          </w:p>
        </w:tc>
      </w:tr>
      <w:tr w14:paraId="5DA131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continue"/>
            <w:tcBorders>
              <w:top w:val="nil"/>
              <w:bottom w:val="nil"/>
            </w:tcBorders>
            <w:vAlign w:val="top"/>
          </w:tcPr>
          <w:p w14:paraId="38ED4801">
            <w:pPr>
              <w:rPr>
                <w:rFonts w:hint="eastAsia" w:asciiTheme="majorEastAsia" w:hAnsiTheme="majorEastAsia" w:eastAsiaTheme="majorEastAsia" w:cstheme="majorEastAsia"/>
                <w:sz w:val="24"/>
                <w:szCs w:val="24"/>
              </w:rPr>
            </w:pPr>
          </w:p>
        </w:tc>
        <w:tc>
          <w:tcPr>
            <w:tcW w:w="2178" w:type="dxa"/>
            <w:vAlign w:val="top"/>
          </w:tcPr>
          <w:p w14:paraId="6E853F03">
            <w:pPr>
              <w:spacing w:before="228" w:line="218" w:lineRule="auto"/>
              <w:ind w:left="67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2"/>
                <w:sz w:val="24"/>
                <w:szCs w:val="24"/>
              </w:rPr>
              <w:t>秦峰镇</w:t>
            </w:r>
          </w:p>
        </w:tc>
        <w:tc>
          <w:tcPr>
            <w:tcW w:w="1570" w:type="dxa"/>
            <w:vAlign w:val="top"/>
          </w:tcPr>
          <w:p w14:paraId="1B60F055">
            <w:pPr>
              <w:pStyle w:val="27"/>
              <w:spacing w:before="228" w:line="215" w:lineRule="auto"/>
              <w:ind w:left="27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19720</w:t>
            </w:r>
            <w:r>
              <w:rPr>
                <w:rFonts w:hint="eastAsia" w:asciiTheme="majorEastAsia" w:hAnsiTheme="majorEastAsia" w:eastAsiaTheme="majorEastAsia" w:cstheme="majorEastAsia"/>
                <w:spacing w:val="-3"/>
                <w:sz w:val="24"/>
                <w:szCs w:val="24"/>
              </w:rPr>
              <w:t>株</w:t>
            </w:r>
          </w:p>
        </w:tc>
        <w:tc>
          <w:tcPr>
            <w:tcW w:w="1633" w:type="dxa"/>
            <w:vAlign w:val="top"/>
          </w:tcPr>
          <w:p w14:paraId="672A81B0">
            <w:pPr>
              <w:pStyle w:val="27"/>
              <w:spacing w:before="228"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70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7D780B6F">
            <w:pPr>
              <w:pStyle w:val="27"/>
              <w:spacing w:before="229" w:line="221" w:lineRule="auto"/>
              <w:ind w:left="22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138</w:t>
            </w:r>
            <w:r>
              <w:rPr>
                <w:rFonts w:hint="eastAsia" w:asciiTheme="majorEastAsia" w:hAnsiTheme="majorEastAsia" w:eastAsiaTheme="majorEastAsia" w:cstheme="majorEastAsia"/>
                <w:spacing w:val="-5"/>
                <w:sz w:val="24"/>
                <w:szCs w:val="24"/>
              </w:rPr>
              <w:t>万</w:t>
            </w:r>
          </w:p>
        </w:tc>
        <w:tc>
          <w:tcPr>
            <w:tcW w:w="1381" w:type="dxa"/>
            <w:vMerge w:val="continue"/>
            <w:tcBorders>
              <w:top w:val="nil"/>
              <w:bottom w:val="nil"/>
            </w:tcBorders>
            <w:vAlign w:val="center"/>
          </w:tcPr>
          <w:p w14:paraId="470EC6BB">
            <w:pPr>
              <w:jc w:val="center"/>
              <w:rPr>
                <w:rFonts w:hint="eastAsia" w:asciiTheme="majorEastAsia" w:hAnsiTheme="majorEastAsia" w:eastAsiaTheme="majorEastAsia" w:cstheme="majorEastAsia"/>
                <w:sz w:val="24"/>
                <w:szCs w:val="24"/>
              </w:rPr>
            </w:pPr>
          </w:p>
        </w:tc>
      </w:tr>
      <w:tr w14:paraId="0CF9A3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bottom w:val="nil"/>
            </w:tcBorders>
            <w:vAlign w:val="top"/>
          </w:tcPr>
          <w:p w14:paraId="13658393">
            <w:pPr>
              <w:rPr>
                <w:rFonts w:hint="eastAsia" w:asciiTheme="majorEastAsia" w:hAnsiTheme="majorEastAsia" w:eastAsiaTheme="majorEastAsia" w:cstheme="majorEastAsia"/>
                <w:sz w:val="24"/>
                <w:szCs w:val="24"/>
              </w:rPr>
            </w:pPr>
          </w:p>
        </w:tc>
        <w:tc>
          <w:tcPr>
            <w:tcW w:w="2178" w:type="dxa"/>
            <w:vAlign w:val="top"/>
          </w:tcPr>
          <w:p w14:paraId="06128E24">
            <w:pPr>
              <w:spacing w:before="229" w:line="219" w:lineRule="auto"/>
              <w:ind w:left="67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5"/>
                <w:sz w:val="24"/>
                <w:szCs w:val="24"/>
              </w:rPr>
              <w:t>朝阳镇</w:t>
            </w:r>
          </w:p>
        </w:tc>
        <w:tc>
          <w:tcPr>
            <w:tcW w:w="1570" w:type="dxa"/>
            <w:vAlign w:val="top"/>
          </w:tcPr>
          <w:p w14:paraId="293F6D7C">
            <w:pPr>
              <w:pStyle w:val="27"/>
              <w:spacing w:before="230" w:line="215" w:lineRule="auto"/>
              <w:ind w:left="27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18570</w:t>
            </w:r>
            <w:r>
              <w:rPr>
                <w:rFonts w:hint="eastAsia" w:asciiTheme="majorEastAsia" w:hAnsiTheme="majorEastAsia" w:eastAsiaTheme="majorEastAsia" w:cstheme="majorEastAsia"/>
                <w:spacing w:val="-3"/>
                <w:sz w:val="24"/>
                <w:szCs w:val="24"/>
              </w:rPr>
              <w:t>株</w:t>
            </w:r>
          </w:p>
        </w:tc>
        <w:tc>
          <w:tcPr>
            <w:tcW w:w="1633" w:type="dxa"/>
            <w:vAlign w:val="top"/>
          </w:tcPr>
          <w:p w14:paraId="2C5EF260">
            <w:pPr>
              <w:pStyle w:val="27"/>
              <w:spacing w:before="230"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70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592119F4">
            <w:pPr>
              <w:pStyle w:val="27"/>
              <w:spacing w:before="230" w:line="221" w:lineRule="auto"/>
              <w:ind w:left="22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130</w:t>
            </w:r>
            <w:r>
              <w:rPr>
                <w:rFonts w:hint="eastAsia" w:asciiTheme="majorEastAsia" w:hAnsiTheme="majorEastAsia" w:eastAsiaTheme="majorEastAsia" w:cstheme="majorEastAsia"/>
                <w:spacing w:val="-5"/>
                <w:sz w:val="24"/>
                <w:szCs w:val="24"/>
              </w:rPr>
              <w:t>万</w:t>
            </w:r>
          </w:p>
        </w:tc>
        <w:tc>
          <w:tcPr>
            <w:tcW w:w="1381" w:type="dxa"/>
            <w:vMerge w:val="continue"/>
            <w:tcBorders>
              <w:top w:val="nil"/>
              <w:bottom w:val="nil"/>
            </w:tcBorders>
            <w:vAlign w:val="center"/>
          </w:tcPr>
          <w:p w14:paraId="26D5FF56">
            <w:pPr>
              <w:jc w:val="center"/>
              <w:rPr>
                <w:rFonts w:hint="eastAsia" w:asciiTheme="majorEastAsia" w:hAnsiTheme="majorEastAsia" w:eastAsiaTheme="majorEastAsia" w:cstheme="majorEastAsia"/>
                <w:sz w:val="24"/>
                <w:szCs w:val="24"/>
              </w:rPr>
            </w:pPr>
          </w:p>
        </w:tc>
      </w:tr>
      <w:tr w14:paraId="136027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bottom w:val="nil"/>
            </w:tcBorders>
            <w:vAlign w:val="top"/>
          </w:tcPr>
          <w:p w14:paraId="4A3D1521">
            <w:pPr>
              <w:rPr>
                <w:rFonts w:hint="eastAsia" w:asciiTheme="majorEastAsia" w:hAnsiTheme="majorEastAsia" w:eastAsiaTheme="majorEastAsia" w:cstheme="majorEastAsia"/>
                <w:sz w:val="24"/>
                <w:szCs w:val="24"/>
              </w:rPr>
            </w:pPr>
          </w:p>
        </w:tc>
        <w:tc>
          <w:tcPr>
            <w:tcW w:w="2178" w:type="dxa"/>
            <w:vAlign w:val="top"/>
          </w:tcPr>
          <w:p w14:paraId="32C3BEB8">
            <w:pPr>
              <w:spacing w:before="230" w:line="218" w:lineRule="auto"/>
              <w:ind w:left="397"/>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3"/>
                <w:sz w:val="24"/>
                <w:szCs w:val="24"/>
              </w:rPr>
              <w:t>茅家岭街道</w:t>
            </w:r>
          </w:p>
        </w:tc>
        <w:tc>
          <w:tcPr>
            <w:tcW w:w="1570" w:type="dxa"/>
            <w:vAlign w:val="top"/>
          </w:tcPr>
          <w:p w14:paraId="3234F418">
            <w:pPr>
              <w:pStyle w:val="27"/>
              <w:spacing w:before="230" w:line="215" w:lineRule="auto"/>
              <w:ind w:left="337"/>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6000</w:t>
            </w:r>
            <w:r>
              <w:rPr>
                <w:rFonts w:hint="eastAsia" w:asciiTheme="majorEastAsia" w:hAnsiTheme="majorEastAsia" w:eastAsiaTheme="majorEastAsia" w:cstheme="majorEastAsia"/>
                <w:spacing w:val="-3"/>
                <w:sz w:val="24"/>
                <w:szCs w:val="24"/>
              </w:rPr>
              <w:t>株</w:t>
            </w:r>
          </w:p>
        </w:tc>
        <w:tc>
          <w:tcPr>
            <w:tcW w:w="1633" w:type="dxa"/>
            <w:vAlign w:val="top"/>
          </w:tcPr>
          <w:p w14:paraId="267C2898">
            <w:pPr>
              <w:pStyle w:val="27"/>
              <w:spacing w:before="230"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60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4AAFEA62">
            <w:pPr>
              <w:pStyle w:val="27"/>
              <w:spacing w:before="231" w:line="221" w:lineRule="auto"/>
              <w:ind w:left="27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36</w:t>
            </w:r>
            <w:r>
              <w:rPr>
                <w:rFonts w:hint="eastAsia" w:asciiTheme="majorEastAsia" w:hAnsiTheme="majorEastAsia" w:eastAsiaTheme="majorEastAsia" w:cstheme="majorEastAsia"/>
                <w:spacing w:val="-2"/>
                <w:sz w:val="24"/>
                <w:szCs w:val="24"/>
              </w:rPr>
              <w:t>万</w:t>
            </w:r>
          </w:p>
        </w:tc>
        <w:tc>
          <w:tcPr>
            <w:tcW w:w="1381" w:type="dxa"/>
            <w:vMerge w:val="continue"/>
            <w:tcBorders>
              <w:top w:val="nil"/>
              <w:bottom w:val="nil"/>
            </w:tcBorders>
            <w:vAlign w:val="center"/>
          </w:tcPr>
          <w:p w14:paraId="1EF9A474">
            <w:pPr>
              <w:jc w:val="center"/>
              <w:rPr>
                <w:rFonts w:hint="eastAsia" w:asciiTheme="majorEastAsia" w:hAnsiTheme="majorEastAsia" w:eastAsiaTheme="majorEastAsia" w:cstheme="majorEastAsia"/>
                <w:sz w:val="24"/>
                <w:szCs w:val="24"/>
              </w:rPr>
            </w:pPr>
          </w:p>
        </w:tc>
      </w:tr>
      <w:tr w14:paraId="5BEC70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bottom w:val="nil"/>
            </w:tcBorders>
            <w:vAlign w:val="top"/>
          </w:tcPr>
          <w:p w14:paraId="31B1B29A">
            <w:pPr>
              <w:rPr>
                <w:rFonts w:hint="eastAsia" w:asciiTheme="majorEastAsia" w:hAnsiTheme="majorEastAsia" w:eastAsiaTheme="majorEastAsia" w:cstheme="majorEastAsia"/>
                <w:sz w:val="24"/>
                <w:szCs w:val="24"/>
              </w:rPr>
            </w:pPr>
          </w:p>
        </w:tc>
        <w:tc>
          <w:tcPr>
            <w:tcW w:w="2178" w:type="dxa"/>
            <w:vAlign w:val="top"/>
          </w:tcPr>
          <w:p w14:paraId="26C0B180">
            <w:pPr>
              <w:spacing w:before="228" w:line="218" w:lineRule="auto"/>
              <w:ind w:left="53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3"/>
                <w:sz w:val="24"/>
                <w:szCs w:val="24"/>
              </w:rPr>
              <w:t>水南街道</w:t>
            </w:r>
          </w:p>
        </w:tc>
        <w:tc>
          <w:tcPr>
            <w:tcW w:w="1570" w:type="dxa"/>
            <w:vAlign w:val="top"/>
          </w:tcPr>
          <w:p w14:paraId="55604A10">
            <w:pPr>
              <w:pStyle w:val="27"/>
              <w:spacing w:before="228" w:line="215" w:lineRule="auto"/>
              <w:ind w:left="41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108</w:t>
            </w:r>
            <w:r>
              <w:rPr>
                <w:rFonts w:hint="eastAsia" w:asciiTheme="majorEastAsia" w:hAnsiTheme="majorEastAsia" w:eastAsiaTheme="majorEastAsia" w:cstheme="majorEastAsia"/>
                <w:spacing w:val="-5"/>
                <w:sz w:val="24"/>
                <w:szCs w:val="24"/>
              </w:rPr>
              <w:t>株</w:t>
            </w:r>
          </w:p>
        </w:tc>
        <w:tc>
          <w:tcPr>
            <w:tcW w:w="1633" w:type="dxa"/>
            <w:vAlign w:val="top"/>
          </w:tcPr>
          <w:p w14:paraId="45CEB445">
            <w:pPr>
              <w:pStyle w:val="27"/>
              <w:spacing w:before="228"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60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52A51920">
            <w:pPr>
              <w:pStyle w:val="27"/>
              <w:spacing w:before="229" w:line="221" w:lineRule="auto"/>
              <w:ind w:left="17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0.65</w:t>
            </w:r>
            <w:r>
              <w:rPr>
                <w:rFonts w:hint="eastAsia" w:asciiTheme="majorEastAsia" w:hAnsiTheme="majorEastAsia" w:eastAsiaTheme="majorEastAsia" w:cstheme="majorEastAsia"/>
                <w:spacing w:val="-2"/>
                <w:sz w:val="24"/>
                <w:szCs w:val="24"/>
              </w:rPr>
              <w:t>万</w:t>
            </w:r>
          </w:p>
        </w:tc>
        <w:tc>
          <w:tcPr>
            <w:tcW w:w="1381" w:type="dxa"/>
            <w:vMerge w:val="continue"/>
            <w:tcBorders>
              <w:top w:val="nil"/>
              <w:bottom w:val="nil"/>
            </w:tcBorders>
            <w:vAlign w:val="center"/>
          </w:tcPr>
          <w:p w14:paraId="717F77CD">
            <w:pPr>
              <w:jc w:val="center"/>
              <w:rPr>
                <w:rFonts w:hint="eastAsia" w:asciiTheme="majorEastAsia" w:hAnsiTheme="majorEastAsia" w:eastAsiaTheme="majorEastAsia" w:cstheme="majorEastAsia"/>
                <w:sz w:val="24"/>
                <w:szCs w:val="24"/>
              </w:rPr>
            </w:pPr>
          </w:p>
        </w:tc>
      </w:tr>
      <w:tr w14:paraId="20E3B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continue"/>
            <w:tcBorders>
              <w:top w:val="nil"/>
            </w:tcBorders>
            <w:vAlign w:val="top"/>
          </w:tcPr>
          <w:p w14:paraId="0E6E3C6D">
            <w:pPr>
              <w:rPr>
                <w:rFonts w:hint="eastAsia" w:asciiTheme="majorEastAsia" w:hAnsiTheme="majorEastAsia" w:eastAsiaTheme="majorEastAsia" w:cstheme="majorEastAsia"/>
                <w:sz w:val="24"/>
                <w:szCs w:val="24"/>
              </w:rPr>
            </w:pPr>
          </w:p>
        </w:tc>
        <w:tc>
          <w:tcPr>
            <w:tcW w:w="2178" w:type="dxa"/>
            <w:vAlign w:val="top"/>
          </w:tcPr>
          <w:p w14:paraId="18D8C1B5">
            <w:pPr>
              <w:spacing w:before="229" w:line="217" w:lineRule="auto"/>
              <w:ind w:left="54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4"/>
                <w:sz w:val="24"/>
                <w:szCs w:val="24"/>
              </w:rPr>
              <w:t>北门街道</w:t>
            </w:r>
          </w:p>
        </w:tc>
        <w:tc>
          <w:tcPr>
            <w:tcW w:w="1570" w:type="dxa"/>
            <w:vAlign w:val="top"/>
          </w:tcPr>
          <w:p w14:paraId="79C5A8B4">
            <w:pPr>
              <w:pStyle w:val="27"/>
              <w:spacing w:before="228" w:line="215" w:lineRule="auto"/>
              <w:ind w:left="40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
                <w:sz w:val="24"/>
                <w:szCs w:val="24"/>
              </w:rPr>
              <w:t>533</w:t>
            </w:r>
            <w:r>
              <w:rPr>
                <w:rFonts w:hint="eastAsia" w:asciiTheme="majorEastAsia" w:hAnsiTheme="majorEastAsia" w:eastAsiaTheme="majorEastAsia" w:cstheme="majorEastAsia"/>
                <w:spacing w:val="-1"/>
                <w:sz w:val="24"/>
                <w:szCs w:val="24"/>
              </w:rPr>
              <w:t>株</w:t>
            </w:r>
          </w:p>
        </w:tc>
        <w:tc>
          <w:tcPr>
            <w:tcW w:w="1633" w:type="dxa"/>
            <w:vAlign w:val="top"/>
          </w:tcPr>
          <w:p w14:paraId="202D3DBD">
            <w:pPr>
              <w:pStyle w:val="27"/>
              <w:spacing w:before="228" w:line="215" w:lineRule="auto"/>
              <w:ind w:left="32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60</w:t>
            </w:r>
            <w:r>
              <w:rPr>
                <w:rFonts w:hint="eastAsia" w:asciiTheme="majorEastAsia" w:hAnsiTheme="majorEastAsia" w:eastAsiaTheme="majorEastAsia" w:cstheme="majorEastAsia"/>
                <w:spacing w:val="-6"/>
                <w:sz w:val="24"/>
                <w:szCs w:val="24"/>
              </w:rPr>
              <w:t>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株</w:t>
            </w:r>
          </w:p>
        </w:tc>
        <w:tc>
          <w:tcPr>
            <w:tcW w:w="1183" w:type="dxa"/>
            <w:vAlign w:val="top"/>
          </w:tcPr>
          <w:p w14:paraId="04F05D11">
            <w:pPr>
              <w:pStyle w:val="27"/>
              <w:spacing w:before="229" w:line="221" w:lineRule="auto"/>
              <w:ind w:left="24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3.2</w:t>
            </w:r>
            <w:r>
              <w:rPr>
                <w:rFonts w:hint="eastAsia" w:asciiTheme="majorEastAsia" w:hAnsiTheme="majorEastAsia" w:eastAsiaTheme="majorEastAsia" w:cstheme="majorEastAsia"/>
                <w:spacing w:val="-2"/>
                <w:sz w:val="24"/>
                <w:szCs w:val="24"/>
              </w:rPr>
              <w:t>万</w:t>
            </w:r>
          </w:p>
        </w:tc>
        <w:tc>
          <w:tcPr>
            <w:tcW w:w="1381" w:type="dxa"/>
            <w:vMerge w:val="continue"/>
            <w:tcBorders>
              <w:top w:val="nil"/>
            </w:tcBorders>
            <w:vAlign w:val="center"/>
          </w:tcPr>
          <w:p w14:paraId="62C0B4A5">
            <w:pPr>
              <w:jc w:val="center"/>
              <w:rPr>
                <w:rFonts w:hint="eastAsia" w:asciiTheme="majorEastAsia" w:hAnsiTheme="majorEastAsia" w:eastAsiaTheme="majorEastAsia" w:cstheme="majorEastAsia"/>
                <w:sz w:val="24"/>
                <w:szCs w:val="24"/>
              </w:rPr>
            </w:pPr>
          </w:p>
        </w:tc>
      </w:tr>
      <w:tr w14:paraId="0CF99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1428" w:type="dxa"/>
            <w:vMerge w:val="restart"/>
            <w:vAlign w:val="center"/>
          </w:tcPr>
          <w:p w14:paraId="69B4177D">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综合防治</w:t>
            </w:r>
          </w:p>
        </w:tc>
        <w:tc>
          <w:tcPr>
            <w:tcW w:w="2178" w:type="dxa"/>
            <w:vAlign w:val="top"/>
          </w:tcPr>
          <w:p w14:paraId="3CE89851">
            <w:pPr>
              <w:spacing w:before="228" w:line="216" w:lineRule="auto"/>
              <w:ind w:left="53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4"/>
                <w:sz w:val="24"/>
                <w:szCs w:val="24"/>
              </w:rPr>
              <w:t>花绒寄甲</w:t>
            </w:r>
          </w:p>
        </w:tc>
        <w:tc>
          <w:tcPr>
            <w:tcW w:w="1570" w:type="dxa"/>
            <w:vAlign w:val="top"/>
          </w:tcPr>
          <w:p w14:paraId="15A97996">
            <w:pPr>
              <w:pStyle w:val="27"/>
              <w:spacing w:before="229" w:line="219" w:lineRule="auto"/>
              <w:ind w:left="40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2"/>
                <w:sz w:val="24"/>
                <w:szCs w:val="24"/>
              </w:rPr>
              <w:t>8</w:t>
            </w:r>
            <w:r>
              <w:rPr>
                <w:rFonts w:hint="eastAsia" w:asciiTheme="majorEastAsia" w:hAnsiTheme="majorEastAsia" w:eastAsiaTheme="majorEastAsia" w:cstheme="majorEastAsia"/>
                <w:spacing w:val="-12"/>
                <w:sz w:val="24"/>
                <w:szCs w:val="24"/>
              </w:rPr>
              <w:t>万头</w:t>
            </w:r>
          </w:p>
        </w:tc>
        <w:tc>
          <w:tcPr>
            <w:tcW w:w="1633" w:type="dxa"/>
            <w:vAlign w:val="top"/>
          </w:tcPr>
          <w:p w14:paraId="27969506">
            <w:pPr>
              <w:pStyle w:val="27"/>
              <w:spacing w:before="229" w:line="219" w:lineRule="auto"/>
              <w:ind w:left="41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0"/>
                <w:sz w:val="24"/>
                <w:szCs w:val="24"/>
              </w:rPr>
              <w:t>1</w:t>
            </w:r>
            <w:r>
              <w:rPr>
                <w:rFonts w:hint="eastAsia" w:asciiTheme="majorEastAsia" w:hAnsiTheme="majorEastAsia" w:eastAsiaTheme="majorEastAsia" w:cstheme="majorEastAsia"/>
                <w:spacing w:val="-10"/>
                <w:sz w:val="24"/>
                <w:szCs w:val="24"/>
              </w:rPr>
              <w:t>元</w:t>
            </w:r>
            <w:r>
              <w:rPr>
                <w:rFonts w:hint="eastAsia" w:asciiTheme="majorEastAsia" w:hAnsiTheme="majorEastAsia" w:eastAsiaTheme="majorEastAsia" w:cstheme="majorEastAsia"/>
                <w:b/>
                <w:bCs/>
                <w:spacing w:val="-10"/>
                <w:sz w:val="24"/>
                <w:szCs w:val="24"/>
              </w:rPr>
              <w:t>/</w:t>
            </w:r>
            <w:r>
              <w:rPr>
                <w:rFonts w:hint="eastAsia" w:asciiTheme="majorEastAsia" w:hAnsiTheme="majorEastAsia" w:eastAsiaTheme="majorEastAsia" w:cstheme="majorEastAsia"/>
                <w:spacing w:val="-10"/>
                <w:sz w:val="24"/>
                <w:szCs w:val="24"/>
              </w:rPr>
              <w:t>头</w:t>
            </w:r>
          </w:p>
        </w:tc>
        <w:tc>
          <w:tcPr>
            <w:tcW w:w="1183" w:type="dxa"/>
            <w:vAlign w:val="top"/>
          </w:tcPr>
          <w:p w14:paraId="7A973582">
            <w:pPr>
              <w:pStyle w:val="27"/>
              <w:spacing w:before="229" w:line="221" w:lineRule="auto"/>
              <w:ind w:left="35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8</w:t>
            </w:r>
            <w:r>
              <w:rPr>
                <w:rFonts w:hint="eastAsia" w:asciiTheme="majorEastAsia" w:hAnsiTheme="majorEastAsia" w:eastAsiaTheme="majorEastAsia" w:cstheme="majorEastAsia"/>
                <w:spacing w:val="-5"/>
                <w:sz w:val="24"/>
                <w:szCs w:val="24"/>
              </w:rPr>
              <w:t>万</w:t>
            </w:r>
          </w:p>
        </w:tc>
        <w:tc>
          <w:tcPr>
            <w:tcW w:w="1381" w:type="dxa"/>
            <w:vMerge w:val="restart"/>
            <w:vAlign w:val="center"/>
          </w:tcPr>
          <w:p w14:paraId="6F9D9F19">
            <w:pPr>
              <w:pStyle w:val="27"/>
              <w:spacing w:before="91" w:line="221" w:lineRule="auto"/>
              <w:ind w:left="133"/>
              <w:jc w:val="cente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34.4</w:t>
            </w:r>
            <w:r>
              <w:rPr>
                <w:rFonts w:hint="eastAsia" w:asciiTheme="majorEastAsia" w:hAnsiTheme="majorEastAsia" w:eastAsiaTheme="majorEastAsia" w:cstheme="majorEastAsia"/>
                <w:b w:val="0"/>
                <w:bCs w:val="0"/>
                <w:spacing w:val="-2"/>
                <w:sz w:val="24"/>
                <w:szCs w:val="24"/>
              </w:rPr>
              <w:t>万</w:t>
            </w:r>
          </w:p>
        </w:tc>
      </w:tr>
      <w:tr w14:paraId="57EC7F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1428" w:type="dxa"/>
            <w:vMerge w:val="continue"/>
            <w:vAlign w:val="center"/>
          </w:tcPr>
          <w:p w14:paraId="08655E5E">
            <w:pPr>
              <w:pStyle w:val="27"/>
              <w:spacing w:before="91" w:line="221" w:lineRule="auto"/>
              <w:jc w:val="center"/>
              <w:rPr>
                <w:rFonts w:hint="eastAsia" w:asciiTheme="majorEastAsia" w:hAnsiTheme="majorEastAsia" w:eastAsiaTheme="majorEastAsia" w:cstheme="majorEastAsia"/>
                <w:b w:val="0"/>
                <w:bCs w:val="0"/>
                <w:spacing w:val="-2"/>
                <w:sz w:val="24"/>
                <w:szCs w:val="24"/>
              </w:rPr>
            </w:pPr>
          </w:p>
        </w:tc>
        <w:tc>
          <w:tcPr>
            <w:tcW w:w="2178" w:type="dxa"/>
            <w:vAlign w:val="top"/>
          </w:tcPr>
          <w:p w14:paraId="298B662A">
            <w:pPr>
              <w:spacing w:before="229" w:line="219" w:lineRule="auto"/>
              <w:ind w:left="53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4"/>
                <w:sz w:val="24"/>
                <w:szCs w:val="24"/>
              </w:rPr>
              <w:t>打孔注药</w:t>
            </w:r>
          </w:p>
        </w:tc>
        <w:tc>
          <w:tcPr>
            <w:tcW w:w="1570" w:type="dxa"/>
            <w:vAlign w:val="top"/>
          </w:tcPr>
          <w:p w14:paraId="539C0EE9">
            <w:pPr>
              <w:pStyle w:val="27"/>
              <w:spacing w:before="229" w:line="218" w:lineRule="auto"/>
              <w:ind w:left="403"/>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1"/>
                <w:sz w:val="24"/>
                <w:szCs w:val="24"/>
              </w:rPr>
              <w:t>2</w:t>
            </w:r>
            <w:r>
              <w:rPr>
                <w:rFonts w:hint="eastAsia" w:asciiTheme="majorEastAsia" w:hAnsiTheme="majorEastAsia" w:eastAsiaTheme="majorEastAsia" w:cstheme="majorEastAsia"/>
                <w:spacing w:val="-11"/>
                <w:sz w:val="24"/>
                <w:szCs w:val="24"/>
              </w:rPr>
              <w:t>万针</w:t>
            </w:r>
          </w:p>
        </w:tc>
        <w:tc>
          <w:tcPr>
            <w:tcW w:w="1633" w:type="dxa"/>
            <w:vAlign w:val="top"/>
          </w:tcPr>
          <w:p w14:paraId="3266A00E">
            <w:pPr>
              <w:pStyle w:val="27"/>
              <w:spacing w:before="229" w:line="218" w:lineRule="auto"/>
              <w:ind w:left="33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8"/>
                <w:sz w:val="24"/>
                <w:szCs w:val="24"/>
              </w:rPr>
              <w:t>12</w:t>
            </w:r>
            <w:r>
              <w:rPr>
                <w:rFonts w:hint="eastAsia" w:asciiTheme="majorEastAsia" w:hAnsiTheme="majorEastAsia" w:eastAsiaTheme="majorEastAsia" w:cstheme="majorEastAsia"/>
                <w:spacing w:val="-8"/>
                <w:sz w:val="24"/>
                <w:szCs w:val="24"/>
              </w:rPr>
              <w:t>元</w:t>
            </w:r>
            <w:r>
              <w:rPr>
                <w:rFonts w:hint="eastAsia" w:asciiTheme="majorEastAsia" w:hAnsiTheme="majorEastAsia" w:eastAsiaTheme="majorEastAsia" w:cstheme="majorEastAsia"/>
                <w:b/>
                <w:bCs/>
                <w:spacing w:val="-8"/>
                <w:sz w:val="24"/>
                <w:szCs w:val="24"/>
              </w:rPr>
              <w:t>/</w:t>
            </w:r>
            <w:r>
              <w:rPr>
                <w:rFonts w:hint="eastAsia" w:asciiTheme="majorEastAsia" w:hAnsiTheme="majorEastAsia" w:eastAsiaTheme="majorEastAsia" w:cstheme="majorEastAsia"/>
                <w:spacing w:val="-8"/>
                <w:sz w:val="24"/>
                <w:szCs w:val="24"/>
              </w:rPr>
              <w:t>针</w:t>
            </w:r>
          </w:p>
        </w:tc>
        <w:tc>
          <w:tcPr>
            <w:tcW w:w="1183" w:type="dxa"/>
            <w:vAlign w:val="top"/>
          </w:tcPr>
          <w:p w14:paraId="4023EEE7">
            <w:pPr>
              <w:pStyle w:val="27"/>
              <w:spacing w:before="230" w:line="221" w:lineRule="auto"/>
              <w:ind w:left="28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3"/>
                <w:sz w:val="24"/>
                <w:szCs w:val="24"/>
              </w:rPr>
              <w:t>24</w:t>
            </w:r>
            <w:r>
              <w:rPr>
                <w:rFonts w:hint="eastAsia" w:asciiTheme="majorEastAsia" w:hAnsiTheme="majorEastAsia" w:eastAsiaTheme="majorEastAsia" w:cstheme="majorEastAsia"/>
                <w:spacing w:val="-3"/>
                <w:sz w:val="24"/>
                <w:szCs w:val="24"/>
              </w:rPr>
              <w:t>万</w:t>
            </w:r>
          </w:p>
        </w:tc>
        <w:tc>
          <w:tcPr>
            <w:tcW w:w="1381" w:type="dxa"/>
            <w:vMerge w:val="continue"/>
            <w:vAlign w:val="top"/>
          </w:tcPr>
          <w:p w14:paraId="27237EA6">
            <w:pPr>
              <w:rPr>
                <w:rFonts w:hint="eastAsia" w:asciiTheme="majorEastAsia" w:hAnsiTheme="majorEastAsia" w:eastAsiaTheme="majorEastAsia" w:cstheme="majorEastAsia"/>
                <w:sz w:val="24"/>
                <w:szCs w:val="24"/>
              </w:rPr>
            </w:pPr>
          </w:p>
        </w:tc>
      </w:tr>
      <w:tr w14:paraId="6233EE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8" w:hRule="atLeast"/>
        </w:trPr>
        <w:tc>
          <w:tcPr>
            <w:tcW w:w="1428" w:type="dxa"/>
            <w:vMerge w:val="continue"/>
            <w:vAlign w:val="center"/>
          </w:tcPr>
          <w:p w14:paraId="0AC670D4">
            <w:pPr>
              <w:pStyle w:val="27"/>
              <w:spacing w:before="91" w:line="221" w:lineRule="auto"/>
              <w:jc w:val="center"/>
              <w:rPr>
                <w:rFonts w:hint="eastAsia" w:asciiTheme="majorEastAsia" w:hAnsiTheme="majorEastAsia" w:eastAsiaTheme="majorEastAsia" w:cstheme="majorEastAsia"/>
                <w:b w:val="0"/>
                <w:bCs w:val="0"/>
                <w:spacing w:val="-2"/>
                <w:sz w:val="24"/>
                <w:szCs w:val="24"/>
              </w:rPr>
            </w:pPr>
          </w:p>
        </w:tc>
        <w:tc>
          <w:tcPr>
            <w:tcW w:w="2178" w:type="dxa"/>
            <w:vAlign w:val="top"/>
          </w:tcPr>
          <w:p w14:paraId="68C0BF56">
            <w:pPr>
              <w:spacing w:before="231" w:line="216" w:lineRule="auto"/>
              <w:ind w:left="55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7"/>
                <w:sz w:val="24"/>
                <w:szCs w:val="24"/>
              </w:rPr>
              <w:t>药械设备</w:t>
            </w:r>
          </w:p>
        </w:tc>
        <w:tc>
          <w:tcPr>
            <w:tcW w:w="1570" w:type="dxa"/>
            <w:vAlign w:val="top"/>
          </w:tcPr>
          <w:p w14:paraId="7CD914F0">
            <w:pPr>
              <w:pStyle w:val="27"/>
              <w:spacing w:before="229" w:line="219" w:lineRule="auto"/>
              <w:ind w:left="54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5"/>
                <w:sz w:val="24"/>
                <w:szCs w:val="24"/>
              </w:rPr>
              <w:t>8</w:t>
            </w:r>
            <w:r>
              <w:rPr>
                <w:rFonts w:hint="eastAsia" w:asciiTheme="majorEastAsia" w:hAnsiTheme="majorEastAsia" w:eastAsiaTheme="majorEastAsia" w:cstheme="majorEastAsia"/>
                <w:spacing w:val="-5"/>
                <w:sz w:val="24"/>
                <w:szCs w:val="24"/>
              </w:rPr>
              <w:t>个</w:t>
            </w:r>
          </w:p>
        </w:tc>
        <w:tc>
          <w:tcPr>
            <w:tcW w:w="1633" w:type="dxa"/>
            <w:vAlign w:val="top"/>
          </w:tcPr>
          <w:p w14:paraId="064CD9A1">
            <w:pPr>
              <w:pStyle w:val="27"/>
              <w:spacing w:before="229" w:line="219" w:lineRule="auto"/>
              <w:ind w:left="18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3000</w:t>
            </w:r>
            <w:r>
              <w:rPr>
                <w:rFonts w:hint="eastAsia" w:asciiTheme="majorEastAsia" w:hAnsiTheme="majorEastAsia" w:eastAsiaTheme="majorEastAsia" w:cstheme="majorEastAsia"/>
                <w:spacing w:val="-4"/>
                <w:sz w:val="24"/>
                <w:szCs w:val="24"/>
              </w:rPr>
              <w:t>元</w:t>
            </w:r>
            <w:r>
              <w:rPr>
                <w:rFonts w:hint="eastAsia" w:asciiTheme="majorEastAsia" w:hAnsiTheme="majorEastAsia" w:eastAsiaTheme="majorEastAsia" w:cstheme="majorEastAsia"/>
                <w:b/>
                <w:bCs/>
                <w:spacing w:val="-4"/>
                <w:sz w:val="24"/>
                <w:szCs w:val="24"/>
              </w:rPr>
              <w:t>/</w:t>
            </w:r>
            <w:r>
              <w:rPr>
                <w:rFonts w:hint="eastAsia" w:asciiTheme="majorEastAsia" w:hAnsiTheme="majorEastAsia" w:eastAsiaTheme="majorEastAsia" w:cstheme="majorEastAsia"/>
                <w:spacing w:val="-4"/>
                <w:sz w:val="24"/>
                <w:szCs w:val="24"/>
              </w:rPr>
              <w:t>个</w:t>
            </w:r>
          </w:p>
        </w:tc>
        <w:tc>
          <w:tcPr>
            <w:tcW w:w="1183" w:type="dxa"/>
            <w:vAlign w:val="top"/>
          </w:tcPr>
          <w:p w14:paraId="712ACC1B">
            <w:pPr>
              <w:pStyle w:val="27"/>
              <w:spacing w:before="231" w:line="221" w:lineRule="auto"/>
              <w:ind w:left="24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2.4</w:t>
            </w:r>
            <w:r>
              <w:rPr>
                <w:rFonts w:hint="eastAsia" w:asciiTheme="majorEastAsia" w:hAnsiTheme="majorEastAsia" w:eastAsiaTheme="majorEastAsia" w:cstheme="majorEastAsia"/>
                <w:spacing w:val="-2"/>
                <w:sz w:val="24"/>
                <w:szCs w:val="24"/>
              </w:rPr>
              <w:t>万</w:t>
            </w:r>
          </w:p>
        </w:tc>
        <w:tc>
          <w:tcPr>
            <w:tcW w:w="1381" w:type="dxa"/>
            <w:vMerge w:val="continue"/>
            <w:vAlign w:val="top"/>
          </w:tcPr>
          <w:p w14:paraId="2FAA75AB">
            <w:pPr>
              <w:rPr>
                <w:rFonts w:hint="eastAsia" w:asciiTheme="majorEastAsia" w:hAnsiTheme="majorEastAsia" w:eastAsiaTheme="majorEastAsia" w:cstheme="majorEastAsia"/>
                <w:sz w:val="24"/>
                <w:szCs w:val="24"/>
              </w:rPr>
            </w:pPr>
          </w:p>
        </w:tc>
      </w:tr>
      <w:tr w14:paraId="582EBB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428" w:type="dxa"/>
            <w:vMerge w:val="restart"/>
            <w:tcBorders>
              <w:bottom w:val="nil"/>
            </w:tcBorders>
            <w:vAlign w:val="center"/>
          </w:tcPr>
          <w:p w14:paraId="3441FA92">
            <w:pPr>
              <w:pStyle w:val="27"/>
              <w:spacing w:before="91" w:line="221" w:lineRule="auto"/>
              <w:jc w:val="center"/>
              <w:rPr>
                <w:rFonts w:hint="eastAsia" w:asciiTheme="majorEastAsia" w:hAnsiTheme="majorEastAsia" w:eastAsiaTheme="majorEastAsia" w:cstheme="majorEastAsia"/>
                <w:b w:val="0"/>
                <w:bCs w:val="0"/>
                <w:spacing w:val="-2"/>
                <w:sz w:val="24"/>
                <w:szCs w:val="24"/>
              </w:rPr>
            </w:pPr>
            <w:r>
              <w:rPr>
                <w:rFonts w:hint="eastAsia" w:asciiTheme="majorEastAsia" w:hAnsiTheme="majorEastAsia" w:eastAsiaTheme="majorEastAsia" w:cstheme="majorEastAsia"/>
                <w:b w:val="0"/>
                <w:bCs w:val="0"/>
                <w:spacing w:val="-2"/>
                <w:sz w:val="24"/>
                <w:szCs w:val="24"/>
              </w:rPr>
              <w:t>检疫</w:t>
            </w:r>
          </w:p>
        </w:tc>
        <w:tc>
          <w:tcPr>
            <w:tcW w:w="2178" w:type="dxa"/>
            <w:vAlign w:val="top"/>
          </w:tcPr>
          <w:p w14:paraId="6F4BB220">
            <w:pPr>
              <w:spacing w:before="225" w:line="216" w:lineRule="auto"/>
              <w:ind w:left="53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2"/>
                <w:sz w:val="24"/>
                <w:szCs w:val="24"/>
              </w:rPr>
              <w:t>检疫执法</w:t>
            </w:r>
          </w:p>
        </w:tc>
        <w:tc>
          <w:tcPr>
            <w:tcW w:w="1570" w:type="dxa"/>
            <w:vAlign w:val="top"/>
          </w:tcPr>
          <w:p w14:paraId="784FF3B0">
            <w:pPr>
              <w:pStyle w:val="27"/>
              <w:spacing w:before="224" w:line="219" w:lineRule="auto"/>
              <w:ind w:left="54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2</w:t>
            </w:r>
            <w:r>
              <w:rPr>
                <w:rFonts w:hint="eastAsia" w:asciiTheme="majorEastAsia" w:hAnsiTheme="majorEastAsia" w:eastAsiaTheme="majorEastAsia" w:cstheme="majorEastAsia"/>
                <w:spacing w:val="-4"/>
                <w:sz w:val="24"/>
                <w:szCs w:val="24"/>
              </w:rPr>
              <w:t>次</w:t>
            </w:r>
          </w:p>
        </w:tc>
        <w:tc>
          <w:tcPr>
            <w:tcW w:w="1633" w:type="dxa"/>
            <w:vAlign w:val="top"/>
          </w:tcPr>
          <w:p w14:paraId="41DCCEF0">
            <w:pPr>
              <w:pStyle w:val="27"/>
              <w:spacing w:before="224" w:line="219" w:lineRule="auto"/>
              <w:ind w:left="41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11"/>
                <w:sz w:val="24"/>
                <w:szCs w:val="24"/>
              </w:rPr>
              <w:t>1</w:t>
            </w:r>
            <w:r>
              <w:rPr>
                <w:rFonts w:hint="eastAsia" w:asciiTheme="majorEastAsia" w:hAnsiTheme="majorEastAsia" w:eastAsiaTheme="majorEastAsia" w:cstheme="majorEastAsia"/>
                <w:spacing w:val="-11"/>
                <w:sz w:val="24"/>
                <w:szCs w:val="24"/>
              </w:rPr>
              <w:t>万</w:t>
            </w:r>
            <w:r>
              <w:rPr>
                <w:rFonts w:hint="eastAsia" w:asciiTheme="majorEastAsia" w:hAnsiTheme="majorEastAsia" w:eastAsiaTheme="majorEastAsia" w:cstheme="majorEastAsia"/>
                <w:b/>
                <w:bCs/>
                <w:spacing w:val="-11"/>
                <w:sz w:val="24"/>
                <w:szCs w:val="24"/>
              </w:rPr>
              <w:t>/</w:t>
            </w:r>
            <w:r>
              <w:rPr>
                <w:rFonts w:hint="eastAsia" w:asciiTheme="majorEastAsia" w:hAnsiTheme="majorEastAsia" w:eastAsiaTheme="majorEastAsia" w:cstheme="majorEastAsia"/>
                <w:spacing w:val="-11"/>
                <w:sz w:val="24"/>
                <w:szCs w:val="24"/>
              </w:rPr>
              <w:t>次</w:t>
            </w:r>
          </w:p>
        </w:tc>
        <w:tc>
          <w:tcPr>
            <w:tcW w:w="2564" w:type="dxa"/>
            <w:gridSpan w:val="2"/>
            <w:vMerge w:val="restart"/>
            <w:tcBorders>
              <w:bottom w:val="nil"/>
            </w:tcBorders>
            <w:vAlign w:val="top"/>
          </w:tcPr>
          <w:p w14:paraId="1BEEDE83">
            <w:pPr>
              <w:spacing w:line="274" w:lineRule="auto"/>
              <w:rPr>
                <w:rFonts w:hint="eastAsia" w:asciiTheme="majorEastAsia" w:hAnsiTheme="majorEastAsia" w:eastAsiaTheme="majorEastAsia" w:cstheme="majorEastAsia"/>
                <w:sz w:val="24"/>
                <w:szCs w:val="24"/>
              </w:rPr>
            </w:pPr>
          </w:p>
          <w:p w14:paraId="5FE5640B">
            <w:pPr>
              <w:pStyle w:val="27"/>
              <w:spacing w:before="91" w:line="221" w:lineRule="auto"/>
              <w:ind w:left="1038"/>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3</w:t>
            </w:r>
            <w:r>
              <w:rPr>
                <w:rFonts w:hint="eastAsia" w:asciiTheme="majorEastAsia" w:hAnsiTheme="majorEastAsia" w:eastAsiaTheme="majorEastAsia" w:cstheme="majorEastAsia"/>
                <w:spacing w:val="-2"/>
                <w:sz w:val="24"/>
                <w:szCs w:val="24"/>
              </w:rPr>
              <w:t>万</w:t>
            </w:r>
          </w:p>
        </w:tc>
      </w:tr>
      <w:tr w14:paraId="28DA34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7" w:hRule="atLeast"/>
        </w:trPr>
        <w:tc>
          <w:tcPr>
            <w:tcW w:w="1428" w:type="dxa"/>
            <w:vMerge w:val="continue"/>
            <w:tcBorders>
              <w:top w:val="nil"/>
            </w:tcBorders>
            <w:vAlign w:val="top"/>
          </w:tcPr>
          <w:p w14:paraId="4BC16672">
            <w:pPr>
              <w:rPr>
                <w:rFonts w:hint="eastAsia" w:asciiTheme="majorEastAsia" w:hAnsiTheme="majorEastAsia" w:eastAsiaTheme="majorEastAsia" w:cstheme="majorEastAsia"/>
                <w:sz w:val="24"/>
                <w:szCs w:val="24"/>
              </w:rPr>
            </w:pPr>
          </w:p>
        </w:tc>
        <w:tc>
          <w:tcPr>
            <w:tcW w:w="2178" w:type="dxa"/>
            <w:vAlign w:val="top"/>
          </w:tcPr>
          <w:p w14:paraId="7A84A0AD">
            <w:pPr>
              <w:spacing w:line="256" w:lineRule="auto"/>
              <w:rPr>
                <w:rFonts w:hint="eastAsia" w:asciiTheme="majorEastAsia" w:hAnsiTheme="majorEastAsia" w:eastAsiaTheme="majorEastAsia" w:cstheme="majorEastAsia"/>
                <w:sz w:val="24"/>
                <w:szCs w:val="24"/>
              </w:rPr>
            </w:pPr>
          </w:p>
          <w:p w14:paraId="658DFE1E">
            <w:pPr>
              <w:spacing w:before="91" w:line="218" w:lineRule="auto"/>
              <w:ind w:left="117"/>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2"/>
                <w:sz w:val="24"/>
                <w:szCs w:val="24"/>
              </w:rPr>
              <w:t>松材线虫病宣传</w:t>
            </w:r>
          </w:p>
        </w:tc>
        <w:tc>
          <w:tcPr>
            <w:tcW w:w="1570" w:type="dxa"/>
            <w:vAlign w:val="top"/>
          </w:tcPr>
          <w:p w14:paraId="05522CC8">
            <w:pPr>
              <w:spacing w:line="256" w:lineRule="auto"/>
              <w:rPr>
                <w:rFonts w:hint="eastAsia" w:asciiTheme="majorEastAsia" w:hAnsiTheme="majorEastAsia" w:eastAsiaTheme="majorEastAsia" w:cstheme="majorEastAsia"/>
                <w:sz w:val="24"/>
                <w:szCs w:val="24"/>
              </w:rPr>
            </w:pPr>
          </w:p>
          <w:p w14:paraId="1F3BDC18">
            <w:pPr>
              <w:pStyle w:val="27"/>
              <w:spacing w:before="91" w:line="219" w:lineRule="auto"/>
              <w:ind w:left="542"/>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4"/>
                <w:sz w:val="24"/>
                <w:szCs w:val="24"/>
              </w:rPr>
              <w:t>2</w:t>
            </w:r>
            <w:r>
              <w:rPr>
                <w:rFonts w:hint="eastAsia" w:asciiTheme="majorEastAsia" w:hAnsiTheme="majorEastAsia" w:eastAsiaTheme="majorEastAsia" w:cstheme="majorEastAsia"/>
                <w:spacing w:val="-4"/>
                <w:sz w:val="24"/>
                <w:szCs w:val="24"/>
              </w:rPr>
              <w:t>次</w:t>
            </w:r>
          </w:p>
        </w:tc>
        <w:tc>
          <w:tcPr>
            <w:tcW w:w="1633" w:type="dxa"/>
            <w:vAlign w:val="top"/>
          </w:tcPr>
          <w:p w14:paraId="763A7F52">
            <w:pPr>
              <w:spacing w:line="256" w:lineRule="auto"/>
              <w:rPr>
                <w:rFonts w:hint="eastAsia" w:asciiTheme="majorEastAsia" w:hAnsiTheme="majorEastAsia" w:eastAsiaTheme="majorEastAsia" w:cstheme="majorEastAsia"/>
                <w:sz w:val="24"/>
                <w:szCs w:val="24"/>
              </w:rPr>
            </w:pPr>
          </w:p>
          <w:p w14:paraId="4E03985B">
            <w:pPr>
              <w:pStyle w:val="27"/>
              <w:spacing w:before="91" w:line="219" w:lineRule="auto"/>
              <w:ind w:left="156"/>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6"/>
                <w:sz w:val="24"/>
                <w:szCs w:val="24"/>
              </w:rPr>
              <w:t>0.5</w:t>
            </w:r>
            <w:r>
              <w:rPr>
                <w:rFonts w:hint="eastAsia" w:asciiTheme="majorEastAsia" w:hAnsiTheme="majorEastAsia" w:eastAsiaTheme="majorEastAsia" w:cstheme="majorEastAsia"/>
                <w:spacing w:val="-6"/>
                <w:sz w:val="24"/>
                <w:szCs w:val="24"/>
              </w:rPr>
              <w:t>万元</w:t>
            </w:r>
            <w:r>
              <w:rPr>
                <w:rFonts w:hint="eastAsia" w:asciiTheme="majorEastAsia" w:hAnsiTheme="majorEastAsia" w:eastAsiaTheme="majorEastAsia" w:cstheme="majorEastAsia"/>
                <w:b/>
                <w:bCs/>
                <w:spacing w:val="-6"/>
                <w:sz w:val="24"/>
                <w:szCs w:val="24"/>
              </w:rPr>
              <w:t>/</w:t>
            </w:r>
            <w:r>
              <w:rPr>
                <w:rFonts w:hint="eastAsia" w:asciiTheme="majorEastAsia" w:hAnsiTheme="majorEastAsia" w:eastAsiaTheme="majorEastAsia" w:cstheme="majorEastAsia"/>
                <w:spacing w:val="-6"/>
                <w:sz w:val="24"/>
                <w:szCs w:val="24"/>
              </w:rPr>
              <w:t>次</w:t>
            </w:r>
          </w:p>
        </w:tc>
        <w:tc>
          <w:tcPr>
            <w:tcW w:w="2564" w:type="dxa"/>
            <w:gridSpan w:val="2"/>
            <w:vMerge w:val="continue"/>
            <w:tcBorders>
              <w:top w:val="nil"/>
            </w:tcBorders>
            <w:vAlign w:val="top"/>
          </w:tcPr>
          <w:p w14:paraId="7CF237C2">
            <w:pPr>
              <w:rPr>
                <w:rFonts w:hint="eastAsia" w:asciiTheme="majorEastAsia" w:hAnsiTheme="majorEastAsia" w:eastAsiaTheme="majorEastAsia" w:cstheme="majorEastAsia"/>
                <w:sz w:val="24"/>
                <w:szCs w:val="24"/>
              </w:rPr>
            </w:pPr>
          </w:p>
        </w:tc>
      </w:tr>
      <w:tr w14:paraId="628B0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428" w:type="dxa"/>
            <w:vAlign w:val="top"/>
          </w:tcPr>
          <w:p w14:paraId="78B451A9">
            <w:pPr>
              <w:spacing w:before="229" w:line="218" w:lineRule="auto"/>
              <w:ind w:left="445"/>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pacing w:val="-7"/>
                <w:sz w:val="24"/>
                <w:szCs w:val="24"/>
              </w:rPr>
              <w:t>合计</w:t>
            </w:r>
          </w:p>
        </w:tc>
        <w:tc>
          <w:tcPr>
            <w:tcW w:w="7945" w:type="dxa"/>
            <w:gridSpan w:val="5"/>
            <w:vAlign w:val="top"/>
          </w:tcPr>
          <w:p w14:paraId="62906ADC">
            <w:pPr>
              <w:pStyle w:val="27"/>
              <w:spacing w:before="230" w:line="221" w:lineRule="auto"/>
              <w:ind w:left="3414"/>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pacing w:val="-2"/>
                <w:sz w:val="24"/>
                <w:szCs w:val="24"/>
              </w:rPr>
              <w:t>495.25</w:t>
            </w:r>
            <w:r>
              <w:rPr>
                <w:rFonts w:hint="eastAsia" w:asciiTheme="majorEastAsia" w:hAnsiTheme="majorEastAsia" w:eastAsiaTheme="majorEastAsia" w:cstheme="majorEastAsia"/>
                <w:spacing w:val="-2"/>
                <w:sz w:val="24"/>
                <w:szCs w:val="24"/>
              </w:rPr>
              <w:t>万</w:t>
            </w:r>
          </w:p>
        </w:tc>
      </w:tr>
    </w:tbl>
    <w:p w14:paraId="40CDF10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疫木除治经费最终以镇街实际验收数量审计结算为准。各镇街松材线虫病防控工作成效将作为区财政资金使用绩效评估重要依据。区林业分局将根据省级、市级年度松材线虫病防控质量评估成果和区级日常检查情况对各相关镇街疫病防控工作成效进行评定，对防控成效优秀的镇街，将在当年工作经费拨付中给予适当倾斜；对措施不力，防控成效较差的镇街，将酌情扣发此项工作经费。</w:t>
      </w:r>
    </w:p>
    <w:p w14:paraId="556E4CA6">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对现场环境不适合焚烧，需主材下山的疫木，各镇街应做好本辖区内疫木无害化处理的对接工作，督促无害化企业及时支付疫木收购费用，疫木收购费补贴除治公司用于搬运、装车、运输等支出。</w:t>
      </w:r>
    </w:p>
    <w:p w14:paraId="081B64BE">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六、保障措施</w:t>
      </w:r>
    </w:p>
    <w:p w14:paraId="1B30CA74">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（一）加强组织领导，明确工作职责，层层落实目标责任制</w:t>
      </w:r>
    </w:p>
    <w:p w14:paraId="25508D22">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区林业分局负责松材线虫病防治的检疫检查、疫情监测、除治方案的设计、技术指导以及相关监督管理工作；区财政局负责松材线虫病防治工作经费的安排，资金使用的管理监督检查；各镇街负责疫木除治、统一清理和除治工作的监督；其他各单位部门在各自职责范围内做好松材线虫病防治相关工作。</w:t>
      </w:r>
    </w:p>
    <w:p w14:paraId="2FEBF318">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（二）落实防控资金，严格资金管理</w:t>
      </w:r>
    </w:p>
    <w:p w14:paraId="4D2CEFAF">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松材线虫病防控经费实行地方投入为主，国家重点扶持为辅的原则。区财政年初优先安排松材线虫病防控资金，并建立有效的资金使用管理和监督制度。</w:t>
      </w:r>
    </w:p>
    <w:p w14:paraId="5B313D19">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（三）加强疫情监测，做好联防联治</w:t>
      </w:r>
    </w:p>
    <w:p w14:paraId="028EC544">
      <w:pPr>
        <w:widowControl w:val="0"/>
        <w:spacing w:before="78" w:line="360" w:lineRule="auto"/>
        <w:ind w:firstLine="460" w:firstLineChars="200"/>
        <w:rPr>
          <w:rFonts w:hint="eastAsia" w:asciiTheme="minorEastAsia" w:hAnsiTheme="minorEastAsia" w:eastAsiaTheme="minorEastAsia" w:cstheme="minorEastAsia"/>
          <w:b w:val="0"/>
          <w:bCs w:val="0"/>
          <w:color w:val="auto"/>
          <w:spacing w:val="-5"/>
          <w:sz w:val="24"/>
          <w:szCs w:val="24"/>
          <w:lang w:eastAsia="zh-CN"/>
        </w:rPr>
      </w:pPr>
      <w:r>
        <w:rPr>
          <w:rFonts w:hint="eastAsia" w:asciiTheme="minorEastAsia" w:hAnsiTheme="minorEastAsia" w:eastAsiaTheme="minorEastAsia" w:cstheme="minorEastAsia"/>
          <w:b w:val="0"/>
          <w:bCs w:val="0"/>
          <w:color w:val="auto"/>
          <w:spacing w:val="-5"/>
          <w:sz w:val="24"/>
          <w:szCs w:val="24"/>
          <w:lang w:eastAsia="zh-CN"/>
        </w:rPr>
        <w:t>各镇街应加强疫情监测的及时性、准确性和全覆盖，加强与周边县（市、区）协调联防，在周边县（市、区）交界区域增设固定疫情监测点，加强监测，一旦发现疫情及时上报。</w:t>
      </w:r>
    </w:p>
    <w:p w14:paraId="0D9AEC15">
      <w:pPr>
        <w:widowControl w:val="0"/>
        <w:spacing w:before="78" w:line="360" w:lineRule="auto"/>
        <w:ind w:firstLine="462" w:firstLineChars="200"/>
        <w:rPr>
          <w:rFonts w:hint="eastAsia" w:asciiTheme="minorEastAsia" w:hAnsiTheme="minorEastAsia" w:eastAsiaTheme="minorEastAsia" w:cstheme="minorEastAsia"/>
          <w:b/>
          <w:bCs/>
          <w:color w:val="auto"/>
          <w:spacing w:val="-5"/>
          <w:sz w:val="24"/>
          <w:szCs w:val="24"/>
          <w:lang w:eastAsia="zh-CN"/>
        </w:rPr>
      </w:pPr>
      <w:r>
        <w:rPr>
          <w:rFonts w:hint="eastAsia" w:asciiTheme="minorEastAsia" w:hAnsiTheme="minorEastAsia" w:eastAsiaTheme="minorEastAsia" w:cstheme="minorEastAsia"/>
          <w:b/>
          <w:bCs/>
          <w:color w:val="auto"/>
          <w:spacing w:val="-5"/>
          <w:sz w:val="24"/>
          <w:szCs w:val="24"/>
          <w:lang w:eastAsia="zh-CN"/>
        </w:rPr>
        <w:t>（四）加强技术指导，提高科学防治水平</w:t>
      </w:r>
    </w:p>
    <w:p w14:paraId="5F2D2EBB">
      <w:pPr>
        <w:pageBreakBefore w:val="0"/>
        <w:widowControl w:val="0"/>
        <w:wordWrap/>
        <w:overflowPunct/>
        <w:topLinePunct w:val="0"/>
        <w:bidi w:val="0"/>
        <w:spacing w:line="360" w:lineRule="auto"/>
        <w:outlineLvl w:val="9"/>
        <w:rPr>
          <w:color w:val="auto"/>
          <w:highlight w:val="none"/>
        </w:rPr>
      </w:pPr>
      <w:r>
        <w:rPr>
          <w:rFonts w:hint="eastAsia" w:asciiTheme="minorEastAsia" w:hAnsiTheme="minorEastAsia" w:eastAsiaTheme="minorEastAsia" w:cstheme="minorEastAsia"/>
          <w:b w:val="0"/>
          <w:bCs w:val="0"/>
          <w:color w:val="auto"/>
          <w:spacing w:val="-5"/>
          <w:sz w:val="24"/>
          <w:szCs w:val="24"/>
          <w:lang w:eastAsia="zh-CN"/>
        </w:rPr>
        <w:t>认真做好基层监测和防治人员的技术培训工作，特别是做好镇街和村级监测员、护林员的培训。尽快对各种行之有效的防治技术进行组装配套。需要重点保护的地区，必须开展多措并举的综合防控。</w:t>
      </w:r>
    </w:p>
    <w:p w14:paraId="50544940">
      <w:pPr>
        <w:pageBreakBefore w:val="0"/>
        <w:widowControl w:val="0"/>
        <w:wordWrap/>
        <w:overflowPunct/>
        <w:topLinePunct w:val="0"/>
        <w:bidi w:val="0"/>
        <w:spacing w:line="242" w:lineRule="auto"/>
        <w:outlineLvl w:val="9"/>
        <w:rPr>
          <w:color w:val="auto"/>
          <w:highlight w:val="none"/>
        </w:rPr>
      </w:pPr>
    </w:p>
    <w:p w14:paraId="025077BE">
      <w:pPr>
        <w:pageBreakBefore w:val="0"/>
        <w:widowControl w:val="0"/>
        <w:wordWrap/>
        <w:overflowPunct/>
        <w:topLinePunct w:val="0"/>
        <w:bidi w:val="0"/>
        <w:spacing w:line="242" w:lineRule="auto"/>
        <w:outlineLvl w:val="9"/>
        <w:rPr>
          <w:color w:val="auto"/>
          <w:highlight w:val="none"/>
        </w:rPr>
      </w:pPr>
    </w:p>
    <w:p w14:paraId="40676D53">
      <w:pPr>
        <w:pageBreakBefore w:val="0"/>
        <w:widowControl w:val="0"/>
        <w:wordWrap/>
        <w:overflowPunct/>
        <w:topLinePunct w:val="0"/>
        <w:bidi w:val="0"/>
        <w:spacing w:line="242" w:lineRule="auto"/>
        <w:outlineLvl w:val="9"/>
        <w:rPr>
          <w:color w:val="auto"/>
          <w:highlight w:val="none"/>
        </w:rPr>
      </w:pPr>
    </w:p>
    <w:p w14:paraId="77E22BD2">
      <w:pPr>
        <w:pageBreakBefore w:val="0"/>
        <w:widowControl w:val="0"/>
        <w:wordWrap/>
        <w:overflowPunct/>
        <w:topLinePunct w:val="0"/>
        <w:bidi w:val="0"/>
        <w:spacing w:line="242" w:lineRule="auto"/>
        <w:outlineLvl w:val="9"/>
        <w:rPr>
          <w:color w:val="auto"/>
          <w:highlight w:val="none"/>
        </w:rPr>
      </w:pPr>
    </w:p>
    <w:p w14:paraId="71F84067">
      <w:pPr>
        <w:pageBreakBefore w:val="0"/>
        <w:widowControl w:val="0"/>
        <w:wordWrap/>
        <w:overflowPunct/>
        <w:topLinePunct w:val="0"/>
        <w:bidi w:val="0"/>
        <w:spacing w:line="242" w:lineRule="auto"/>
        <w:outlineLvl w:val="9"/>
        <w:rPr>
          <w:color w:val="auto"/>
          <w:highlight w:val="none"/>
        </w:rPr>
      </w:pPr>
    </w:p>
    <w:p w14:paraId="6CD0063E">
      <w:pPr>
        <w:pageBreakBefore w:val="0"/>
        <w:widowControl w:val="0"/>
        <w:wordWrap/>
        <w:overflowPunct/>
        <w:topLinePunct w:val="0"/>
        <w:bidi w:val="0"/>
        <w:spacing w:before="78" w:line="219" w:lineRule="auto"/>
        <w:outlineLvl w:val="9"/>
        <w:rPr>
          <w:rFonts w:hint="default" w:ascii="宋体" w:hAnsi="宋体" w:eastAsia="宋体" w:cs="宋体"/>
          <w:b/>
          <w:bCs/>
          <w:color w:val="auto"/>
          <w:sz w:val="24"/>
          <w:szCs w:val="24"/>
          <w:highlight w:val="none"/>
          <w:lang w:val="en-US" w:eastAsia="zh-CN"/>
        </w:rPr>
      </w:pPr>
      <w:r>
        <w:rPr>
          <w:rFonts w:ascii="宋体" w:hAnsi="宋体" w:eastAsia="宋体" w:cs="宋体"/>
          <w:b/>
          <w:bCs/>
          <w:color w:val="auto"/>
          <w:spacing w:val="-6"/>
          <w:sz w:val="24"/>
          <w:szCs w:val="24"/>
          <w:highlight w:val="none"/>
          <w:lang w:eastAsia="zh-CN"/>
        </w:rPr>
        <w:t>（二）商务条</w:t>
      </w:r>
      <w:r>
        <w:rPr>
          <w:rFonts w:hint="eastAsia" w:ascii="宋体" w:hAnsi="宋体" w:eastAsia="宋体" w:cs="宋体"/>
          <w:b/>
          <w:bCs/>
          <w:color w:val="auto"/>
          <w:spacing w:val="-6"/>
          <w:sz w:val="24"/>
          <w:szCs w:val="24"/>
          <w:highlight w:val="none"/>
          <w:lang w:val="en-US" w:eastAsia="zh-CN"/>
        </w:rPr>
        <w:t>款</w:t>
      </w:r>
    </w:p>
    <w:p w14:paraId="48D7B8A7">
      <w:pPr>
        <w:pageBreakBefore w:val="0"/>
        <w:widowControl w:val="0"/>
        <w:wordWrap/>
        <w:overflowPunct/>
        <w:topLinePunct w:val="0"/>
        <w:bidi w:val="0"/>
        <w:spacing w:line="249" w:lineRule="auto"/>
        <w:outlineLvl w:val="9"/>
        <w:rPr>
          <w:color w:val="auto"/>
          <w:highlight w:val="none"/>
          <w:lang w:eastAsia="zh-CN"/>
        </w:rPr>
      </w:pPr>
    </w:p>
    <w:p w14:paraId="7C9426DC">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1、服务要求：</w:t>
      </w:r>
    </w:p>
    <w:p w14:paraId="1C500CDC">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报价要求：本项目采取固定总价模式</w:t>
      </w:r>
      <w:r>
        <w:rPr>
          <w:rFonts w:hint="eastAsia" w:asciiTheme="minorEastAsia" w:hAnsiTheme="minorEastAsia" w:eastAsiaTheme="minorEastAsia" w:cstheme="minorEastAsia"/>
          <w:bCs/>
          <w:color w:val="auto"/>
          <w:sz w:val="24"/>
          <w:szCs w:val="24"/>
          <w:lang w:val="en-US" w:eastAsia="zh-CN"/>
        </w:rPr>
        <w:t>统一</w:t>
      </w:r>
      <w:r>
        <w:rPr>
          <w:rFonts w:hint="eastAsia" w:asciiTheme="minorEastAsia" w:hAnsiTheme="minorEastAsia" w:eastAsiaTheme="minorEastAsia" w:cstheme="minorEastAsia"/>
          <w:bCs/>
          <w:color w:val="auto"/>
          <w:sz w:val="24"/>
          <w:szCs w:val="24"/>
          <w:lang w:eastAsia="zh-CN"/>
        </w:rPr>
        <w:t>报价</w:t>
      </w:r>
      <w:r>
        <w:rPr>
          <w:rFonts w:hint="eastAsia" w:asciiTheme="minorEastAsia" w:hAnsiTheme="minorEastAsia" w:eastAsiaTheme="minorEastAsia" w:cstheme="minorEastAsia"/>
          <w:bCs/>
          <w:color w:val="auto"/>
          <w:sz w:val="24"/>
          <w:szCs w:val="24"/>
          <w:lang w:val="en-US" w:eastAsia="zh-CN"/>
        </w:rPr>
        <w:t>360000元</w:t>
      </w: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lang w:val="en-US" w:eastAsia="zh-CN"/>
        </w:rPr>
        <w:t>按《</w:t>
      </w:r>
      <w:r>
        <w:rPr>
          <w:rFonts w:hint="eastAsia" w:asciiTheme="minorEastAsia" w:hAnsiTheme="minorEastAsia" w:eastAsiaTheme="minorEastAsia" w:cstheme="minorEastAsia"/>
          <w:bCs/>
          <w:color w:val="auto"/>
          <w:sz w:val="24"/>
          <w:szCs w:val="24"/>
          <w:lang w:eastAsia="zh-CN"/>
        </w:rPr>
        <w:t>饶信府字【2025】83号》文件规定要求，结合实际根据地势、交通等因素确定疫木除治单价，疫木除治单价固定为</w:t>
      </w:r>
      <w:r>
        <w:rPr>
          <w:rFonts w:hint="eastAsia" w:asciiTheme="minorEastAsia" w:hAnsiTheme="minorEastAsia" w:eastAsiaTheme="minorEastAsia" w:cstheme="minorEastAsia"/>
          <w:bCs/>
          <w:color w:val="auto"/>
          <w:sz w:val="24"/>
          <w:szCs w:val="24"/>
          <w:lang w:val="en-US" w:eastAsia="zh-CN"/>
        </w:rPr>
        <w:t>6</w:t>
      </w:r>
      <w:r>
        <w:rPr>
          <w:rFonts w:hint="eastAsia" w:asciiTheme="minorEastAsia" w:hAnsiTheme="minorEastAsia" w:eastAsiaTheme="minorEastAsia" w:cstheme="minorEastAsia"/>
          <w:bCs/>
          <w:color w:val="auto"/>
          <w:sz w:val="24"/>
          <w:szCs w:val="24"/>
          <w:lang w:eastAsia="zh-CN"/>
        </w:rPr>
        <w:t>0元/株）。（注：投标报价超过最高限价的作无效标处理。）</w:t>
      </w:r>
    </w:p>
    <w:p w14:paraId="5E9FBB35">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本项目</w:t>
      </w:r>
      <w:r>
        <w:rPr>
          <w:rFonts w:hint="eastAsia" w:asciiTheme="minorEastAsia" w:hAnsiTheme="minorEastAsia" w:eastAsiaTheme="minorEastAsia" w:cstheme="minorEastAsia"/>
          <w:bCs/>
          <w:color w:val="auto"/>
          <w:sz w:val="24"/>
          <w:szCs w:val="24"/>
          <w:lang w:val="en-US" w:eastAsia="zh-CN"/>
        </w:rPr>
        <w:t>磋商</w:t>
      </w:r>
      <w:r>
        <w:rPr>
          <w:rFonts w:hint="eastAsia" w:asciiTheme="minorEastAsia" w:hAnsiTheme="minorEastAsia" w:eastAsiaTheme="minorEastAsia" w:cstheme="minorEastAsia"/>
          <w:bCs/>
          <w:color w:val="auto"/>
          <w:sz w:val="24"/>
          <w:szCs w:val="24"/>
          <w:lang w:eastAsia="zh-CN"/>
        </w:rPr>
        <w:t>报价包人工、包材料、包运输、包机械、包质量、包工期、包安全、包税费等完成该项目所需要的一切费用。最终具体以地势、交通等因素确定疫木除治单价且按实际发生的数量（株）进行结算。</w:t>
      </w:r>
    </w:p>
    <w:p w14:paraId="5928225B">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2、付款方式：</w:t>
      </w:r>
      <w:r>
        <w:rPr>
          <w:rFonts w:ascii="宋体" w:hAnsi="宋体" w:eastAsia="宋体" w:cs="宋体"/>
          <w:color w:val="auto"/>
          <w:spacing w:val="-2"/>
          <w:sz w:val="24"/>
          <w:szCs w:val="24"/>
        </w:rPr>
        <w:t>服务期每个月采购人在收到成</w:t>
      </w:r>
      <w:r>
        <w:rPr>
          <w:rFonts w:ascii="宋体" w:hAnsi="宋体" w:eastAsia="宋体" w:cs="宋体"/>
          <w:color w:val="auto"/>
          <w:spacing w:val="-3"/>
          <w:sz w:val="24"/>
          <w:szCs w:val="24"/>
        </w:rPr>
        <w:t>交供应商发票之日起15个工作日内，并按时</w:t>
      </w:r>
      <w:r>
        <w:rPr>
          <w:rFonts w:ascii="宋体" w:hAnsi="宋体" w:eastAsia="宋体" w:cs="宋体"/>
          <w:color w:val="auto"/>
          <w:spacing w:val="-5"/>
          <w:sz w:val="24"/>
          <w:szCs w:val="24"/>
        </w:rPr>
        <w:t>间发生的数量（株）</w:t>
      </w:r>
      <w:r>
        <w:rPr>
          <w:rFonts w:ascii="宋体" w:hAnsi="宋体" w:eastAsia="宋体" w:cs="宋体"/>
          <w:color w:val="auto"/>
          <w:spacing w:val="-74"/>
          <w:sz w:val="24"/>
          <w:szCs w:val="24"/>
        </w:rPr>
        <w:t xml:space="preserve"> </w:t>
      </w:r>
      <w:r>
        <w:rPr>
          <w:rFonts w:ascii="宋体" w:hAnsi="宋体" w:eastAsia="宋体" w:cs="宋体"/>
          <w:color w:val="auto"/>
          <w:spacing w:val="-5"/>
          <w:sz w:val="24"/>
          <w:szCs w:val="24"/>
        </w:rPr>
        <w:t>×防疫木除治单价进行结算支付</w:t>
      </w:r>
      <w:r>
        <w:rPr>
          <w:rFonts w:hint="eastAsia" w:asciiTheme="minorEastAsia" w:hAnsiTheme="minorEastAsia" w:eastAsiaTheme="minorEastAsia" w:cstheme="minorEastAsia"/>
          <w:bCs/>
          <w:color w:val="auto"/>
          <w:sz w:val="24"/>
          <w:szCs w:val="24"/>
          <w:lang w:eastAsia="zh-CN"/>
        </w:rPr>
        <w:t>。</w:t>
      </w:r>
    </w:p>
    <w:p w14:paraId="7D94E028">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3、</w:t>
      </w:r>
      <w:r>
        <w:rPr>
          <w:rFonts w:hint="eastAsia" w:asciiTheme="minorEastAsia" w:hAnsiTheme="minorEastAsia" w:eastAsiaTheme="minorEastAsia" w:cstheme="minorEastAsia"/>
          <w:bCs/>
          <w:color w:val="auto"/>
          <w:sz w:val="24"/>
          <w:szCs w:val="24"/>
          <w:lang w:val="en-US" w:eastAsia="zh-CN"/>
        </w:rPr>
        <w:t>服务</w:t>
      </w:r>
      <w:r>
        <w:rPr>
          <w:rFonts w:hint="eastAsia" w:asciiTheme="minorEastAsia" w:hAnsiTheme="minorEastAsia" w:eastAsiaTheme="minorEastAsia" w:cstheme="minorEastAsia"/>
          <w:bCs/>
          <w:color w:val="auto"/>
          <w:sz w:val="24"/>
          <w:szCs w:val="24"/>
          <w:lang w:eastAsia="zh-CN"/>
        </w:rPr>
        <w:t>地点：茅家岭街道。</w:t>
      </w:r>
    </w:p>
    <w:p w14:paraId="5CD1436A">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4、服务期：合同签订后二个月内前完成。</w:t>
      </w:r>
    </w:p>
    <w:p w14:paraId="46D77BDC">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5、其它要求：</w:t>
      </w:r>
    </w:p>
    <w:p w14:paraId="467806DB">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中标人应保证采购人在中华人民共和国使用中标人所提供的货物或货物的任何一部分时，免受第三方提出的侵犯其专利权、商标权的起诉；如果任何第三方提出侵权指控，中标人承担一切与之有关的责任。</w:t>
      </w:r>
      <w:bookmarkStart w:id="3" w:name="bookmark82"/>
      <w:bookmarkEnd w:id="3"/>
    </w:p>
    <w:p w14:paraId="0BB268B4">
      <w:pPr>
        <w:widowControl w:val="0"/>
        <w:spacing w:before="78"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供应商承诺在项目所在地设立了直属分支机构或承诺派遗专职人员驻点，保证接到报修电话</w:t>
      </w:r>
      <w:r>
        <w:rPr>
          <w:rFonts w:hint="eastAsia" w:asciiTheme="minorEastAsia" w:hAnsiTheme="minorEastAsia" w:eastAsiaTheme="minorEastAsia" w:cstheme="minorEastAsia"/>
          <w:bCs/>
          <w:color w:val="auto"/>
          <w:sz w:val="24"/>
          <w:szCs w:val="24"/>
          <w:lang w:val="en-US" w:eastAsia="zh-CN"/>
        </w:rPr>
        <w:t>8</w:t>
      </w:r>
      <w:r>
        <w:rPr>
          <w:rFonts w:hint="eastAsia" w:asciiTheme="minorEastAsia" w:hAnsiTheme="minorEastAsia" w:eastAsiaTheme="minorEastAsia" w:cstheme="minorEastAsia"/>
          <w:bCs/>
          <w:color w:val="auto"/>
          <w:sz w:val="24"/>
          <w:szCs w:val="24"/>
          <w:lang w:eastAsia="zh-CN"/>
        </w:rPr>
        <w:t>小时内到达指定地点。</w:t>
      </w:r>
    </w:p>
    <w:p w14:paraId="3E60FE87">
      <w:pPr>
        <w:pageBreakBefore w:val="0"/>
        <w:widowControl w:val="0"/>
        <w:wordWrap/>
        <w:overflowPunct/>
        <w:topLinePunct w:val="0"/>
        <w:bidi w:val="0"/>
        <w:spacing w:line="249" w:lineRule="auto"/>
        <w:outlineLvl w:val="9"/>
        <w:rPr>
          <w:color w:val="auto"/>
          <w:highlight w:val="none"/>
          <w:lang w:eastAsia="zh-CN"/>
        </w:rPr>
      </w:pPr>
    </w:p>
    <w:p w14:paraId="662C4735">
      <w:pPr>
        <w:pageBreakBefore w:val="0"/>
        <w:widowControl w:val="0"/>
        <w:wordWrap/>
        <w:overflowPunct/>
        <w:topLinePunct w:val="0"/>
        <w:bidi w:val="0"/>
        <w:spacing w:line="249" w:lineRule="auto"/>
        <w:outlineLvl w:val="9"/>
        <w:rPr>
          <w:color w:val="auto"/>
          <w:highlight w:val="none"/>
          <w:lang w:eastAsia="zh-CN"/>
        </w:rPr>
      </w:pPr>
    </w:p>
    <w:p w14:paraId="76FBD907">
      <w:pPr>
        <w:pageBreakBefore w:val="0"/>
        <w:widowControl w:val="0"/>
        <w:wordWrap/>
        <w:overflowPunct/>
        <w:topLinePunct w:val="0"/>
        <w:bidi w:val="0"/>
        <w:spacing w:line="249" w:lineRule="auto"/>
        <w:outlineLvl w:val="9"/>
        <w:rPr>
          <w:color w:val="auto"/>
          <w:highlight w:val="none"/>
          <w:lang w:eastAsia="zh-CN"/>
        </w:rPr>
      </w:pPr>
    </w:p>
    <w:p w14:paraId="653CD893">
      <w:pPr>
        <w:pStyle w:val="7"/>
        <w:pageBreakBefore w:val="0"/>
        <w:overflowPunct/>
        <w:topLinePunct w:val="0"/>
        <w:bidi w:val="0"/>
        <w:outlineLvl w:val="9"/>
        <w:rPr>
          <w:color w:val="auto"/>
          <w:highlight w:val="none"/>
          <w:lang w:eastAsia="zh-CN"/>
        </w:rPr>
      </w:pPr>
      <w:bookmarkStart w:id="4" w:name="_GoBack"/>
      <w:bookmarkEnd w:id="4"/>
    </w:p>
    <w:sectPr>
      <w:footerReference r:id="rId4" w:type="default"/>
      <w:pgSz w:w="11906" w:h="16839"/>
      <w:pgMar w:top="1134" w:right="1134" w:bottom="1134" w:left="1134" w:header="0" w:footer="994" w:gutter="0"/>
      <w:pgNumType w:fmt="decimal"/>
      <w:cols w:space="72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Arial"/>
    <w:panose1 w:val="020B0604020202020204"/>
    <w:charset w:val="00"/>
    <w:family w:val="roman"/>
    <w:pitch w:val="default"/>
    <w:sig w:usb0="00000000" w:usb1="00000000" w:usb2="00000000" w:usb3="00000000" w:csb0="00000001" w:csb1="0000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 w:name="WPSEMBED8">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11"/>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4E6C2D"/>
    <w:rsid w:val="005B1C4A"/>
    <w:rsid w:val="005D75BC"/>
    <w:rsid w:val="006308AB"/>
    <w:rsid w:val="007E7821"/>
    <w:rsid w:val="00847DE1"/>
    <w:rsid w:val="00A95A9A"/>
    <w:rsid w:val="00CD47AB"/>
    <w:rsid w:val="00D6521D"/>
    <w:rsid w:val="00F72BE7"/>
    <w:rsid w:val="013D404E"/>
    <w:rsid w:val="014707D5"/>
    <w:rsid w:val="0183453D"/>
    <w:rsid w:val="019B3009"/>
    <w:rsid w:val="01C0501B"/>
    <w:rsid w:val="01D12DF8"/>
    <w:rsid w:val="01D856D2"/>
    <w:rsid w:val="01E178D6"/>
    <w:rsid w:val="01F176F8"/>
    <w:rsid w:val="023D46EC"/>
    <w:rsid w:val="02F62DEB"/>
    <w:rsid w:val="03A14F29"/>
    <w:rsid w:val="044D1E30"/>
    <w:rsid w:val="047C47B6"/>
    <w:rsid w:val="04F64D19"/>
    <w:rsid w:val="04FA27AC"/>
    <w:rsid w:val="052B325D"/>
    <w:rsid w:val="055600A9"/>
    <w:rsid w:val="059A29F4"/>
    <w:rsid w:val="05A90C13"/>
    <w:rsid w:val="05F07017"/>
    <w:rsid w:val="062D088E"/>
    <w:rsid w:val="06F25881"/>
    <w:rsid w:val="076566A7"/>
    <w:rsid w:val="079A2F4B"/>
    <w:rsid w:val="07B64740"/>
    <w:rsid w:val="081F5E69"/>
    <w:rsid w:val="0893590C"/>
    <w:rsid w:val="08D800EA"/>
    <w:rsid w:val="08D86F1C"/>
    <w:rsid w:val="098C4275"/>
    <w:rsid w:val="099C2AD0"/>
    <w:rsid w:val="09E36E7B"/>
    <w:rsid w:val="0A385599"/>
    <w:rsid w:val="0A5474C3"/>
    <w:rsid w:val="0A5F7AD5"/>
    <w:rsid w:val="0A630BD7"/>
    <w:rsid w:val="0AAA50E9"/>
    <w:rsid w:val="0ABB6AF5"/>
    <w:rsid w:val="0B201BF1"/>
    <w:rsid w:val="0B212C64"/>
    <w:rsid w:val="0B3C7C36"/>
    <w:rsid w:val="0B614FF2"/>
    <w:rsid w:val="0B8D0492"/>
    <w:rsid w:val="0BCE5A19"/>
    <w:rsid w:val="0BD25EA5"/>
    <w:rsid w:val="0C027923"/>
    <w:rsid w:val="0C1E16F8"/>
    <w:rsid w:val="0C3B4061"/>
    <w:rsid w:val="0C4F6BDA"/>
    <w:rsid w:val="0DB63714"/>
    <w:rsid w:val="0DBF7C0D"/>
    <w:rsid w:val="0DD264ED"/>
    <w:rsid w:val="0DD809E2"/>
    <w:rsid w:val="0DE84CCE"/>
    <w:rsid w:val="0E045967"/>
    <w:rsid w:val="0E306947"/>
    <w:rsid w:val="0E4F3BC3"/>
    <w:rsid w:val="0E7A2A88"/>
    <w:rsid w:val="0EAA115A"/>
    <w:rsid w:val="0F8346BB"/>
    <w:rsid w:val="0FA80009"/>
    <w:rsid w:val="0FAD17DF"/>
    <w:rsid w:val="0FAE5D7D"/>
    <w:rsid w:val="107F306E"/>
    <w:rsid w:val="10D80401"/>
    <w:rsid w:val="114948FA"/>
    <w:rsid w:val="119D0D43"/>
    <w:rsid w:val="11CB5781"/>
    <w:rsid w:val="121E36B7"/>
    <w:rsid w:val="126757A9"/>
    <w:rsid w:val="128B5679"/>
    <w:rsid w:val="1292624E"/>
    <w:rsid w:val="12955EB0"/>
    <w:rsid w:val="129C0FBA"/>
    <w:rsid w:val="129D2A07"/>
    <w:rsid w:val="139F6FB4"/>
    <w:rsid w:val="143E0B0F"/>
    <w:rsid w:val="148D0306"/>
    <w:rsid w:val="14B561ED"/>
    <w:rsid w:val="14F13A81"/>
    <w:rsid w:val="1538599A"/>
    <w:rsid w:val="155802A4"/>
    <w:rsid w:val="158B0678"/>
    <w:rsid w:val="15A703A2"/>
    <w:rsid w:val="15D1725F"/>
    <w:rsid w:val="16422A31"/>
    <w:rsid w:val="166C4D26"/>
    <w:rsid w:val="16A356CC"/>
    <w:rsid w:val="16E53E90"/>
    <w:rsid w:val="173418E5"/>
    <w:rsid w:val="17342109"/>
    <w:rsid w:val="178E538D"/>
    <w:rsid w:val="17D60801"/>
    <w:rsid w:val="182E6B2B"/>
    <w:rsid w:val="18363C5F"/>
    <w:rsid w:val="186009B5"/>
    <w:rsid w:val="18846779"/>
    <w:rsid w:val="18C97898"/>
    <w:rsid w:val="18E4551E"/>
    <w:rsid w:val="18E84F59"/>
    <w:rsid w:val="18F643B3"/>
    <w:rsid w:val="19241D0A"/>
    <w:rsid w:val="193E2DCB"/>
    <w:rsid w:val="196206F1"/>
    <w:rsid w:val="198158BA"/>
    <w:rsid w:val="19DB5E7F"/>
    <w:rsid w:val="19F33BB6"/>
    <w:rsid w:val="1A551963"/>
    <w:rsid w:val="1AAF3BB2"/>
    <w:rsid w:val="1AD0292A"/>
    <w:rsid w:val="1AF44F33"/>
    <w:rsid w:val="1B1E113A"/>
    <w:rsid w:val="1B4548E5"/>
    <w:rsid w:val="1B702014"/>
    <w:rsid w:val="1B8F6D81"/>
    <w:rsid w:val="1BD32665"/>
    <w:rsid w:val="1BD47A17"/>
    <w:rsid w:val="1D085BCA"/>
    <w:rsid w:val="1D74500E"/>
    <w:rsid w:val="1DA110CA"/>
    <w:rsid w:val="1DD800C0"/>
    <w:rsid w:val="1E43791C"/>
    <w:rsid w:val="1EB678A8"/>
    <w:rsid w:val="1F1048EB"/>
    <w:rsid w:val="1F274302"/>
    <w:rsid w:val="1F2952CA"/>
    <w:rsid w:val="1FAB6CE1"/>
    <w:rsid w:val="1FCD3D8A"/>
    <w:rsid w:val="20026D16"/>
    <w:rsid w:val="206155F1"/>
    <w:rsid w:val="207F650F"/>
    <w:rsid w:val="20B54DB2"/>
    <w:rsid w:val="21042B4C"/>
    <w:rsid w:val="210A6AC5"/>
    <w:rsid w:val="213A566A"/>
    <w:rsid w:val="21444A90"/>
    <w:rsid w:val="2195298B"/>
    <w:rsid w:val="21CE72BA"/>
    <w:rsid w:val="22072FB3"/>
    <w:rsid w:val="22112B50"/>
    <w:rsid w:val="2213763F"/>
    <w:rsid w:val="224433AA"/>
    <w:rsid w:val="22791318"/>
    <w:rsid w:val="22A85555"/>
    <w:rsid w:val="22FD3CF7"/>
    <w:rsid w:val="23056708"/>
    <w:rsid w:val="232A7934"/>
    <w:rsid w:val="234D0A23"/>
    <w:rsid w:val="23746473"/>
    <w:rsid w:val="23B5012E"/>
    <w:rsid w:val="23C04A55"/>
    <w:rsid w:val="248E1514"/>
    <w:rsid w:val="24920136"/>
    <w:rsid w:val="25076D21"/>
    <w:rsid w:val="25533D7B"/>
    <w:rsid w:val="25823163"/>
    <w:rsid w:val="25E2090D"/>
    <w:rsid w:val="25F37706"/>
    <w:rsid w:val="26516CA2"/>
    <w:rsid w:val="26A07A67"/>
    <w:rsid w:val="26BE3321"/>
    <w:rsid w:val="2722776F"/>
    <w:rsid w:val="27457A1B"/>
    <w:rsid w:val="274B704D"/>
    <w:rsid w:val="279C2686"/>
    <w:rsid w:val="279C2ED0"/>
    <w:rsid w:val="27EF1D1C"/>
    <w:rsid w:val="28042C4F"/>
    <w:rsid w:val="280660E7"/>
    <w:rsid w:val="283965C3"/>
    <w:rsid w:val="28706D19"/>
    <w:rsid w:val="28CF7D70"/>
    <w:rsid w:val="28DA1BB1"/>
    <w:rsid w:val="291F3D28"/>
    <w:rsid w:val="29DA5D7B"/>
    <w:rsid w:val="29F02881"/>
    <w:rsid w:val="2A071140"/>
    <w:rsid w:val="2AB2711F"/>
    <w:rsid w:val="2AC967C3"/>
    <w:rsid w:val="2B020E86"/>
    <w:rsid w:val="2B0F5B99"/>
    <w:rsid w:val="2B20622F"/>
    <w:rsid w:val="2B5C1158"/>
    <w:rsid w:val="2B6C5691"/>
    <w:rsid w:val="2B797C93"/>
    <w:rsid w:val="2BDA2720"/>
    <w:rsid w:val="2BE93C1A"/>
    <w:rsid w:val="2BED313B"/>
    <w:rsid w:val="2C695F59"/>
    <w:rsid w:val="2CA90A4C"/>
    <w:rsid w:val="2CE90E48"/>
    <w:rsid w:val="2CE97170"/>
    <w:rsid w:val="2CF55C1F"/>
    <w:rsid w:val="2D5B1D46"/>
    <w:rsid w:val="2D665E74"/>
    <w:rsid w:val="2D99286E"/>
    <w:rsid w:val="2DA9678E"/>
    <w:rsid w:val="2DF41412"/>
    <w:rsid w:val="2DF84522"/>
    <w:rsid w:val="2E234DC0"/>
    <w:rsid w:val="2E2B0E5E"/>
    <w:rsid w:val="2E575FCC"/>
    <w:rsid w:val="2E693B84"/>
    <w:rsid w:val="2E8645F4"/>
    <w:rsid w:val="2EB108A7"/>
    <w:rsid w:val="2ED9380E"/>
    <w:rsid w:val="2F3C1896"/>
    <w:rsid w:val="2F5F3B7C"/>
    <w:rsid w:val="2FAD15F5"/>
    <w:rsid w:val="2FB63E0A"/>
    <w:rsid w:val="2FC17E5A"/>
    <w:rsid w:val="30136908"/>
    <w:rsid w:val="302A2D00"/>
    <w:rsid w:val="305E1890"/>
    <w:rsid w:val="30677FAE"/>
    <w:rsid w:val="30FF6F51"/>
    <w:rsid w:val="31104BF6"/>
    <w:rsid w:val="31353885"/>
    <w:rsid w:val="314D409C"/>
    <w:rsid w:val="31526CE7"/>
    <w:rsid w:val="316B62D0"/>
    <w:rsid w:val="318178A1"/>
    <w:rsid w:val="31AC0DC2"/>
    <w:rsid w:val="31C55E0D"/>
    <w:rsid w:val="31E76326"/>
    <w:rsid w:val="31FE5396"/>
    <w:rsid w:val="321C6AB4"/>
    <w:rsid w:val="3233535A"/>
    <w:rsid w:val="323572F6"/>
    <w:rsid w:val="3292724F"/>
    <w:rsid w:val="329A3D4F"/>
    <w:rsid w:val="32BE2A91"/>
    <w:rsid w:val="33074498"/>
    <w:rsid w:val="330D4250"/>
    <w:rsid w:val="33525E3B"/>
    <w:rsid w:val="3392781A"/>
    <w:rsid w:val="33AE791F"/>
    <w:rsid w:val="33F26834"/>
    <w:rsid w:val="3408478C"/>
    <w:rsid w:val="34325184"/>
    <w:rsid w:val="346E1C27"/>
    <w:rsid w:val="34DF14AF"/>
    <w:rsid w:val="34F27B67"/>
    <w:rsid w:val="351D0E38"/>
    <w:rsid w:val="3522571C"/>
    <w:rsid w:val="35591BE5"/>
    <w:rsid w:val="35FE0154"/>
    <w:rsid w:val="36064E50"/>
    <w:rsid w:val="362863AF"/>
    <w:rsid w:val="36597105"/>
    <w:rsid w:val="36844F22"/>
    <w:rsid w:val="368F749F"/>
    <w:rsid w:val="36D178DD"/>
    <w:rsid w:val="37AF0454"/>
    <w:rsid w:val="37D05C01"/>
    <w:rsid w:val="381C0324"/>
    <w:rsid w:val="384E10B3"/>
    <w:rsid w:val="38590496"/>
    <w:rsid w:val="38613F89"/>
    <w:rsid w:val="3899102A"/>
    <w:rsid w:val="38B12F90"/>
    <w:rsid w:val="38B62F41"/>
    <w:rsid w:val="38E34C6A"/>
    <w:rsid w:val="38ED2E25"/>
    <w:rsid w:val="39012FAB"/>
    <w:rsid w:val="39225E0E"/>
    <w:rsid w:val="398A76FF"/>
    <w:rsid w:val="39A352DB"/>
    <w:rsid w:val="39D440DC"/>
    <w:rsid w:val="39D96E5F"/>
    <w:rsid w:val="3A1B5E20"/>
    <w:rsid w:val="3A6B125E"/>
    <w:rsid w:val="3A954F3B"/>
    <w:rsid w:val="3ACC4E51"/>
    <w:rsid w:val="3AD218BA"/>
    <w:rsid w:val="3B163B4E"/>
    <w:rsid w:val="3B3B216B"/>
    <w:rsid w:val="3B7E51F7"/>
    <w:rsid w:val="3B8811A4"/>
    <w:rsid w:val="3BAC10D3"/>
    <w:rsid w:val="3BC6514F"/>
    <w:rsid w:val="3C0F220A"/>
    <w:rsid w:val="3C1C4D96"/>
    <w:rsid w:val="3C267544"/>
    <w:rsid w:val="3C8C6D91"/>
    <w:rsid w:val="3CD44D29"/>
    <w:rsid w:val="3CDE029E"/>
    <w:rsid w:val="3D36354C"/>
    <w:rsid w:val="3D3831E2"/>
    <w:rsid w:val="3D5A0F8B"/>
    <w:rsid w:val="3DBB413B"/>
    <w:rsid w:val="3DC93A44"/>
    <w:rsid w:val="3DD11BB1"/>
    <w:rsid w:val="3DD54D90"/>
    <w:rsid w:val="3DED4811"/>
    <w:rsid w:val="3E1D6EB4"/>
    <w:rsid w:val="3E1F3CAD"/>
    <w:rsid w:val="3E292C29"/>
    <w:rsid w:val="3E417CA1"/>
    <w:rsid w:val="3E78615B"/>
    <w:rsid w:val="3E8E35FE"/>
    <w:rsid w:val="3E8F22E6"/>
    <w:rsid w:val="3F19434D"/>
    <w:rsid w:val="3F261A88"/>
    <w:rsid w:val="3F984C13"/>
    <w:rsid w:val="3FA82971"/>
    <w:rsid w:val="40271DD6"/>
    <w:rsid w:val="409F2538"/>
    <w:rsid w:val="41015B84"/>
    <w:rsid w:val="410C362B"/>
    <w:rsid w:val="4162149D"/>
    <w:rsid w:val="428E7BE1"/>
    <w:rsid w:val="42A12E8E"/>
    <w:rsid w:val="42B20B36"/>
    <w:rsid w:val="42B62128"/>
    <w:rsid w:val="42FB66C8"/>
    <w:rsid w:val="43192944"/>
    <w:rsid w:val="43394480"/>
    <w:rsid w:val="43F93E87"/>
    <w:rsid w:val="446025B9"/>
    <w:rsid w:val="447255E6"/>
    <w:rsid w:val="44B30D3B"/>
    <w:rsid w:val="44CD7E13"/>
    <w:rsid w:val="453A628D"/>
    <w:rsid w:val="454B2248"/>
    <w:rsid w:val="456B28EB"/>
    <w:rsid w:val="45B61DB8"/>
    <w:rsid w:val="45D2152F"/>
    <w:rsid w:val="45EE0F95"/>
    <w:rsid w:val="45F42F70"/>
    <w:rsid w:val="45F85626"/>
    <w:rsid w:val="462273F5"/>
    <w:rsid w:val="466556B5"/>
    <w:rsid w:val="46710516"/>
    <w:rsid w:val="467529A8"/>
    <w:rsid w:val="4692195B"/>
    <w:rsid w:val="46994609"/>
    <w:rsid w:val="46B609DC"/>
    <w:rsid w:val="470E15D4"/>
    <w:rsid w:val="47234C6F"/>
    <w:rsid w:val="476A6B3A"/>
    <w:rsid w:val="47E36768"/>
    <w:rsid w:val="4810142F"/>
    <w:rsid w:val="48142C67"/>
    <w:rsid w:val="484162BE"/>
    <w:rsid w:val="48643D4D"/>
    <w:rsid w:val="487D7E3E"/>
    <w:rsid w:val="48967192"/>
    <w:rsid w:val="489A6313"/>
    <w:rsid w:val="48A95C04"/>
    <w:rsid w:val="48CE0A5C"/>
    <w:rsid w:val="48E92A95"/>
    <w:rsid w:val="4949445D"/>
    <w:rsid w:val="495A3295"/>
    <w:rsid w:val="49B51BAE"/>
    <w:rsid w:val="4A1225DB"/>
    <w:rsid w:val="4A442B3D"/>
    <w:rsid w:val="4A5E47CC"/>
    <w:rsid w:val="4A7E09CA"/>
    <w:rsid w:val="4A884CC6"/>
    <w:rsid w:val="4AA55BC3"/>
    <w:rsid w:val="4ABC7D85"/>
    <w:rsid w:val="4AC97E97"/>
    <w:rsid w:val="4BA3693A"/>
    <w:rsid w:val="4C254B4B"/>
    <w:rsid w:val="4C676E45"/>
    <w:rsid w:val="4D07114B"/>
    <w:rsid w:val="4D403EDA"/>
    <w:rsid w:val="4D954046"/>
    <w:rsid w:val="4E202AF3"/>
    <w:rsid w:val="4E6D29C4"/>
    <w:rsid w:val="4E7A06F8"/>
    <w:rsid w:val="4E9A0D74"/>
    <w:rsid w:val="4F282F37"/>
    <w:rsid w:val="4F701691"/>
    <w:rsid w:val="4FAA2095"/>
    <w:rsid w:val="4FC60E49"/>
    <w:rsid w:val="4FCD31AD"/>
    <w:rsid w:val="4FF52C71"/>
    <w:rsid w:val="503A7A08"/>
    <w:rsid w:val="50512976"/>
    <w:rsid w:val="5052092F"/>
    <w:rsid w:val="5055041F"/>
    <w:rsid w:val="509A51EA"/>
    <w:rsid w:val="509E3ED1"/>
    <w:rsid w:val="50B44F07"/>
    <w:rsid w:val="514E559A"/>
    <w:rsid w:val="51D610EC"/>
    <w:rsid w:val="51E92988"/>
    <w:rsid w:val="520E62B8"/>
    <w:rsid w:val="528312E8"/>
    <w:rsid w:val="529A4BA7"/>
    <w:rsid w:val="52B50FFA"/>
    <w:rsid w:val="52BB3578"/>
    <w:rsid w:val="52C31E67"/>
    <w:rsid w:val="52DA54E7"/>
    <w:rsid w:val="52E442D5"/>
    <w:rsid w:val="52E468A6"/>
    <w:rsid w:val="52E8669F"/>
    <w:rsid w:val="531F42E7"/>
    <w:rsid w:val="53D6797D"/>
    <w:rsid w:val="53E775E0"/>
    <w:rsid w:val="54723052"/>
    <w:rsid w:val="54BC690A"/>
    <w:rsid w:val="54D8428A"/>
    <w:rsid w:val="54FD5330"/>
    <w:rsid w:val="55132EB9"/>
    <w:rsid w:val="55E101CF"/>
    <w:rsid w:val="55F00828"/>
    <w:rsid w:val="56062637"/>
    <w:rsid w:val="56174AC2"/>
    <w:rsid w:val="56431446"/>
    <w:rsid w:val="56821241"/>
    <w:rsid w:val="56E5591B"/>
    <w:rsid w:val="56E8059A"/>
    <w:rsid w:val="57091C60"/>
    <w:rsid w:val="57186B20"/>
    <w:rsid w:val="57631674"/>
    <w:rsid w:val="5794495B"/>
    <w:rsid w:val="57A500D0"/>
    <w:rsid w:val="57C351F2"/>
    <w:rsid w:val="57C6432D"/>
    <w:rsid w:val="57D4431F"/>
    <w:rsid w:val="57FA67BA"/>
    <w:rsid w:val="58532224"/>
    <w:rsid w:val="586903C5"/>
    <w:rsid w:val="58711142"/>
    <w:rsid w:val="588726B7"/>
    <w:rsid w:val="58F57085"/>
    <w:rsid w:val="593212FE"/>
    <w:rsid w:val="59590F80"/>
    <w:rsid w:val="59A732EE"/>
    <w:rsid w:val="59C3464B"/>
    <w:rsid w:val="59DE2BBE"/>
    <w:rsid w:val="59FB0C11"/>
    <w:rsid w:val="5A28151F"/>
    <w:rsid w:val="5A410A6F"/>
    <w:rsid w:val="5A4A2677"/>
    <w:rsid w:val="5AC55338"/>
    <w:rsid w:val="5B3F45CC"/>
    <w:rsid w:val="5B8007B6"/>
    <w:rsid w:val="5BC17152"/>
    <w:rsid w:val="5C157C52"/>
    <w:rsid w:val="5C432399"/>
    <w:rsid w:val="5C65447A"/>
    <w:rsid w:val="5CCD039C"/>
    <w:rsid w:val="5CE05C01"/>
    <w:rsid w:val="5D067F46"/>
    <w:rsid w:val="5D3D0669"/>
    <w:rsid w:val="5D670D19"/>
    <w:rsid w:val="5DEA6484"/>
    <w:rsid w:val="5E2A0506"/>
    <w:rsid w:val="5F816B3B"/>
    <w:rsid w:val="5F8A2976"/>
    <w:rsid w:val="5F8B5C0B"/>
    <w:rsid w:val="5FB9070F"/>
    <w:rsid w:val="5FE039CC"/>
    <w:rsid w:val="600E7957"/>
    <w:rsid w:val="606D70BF"/>
    <w:rsid w:val="60C87067"/>
    <w:rsid w:val="60D137C0"/>
    <w:rsid w:val="60EB4FAC"/>
    <w:rsid w:val="611C2FBF"/>
    <w:rsid w:val="613D03AF"/>
    <w:rsid w:val="615269E1"/>
    <w:rsid w:val="622C1128"/>
    <w:rsid w:val="62840C9B"/>
    <w:rsid w:val="62E95123"/>
    <w:rsid w:val="63753EA0"/>
    <w:rsid w:val="63923347"/>
    <w:rsid w:val="63A60D41"/>
    <w:rsid w:val="63C45248"/>
    <w:rsid w:val="63C6035F"/>
    <w:rsid w:val="646E0F66"/>
    <w:rsid w:val="64912F7B"/>
    <w:rsid w:val="649A1D1D"/>
    <w:rsid w:val="64E04304"/>
    <w:rsid w:val="659B691E"/>
    <w:rsid w:val="65D242C5"/>
    <w:rsid w:val="65D43361"/>
    <w:rsid w:val="65F10142"/>
    <w:rsid w:val="66124991"/>
    <w:rsid w:val="662D4F6B"/>
    <w:rsid w:val="66770C98"/>
    <w:rsid w:val="66E10C4D"/>
    <w:rsid w:val="67035B0B"/>
    <w:rsid w:val="676236F6"/>
    <w:rsid w:val="67D22629"/>
    <w:rsid w:val="685D140B"/>
    <w:rsid w:val="68D47A7B"/>
    <w:rsid w:val="68DF193E"/>
    <w:rsid w:val="68E84E3F"/>
    <w:rsid w:val="68F76E5C"/>
    <w:rsid w:val="69212A60"/>
    <w:rsid w:val="69455133"/>
    <w:rsid w:val="69937B96"/>
    <w:rsid w:val="69C2222A"/>
    <w:rsid w:val="69DF21C2"/>
    <w:rsid w:val="6A3757AC"/>
    <w:rsid w:val="6A62031D"/>
    <w:rsid w:val="6A701523"/>
    <w:rsid w:val="6AC1406F"/>
    <w:rsid w:val="6B4120C8"/>
    <w:rsid w:val="6B58506D"/>
    <w:rsid w:val="6B79224C"/>
    <w:rsid w:val="6B8E33C6"/>
    <w:rsid w:val="6B9B5986"/>
    <w:rsid w:val="6BDD42B9"/>
    <w:rsid w:val="6BE84649"/>
    <w:rsid w:val="6C085287"/>
    <w:rsid w:val="6C401523"/>
    <w:rsid w:val="6C517895"/>
    <w:rsid w:val="6C7D0E73"/>
    <w:rsid w:val="6CD00EA6"/>
    <w:rsid w:val="6CE6131C"/>
    <w:rsid w:val="6D050817"/>
    <w:rsid w:val="6D1A174C"/>
    <w:rsid w:val="6D1A2C05"/>
    <w:rsid w:val="6D313420"/>
    <w:rsid w:val="6D5A2E00"/>
    <w:rsid w:val="6DDB7D5E"/>
    <w:rsid w:val="6DDD5A51"/>
    <w:rsid w:val="6DE51FC5"/>
    <w:rsid w:val="6E042F01"/>
    <w:rsid w:val="6E506196"/>
    <w:rsid w:val="6E9047F2"/>
    <w:rsid w:val="6EA15698"/>
    <w:rsid w:val="6EA231BA"/>
    <w:rsid w:val="6ED30F77"/>
    <w:rsid w:val="6F3A3E03"/>
    <w:rsid w:val="6F482D42"/>
    <w:rsid w:val="6FA523D2"/>
    <w:rsid w:val="6FAA57D6"/>
    <w:rsid w:val="6FDE58E3"/>
    <w:rsid w:val="701045B5"/>
    <w:rsid w:val="701C133B"/>
    <w:rsid w:val="703D37EB"/>
    <w:rsid w:val="704D3E78"/>
    <w:rsid w:val="70BF5715"/>
    <w:rsid w:val="712D6B22"/>
    <w:rsid w:val="71305754"/>
    <w:rsid w:val="715B4B81"/>
    <w:rsid w:val="717B055E"/>
    <w:rsid w:val="71B16C93"/>
    <w:rsid w:val="71C06959"/>
    <w:rsid w:val="724F0F1D"/>
    <w:rsid w:val="729C3F60"/>
    <w:rsid w:val="729E26DA"/>
    <w:rsid w:val="72D4516E"/>
    <w:rsid w:val="7301390F"/>
    <w:rsid w:val="73070F3B"/>
    <w:rsid w:val="73B07EB2"/>
    <w:rsid w:val="73ED585D"/>
    <w:rsid w:val="741E6BF6"/>
    <w:rsid w:val="74257F85"/>
    <w:rsid w:val="747607E0"/>
    <w:rsid w:val="74885165"/>
    <w:rsid w:val="751000FD"/>
    <w:rsid w:val="757A7E5C"/>
    <w:rsid w:val="75E01033"/>
    <w:rsid w:val="76065B94"/>
    <w:rsid w:val="768C7E47"/>
    <w:rsid w:val="76B15B00"/>
    <w:rsid w:val="76BB01D4"/>
    <w:rsid w:val="76D56593"/>
    <w:rsid w:val="76EB40DE"/>
    <w:rsid w:val="775A1CF3"/>
    <w:rsid w:val="77624692"/>
    <w:rsid w:val="778446AD"/>
    <w:rsid w:val="77845FB9"/>
    <w:rsid w:val="77DF59B7"/>
    <w:rsid w:val="783F4636"/>
    <w:rsid w:val="78836D0C"/>
    <w:rsid w:val="78AE6557"/>
    <w:rsid w:val="78E75FB4"/>
    <w:rsid w:val="794949B1"/>
    <w:rsid w:val="79F151EA"/>
    <w:rsid w:val="79FE1404"/>
    <w:rsid w:val="7A043533"/>
    <w:rsid w:val="7A4B1055"/>
    <w:rsid w:val="7A63567B"/>
    <w:rsid w:val="7A7F4E68"/>
    <w:rsid w:val="7ADC47C3"/>
    <w:rsid w:val="7B4B6523"/>
    <w:rsid w:val="7B764AA9"/>
    <w:rsid w:val="7BD07335"/>
    <w:rsid w:val="7BD227A0"/>
    <w:rsid w:val="7C07399B"/>
    <w:rsid w:val="7C2D5E41"/>
    <w:rsid w:val="7C7F0961"/>
    <w:rsid w:val="7CA010C3"/>
    <w:rsid w:val="7CA34E54"/>
    <w:rsid w:val="7CCE6A29"/>
    <w:rsid w:val="7CF33270"/>
    <w:rsid w:val="7D02603F"/>
    <w:rsid w:val="7D2C2B03"/>
    <w:rsid w:val="7D4A280A"/>
    <w:rsid w:val="7D515C70"/>
    <w:rsid w:val="7D5D44AD"/>
    <w:rsid w:val="7D7550E8"/>
    <w:rsid w:val="7DA95D47"/>
    <w:rsid w:val="7DC205F3"/>
    <w:rsid w:val="7E146C66"/>
    <w:rsid w:val="7E1D3989"/>
    <w:rsid w:val="7E261D0D"/>
    <w:rsid w:val="7E6E437D"/>
    <w:rsid w:val="7ED61979"/>
    <w:rsid w:val="7F051133"/>
    <w:rsid w:val="7F150C8C"/>
    <w:rsid w:val="7F61079B"/>
    <w:rsid w:val="7FC50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100" w:after="90" w:line="578" w:lineRule="auto"/>
      <w:ind w:left="0" w:right="0"/>
      <w:jc w:val="center"/>
      <w:outlineLvl w:val="0"/>
    </w:pPr>
    <w:rPr>
      <w:rFonts w:ascii="Times New Roman" w:hAnsi="Times New Roman" w:eastAsia="仿宋" w:cs="Times New Roman"/>
      <w:b/>
      <w:bCs/>
      <w:kern w:val="44"/>
      <w:sz w:val="32"/>
      <w:szCs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next w:val="9"/>
    <w:unhideWhenUsed/>
    <w:qFormat/>
    <w:uiPriority w:val="99"/>
    <w:pPr>
      <w:spacing w:after="120"/>
      <w:ind w:left="420" w:leftChars="200"/>
    </w:pPr>
    <w:rPr>
      <w:rFonts w:eastAsia="微软雅黑"/>
      <w:kern w:val="0"/>
      <w:sz w:val="24"/>
      <w:szCs w:val="20"/>
    </w:rPr>
  </w:style>
  <w:style w:type="paragraph" w:styleId="9">
    <w:name w:val="Body Text First Indent 2"/>
    <w:basedOn w:val="8"/>
    <w:qFormat/>
    <w:uiPriority w:val="0"/>
    <w:pPr>
      <w:ind w:firstLine="420"/>
    </w:p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0"/>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toc 2"/>
    <w:basedOn w:val="1"/>
    <w:next w:val="1"/>
    <w:qFormat/>
    <w:uiPriority w:val="0"/>
    <w:pPr>
      <w:ind w:left="420" w:leftChars="200"/>
    </w:pPr>
  </w:style>
  <w:style w:type="paragraph" w:styleId="1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page number"/>
    <w:basedOn w:val="19"/>
    <w:qFormat/>
    <w:uiPriority w:val="99"/>
    <w:rPr>
      <w:rFonts w:cs="Times New Roman"/>
    </w:rPr>
  </w:style>
  <w:style w:type="character" w:styleId="22">
    <w:name w:val="Emphasis"/>
    <w:qFormat/>
    <w:uiPriority w:val="0"/>
  </w:style>
  <w:style w:type="character" w:styleId="23">
    <w:name w:val="Hyperlink"/>
    <w:basedOn w:val="19"/>
    <w:qFormat/>
    <w:uiPriority w:val="0"/>
    <w:rPr>
      <w:color w:val="0000FF"/>
      <w:u w:val="single"/>
    </w:rPr>
  </w:style>
  <w:style w:type="character" w:styleId="24">
    <w:name w:val="annotation reference"/>
    <w:unhideWhenUsed/>
    <w:qFormat/>
    <w:uiPriority w:val="0"/>
    <w:rPr>
      <w:sz w:val="21"/>
      <w:szCs w:val="21"/>
    </w:rPr>
  </w:style>
  <w:style w:type="paragraph" w:customStyle="1" w:styleId="25">
    <w:name w:val="Normal Indent"/>
    <w:basedOn w:val="1"/>
    <w:qFormat/>
    <w:uiPriority w:val="0"/>
    <w:pPr>
      <w:widowControl/>
      <w:ind w:firstLine="420" w:firstLineChars="200"/>
    </w:p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style>
  <w:style w:type="paragraph" w:customStyle="1" w:styleId="28">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9">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0">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1">
    <w:name w:val="标题 4 Char"/>
    <w:link w:val="4"/>
    <w:qFormat/>
    <w:uiPriority w:val="0"/>
    <w:rPr>
      <w:rFonts w:ascii="Arial" w:hAnsi="Arial" w:eastAsia="黑体"/>
      <w:b/>
      <w:sz w:val="28"/>
    </w:rPr>
  </w:style>
  <w:style w:type="paragraph" w:customStyle="1" w:styleId="3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4">
    <w:name w:val="font31"/>
    <w:qFormat/>
    <w:uiPriority w:val="0"/>
    <w:rPr>
      <w:rFonts w:hint="eastAsia" w:ascii="宋体" w:hAnsi="宋体" w:eastAsia="宋体" w:cs="宋体"/>
      <w:color w:val="000000"/>
      <w:sz w:val="21"/>
      <w:szCs w:val="21"/>
      <w:u w:val="none"/>
    </w:rPr>
  </w:style>
  <w:style w:type="paragraph" w:customStyle="1" w:styleId="3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6">
    <w:name w:val="纯文本1"/>
    <w:basedOn w:val="1"/>
    <w:qFormat/>
    <w:uiPriority w:val="0"/>
    <w:rPr>
      <w:rFonts w:ascii="宋体" w:hAnsi="Courier New"/>
      <w:kern w:val="0"/>
      <w:sz w:val="20"/>
    </w:rPr>
  </w:style>
  <w:style w:type="paragraph" w:customStyle="1" w:styleId="37">
    <w:name w:val="正文 A"/>
    <w:qFormat/>
    <w:uiPriority w:val="0"/>
    <w:pPr>
      <w:widowControl w:val="0"/>
      <w:jc w:val="both"/>
    </w:pPr>
    <w:rPr>
      <w:rFonts w:ascii="Times New Roman" w:hAnsi="Arial Unicode MS" w:eastAsia="Arial Unicode MS" w:cs="Arial Unicode MS"/>
      <w:color w:val="000000"/>
      <w:kern w:val="2"/>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2176</Words>
  <Characters>2413</Characters>
  <Lines>230</Lines>
  <Paragraphs>64</Paragraphs>
  <TotalTime>16</TotalTime>
  <ScaleCrop>false</ScaleCrop>
  <LinksUpToDate>false</LinksUpToDate>
  <CharactersWithSpaces>2502</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2026-01-19T01:43:00Z</cp:lastPrinted>
  <dcterms:modified xsi:type="dcterms:W3CDTF">2026-05-26T08:05:24Z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40B226246714404AAFF4707452B783C0</vt:lpwstr>
  </property>
  <property fmtid="{D5CDD505-2E9C-101B-9397-08002B2CF9AE}" pid="6" name="KSOTemplateDocerSaveRecord">
    <vt:lpwstr>eyJoZGlkIjoiMjExMTUxYTRmODlkMjZkYzRmYjg1NDc4OWJjMWQ0ZWMiLCJ1c2VySWQiOiI1NDQ5ODI0NzMifQ==</vt:lpwstr>
  </property>
</Properties>
</file>