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8E351F">
      <w:pPr>
        <w:widowControl w:val="0"/>
        <w:spacing w:before="47" w:line="219" w:lineRule="auto"/>
        <w:ind w:left="3805"/>
        <w:outlineLvl w:val="1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7398A307">
      <w:pPr>
        <w:widowControl w:val="0"/>
        <w:spacing w:line="257" w:lineRule="auto"/>
        <w:rPr>
          <w:color w:val="auto"/>
          <w:lang w:eastAsia="zh-CN"/>
        </w:rPr>
      </w:pPr>
    </w:p>
    <w:p w14:paraId="41B3294C">
      <w:pPr>
        <w:widowControl w:val="0"/>
        <w:spacing w:line="258" w:lineRule="auto"/>
        <w:rPr>
          <w:color w:val="auto"/>
          <w:lang w:eastAsia="zh-CN"/>
        </w:rPr>
      </w:pPr>
    </w:p>
    <w:p w14:paraId="114415DD">
      <w:pPr>
        <w:widowControl w:val="0"/>
        <w:spacing w:before="78" w:line="219" w:lineRule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pacing w:val="-5"/>
          <w:sz w:val="24"/>
          <w:szCs w:val="24"/>
          <w:lang w:eastAsia="zh-CN"/>
        </w:rPr>
        <w:t>（一）</w:t>
      </w:r>
      <w:r>
        <w:rPr>
          <w:rFonts w:ascii="宋体" w:hAnsi="宋体" w:eastAsia="宋体" w:cs="宋体"/>
          <w:color w:val="auto"/>
          <w:spacing w:val="25"/>
          <w:sz w:val="24"/>
          <w:szCs w:val="24"/>
          <w:lang w:eastAsia="zh-CN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  <w:lang w:eastAsia="zh-CN"/>
        </w:rPr>
        <w:t>需求</w:t>
      </w:r>
    </w:p>
    <w:p w14:paraId="5D86E5E1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1.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维保范围包括：设备整机全保，包含设备的维修、预防性维护、配件更换</w:t>
      </w:r>
      <w:r>
        <w:rPr>
          <w:rFonts w:ascii="宋体" w:hAnsi="宋体" w:eastAsia="宋体" w:cs="宋体"/>
          <w:sz w:val="24"/>
          <w:szCs w:val="24"/>
          <w:lang w:eastAsia="zh-CN"/>
        </w:rPr>
        <w:t>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球管、机架、</w:t>
      </w:r>
      <w:r>
        <w:rPr>
          <w:rFonts w:ascii="宋体" w:hAnsi="宋体" w:eastAsia="宋体" w:cs="宋体"/>
          <w:sz w:val="24"/>
          <w:szCs w:val="24"/>
          <w:lang w:eastAsia="zh-CN"/>
        </w:rPr>
        <w:t>C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臂运动系统、导管床、高压、冷却系统、平板探测器、工作站、高压注射器、电生理及血流动力学记录系统、主动脉内球囊反搏泵等配件）。</w:t>
      </w:r>
    </w:p>
    <w:p w14:paraId="1B2DDDA1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2.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供应商须为本项目配备专业维保人员不少于</w:t>
      </w:r>
      <w:r>
        <w:rPr>
          <w:rFonts w:ascii="宋体" w:hAnsi="宋体" w:eastAsia="宋体" w:cs="宋体"/>
          <w:sz w:val="24"/>
          <w:szCs w:val="24"/>
          <w:lang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人，提供</w:t>
      </w:r>
      <w:r>
        <w:rPr>
          <w:rFonts w:ascii="宋体" w:hAnsi="宋体" w:eastAsia="宋体" w:cs="宋体"/>
          <w:sz w:val="24"/>
          <w:szCs w:val="24"/>
          <w:lang w:eastAsia="zh-CN"/>
        </w:rPr>
        <w:t>7×24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小时现场及线上技术支持服务，维保工程师保持报修电话畅通，及时排查并修复故障。接到服务请求后</w:t>
      </w:r>
      <w:r>
        <w:rPr>
          <w:rFonts w:ascii="宋体" w:hAnsi="宋体" w:eastAsia="宋体" w:cs="宋体"/>
          <w:sz w:val="24"/>
          <w:szCs w:val="24"/>
          <w:lang w:eastAsia="zh-CN"/>
        </w:rPr>
        <w:t>60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分钟内响应，</w:t>
      </w:r>
      <w:r>
        <w:rPr>
          <w:rFonts w:ascii="宋体" w:hAnsi="宋体" w:eastAsia="宋体" w:cs="宋体"/>
          <w:sz w:val="24"/>
          <w:szCs w:val="24"/>
          <w:lang w:eastAsia="zh-CN"/>
        </w:rPr>
        <w:t>24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小时内到达项目现场。服务期内（含节假日）报修次数不限，每次服务完成后，服务工单由双方签字确认。</w:t>
      </w:r>
    </w:p>
    <w:p w14:paraId="499C2AC0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3.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服务期内故障维修完成率</w:t>
      </w:r>
      <w:r>
        <w:rPr>
          <w:rFonts w:ascii="宋体" w:hAnsi="宋体" w:eastAsia="宋体" w:cs="宋体"/>
          <w:sz w:val="24"/>
          <w:szCs w:val="24"/>
          <w:lang w:eastAsia="zh-CN"/>
        </w:rPr>
        <w:t>100%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，预防性维护完成率</w:t>
      </w:r>
      <w:r>
        <w:rPr>
          <w:rFonts w:ascii="宋体" w:hAnsi="宋体" w:eastAsia="宋体" w:cs="宋体"/>
          <w:sz w:val="24"/>
          <w:szCs w:val="24"/>
          <w:lang w:eastAsia="zh-CN"/>
        </w:rPr>
        <w:t>100%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。本项目每台维保设备开机率均≥</w:t>
      </w:r>
      <w:r>
        <w:rPr>
          <w:rFonts w:ascii="宋体" w:hAnsi="宋体" w:eastAsia="宋体" w:cs="宋体"/>
          <w:sz w:val="24"/>
          <w:szCs w:val="24"/>
          <w:lang w:eastAsia="zh-CN"/>
        </w:rPr>
        <w:t>95%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（按每年</w:t>
      </w:r>
      <w:r>
        <w:rPr>
          <w:rFonts w:ascii="宋体" w:hAnsi="宋体" w:eastAsia="宋体" w:cs="宋体"/>
          <w:sz w:val="24"/>
          <w:szCs w:val="24"/>
          <w:lang w:eastAsia="zh-CN"/>
        </w:rPr>
        <w:t>365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天计算，即单台设备年停机时间≤</w:t>
      </w:r>
      <w:r>
        <w:rPr>
          <w:rFonts w:ascii="宋体" w:hAnsi="宋体" w:eastAsia="宋体" w:cs="宋体"/>
          <w:sz w:val="24"/>
          <w:szCs w:val="24"/>
          <w:lang w:eastAsia="zh-CN"/>
        </w:rPr>
        <w:t>18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天）。每超出</w:t>
      </w:r>
      <w:r>
        <w:rPr>
          <w:rFonts w:ascii="宋体" w:hAnsi="宋体" w:eastAsia="宋体" w:cs="宋体"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个日历日，维保服务期顺延</w:t>
      </w:r>
      <w:r>
        <w:rPr>
          <w:rFonts w:ascii="宋体" w:hAnsi="宋体" w:eastAsia="宋体" w:cs="宋体"/>
          <w:sz w:val="24"/>
          <w:szCs w:val="24"/>
          <w:lang w:eastAsia="zh-CN"/>
        </w:rPr>
        <w:t>7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个日历日。</w:t>
      </w:r>
    </w:p>
    <w:p w14:paraId="0720E99C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4.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涉及核心配件或重要部件拆解（如</w:t>
      </w:r>
      <w:r>
        <w:rPr>
          <w:rFonts w:ascii="宋体" w:hAnsi="宋体" w:eastAsia="宋体" w:cs="宋体"/>
          <w:sz w:val="24"/>
          <w:szCs w:val="24"/>
          <w:lang w:eastAsia="zh-CN"/>
        </w:rPr>
        <w:t>X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射线管、探测器等关键部件）的维护工作，须由经厂家培训合格的工程师执行，无证人员不得拆机；重要核心配件更换前须经采购单位管理科室审核。如更换进口配件，须提供对应报关单。若供应商未能及时修复，医院有权选择原厂或第三方工程师进行维修，由此产生的全部费用由供应商承担。</w:t>
      </w:r>
    </w:p>
    <w:p w14:paraId="14AEC1B1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5.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所有配件免费提供，维保期内所有配件须提供原厂同型号配件进行更换</w:t>
      </w:r>
      <w:r>
        <w:rPr>
          <w:rFonts w:ascii="宋体" w:hAnsi="宋体" w:eastAsia="宋体" w:cs="宋体"/>
          <w:sz w:val="24"/>
          <w:szCs w:val="24"/>
          <w:lang w:eastAsia="zh-CN"/>
        </w:rPr>
        <w:t>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含医疗设备管理及维修服务全部材料、更换的零配件、人工、机械、存储、运输、保险、劳保、各种税费等一切费用），安装完毕后须达到原厂设备运行标准；若因配件更换造成设备损坏，一切后果由供应商承担。</w:t>
      </w:r>
    </w:p>
    <w:p w14:paraId="0F4969BD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6.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供应商须在国内设立专门的备件仓库，确保</w:t>
      </w:r>
      <w:r>
        <w:rPr>
          <w:rFonts w:ascii="宋体" w:hAnsi="宋体" w:eastAsia="宋体" w:cs="宋体"/>
          <w:sz w:val="24"/>
          <w:szCs w:val="24"/>
          <w:lang w:eastAsia="zh-CN"/>
        </w:rPr>
        <w:t>7×24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小时不间断供应零配件。针对维保设备所需更换的常用备品备件，应提前做好储备，保障设备及时恢复正常运行；其中进口核心备件须提供报关单。</w:t>
      </w:r>
    </w:p>
    <w:p w14:paraId="0E6A2140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7.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预防性维护：</w:t>
      </w:r>
    </w:p>
    <w:p w14:paraId="188A4076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每月对设备开展专业巡检，内容包括安全与应急功能、机械与运动系统、图像与曝光系统、辅助与外围设备及机房环境等，并根据设备使用要求制定详细维保计划。每年提供</w:t>
      </w:r>
      <w:r>
        <w:rPr>
          <w:rFonts w:ascii="宋体" w:hAnsi="宋体" w:eastAsia="宋体" w:cs="宋体"/>
          <w:sz w:val="24"/>
          <w:szCs w:val="24"/>
          <w:lang w:eastAsia="zh-CN"/>
        </w:rPr>
        <w:t>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次整机全面维护保养及预防性维护，每次维护保养完成后，须提交详细的维护保养报告及整机质量评估报告。计划性定期维护检测服务包括但不限于：设备安全检查、机械或电气检查、影像质量检查、除尘保养、定期更换易损部件、性能测试及校准、运行状态检查，以及其他非紧急预防性维护工作，确保系统按照制造商技术规范稳定运行。</w:t>
      </w:r>
    </w:p>
    <w:p w14:paraId="0AD7A8CA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制定设备预防性维护维修计划，开展日常保养和维护，完整留存巡检、保养、维护等相关记录。配备必备的检测与质量控制设备，对设备实施预防性维护，确保在用设备完好；相关工作须有记录、有标识、有分析，对发现的问题及时处置。</w:t>
      </w:r>
    </w:p>
    <w:p w14:paraId="0E731086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sz w:val="24"/>
          <w:szCs w:val="24"/>
          <w:lang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对医疗设备实施分类保养，根据设备使用情况设定保养周期。大型仪器图像质量检测一般分为日常检查、每月检查、高级检查三个阶段，确保医疗设备运行安全性、有效性，降低故障率，延长使用寿命。规范保养责任分工与流程，实现维护全程可追溯；通过分级管理、责任绑定、电子留痕等方式，满足《医疗器械使用质量监督管理办法》要求，降低设备宕机时间，并结合三级保养流程模板优化操作细则。</w:t>
      </w:r>
    </w:p>
    <w:p w14:paraId="6F4D8E90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sz w:val="24"/>
          <w:szCs w:val="24"/>
          <w:lang w:eastAsia="zh-CN"/>
        </w:rPr>
        <w:t>3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）保养内容包括机械部件维护、</w:t>
      </w:r>
      <w:r>
        <w:rPr>
          <w:rFonts w:ascii="宋体" w:hAnsi="宋体" w:eastAsia="宋体" w:cs="宋体"/>
          <w:sz w:val="24"/>
          <w:szCs w:val="24"/>
          <w:lang w:eastAsia="zh-CN"/>
        </w:rPr>
        <w:t>C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型臂系统、球管与冷却系统、影像系统维护、校准检测，实施时需结合医院有关部门和科室的实际工作时间和工作要求，并参照原厂技术手册优化流程。</w:t>
      </w:r>
    </w:p>
    <w:p w14:paraId="0D6318C3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sz w:val="24"/>
          <w:szCs w:val="24"/>
          <w:lang w:eastAsia="zh-CN"/>
        </w:rPr>
        <w:t>4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巡检、保养、质控、预防性维护执行应有详细记录，包括巡检的内容参数、日期；建立三级风险管理体系（高风险、中风险、低风险），并对设备巡检发现的问题进行持续改进，采购人有权根据业务需求、政策法规随时调整。</w:t>
      </w:r>
    </w:p>
    <w:p w14:paraId="2DB99A6D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ascii="宋体" w:hAnsi="宋体" w:eastAsia="宋体" w:cs="宋体"/>
          <w:sz w:val="24"/>
          <w:szCs w:val="24"/>
          <w:lang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）其他未尽事宜均按原厂标准和相关规定做好保养维护。</w:t>
      </w:r>
    </w:p>
    <w:p w14:paraId="44661A2B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8.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供应商按时提供设备维修和保养的书面报告，每季度提交一次维保工作报告，总结每月服务执行的情况，并提供改进建议和后续服务计划；及时对典型故障和重大故障进行分析和总结。</w:t>
      </w:r>
    </w:p>
    <w:p w14:paraId="1C06C3E8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9.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供应商对于采购人医疗设备的硬件、软件安装和定期升级要求，应采取相应措施保障工作顺利进行与安全可靠。供应商必须能合法获得在有效期内的原厂高级故障诊断软件、诊断维修钥匙（</w:t>
      </w:r>
      <w:r>
        <w:rPr>
          <w:rFonts w:ascii="宋体" w:hAnsi="宋体" w:eastAsia="宋体" w:cs="宋体"/>
          <w:sz w:val="24"/>
          <w:szCs w:val="24"/>
          <w:lang w:eastAsia="zh-CN"/>
        </w:rPr>
        <w:t>Service Key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），并保证不违反国家有关知识产权的法律规定，且能够解决所有需要</w:t>
      </w:r>
      <w:r>
        <w:rPr>
          <w:rFonts w:ascii="宋体" w:hAnsi="宋体" w:eastAsia="宋体" w:cs="宋体"/>
          <w:sz w:val="24"/>
          <w:szCs w:val="24"/>
          <w:lang w:eastAsia="zh-CN"/>
        </w:rPr>
        <w:t>Service key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才能解决的设备故障。</w:t>
      </w:r>
    </w:p>
    <w:p w14:paraId="4A965E6B">
      <w:pPr>
        <w:spacing w:line="360" w:lineRule="auto"/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10.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维保工作人员由于维保不当等原因给医院造成经济损失的，如因设备维保问题导致患者不良事件的，应赔偿产生的一切损失。维保人员作业期间人身安全、工伤医疗、意外风险全部由供应商承担；作业中造成医院财物损毁、第三方人身伤害、财产损失的，由供应商全额赔付并承担全部法律责任。</w:t>
      </w:r>
    </w:p>
    <w:p w14:paraId="625824F0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11.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供应商具有为医院培养工程师的服务能力。在维保期内，供应商须根据院方需求每年免费提供不少于2人次原厂外出专业技术培训，含培训费、交通费、食宿费等。</w:t>
      </w:r>
    </w:p>
    <w:p w14:paraId="6A8DE600">
      <w:pPr>
        <w:pStyle w:val="3"/>
        <w:spacing w:before="0" w:beforeAutospacing="0" w:after="0" w:afterAutospacing="0"/>
        <w:rPr>
          <w:rFonts w:hint="eastAsia" w:cs="仿宋"/>
          <w:b/>
          <w:bCs/>
          <w:color w:val="auto"/>
          <w:lang w:eastAsia="zh-CN"/>
        </w:rPr>
      </w:pPr>
      <w:r>
        <w:rPr>
          <w:rFonts w:hint="eastAsia" w:cs="仿宋"/>
          <w:b/>
          <w:bCs/>
          <w:color w:val="auto"/>
          <w:lang w:eastAsia="zh-CN"/>
        </w:rPr>
        <w:t>注：供应商须满足或优于以上技术需求，否则视为无效响应。</w:t>
      </w:r>
    </w:p>
    <w:p w14:paraId="60BD6D88">
      <w:pPr>
        <w:rPr>
          <w:rFonts w:cs="仿宋"/>
          <w:b/>
          <w:bCs/>
          <w:color w:val="auto"/>
          <w:lang w:eastAsia="zh-CN"/>
        </w:rPr>
      </w:pPr>
      <w:r>
        <w:rPr>
          <w:rFonts w:hint="eastAsia" w:cs="仿宋"/>
          <w:b/>
          <w:bCs/>
          <w:color w:val="auto"/>
          <w:lang w:eastAsia="zh-CN"/>
        </w:rPr>
        <w:br w:type="page"/>
      </w:r>
    </w:p>
    <w:p w14:paraId="5E1FEAF2">
      <w:pPr>
        <w:pStyle w:val="3"/>
        <w:spacing w:before="0" w:beforeAutospacing="0" w:after="0" w:afterAutospacing="0"/>
        <w:rPr>
          <w:rFonts w:hint="eastAsia" w:cs="仿宋"/>
          <w:b/>
          <w:bCs/>
          <w:color w:val="auto"/>
          <w:lang w:eastAsia="zh-CN"/>
        </w:rPr>
      </w:pPr>
    </w:p>
    <w:p w14:paraId="09853F60">
      <w:pPr>
        <w:widowControl w:val="0"/>
        <w:spacing w:before="78" w:line="219" w:lineRule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ascii="宋体" w:hAnsi="宋体" w:eastAsia="宋体" w:cs="宋体"/>
          <w:color w:val="auto"/>
          <w:spacing w:val="-6"/>
          <w:sz w:val="24"/>
          <w:szCs w:val="24"/>
          <w:lang w:eastAsia="zh-CN"/>
        </w:rPr>
        <w:t>（二）</w:t>
      </w:r>
      <w:r>
        <w:rPr>
          <w:rFonts w:ascii="宋体" w:hAnsi="宋体" w:eastAsia="宋体" w:cs="宋体"/>
          <w:color w:val="auto"/>
          <w:spacing w:val="32"/>
          <w:sz w:val="24"/>
          <w:szCs w:val="24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-6"/>
          <w:sz w:val="24"/>
          <w:szCs w:val="24"/>
          <w:lang w:eastAsia="zh-CN"/>
        </w:rPr>
        <w:t>商务</w:t>
      </w:r>
      <w:r>
        <w:rPr>
          <w:rFonts w:hint="eastAsia" w:ascii="宋体" w:hAnsi="宋体" w:eastAsia="宋体" w:cs="宋体"/>
          <w:color w:val="auto"/>
          <w:spacing w:val="-6"/>
          <w:sz w:val="24"/>
          <w:szCs w:val="24"/>
          <w:lang w:eastAsia="zh-CN"/>
        </w:rPr>
        <w:t>条款</w:t>
      </w:r>
    </w:p>
    <w:p w14:paraId="1B3EA835">
      <w:pPr>
        <w:spacing w:line="560" w:lineRule="exact"/>
        <w:ind w:firstLine="480" w:firstLineChars="200"/>
        <w:rPr>
          <w:rFonts w:ascii="Times New Roman" w:hAnsi="Times New Roman"/>
          <w:bCs/>
          <w:sz w:val="24"/>
          <w:lang w:eastAsia="zh-CN"/>
        </w:rPr>
      </w:pPr>
      <w:r>
        <w:rPr>
          <w:rFonts w:hint="eastAsia" w:ascii="Times New Roman" w:hAnsi="Times New Roman" w:eastAsia="宋体" w:cs="宋体"/>
          <w:kern w:val="2"/>
          <w:sz w:val="24"/>
          <w:szCs w:val="24"/>
          <w:lang w:eastAsia="zh-CN"/>
        </w:rPr>
        <w:t>1.付款方式：</w:t>
      </w:r>
      <w:r>
        <w:rPr>
          <w:rFonts w:hint="eastAsia" w:ascii="宋体" w:hAnsi="宋体" w:eastAsia="宋体" w:cs="宋体"/>
          <w:bCs/>
          <w:color w:val="auto"/>
          <w:sz w:val="24"/>
          <w:lang w:eastAsia="zh-CN"/>
        </w:rPr>
        <w:t>合同签订时成交供应商向采购人支付合同总价的</w:t>
      </w:r>
      <w:r>
        <w:rPr>
          <w:rFonts w:hint="eastAsia" w:ascii="Times New Roman" w:hAnsi="Times New Roman"/>
          <w:bCs/>
          <w:color w:val="auto"/>
          <w:sz w:val="24"/>
          <w:lang w:eastAsia="zh-CN"/>
        </w:rPr>
        <w:t>5%</w:t>
      </w:r>
      <w:r>
        <w:rPr>
          <w:rFonts w:hint="eastAsia" w:ascii="宋体" w:hAnsi="宋体" w:eastAsia="宋体" w:cs="宋体"/>
          <w:bCs/>
          <w:color w:val="auto"/>
          <w:sz w:val="24"/>
          <w:lang w:eastAsia="zh-CN"/>
        </w:rPr>
        <w:t>作为履约保证金。</w:t>
      </w:r>
      <w:r>
        <w:rPr>
          <w:rFonts w:hint="eastAsia" w:ascii="Times New Roman" w:hAnsi="Times New Roman" w:eastAsia="宋体" w:cs="宋体"/>
          <w:kern w:val="2"/>
          <w:sz w:val="24"/>
          <w:szCs w:val="24"/>
          <w:lang w:eastAsia="zh-CN"/>
        </w:rPr>
        <w:t>服务期满无异议后按医院的支付流程支付维保费用并</w:t>
      </w:r>
      <w:r>
        <w:rPr>
          <w:rFonts w:hint="eastAsia" w:ascii="宋体" w:hAnsi="宋体" w:eastAsia="宋体" w:cs="宋体"/>
          <w:bCs/>
          <w:color w:val="auto"/>
          <w:sz w:val="24"/>
          <w:lang w:eastAsia="zh-CN"/>
        </w:rPr>
        <w:t>向成交供应商无息退还履约保证金。</w:t>
      </w:r>
    </w:p>
    <w:p w14:paraId="4DC7BF50">
      <w:pPr>
        <w:spacing w:line="560" w:lineRule="exact"/>
        <w:ind w:firstLine="480" w:firstLineChars="200"/>
        <w:rPr>
          <w:rFonts w:ascii="Times New Roman" w:hAnsi="Times New Roman"/>
          <w:bCs/>
          <w:sz w:val="24"/>
          <w:lang w:eastAsia="zh-CN"/>
        </w:rPr>
      </w:pPr>
      <w:r>
        <w:rPr>
          <w:rFonts w:hint="eastAsia" w:ascii="Times New Roman" w:hAnsi="Times New Roman" w:eastAsia="宋体"/>
          <w:sz w:val="24"/>
          <w:szCs w:val="28"/>
          <w:lang w:eastAsia="zh-CN"/>
        </w:rPr>
        <w:t>2.维保期限：签订合同</w:t>
      </w:r>
      <w:r>
        <w:rPr>
          <w:rFonts w:hint="eastAsia" w:ascii="宋体" w:hAnsi="宋体" w:eastAsia="宋体" w:cs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之日起</w:t>
      </w:r>
      <w:r>
        <w:rPr>
          <w:rFonts w:hint="eastAsia" w:ascii="Times New Roman" w:hAnsi="Times New Roman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宋体" w:hAnsi="宋体" w:eastAsia="宋体" w:cs="宋体"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宋体"/>
          <w:sz w:val="24"/>
          <w:szCs w:val="28"/>
          <w:lang w:eastAsia="zh-CN"/>
        </w:rPr>
        <w:t>。</w:t>
      </w:r>
    </w:p>
    <w:p w14:paraId="03033389">
      <w:pPr>
        <w:spacing w:line="560" w:lineRule="exact"/>
        <w:ind w:firstLine="480" w:firstLineChars="200"/>
        <w:rPr>
          <w:rFonts w:ascii="Times New Roman" w:hAnsi="Times New Roman"/>
          <w:bCs/>
          <w:sz w:val="24"/>
          <w:lang w:eastAsia="zh-CN"/>
        </w:rPr>
      </w:pPr>
      <w:r>
        <w:rPr>
          <w:rFonts w:hint="eastAsia" w:ascii="Times New Roman" w:hAnsi="Times New Roman" w:eastAsia="宋体"/>
          <w:sz w:val="24"/>
          <w:szCs w:val="28"/>
          <w:lang w:eastAsia="zh-CN"/>
        </w:rPr>
        <w:t>3.</w:t>
      </w:r>
      <w:r>
        <w:rPr>
          <w:rFonts w:hint="eastAsia" w:ascii="Times New Roman" w:hAnsi="Times New Roman" w:eastAsia="宋体" w:cs="宋体"/>
          <w:kern w:val="2"/>
          <w:sz w:val="24"/>
          <w:szCs w:val="24"/>
          <w:lang w:eastAsia="zh-CN"/>
        </w:rPr>
        <w:t>维保地点：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江西中医药大学附属医院</w:t>
      </w:r>
      <w:r>
        <w:rPr>
          <w:rFonts w:hint="eastAsia" w:ascii="Times New Roman" w:hAnsi="Times New Roman" w:eastAsia="宋体" w:cs="宋体"/>
          <w:kern w:val="2"/>
          <w:sz w:val="24"/>
          <w:szCs w:val="24"/>
          <w:lang w:eastAsia="zh-CN"/>
        </w:rPr>
        <w:t>东湖院区（八一大道445号）。</w:t>
      </w:r>
    </w:p>
    <w:p w14:paraId="2CDCCF96">
      <w:pPr>
        <w:spacing w:line="560" w:lineRule="exact"/>
        <w:ind w:firstLine="480" w:firstLineChars="200"/>
        <w:rPr>
          <w:rFonts w:ascii="Times New Roman" w:hAnsi="Times New Roman" w:eastAsia="宋体"/>
          <w:sz w:val="24"/>
          <w:szCs w:val="28"/>
          <w:lang w:eastAsia="zh-CN"/>
        </w:rPr>
      </w:pPr>
      <w:r>
        <w:rPr>
          <w:rFonts w:hint="eastAsia" w:ascii="Times New Roman" w:hAnsi="Times New Roman" w:cs="Times New Roman"/>
          <w:color w:val="auto"/>
          <w:sz w:val="24"/>
          <w:lang w:eastAsia="zh-CN"/>
        </w:rPr>
        <w:t>4</w:t>
      </w:r>
      <w:r>
        <w:rPr>
          <w:rFonts w:ascii="Times New Roman" w:hAnsi="Times New Roman" w:cs="Times New Roman"/>
          <w:color w:val="auto"/>
          <w:sz w:val="24"/>
          <w:lang w:eastAsia="zh-CN"/>
        </w:rPr>
        <w:t>.</w:t>
      </w:r>
      <w:r>
        <w:rPr>
          <w:rFonts w:hint="eastAsia" w:ascii="Times New Roman" w:hAnsi="Times New Roman" w:eastAsia="宋体" w:cs="宋体"/>
          <w:kern w:val="2"/>
          <w:sz w:val="24"/>
          <w:szCs w:val="24"/>
          <w:lang w:eastAsia="zh-CN"/>
        </w:rPr>
        <w:t>维保费报价含人工、材料等一切费用。</w:t>
      </w:r>
    </w:p>
    <w:p w14:paraId="5FAC6132">
      <w:pPr>
        <w:spacing w:line="360" w:lineRule="auto"/>
        <w:ind w:firstLine="700" w:firstLineChars="250"/>
        <w:rPr>
          <w:rFonts w:ascii="宋体" w:hAnsi="宋体" w:cs="宋体"/>
          <w:i/>
          <w:sz w:val="28"/>
          <w:szCs w:val="28"/>
          <w:u w:val="single"/>
          <w:lang w:eastAsia="zh-CN"/>
        </w:rPr>
      </w:pPr>
    </w:p>
    <w:p w14:paraId="7319B345">
      <w:pPr>
        <w:spacing w:line="360" w:lineRule="auto"/>
        <w:ind w:firstLine="482" w:firstLineChars="200"/>
        <w:rPr>
          <w:rFonts w:hint="eastAsia" w:ascii="宋体" w:hAnsi="宋体" w:eastAsia="宋体" w:cs="仿宋"/>
          <w:b/>
          <w:sz w:val="24"/>
          <w:lang w:eastAsia="zh-CN"/>
        </w:rPr>
      </w:pPr>
      <w:r>
        <w:rPr>
          <w:rFonts w:hint="eastAsia" w:ascii="宋体" w:hAnsi="宋体" w:eastAsia="宋体" w:cs="仿宋"/>
          <w:b/>
          <w:sz w:val="24"/>
          <w:lang w:eastAsia="zh-CN"/>
        </w:rPr>
        <w:t>注：以上商务条款为必须满足项，否则作无效响应处理。</w:t>
      </w:r>
    </w:p>
    <w:p w14:paraId="7F8F4D0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CF6247"/>
    <w:rsid w:val="29CF6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2026-05-27T01:28:00Z</dcterms:created>
  <dc:creator>胡文昶</dc:creator>
  <cp:lastModifiedBy>胡文昶</cp:lastModifiedBy>
  <dcterms:modified xsi:type="dcterms:W3CDTF">2026-05-27T01:28:59Z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B79BA513D1DD4D3084450598D275B986_11</vt:lpwstr>
  </property>
  <property fmtid="{D5CDD505-2E9C-101B-9397-08002B2CF9AE}" pid="4" name="KSOTemplateDocerSaveRecord">
    <vt:lpwstr>eyJoZGlkIjoiZjAzMmNmNjJlYTNlOTVmNzg4MWEyNTc0NGZkZDcyZDkiLCJ1c2VySWQiOiIzOTk4NDE1MDIifQ==</vt:lpwstr>
  </property>
</Properties>
</file>