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31A17A">
      <w:pPr>
        <w:keepNext w:val="0"/>
        <w:keepLines w:val="0"/>
        <w:pageBreakBefore w:val="0"/>
        <w:kinsoku/>
        <w:wordWrap/>
        <w:overflowPunct/>
        <w:topLinePunct w:val="0"/>
        <w:bidi w:val="0"/>
        <w:spacing w:line="360" w:lineRule="auto"/>
        <w:jc w:val="left"/>
        <w:rPr>
          <w:rFonts w:hint="eastAsia" w:ascii="宋体" w:hAnsi="宋体" w:eastAsia="宋体" w:cs="宋体"/>
          <w:b/>
          <w:bCs/>
          <w:color w:val="auto"/>
          <w:spacing w:val="-5"/>
          <w:sz w:val="24"/>
          <w:szCs w:val="24"/>
          <w:highlight w:val="none"/>
        </w:rPr>
      </w:pPr>
      <w:r>
        <w:rPr>
          <w:rFonts w:hint="eastAsia" w:ascii="宋体" w:hAnsi="宋体" w:eastAsia="宋体" w:cs="宋体"/>
          <w:b/>
          <w:bCs/>
          <w:color w:val="auto"/>
          <w:spacing w:val="-5"/>
          <w:sz w:val="24"/>
          <w:szCs w:val="24"/>
          <w:highlight w:val="none"/>
        </w:rPr>
        <w:t>一、技术服务要求</w:t>
      </w:r>
    </w:p>
    <w:p w14:paraId="1669EB42">
      <w:pPr>
        <w:keepNext w:val="0"/>
        <w:keepLines w:val="0"/>
        <w:pageBreakBefore w:val="0"/>
        <w:kinsoku/>
        <w:wordWrap/>
        <w:overflowPunct/>
        <w:topLinePunct w:val="0"/>
        <w:bidi w:val="0"/>
        <w:spacing w:line="360" w:lineRule="auto"/>
        <w:ind w:firstLine="462" w:firstLineChars="200"/>
        <w:jc w:val="left"/>
        <w:rPr>
          <w:rFonts w:hint="eastAsia" w:ascii="宋体" w:hAnsi="宋体" w:eastAsia="宋体" w:cs="宋体"/>
          <w:b/>
          <w:bCs/>
          <w:color w:val="auto"/>
          <w:spacing w:val="-5"/>
          <w:sz w:val="24"/>
          <w:szCs w:val="24"/>
          <w:highlight w:val="none"/>
        </w:rPr>
      </w:pPr>
      <w:r>
        <w:rPr>
          <w:rFonts w:hint="eastAsia" w:ascii="宋体" w:hAnsi="宋体" w:eastAsia="宋体" w:cs="宋体"/>
          <w:b/>
          <w:bCs/>
          <w:color w:val="auto"/>
          <w:spacing w:val="-5"/>
          <w:sz w:val="24"/>
          <w:szCs w:val="24"/>
          <w:highlight w:val="none"/>
        </w:rPr>
        <w:t>（一）项目背景</w:t>
      </w:r>
    </w:p>
    <w:p w14:paraId="6026B5FA">
      <w:pPr>
        <w:keepNext w:val="0"/>
        <w:keepLines w:val="0"/>
        <w:pageBreakBefore w:val="0"/>
        <w:widowControl/>
        <w:kinsoku/>
        <w:wordWrap/>
        <w:overflowPunct/>
        <w:topLinePunct w:val="0"/>
        <w:autoSpaceDE w:val="0"/>
        <w:autoSpaceDN w:val="0"/>
        <w:bidi w:val="0"/>
        <w:adjustRightInd w:val="0"/>
        <w:snapToGrid w:val="0"/>
        <w:spacing w:line="360" w:lineRule="auto"/>
        <w:ind w:firstLine="460" w:firstLineChars="200"/>
        <w:jc w:val="left"/>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2025年3月，国家发改委等四部委联合印发《关于推动农业水价综合改革全面收官的通知》（发改价格〔2025〕309），要求应改尽改实现耕地灌溉面积范围内改革全覆盖，问题导向全面补齐短板弱项，</w:t>
      </w:r>
      <w:r>
        <w:rPr>
          <w:rFonts w:hint="eastAsia" w:ascii="宋体" w:hAnsi="宋体" w:eastAsia="宋体" w:cs="宋体"/>
          <w:color w:val="auto"/>
          <w:spacing w:val="-5"/>
          <w:sz w:val="24"/>
          <w:szCs w:val="24"/>
          <w:highlight w:val="none"/>
          <w:lang w:eastAsia="zh-CN"/>
        </w:rPr>
        <w:t>实事求是</w:t>
      </w:r>
      <w:r>
        <w:rPr>
          <w:rFonts w:hint="eastAsia" w:ascii="宋体" w:hAnsi="宋体" w:eastAsia="宋体" w:cs="宋体"/>
          <w:color w:val="auto"/>
          <w:spacing w:val="-5"/>
          <w:sz w:val="24"/>
          <w:szCs w:val="24"/>
          <w:highlight w:val="none"/>
        </w:rPr>
        <w:t>系统开展总结评估，同时，要结合本地实际，提出后续巩固改革成果的工作安排，保障改革期间建立起的各项机制持续运行，依托最严格水资源管理制度考核开展农业水价综合改革绩效评价。2023年3月，水利部办公厅印发《关于组织开展深化农业水价综合改革推进现代化灌区建设试点工作的通知》（办农水〔2023〕60号），要求在前期改革的基础上，充分发挥投融资作用，扎实推进现代化灌区建设，至目前，我省有国家试点3个，省级试点9个，正在全面推进。2024年2月，水利部办公厅印发《关于组织开展深化农业用水改革试点工作的通知》（办财务函〔2024〕144号），要求在农业水价综合改革的基础上，深化农业用水权改革，推行农业用水权交易，促进水资源节约集约利用，经两年申报，我省有一市一县列入国家试点。2025年省水利厅等四部门联合印发了《关于巩固深化农业水价综合改革成果建立健全农业节水五项制度体系的通知》（赣水农水字〔2025〕5号），强调“农业水价综合改革收官不是终点，而是全面推动农业节水增效的新起点。改革收官后，各地要持续巩固深化改革成果，持续做好农业节水增效这篇大文章”。</w:t>
      </w:r>
    </w:p>
    <w:p w14:paraId="42EBA349">
      <w:pPr>
        <w:keepNext w:val="0"/>
        <w:keepLines w:val="0"/>
        <w:pageBreakBefore w:val="0"/>
        <w:widowControl/>
        <w:kinsoku/>
        <w:wordWrap/>
        <w:overflowPunct/>
        <w:topLinePunct w:val="0"/>
        <w:autoSpaceDE w:val="0"/>
        <w:autoSpaceDN w:val="0"/>
        <w:bidi w:val="0"/>
        <w:adjustRightInd w:val="0"/>
        <w:snapToGrid w:val="0"/>
        <w:spacing w:line="360" w:lineRule="auto"/>
        <w:ind w:firstLine="460" w:firstLineChars="200"/>
        <w:jc w:val="left"/>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为全面落实国家文件要求，衔接我省改革推进实际，确保农业水价综合改革、农业节水增效等各项工作落地见效，现对涉及的技术工作进行系统梳理，据此提出本项目。</w:t>
      </w:r>
    </w:p>
    <w:p w14:paraId="69358842">
      <w:pPr>
        <w:keepNext w:val="0"/>
        <w:keepLines w:val="0"/>
        <w:pageBreakBefore w:val="0"/>
        <w:widowControl/>
        <w:kinsoku/>
        <w:wordWrap/>
        <w:overflowPunct/>
        <w:topLinePunct w:val="0"/>
        <w:autoSpaceDE w:val="0"/>
        <w:autoSpaceDN w:val="0"/>
        <w:bidi w:val="0"/>
        <w:adjustRightInd w:val="0"/>
        <w:snapToGrid w:val="0"/>
        <w:spacing w:line="360" w:lineRule="auto"/>
        <w:ind w:firstLine="462" w:firstLineChars="200"/>
        <w:jc w:val="left"/>
        <w:textAlignment w:val="baseline"/>
        <w:rPr>
          <w:rFonts w:hint="eastAsia" w:ascii="宋体" w:hAnsi="宋体" w:eastAsia="宋体" w:cs="宋体"/>
          <w:color w:val="auto"/>
          <w:spacing w:val="-5"/>
          <w:sz w:val="24"/>
          <w:szCs w:val="24"/>
          <w:highlight w:val="none"/>
        </w:rPr>
      </w:pPr>
      <w:r>
        <w:rPr>
          <w:rFonts w:hint="eastAsia" w:ascii="宋体" w:hAnsi="宋体" w:eastAsia="宋体" w:cs="宋体"/>
          <w:b/>
          <w:bCs/>
          <w:color w:val="auto"/>
          <w:spacing w:val="-5"/>
          <w:sz w:val="24"/>
          <w:szCs w:val="24"/>
          <w:highlight w:val="none"/>
        </w:rPr>
        <w:t>（二）工作内容</w:t>
      </w:r>
    </w:p>
    <w:p w14:paraId="2E1E2DB5">
      <w:pPr>
        <w:keepNext w:val="0"/>
        <w:keepLines w:val="0"/>
        <w:pageBreakBefore w:val="0"/>
        <w:widowControl/>
        <w:kinsoku/>
        <w:wordWrap/>
        <w:overflowPunct/>
        <w:topLinePunct w:val="0"/>
        <w:autoSpaceDE w:val="0"/>
        <w:autoSpaceDN w:val="0"/>
        <w:bidi w:val="0"/>
        <w:adjustRightInd w:val="0"/>
        <w:snapToGrid w:val="0"/>
        <w:spacing w:line="360" w:lineRule="auto"/>
        <w:ind w:firstLine="460" w:firstLineChars="200"/>
        <w:jc w:val="left"/>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动态新增改革面积“四项机制”建立与运行的技术咨询，主要工作内容包括：为全省动态新增改革面积的“四项机制”（水价形成机制、工程管护机制、用水权保障机制、精准补贴和节水奖励机制）建立与顺畅运行提供专业技术支持，确保新增改革区域与既有改革区域有效衔接，实现改革全域覆盖。</w:t>
      </w:r>
    </w:p>
    <w:p w14:paraId="0AF11BFF">
      <w:pPr>
        <w:keepNext w:val="0"/>
        <w:keepLines w:val="0"/>
        <w:pageBreakBefore w:val="0"/>
        <w:widowControl/>
        <w:kinsoku/>
        <w:wordWrap/>
        <w:overflowPunct/>
        <w:topLinePunct w:val="0"/>
        <w:autoSpaceDE w:val="0"/>
        <w:autoSpaceDN w:val="0"/>
        <w:bidi w:val="0"/>
        <w:adjustRightInd w:val="0"/>
        <w:snapToGrid w:val="0"/>
        <w:spacing w:line="360" w:lineRule="auto"/>
        <w:ind w:left="0" w:leftChars="0" w:firstLine="460" w:firstLineChars="200"/>
        <w:jc w:val="left"/>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2.全省12个深化改革推进现代化灌区建设试点技术咨询，主要工作内容包括：</w:t>
      </w:r>
    </w:p>
    <w:p w14:paraId="7C8837A5">
      <w:pPr>
        <w:keepNext w:val="0"/>
        <w:keepLines w:val="0"/>
        <w:pageBreakBefore w:val="0"/>
        <w:widowControl/>
        <w:kinsoku/>
        <w:wordWrap/>
        <w:overflowPunct/>
        <w:topLinePunct w:val="0"/>
        <w:autoSpaceDE w:val="0"/>
        <w:autoSpaceDN w:val="0"/>
        <w:bidi w:val="0"/>
        <w:adjustRightInd w:val="0"/>
        <w:snapToGrid w:val="0"/>
        <w:spacing w:line="360" w:lineRule="auto"/>
        <w:ind w:firstLine="460" w:firstLineChars="200"/>
        <w:jc w:val="left"/>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（1）为全省12个深化农业水价综合改革推进现代化灌区试点提供现场技术咨询服务；</w:t>
      </w:r>
    </w:p>
    <w:p w14:paraId="3E9AF047">
      <w:pPr>
        <w:keepNext w:val="0"/>
        <w:keepLines w:val="0"/>
        <w:pageBreakBefore w:val="0"/>
        <w:widowControl/>
        <w:kinsoku/>
        <w:wordWrap/>
        <w:overflowPunct/>
        <w:topLinePunct w:val="0"/>
        <w:autoSpaceDE w:val="0"/>
        <w:autoSpaceDN w:val="0"/>
        <w:bidi w:val="0"/>
        <w:adjustRightInd w:val="0"/>
        <w:snapToGrid w:val="0"/>
        <w:spacing w:line="360" w:lineRule="auto"/>
        <w:ind w:firstLine="460" w:firstLineChars="200"/>
        <w:jc w:val="left"/>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（2）围绕江西实际，着手构建一套科学完备的验收技术标准体系，为《深化改革推进现代化灌区建设试点验收技术标准》编制提供技术咨询工作，并为试点验收工作提供技术咨询服务。</w:t>
      </w:r>
    </w:p>
    <w:p w14:paraId="69BD18DB">
      <w:pPr>
        <w:keepNext w:val="0"/>
        <w:keepLines w:val="0"/>
        <w:pageBreakBefore w:val="0"/>
        <w:widowControl/>
        <w:kinsoku/>
        <w:wordWrap/>
        <w:overflowPunct/>
        <w:topLinePunct w:val="0"/>
        <w:autoSpaceDE w:val="0"/>
        <w:autoSpaceDN w:val="0"/>
        <w:bidi w:val="0"/>
        <w:adjustRightInd w:val="0"/>
        <w:snapToGrid w:val="0"/>
        <w:spacing w:line="360" w:lineRule="auto"/>
        <w:ind w:firstLine="460" w:firstLineChars="200"/>
        <w:jc w:val="left"/>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3.国家级深化农业用水权改革试点技术咨询，主要工作内容包括：</w:t>
      </w:r>
    </w:p>
    <w:p w14:paraId="1F44F2CF">
      <w:pPr>
        <w:keepNext w:val="0"/>
        <w:keepLines w:val="0"/>
        <w:pageBreakBefore w:val="0"/>
        <w:widowControl/>
        <w:kinsoku/>
        <w:wordWrap/>
        <w:overflowPunct/>
        <w:topLinePunct w:val="0"/>
        <w:autoSpaceDE w:val="0"/>
        <w:autoSpaceDN w:val="0"/>
        <w:bidi w:val="0"/>
        <w:adjustRightInd w:val="0"/>
        <w:snapToGrid w:val="0"/>
        <w:spacing w:line="360" w:lineRule="auto"/>
        <w:ind w:firstLine="460" w:firstLineChars="200"/>
        <w:jc w:val="left"/>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（1）提供针对性技术咨询。围绕用水权确权登记、交易流转、监管考核等关键环节，结合试点实际提供方案优化建议，解答实施中的技术问题，助力试点建立规范高效的用水权管理模式；</w:t>
      </w:r>
    </w:p>
    <w:p w14:paraId="18664189">
      <w:pPr>
        <w:keepNext w:val="0"/>
        <w:keepLines w:val="0"/>
        <w:pageBreakBefore w:val="0"/>
        <w:widowControl/>
        <w:kinsoku/>
        <w:wordWrap/>
        <w:overflowPunct/>
        <w:topLinePunct w:val="0"/>
        <w:autoSpaceDE w:val="0"/>
        <w:autoSpaceDN w:val="0"/>
        <w:bidi w:val="0"/>
        <w:adjustRightInd w:val="0"/>
        <w:snapToGrid w:val="0"/>
        <w:spacing w:line="360" w:lineRule="auto"/>
        <w:ind w:firstLine="460" w:firstLineChars="200"/>
        <w:jc w:val="left"/>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（2）围绕农业用水监测体系完善，为《农业用水计量监测技术导则》编制提供技术咨询服务，并为江西省农业用水计量监测提供技术咨询服务。</w:t>
      </w:r>
    </w:p>
    <w:p w14:paraId="41908C5E">
      <w:pPr>
        <w:keepNext w:val="0"/>
        <w:keepLines w:val="0"/>
        <w:pageBreakBefore w:val="0"/>
        <w:widowControl/>
        <w:kinsoku/>
        <w:wordWrap/>
        <w:overflowPunct/>
        <w:topLinePunct w:val="0"/>
        <w:autoSpaceDE w:val="0"/>
        <w:autoSpaceDN w:val="0"/>
        <w:bidi w:val="0"/>
        <w:adjustRightInd w:val="0"/>
        <w:snapToGrid w:val="0"/>
        <w:spacing w:line="360" w:lineRule="auto"/>
        <w:ind w:firstLine="460" w:firstLineChars="200"/>
        <w:jc w:val="left"/>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4.江西省农业用水成本水平及用水户承受能力摸底调查及建议，主要工作内容包括：全面掌握江西省农业用水的实际成本状况及用水户对水价的实际承受程度，为科学制定农业水价提供数据支撑。</w:t>
      </w:r>
    </w:p>
    <w:p w14:paraId="0D8B945C">
      <w:pPr>
        <w:keepNext w:val="0"/>
        <w:keepLines w:val="0"/>
        <w:pageBreakBefore w:val="0"/>
        <w:widowControl/>
        <w:kinsoku/>
        <w:wordWrap/>
        <w:overflowPunct/>
        <w:topLinePunct w:val="0"/>
        <w:autoSpaceDE w:val="0"/>
        <w:autoSpaceDN w:val="0"/>
        <w:bidi w:val="0"/>
        <w:adjustRightInd w:val="0"/>
        <w:snapToGrid w:val="0"/>
        <w:spacing w:line="360" w:lineRule="auto"/>
        <w:ind w:firstLine="462" w:firstLineChars="200"/>
        <w:jc w:val="left"/>
        <w:textAlignment w:val="baseline"/>
        <w:rPr>
          <w:rFonts w:hint="eastAsia" w:ascii="宋体" w:hAnsi="宋体" w:eastAsia="宋体" w:cs="宋体"/>
          <w:b/>
          <w:bCs/>
          <w:color w:val="auto"/>
          <w:spacing w:val="-5"/>
          <w:sz w:val="24"/>
          <w:szCs w:val="24"/>
          <w:highlight w:val="none"/>
        </w:rPr>
      </w:pPr>
      <w:r>
        <w:rPr>
          <w:rFonts w:hint="eastAsia" w:ascii="宋体" w:hAnsi="宋体" w:eastAsia="宋体" w:cs="宋体"/>
          <w:b/>
          <w:bCs/>
          <w:color w:val="auto"/>
          <w:spacing w:val="-5"/>
          <w:sz w:val="24"/>
          <w:szCs w:val="24"/>
          <w:highlight w:val="none"/>
        </w:rPr>
        <w:t>（三）主要成果</w:t>
      </w:r>
    </w:p>
    <w:p w14:paraId="72068156">
      <w:pPr>
        <w:keepNext w:val="0"/>
        <w:keepLines w:val="0"/>
        <w:pageBreakBefore w:val="0"/>
        <w:widowControl/>
        <w:kinsoku/>
        <w:wordWrap/>
        <w:overflowPunct/>
        <w:topLinePunct w:val="0"/>
        <w:autoSpaceDE w:val="0"/>
        <w:autoSpaceDN w:val="0"/>
        <w:bidi w:val="0"/>
        <w:adjustRightInd w:val="0"/>
        <w:snapToGrid w:val="0"/>
        <w:spacing w:line="360" w:lineRule="auto"/>
        <w:ind w:firstLine="460" w:firstLineChars="200"/>
        <w:jc w:val="left"/>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1.动态新增改革面积“四项机制”建立与运行的技术咨询县不少于10个；</w:t>
      </w:r>
    </w:p>
    <w:p w14:paraId="5D32E1EA">
      <w:pPr>
        <w:keepNext w:val="0"/>
        <w:keepLines w:val="0"/>
        <w:pageBreakBefore w:val="0"/>
        <w:widowControl/>
        <w:kinsoku/>
        <w:wordWrap/>
        <w:overflowPunct/>
        <w:topLinePunct w:val="0"/>
        <w:autoSpaceDE w:val="0"/>
        <w:autoSpaceDN w:val="0"/>
        <w:bidi w:val="0"/>
        <w:adjustRightInd w:val="0"/>
        <w:snapToGrid w:val="0"/>
        <w:spacing w:line="360" w:lineRule="auto"/>
        <w:ind w:firstLine="460" w:firstLineChars="200"/>
        <w:jc w:val="left"/>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2.深化改革推进现代化灌区建设试点技术咨询试点不少于12个；</w:t>
      </w:r>
    </w:p>
    <w:p w14:paraId="5DDF3A3B">
      <w:pPr>
        <w:keepNext w:val="0"/>
        <w:keepLines w:val="0"/>
        <w:pageBreakBefore w:val="0"/>
        <w:widowControl/>
        <w:kinsoku/>
        <w:wordWrap/>
        <w:overflowPunct/>
        <w:topLinePunct w:val="0"/>
        <w:autoSpaceDE w:val="0"/>
        <w:autoSpaceDN w:val="0"/>
        <w:bidi w:val="0"/>
        <w:adjustRightInd w:val="0"/>
        <w:snapToGrid w:val="0"/>
        <w:spacing w:line="360" w:lineRule="auto"/>
        <w:ind w:firstLine="460" w:firstLineChars="200"/>
        <w:jc w:val="left"/>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3.编制《深化改革推进现代化灌区建设试点验收技术标准》1项；</w:t>
      </w:r>
    </w:p>
    <w:p w14:paraId="54730AE1">
      <w:pPr>
        <w:keepNext w:val="0"/>
        <w:keepLines w:val="0"/>
        <w:pageBreakBefore w:val="0"/>
        <w:widowControl/>
        <w:kinsoku/>
        <w:wordWrap/>
        <w:overflowPunct/>
        <w:topLinePunct w:val="0"/>
        <w:autoSpaceDE w:val="0"/>
        <w:autoSpaceDN w:val="0"/>
        <w:bidi w:val="0"/>
        <w:adjustRightInd w:val="0"/>
        <w:snapToGrid w:val="0"/>
        <w:spacing w:line="360" w:lineRule="auto"/>
        <w:ind w:firstLine="460" w:firstLineChars="200"/>
        <w:jc w:val="left"/>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4.国家级深化农业用水权改革试点技术咨询试点不少于2个；</w:t>
      </w:r>
    </w:p>
    <w:p w14:paraId="02F92055">
      <w:pPr>
        <w:keepNext w:val="0"/>
        <w:keepLines w:val="0"/>
        <w:pageBreakBefore w:val="0"/>
        <w:widowControl/>
        <w:kinsoku/>
        <w:wordWrap/>
        <w:overflowPunct/>
        <w:topLinePunct w:val="0"/>
        <w:autoSpaceDE w:val="0"/>
        <w:autoSpaceDN w:val="0"/>
        <w:bidi w:val="0"/>
        <w:adjustRightInd w:val="0"/>
        <w:snapToGrid w:val="0"/>
        <w:spacing w:line="360" w:lineRule="auto"/>
        <w:ind w:firstLine="460" w:firstLineChars="200"/>
        <w:jc w:val="left"/>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5.编制《农业用水计量监测技术导则》1项；</w:t>
      </w:r>
    </w:p>
    <w:p w14:paraId="67362679">
      <w:pPr>
        <w:keepNext w:val="0"/>
        <w:keepLines w:val="0"/>
        <w:pageBreakBefore w:val="0"/>
        <w:widowControl/>
        <w:kinsoku/>
        <w:wordWrap/>
        <w:overflowPunct/>
        <w:topLinePunct w:val="0"/>
        <w:autoSpaceDE w:val="0"/>
        <w:autoSpaceDN w:val="0"/>
        <w:bidi w:val="0"/>
        <w:adjustRightInd w:val="0"/>
        <w:snapToGrid w:val="0"/>
        <w:spacing w:line="360" w:lineRule="auto"/>
        <w:ind w:firstLine="460" w:firstLineChars="200"/>
        <w:jc w:val="left"/>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6.江西省农业用水成本水平及用水户承受能力摸底调查县不少于8个。</w:t>
      </w:r>
    </w:p>
    <w:p w14:paraId="2E264F7A">
      <w:pPr>
        <w:keepNext w:val="0"/>
        <w:keepLines w:val="0"/>
        <w:pageBreakBefore w:val="0"/>
        <w:widowControl/>
        <w:kinsoku/>
        <w:wordWrap/>
        <w:overflowPunct/>
        <w:topLinePunct w:val="0"/>
        <w:autoSpaceDE w:val="0"/>
        <w:autoSpaceDN w:val="0"/>
        <w:bidi w:val="0"/>
        <w:adjustRightInd w:val="0"/>
        <w:snapToGrid w:val="0"/>
        <w:spacing w:line="360" w:lineRule="auto"/>
        <w:ind w:firstLine="462" w:firstLineChars="200"/>
        <w:jc w:val="left"/>
        <w:textAlignment w:val="baseline"/>
        <w:rPr>
          <w:rFonts w:hint="eastAsia" w:ascii="宋体" w:hAnsi="宋体" w:eastAsia="宋体" w:cs="宋体"/>
          <w:b/>
          <w:bCs/>
          <w:color w:val="auto"/>
          <w:spacing w:val="-5"/>
          <w:sz w:val="24"/>
          <w:szCs w:val="24"/>
          <w:highlight w:val="none"/>
        </w:rPr>
      </w:pPr>
      <w:r>
        <w:rPr>
          <w:rFonts w:hint="eastAsia" w:ascii="宋体" w:hAnsi="宋体" w:eastAsia="宋体" w:cs="宋体"/>
          <w:b/>
          <w:bCs/>
          <w:color w:val="auto"/>
          <w:spacing w:val="-5"/>
          <w:sz w:val="24"/>
          <w:szCs w:val="24"/>
          <w:highlight w:val="none"/>
        </w:rPr>
        <w:t>（四）工作要求</w:t>
      </w:r>
    </w:p>
    <w:p w14:paraId="168AF314">
      <w:pPr>
        <w:keepNext w:val="0"/>
        <w:keepLines w:val="0"/>
        <w:pageBreakBefore w:val="0"/>
        <w:widowControl/>
        <w:kinsoku/>
        <w:wordWrap/>
        <w:overflowPunct/>
        <w:topLinePunct w:val="0"/>
        <w:autoSpaceDE w:val="0"/>
        <w:autoSpaceDN w:val="0"/>
        <w:bidi w:val="0"/>
        <w:adjustRightInd w:val="0"/>
        <w:snapToGrid w:val="0"/>
        <w:spacing w:line="360" w:lineRule="auto"/>
        <w:ind w:firstLine="460" w:firstLineChars="200"/>
        <w:jc w:val="left"/>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项目承担单位应熟悉国家和江西省农业水价综合改革、深化农业水价综合改革推进现代化灌区试点、深化农业用水权改革试点等相关的政策要求，全面掌握江西省农业水价综合改革的农业水价、用水计量和用水管理、工程管护、资金奖补等机制建设及运行情况，具备提供相关技术支撑及相关技术方案的编制能力。</w:t>
      </w:r>
    </w:p>
    <w:p w14:paraId="5C772454">
      <w:pPr>
        <w:keepNext w:val="0"/>
        <w:keepLines w:val="0"/>
        <w:pageBreakBefore w:val="0"/>
        <w:widowControl/>
        <w:kinsoku/>
        <w:wordWrap/>
        <w:overflowPunct/>
        <w:topLinePunct w:val="0"/>
        <w:autoSpaceDE w:val="0"/>
        <w:autoSpaceDN w:val="0"/>
        <w:bidi w:val="0"/>
        <w:adjustRightInd w:val="0"/>
        <w:snapToGrid w:val="0"/>
        <w:spacing w:line="360" w:lineRule="auto"/>
        <w:ind w:firstLine="460" w:firstLineChars="200"/>
        <w:jc w:val="left"/>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2.技术支撑服务周期至2026年12月31日止，相关的工作进度要满足国家部委、省水利厅相关工作要求，并满足年度考核要求。</w:t>
      </w:r>
    </w:p>
    <w:p w14:paraId="248C9D48">
      <w:pPr>
        <w:keepNext w:val="0"/>
        <w:keepLines w:val="0"/>
        <w:pageBreakBefore w:val="0"/>
        <w:widowControl/>
        <w:kinsoku/>
        <w:wordWrap/>
        <w:overflowPunct/>
        <w:topLinePunct w:val="0"/>
        <w:autoSpaceDE w:val="0"/>
        <w:autoSpaceDN w:val="0"/>
        <w:bidi w:val="0"/>
        <w:adjustRightInd w:val="0"/>
        <w:snapToGrid w:val="0"/>
        <w:spacing w:line="360" w:lineRule="auto"/>
        <w:ind w:firstLine="460" w:firstLineChars="200"/>
        <w:jc w:val="left"/>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3.为本项目委派固定的项目团队，包括项目负责人、技术人员不少于8人。</w:t>
      </w:r>
    </w:p>
    <w:p w14:paraId="6F5F9756">
      <w:pPr>
        <w:keepNext w:val="0"/>
        <w:keepLines w:val="0"/>
        <w:pageBreakBefore w:val="0"/>
        <w:widowControl/>
        <w:kinsoku/>
        <w:wordWrap/>
        <w:overflowPunct/>
        <w:topLinePunct w:val="0"/>
        <w:autoSpaceDE w:val="0"/>
        <w:autoSpaceDN w:val="0"/>
        <w:bidi w:val="0"/>
        <w:adjustRightInd w:val="0"/>
        <w:snapToGrid w:val="0"/>
        <w:spacing w:line="360" w:lineRule="auto"/>
        <w:ind w:firstLine="460" w:firstLineChars="200"/>
        <w:jc w:val="left"/>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4.项目的现场技术核查、相关技术帮扶工作应符合中央八项规定精神要求。</w:t>
      </w:r>
    </w:p>
    <w:p w14:paraId="7DE2B92B">
      <w:pPr>
        <w:keepNext w:val="0"/>
        <w:keepLines w:val="0"/>
        <w:pageBreakBefore w:val="0"/>
        <w:widowControl/>
        <w:kinsoku/>
        <w:wordWrap/>
        <w:overflowPunct/>
        <w:topLinePunct w:val="0"/>
        <w:autoSpaceDE w:val="0"/>
        <w:autoSpaceDN w:val="0"/>
        <w:bidi w:val="0"/>
        <w:adjustRightInd w:val="0"/>
        <w:snapToGrid w:val="0"/>
        <w:spacing w:line="360" w:lineRule="auto"/>
        <w:ind w:firstLine="462" w:firstLineChars="200"/>
        <w:jc w:val="left"/>
        <w:textAlignment w:val="baseline"/>
        <w:rPr>
          <w:rFonts w:hint="eastAsia" w:ascii="宋体" w:hAnsi="宋体" w:eastAsia="宋体" w:cs="宋体"/>
          <w:b/>
          <w:bCs/>
          <w:color w:val="auto"/>
          <w:spacing w:val="-5"/>
          <w:sz w:val="24"/>
          <w:szCs w:val="24"/>
          <w:highlight w:val="none"/>
        </w:rPr>
      </w:pPr>
      <w:r>
        <w:rPr>
          <w:rFonts w:hint="eastAsia" w:ascii="宋体" w:hAnsi="宋体" w:eastAsia="宋体" w:cs="宋体"/>
          <w:b/>
          <w:bCs/>
          <w:color w:val="auto"/>
          <w:spacing w:val="-5"/>
          <w:sz w:val="24"/>
          <w:szCs w:val="24"/>
          <w:highlight w:val="none"/>
        </w:rPr>
        <w:t>（五）项目概算</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8"/>
        <w:gridCol w:w="1784"/>
        <w:gridCol w:w="4695"/>
        <w:gridCol w:w="1155"/>
      </w:tblGrid>
      <w:tr w14:paraId="7F4727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6" w:type="dxa"/>
            <w:vAlign w:val="center"/>
          </w:tcPr>
          <w:p w14:paraId="4524E87E">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eastAsia" w:eastAsia="仿宋_GB2312"/>
                <w:b/>
                <w:bCs/>
                <w:sz w:val="24"/>
                <w:szCs w:val="24"/>
                <w:vertAlign w:val="baseline"/>
                <w:lang w:val="en-US" w:eastAsia="zh-CN"/>
              </w:rPr>
            </w:pPr>
            <w:r>
              <w:rPr>
                <w:rFonts w:hint="eastAsia"/>
                <w:b/>
                <w:bCs/>
                <w:sz w:val="24"/>
                <w:szCs w:val="24"/>
                <w:vertAlign w:val="baseline"/>
                <w:lang w:val="en-US" w:eastAsia="zh-CN"/>
              </w:rPr>
              <w:t>序号</w:t>
            </w:r>
          </w:p>
        </w:tc>
        <w:tc>
          <w:tcPr>
            <w:tcW w:w="1894" w:type="dxa"/>
            <w:vAlign w:val="center"/>
          </w:tcPr>
          <w:p w14:paraId="7AF6D3EA">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eastAsia" w:eastAsia="仿宋_GB2312"/>
                <w:b/>
                <w:bCs/>
                <w:sz w:val="24"/>
                <w:szCs w:val="24"/>
                <w:vertAlign w:val="baseline"/>
                <w:lang w:val="en-US" w:eastAsia="zh-CN"/>
              </w:rPr>
            </w:pPr>
            <w:r>
              <w:rPr>
                <w:rFonts w:hint="eastAsia"/>
                <w:b/>
                <w:bCs/>
                <w:sz w:val="24"/>
                <w:szCs w:val="24"/>
                <w:vertAlign w:val="baseline"/>
                <w:lang w:val="en-US" w:eastAsia="zh-CN"/>
              </w:rPr>
              <w:t>项目名称</w:t>
            </w:r>
          </w:p>
        </w:tc>
        <w:tc>
          <w:tcPr>
            <w:tcW w:w="5046" w:type="dxa"/>
            <w:vAlign w:val="center"/>
          </w:tcPr>
          <w:p w14:paraId="3A5289B7">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eastAsia" w:eastAsia="仿宋_GB2312"/>
                <w:b/>
                <w:bCs/>
                <w:sz w:val="24"/>
                <w:szCs w:val="24"/>
                <w:vertAlign w:val="baseline"/>
                <w:lang w:val="en-US" w:eastAsia="zh-CN"/>
              </w:rPr>
            </w:pPr>
            <w:r>
              <w:rPr>
                <w:rFonts w:hint="eastAsia"/>
                <w:b/>
                <w:bCs/>
                <w:sz w:val="24"/>
                <w:szCs w:val="24"/>
                <w:vertAlign w:val="baseline"/>
                <w:lang w:val="en-US" w:eastAsia="zh-CN"/>
              </w:rPr>
              <w:t>工作内容</w:t>
            </w:r>
          </w:p>
        </w:tc>
        <w:tc>
          <w:tcPr>
            <w:tcW w:w="1195" w:type="dxa"/>
            <w:vAlign w:val="center"/>
          </w:tcPr>
          <w:p w14:paraId="4EA01049">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eastAsia"/>
                <w:b/>
                <w:bCs/>
                <w:sz w:val="24"/>
                <w:szCs w:val="24"/>
                <w:vertAlign w:val="baseline"/>
                <w:lang w:val="en-US" w:eastAsia="zh-CN"/>
              </w:rPr>
            </w:pPr>
            <w:r>
              <w:rPr>
                <w:rFonts w:hint="eastAsia"/>
                <w:b/>
                <w:bCs/>
                <w:sz w:val="24"/>
                <w:szCs w:val="24"/>
                <w:vertAlign w:val="baseline"/>
                <w:lang w:val="en-US" w:eastAsia="zh-CN"/>
              </w:rPr>
              <w:t>金额</w:t>
            </w:r>
          </w:p>
          <w:p w14:paraId="5DD190F5">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eastAsia" w:eastAsia="仿宋_GB2312"/>
                <w:b/>
                <w:bCs/>
                <w:sz w:val="24"/>
                <w:szCs w:val="24"/>
                <w:vertAlign w:val="baseline"/>
                <w:lang w:val="en-US" w:eastAsia="zh-CN"/>
              </w:rPr>
            </w:pPr>
            <w:r>
              <w:rPr>
                <w:rFonts w:hint="eastAsia"/>
                <w:b/>
                <w:bCs/>
                <w:sz w:val="24"/>
                <w:szCs w:val="24"/>
                <w:vertAlign w:val="baseline"/>
                <w:lang w:val="en-US" w:eastAsia="zh-CN"/>
              </w:rPr>
              <w:t>（万元）</w:t>
            </w:r>
          </w:p>
        </w:tc>
      </w:tr>
      <w:tr w14:paraId="2525F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6" w:type="dxa"/>
            <w:vAlign w:val="center"/>
          </w:tcPr>
          <w:p w14:paraId="5C0D733D">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eastAsia" w:eastAsia="仿宋_GB2312"/>
                <w:sz w:val="24"/>
                <w:szCs w:val="24"/>
                <w:vertAlign w:val="baseline"/>
                <w:lang w:val="en-US" w:eastAsia="zh-CN"/>
              </w:rPr>
            </w:pPr>
            <w:r>
              <w:rPr>
                <w:rFonts w:hint="eastAsia"/>
                <w:sz w:val="24"/>
                <w:szCs w:val="24"/>
                <w:vertAlign w:val="baseline"/>
                <w:lang w:val="en-US" w:eastAsia="zh-CN"/>
              </w:rPr>
              <w:t>1</w:t>
            </w:r>
          </w:p>
        </w:tc>
        <w:tc>
          <w:tcPr>
            <w:tcW w:w="1894" w:type="dxa"/>
            <w:vAlign w:val="center"/>
          </w:tcPr>
          <w:p w14:paraId="1B5B96DF">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eastAsia"/>
                <w:sz w:val="24"/>
                <w:szCs w:val="24"/>
                <w:vertAlign w:val="baseline"/>
              </w:rPr>
            </w:pPr>
            <w:r>
              <w:rPr>
                <w:rFonts w:hint="eastAsia"/>
                <w:sz w:val="24"/>
                <w:szCs w:val="24"/>
                <w:vertAlign w:val="baseline"/>
              </w:rPr>
              <w:t>动态新增改革面积“四项机制”建立与运行的技术咨询</w:t>
            </w:r>
          </w:p>
        </w:tc>
        <w:tc>
          <w:tcPr>
            <w:tcW w:w="5046" w:type="dxa"/>
            <w:vAlign w:val="center"/>
          </w:tcPr>
          <w:p w14:paraId="18B9B492">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eastAsia"/>
                <w:sz w:val="24"/>
                <w:szCs w:val="24"/>
                <w:vertAlign w:val="baseline"/>
              </w:rPr>
            </w:pPr>
            <w:r>
              <w:rPr>
                <w:rFonts w:hint="eastAsia"/>
                <w:sz w:val="24"/>
                <w:szCs w:val="24"/>
                <w:vertAlign w:val="baseline"/>
              </w:rPr>
              <w:t>为全省动态新增改革面积的“四项机制”（水价形成机制、工程管护机制、用水权保障机制、精准补贴和节水奖励机制）建立与顺畅运行提供专业技术支持，确保新增改革区域与既有改革区域有效衔接，实现改革全域覆盖。</w:t>
            </w:r>
          </w:p>
        </w:tc>
        <w:tc>
          <w:tcPr>
            <w:tcW w:w="1195" w:type="dxa"/>
            <w:vAlign w:val="center"/>
          </w:tcPr>
          <w:p w14:paraId="2BB47023">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default" w:eastAsia="仿宋_GB2312"/>
                <w:sz w:val="24"/>
                <w:szCs w:val="24"/>
                <w:vertAlign w:val="baseline"/>
                <w:lang w:val="en-US" w:eastAsia="zh-CN"/>
              </w:rPr>
            </w:pPr>
            <w:r>
              <w:rPr>
                <w:rFonts w:hint="eastAsia"/>
                <w:sz w:val="24"/>
                <w:szCs w:val="24"/>
                <w:vertAlign w:val="baseline"/>
                <w:lang w:val="en-US" w:eastAsia="zh-CN"/>
              </w:rPr>
              <w:t>25</w:t>
            </w:r>
          </w:p>
        </w:tc>
      </w:tr>
      <w:tr w14:paraId="767D8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trPr>
        <w:tc>
          <w:tcPr>
            <w:tcW w:w="926" w:type="dxa"/>
            <w:vAlign w:val="center"/>
          </w:tcPr>
          <w:p w14:paraId="65B3AC07">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eastAsia" w:eastAsia="仿宋_GB2312"/>
                <w:sz w:val="24"/>
                <w:szCs w:val="24"/>
                <w:vertAlign w:val="baseline"/>
                <w:lang w:val="en-US" w:eastAsia="zh-CN"/>
              </w:rPr>
            </w:pPr>
            <w:r>
              <w:rPr>
                <w:rFonts w:hint="eastAsia"/>
                <w:sz w:val="24"/>
                <w:szCs w:val="24"/>
                <w:vertAlign w:val="baseline"/>
                <w:lang w:val="en-US" w:eastAsia="zh-CN"/>
              </w:rPr>
              <w:t>2</w:t>
            </w:r>
          </w:p>
        </w:tc>
        <w:tc>
          <w:tcPr>
            <w:tcW w:w="1894" w:type="dxa"/>
            <w:vMerge w:val="restart"/>
            <w:vAlign w:val="center"/>
          </w:tcPr>
          <w:p w14:paraId="01599EC3">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eastAsia"/>
                <w:sz w:val="24"/>
                <w:szCs w:val="24"/>
                <w:vertAlign w:val="baseline"/>
              </w:rPr>
            </w:pPr>
            <w:r>
              <w:rPr>
                <w:rFonts w:hint="eastAsia"/>
                <w:sz w:val="24"/>
                <w:szCs w:val="24"/>
                <w:vertAlign w:val="baseline"/>
              </w:rPr>
              <w:t>全省12个深化改革推进现代化灌区建设试点技术咨询</w:t>
            </w:r>
          </w:p>
        </w:tc>
        <w:tc>
          <w:tcPr>
            <w:tcW w:w="5046" w:type="dxa"/>
            <w:vAlign w:val="center"/>
          </w:tcPr>
          <w:p w14:paraId="5048472E">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eastAsia" w:eastAsia="仿宋_GB2312"/>
                <w:sz w:val="24"/>
                <w:szCs w:val="24"/>
                <w:vertAlign w:val="baseline"/>
                <w:lang w:eastAsia="zh-CN"/>
              </w:rPr>
            </w:pPr>
            <w:r>
              <w:rPr>
                <w:rFonts w:hint="eastAsia"/>
                <w:sz w:val="24"/>
                <w:szCs w:val="24"/>
                <w:vertAlign w:val="baseline"/>
              </w:rPr>
              <w:t>为全省12个深化农业水价综合改革推进现代化灌区试点提供现场技术咨询服务</w:t>
            </w:r>
            <w:r>
              <w:rPr>
                <w:rFonts w:hint="eastAsia"/>
                <w:sz w:val="24"/>
                <w:szCs w:val="24"/>
                <w:vertAlign w:val="baseline"/>
                <w:lang w:eastAsia="zh-CN"/>
              </w:rPr>
              <w:t>。</w:t>
            </w:r>
          </w:p>
        </w:tc>
        <w:tc>
          <w:tcPr>
            <w:tcW w:w="1195" w:type="dxa"/>
            <w:vAlign w:val="center"/>
          </w:tcPr>
          <w:p w14:paraId="701C5629">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default" w:eastAsia="仿宋_GB2312"/>
                <w:sz w:val="24"/>
                <w:szCs w:val="24"/>
                <w:vertAlign w:val="baseline"/>
                <w:lang w:val="en-US" w:eastAsia="zh-CN"/>
              </w:rPr>
            </w:pPr>
            <w:r>
              <w:rPr>
                <w:rFonts w:hint="eastAsia"/>
                <w:sz w:val="24"/>
                <w:szCs w:val="24"/>
                <w:vertAlign w:val="baseline"/>
                <w:lang w:val="en-US" w:eastAsia="zh-CN"/>
              </w:rPr>
              <w:t>24</w:t>
            </w:r>
          </w:p>
        </w:tc>
      </w:tr>
      <w:tr w14:paraId="429D6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6" w:type="dxa"/>
            <w:vAlign w:val="center"/>
          </w:tcPr>
          <w:p w14:paraId="12F47C8E">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eastAsia" w:eastAsia="仿宋_GB2312"/>
                <w:sz w:val="24"/>
                <w:szCs w:val="24"/>
                <w:vertAlign w:val="baseline"/>
                <w:lang w:val="en-US" w:eastAsia="zh-CN"/>
              </w:rPr>
            </w:pPr>
            <w:r>
              <w:rPr>
                <w:rFonts w:hint="eastAsia"/>
                <w:sz w:val="24"/>
                <w:szCs w:val="24"/>
                <w:vertAlign w:val="baseline"/>
                <w:lang w:val="en-US" w:eastAsia="zh-CN"/>
              </w:rPr>
              <w:t>3</w:t>
            </w:r>
          </w:p>
        </w:tc>
        <w:tc>
          <w:tcPr>
            <w:tcW w:w="1894" w:type="dxa"/>
            <w:vMerge w:val="continue"/>
            <w:vAlign w:val="center"/>
          </w:tcPr>
          <w:p w14:paraId="182B4FD0">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eastAsia"/>
                <w:sz w:val="24"/>
                <w:szCs w:val="24"/>
                <w:vertAlign w:val="baseline"/>
              </w:rPr>
            </w:pPr>
          </w:p>
        </w:tc>
        <w:tc>
          <w:tcPr>
            <w:tcW w:w="5046" w:type="dxa"/>
            <w:vAlign w:val="center"/>
          </w:tcPr>
          <w:p w14:paraId="5C5D64E6">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eastAsia" w:eastAsia="仿宋_GB2312"/>
                <w:sz w:val="24"/>
                <w:szCs w:val="24"/>
                <w:vertAlign w:val="baseline"/>
                <w:lang w:eastAsia="zh-CN"/>
              </w:rPr>
            </w:pPr>
            <w:r>
              <w:rPr>
                <w:rFonts w:hint="eastAsia"/>
                <w:sz w:val="24"/>
                <w:szCs w:val="24"/>
                <w:vertAlign w:val="baseline"/>
              </w:rPr>
              <w:t>围绕江西实际，着手构建一套科学完备的验收技术标准体系，为《深化改革推进现代化灌区建设试点验收技术标准》编制提供技术咨询工作，并为试点验收工作提供技术咨询服务</w:t>
            </w:r>
            <w:r>
              <w:rPr>
                <w:rFonts w:hint="eastAsia"/>
                <w:sz w:val="24"/>
                <w:szCs w:val="24"/>
                <w:vertAlign w:val="baseline"/>
                <w:lang w:eastAsia="zh-CN"/>
              </w:rPr>
              <w:t>。</w:t>
            </w:r>
          </w:p>
        </w:tc>
        <w:tc>
          <w:tcPr>
            <w:tcW w:w="1195" w:type="dxa"/>
            <w:vAlign w:val="center"/>
          </w:tcPr>
          <w:p w14:paraId="37867325">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default" w:eastAsia="仿宋_GB2312"/>
                <w:sz w:val="24"/>
                <w:szCs w:val="24"/>
                <w:vertAlign w:val="baseline"/>
                <w:lang w:val="en-US" w:eastAsia="zh-CN"/>
              </w:rPr>
            </w:pPr>
            <w:r>
              <w:rPr>
                <w:rFonts w:hint="eastAsia"/>
                <w:sz w:val="24"/>
                <w:szCs w:val="24"/>
                <w:vertAlign w:val="baseline"/>
                <w:lang w:val="en-US" w:eastAsia="zh-CN"/>
              </w:rPr>
              <w:t>33</w:t>
            </w:r>
          </w:p>
        </w:tc>
      </w:tr>
      <w:tr w14:paraId="19EEC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6" w:type="dxa"/>
            <w:vAlign w:val="center"/>
          </w:tcPr>
          <w:p w14:paraId="62CC367A">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eastAsia" w:eastAsia="仿宋_GB2312"/>
                <w:sz w:val="24"/>
                <w:szCs w:val="24"/>
                <w:vertAlign w:val="baseline"/>
                <w:lang w:val="en-US" w:eastAsia="zh-CN"/>
              </w:rPr>
            </w:pPr>
            <w:r>
              <w:rPr>
                <w:rFonts w:hint="eastAsia"/>
                <w:sz w:val="24"/>
                <w:szCs w:val="24"/>
                <w:vertAlign w:val="baseline"/>
                <w:lang w:val="en-US" w:eastAsia="zh-CN"/>
              </w:rPr>
              <w:t>4</w:t>
            </w:r>
          </w:p>
        </w:tc>
        <w:tc>
          <w:tcPr>
            <w:tcW w:w="1894" w:type="dxa"/>
            <w:vMerge w:val="restart"/>
            <w:vAlign w:val="center"/>
          </w:tcPr>
          <w:p w14:paraId="03D2EB2E">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eastAsia"/>
                <w:sz w:val="24"/>
                <w:szCs w:val="24"/>
                <w:vertAlign w:val="baseline"/>
              </w:rPr>
            </w:pPr>
            <w:r>
              <w:rPr>
                <w:rFonts w:hint="eastAsia"/>
                <w:sz w:val="24"/>
                <w:szCs w:val="24"/>
                <w:vertAlign w:val="baseline"/>
              </w:rPr>
              <w:t>深化农业用水权改革试点技术咨询</w:t>
            </w:r>
          </w:p>
        </w:tc>
        <w:tc>
          <w:tcPr>
            <w:tcW w:w="5046" w:type="dxa"/>
            <w:vAlign w:val="center"/>
          </w:tcPr>
          <w:p w14:paraId="5C9FF422">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eastAsia"/>
                <w:sz w:val="24"/>
                <w:szCs w:val="24"/>
                <w:vertAlign w:val="baseline"/>
              </w:rPr>
            </w:pPr>
            <w:r>
              <w:rPr>
                <w:rFonts w:hint="eastAsia"/>
                <w:sz w:val="24"/>
                <w:szCs w:val="24"/>
                <w:vertAlign w:val="baseline"/>
              </w:rPr>
              <w:t>提供针对性技术咨询。围绕用水权确权登记、交易流转、监管考核等关键环节，结合试点实际提供方案优化建议，解答实施中的技术问题，助力试点建立规范高效的用水权管理模式。</w:t>
            </w:r>
          </w:p>
        </w:tc>
        <w:tc>
          <w:tcPr>
            <w:tcW w:w="1195" w:type="dxa"/>
            <w:vAlign w:val="center"/>
          </w:tcPr>
          <w:p w14:paraId="4688CE57">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default" w:eastAsia="仿宋_GB2312"/>
                <w:sz w:val="24"/>
                <w:szCs w:val="24"/>
                <w:vertAlign w:val="baseline"/>
                <w:lang w:val="en-US" w:eastAsia="zh-CN"/>
              </w:rPr>
            </w:pPr>
            <w:r>
              <w:rPr>
                <w:rFonts w:hint="eastAsia"/>
                <w:sz w:val="24"/>
                <w:szCs w:val="24"/>
                <w:vertAlign w:val="baseline"/>
                <w:lang w:val="en-US" w:eastAsia="zh-CN"/>
              </w:rPr>
              <w:t>20</w:t>
            </w:r>
          </w:p>
        </w:tc>
      </w:tr>
      <w:tr w14:paraId="70A86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6" w:type="dxa"/>
            <w:vAlign w:val="center"/>
          </w:tcPr>
          <w:p w14:paraId="28ABD804">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eastAsia" w:eastAsia="仿宋_GB2312"/>
                <w:sz w:val="24"/>
                <w:szCs w:val="24"/>
                <w:vertAlign w:val="baseline"/>
                <w:lang w:val="en-US" w:eastAsia="zh-CN"/>
              </w:rPr>
            </w:pPr>
            <w:r>
              <w:rPr>
                <w:rFonts w:hint="eastAsia"/>
                <w:sz w:val="24"/>
                <w:szCs w:val="24"/>
                <w:vertAlign w:val="baseline"/>
                <w:lang w:val="en-US" w:eastAsia="zh-CN"/>
              </w:rPr>
              <w:t>5</w:t>
            </w:r>
          </w:p>
        </w:tc>
        <w:tc>
          <w:tcPr>
            <w:tcW w:w="1894" w:type="dxa"/>
            <w:vMerge w:val="continue"/>
            <w:vAlign w:val="center"/>
          </w:tcPr>
          <w:p w14:paraId="779B27E0">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eastAsia"/>
                <w:sz w:val="24"/>
                <w:szCs w:val="24"/>
                <w:vertAlign w:val="baseline"/>
              </w:rPr>
            </w:pPr>
          </w:p>
        </w:tc>
        <w:tc>
          <w:tcPr>
            <w:tcW w:w="5046" w:type="dxa"/>
            <w:vAlign w:val="center"/>
          </w:tcPr>
          <w:p w14:paraId="6CF29712">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eastAsia"/>
                <w:sz w:val="24"/>
                <w:szCs w:val="24"/>
                <w:vertAlign w:val="baseline"/>
              </w:rPr>
            </w:pPr>
            <w:r>
              <w:rPr>
                <w:rFonts w:hint="eastAsia"/>
                <w:sz w:val="24"/>
                <w:szCs w:val="24"/>
                <w:vertAlign w:val="baseline"/>
              </w:rPr>
              <w:t>围绕农业用水监测体系完善，为《农业用水计量监测技术导则》编制提供技术咨询服务，并为江西省农业用水计量监测提供技术咨询服务。</w:t>
            </w:r>
          </w:p>
        </w:tc>
        <w:tc>
          <w:tcPr>
            <w:tcW w:w="1195" w:type="dxa"/>
            <w:vAlign w:val="center"/>
          </w:tcPr>
          <w:p w14:paraId="4F2C4672">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default" w:eastAsia="仿宋_GB2312"/>
                <w:sz w:val="24"/>
                <w:szCs w:val="24"/>
                <w:vertAlign w:val="baseline"/>
                <w:lang w:val="en-US" w:eastAsia="zh-CN"/>
              </w:rPr>
            </w:pPr>
            <w:r>
              <w:rPr>
                <w:rFonts w:hint="eastAsia"/>
                <w:sz w:val="24"/>
                <w:szCs w:val="24"/>
                <w:vertAlign w:val="baseline"/>
                <w:lang w:val="en-US" w:eastAsia="zh-CN"/>
              </w:rPr>
              <w:t>36</w:t>
            </w:r>
          </w:p>
        </w:tc>
      </w:tr>
      <w:tr w14:paraId="4F9C0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6" w:type="dxa"/>
            <w:vAlign w:val="center"/>
          </w:tcPr>
          <w:p w14:paraId="6551F6AE">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eastAsia" w:eastAsia="仿宋_GB2312"/>
                <w:sz w:val="24"/>
                <w:szCs w:val="24"/>
                <w:vertAlign w:val="baseline"/>
                <w:lang w:val="en-US" w:eastAsia="zh-CN"/>
              </w:rPr>
            </w:pPr>
            <w:r>
              <w:rPr>
                <w:rFonts w:hint="eastAsia"/>
                <w:sz w:val="24"/>
                <w:szCs w:val="24"/>
                <w:vertAlign w:val="baseline"/>
                <w:lang w:val="en-US" w:eastAsia="zh-CN"/>
              </w:rPr>
              <w:t>6</w:t>
            </w:r>
          </w:p>
        </w:tc>
        <w:tc>
          <w:tcPr>
            <w:tcW w:w="1894" w:type="dxa"/>
            <w:vAlign w:val="center"/>
          </w:tcPr>
          <w:p w14:paraId="186D887C">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eastAsia"/>
                <w:sz w:val="24"/>
                <w:szCs w:val="24"/>
                <w:vertAlign w:val="baseline"/>
              </w:rPr>
            </w:pPr>
            <w:r>
              <w:rPr>
                <w:rFonts w:hint="eastAsia"/>
                <w:sz w:val="24"/>
                <w:szCs w:val="24"/>
                <w:vertAlign w:val="baseline"/>
              </w:rPr>
              <w:t>江西省农业用水成本水平及用水户承受能力摸底调查</w:t>
            </w:r>
          </w:p>
        </w:tc>
        <w:tc>
          <w:tcPr>
            <w:tcW w:w="5046" w:type="dxa"/>
            <w:vAlign w:val="center"/>
          </w:tcPr>
          <w:p w14:paraId="19BEB257">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eastAsia"/>
                <w:sz w:val="24"/>
                <w:szCs w:val="24"/>
                <w:vertAlign w:val="baseline"/>
              </w:rPr>
            </w:pPr>
            <w:r>
              <w:rPr>
                <w:rFonts w:hint="eastAsia"/>
                <w:sz w:val="24"/>
                <w:szCs w:val="24"/>
                <w:vertAlign w:val="baseline"/>
              </w:rPr>
              <w:t>全面掌握江西省农业用水的实际成本状况及用水户对水价的实际承受程度，为科学制定农业水价提供数据支撑。</w:t>
            </w:r>
          </w:p>
        </w:tc>
        <w:tc>
          <w:tcPr>
            <w:tcW w:w="1195" w:type="dxa"/>
            <w:vAlign w:val="center"/>
          </w:tcPr>
          <w:p w14:paraId="0EE31CE3">
            <w:pPr>
              <w:keepNext w:val="0"/>
              <w:keepLines w:val="0"/>
              <w:pageBreakBefore w:val="0"/>
              <w:widowControl w:val="0"/>
              <w:kinsoku/>
              <w:wordWrap/>
              <w:overflowPunct/>
              <w:topLinePunct w:val="0"/>
              <w:autoSpaceDE/>
              <w:autoSpaceDN/>
              <w:bidi w:val="0"/>
              <w:adjustRightInd/>
              <w:snapToGrid/>
              <w:spacing w:line="320" w:lineRule="exact"/>
              <w:ind w:firstLine="0" w:firstLineChars="0"/>
              <w:jc w:val="center"/>
              <w:textAlignment w:val="auto"/>
              <w:rPr>
                <w:rFonts w:hint="default" w:eastAsia="仿宋_GB2312"/>
                <w:sz w:val="24"/>
                <w:szCs w:val="24"/>
                <w:vertAlign w:val="baseline"/>
                <w:lang w:val="en-US" w:eastAsia="zh-CN"/>
              </w:rPr>
            </w:pPr>
            <w:r>
              <w:rPr>
                <w:rFonts w:hint="eastAsia"/>
                <w:sz w:val="24"/>
                <w:szCs w:val="24"/>
                <w:vertAlign w:val="baseline"/>
                <w:lang w:val="en-US" w:eastAsia="zh-CN"/>
              </w:rPr>
              <w:t>47</w:t>
            </w:r>
          </w:p>
        </w:tc>
      </w:tr>
    </w:tbl>
    <w:p w14:paraId="4E0335E5">
      <w:pPr>
        <w:keepNext w:val="0"/>
        <w:keepLines w:val="0"/>
        <w:pageBreakBefore w:val="0"/>
        <w:widowControl/>
        <w:kinsoku/>
        <w:wordWrap/>
        <w:overflowPunct/>
        <w:topLinePunct w:val="0"/>
        <w:autoSpaceDE w:val="0"/>
        <w:autoSpaceDN w:val="0"/>
        <w:bidi w:val="0"/>
        <w:adjustRightInd w:val="0"/>
        <w:snapToGrid w:val="0"/>
        <w:spacing w:line="360" w:lineRule="auto"/>
        <w:jc w:val="left"/>
        <w:textAlignment w:val="baseline"/>
        <w:rPr>
          <w:rFonts w:hint="eastAsia" w:ascii="宋体" w:hAnsi="宋体"/>
          <w:b/>
          <w:sz w:val="24"/>
          <w:szCs w:val="24"/>
        </w:rPr>
      </w:pPr>
      <w:r>
        <w:rPr>
          <w:rFonts w:hint="eastAsia" w:ascii="宋体" w:hAnsi="宋体"/>
          <w:b/>
          <w:sz w:val="24"/>
          <w:szCs w:val="24"/>
        </w:rPr>
        <w:t>注：以上服务条款必须满足响应，否则作无效投标。</w:t>
      </w:r>
    </w:p>
    <w:p w14:paraId="721434C4">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BE29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2026-05-26T10:01:09Z</dcterms:created>
  <dc:creator>Administrator</dc:creator>
  <cp:lastModifiedBy>摩天轮   幻影</cp:lastModifiedBy>
  <dcterms:modified xsi:type="dcterms:W3CDTF">2026-05-26T10:01:14Z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eyJoZGlkIjoiMzZiNmQ3NDY2NzQ0YjQ1ZDg0NjBkNWZhYzI5Y2UzZDMiLCJ1c2VySWQiOiIyNDUyMDk3MjMifQ==</vt:lpwstr>
  </property>
  <property fmtid="{D5CDD505-2E9C-101B-9397-08002B2CF9AE}" pid="4" name="ICV">
    <vt:lpwstr>A9B061D01422457AB37EBC700EEB2CA1_12</vt:lpwstr>
  </property>
</Properties>
</file>