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0F88AD">
      <w:pPr>
        <w:pageBreakBefore w:val="0"/>
        <w:widowControl w:val="0"/>
        <w:wordWrap/>
        <w:overflowPunct/>
        <w:topLinePunct w:val="0"/>
        <w:bidi w:val="0"/>
        <w:spacing w:before="63" w:line="224" w:lineRule="auto"/>
        <w:jc w:val="center"/>
        <w:rPr>
          <w:color w:val="auto"/>
          <w:spacing w:val="0"/>
          <w:w w:val="100"/>
          <w:position w:val="0"/>
          <w:lang w:eastAsia="zh-CN"/>
        </w:rPr>
      </w:pP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w w:val="100"/>
          <w:position w:val="0"/>
          <w:sz w:val="31"/>
          <w:szCs w:val="31"/>
          <w:lang w:eastAsia="zh-CN"/>
        </w:rPr>
        <w:t xml:space="preserve">  </w:t>
      </w: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p>
    <w:p w14:paraId="7FE04DD9">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77606AF9">
      <w:pPr>
        <w:pageBreakBefore w:val="0"/>
        <w:widowControl w:val="0"/>
        <w:wordWrap/>
        <w:overflowPunct/>
        <w:topLinePunct w:val="0"/>
        <w:bidi w:val="0"/>
        <w:spacing w:before="78" w:line="220" w:lineRule="auto"/>
        <w:outlineLvl w:val="1"/>
        <w:rPr>
          <w:color w:val="auto"/>
          <w:spacing w:val="0"/>
          <w:w w:val="100"/>
          <w:position w:val="0"/>
        </w:rPr>
      </w:pPr>
      <w:bookmarkStart w:id="0" w:name="_Toc18996"/>
      <w:bookmarkStart w:id="1" w:name="_Toc26264"/>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bookmarkEnd w:id="0"/>
      <w:bookmarkEnd w:id="1"/>
    </w:p>
    <w:p w14:paraId="5141F5DF">
      <w:pPr>
        <w:pageBreakBefore w:val="0"/>
        <w:widowControl w:val="0"/>
        <w:numPr>
          <w:ilvl w:val="0"/>
          <w:numId w:val="0"/>
        </w:numPr>
        <w:wordWrap/>
        <w:overflowPunct/>
        <w:topLinePunct w:val="0"/>
        <w:bidi w:val="0"/>
        <w:spacing w:line="360" w:lineRule="auto"/>
        <w:ind w:leftChars="0"/>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lang w:val="en-US" w:eastAsia="zh-CN"/>
        </w:rPr>
        <w:t>(一）</w:t>
      </w:r>
      <w:r>
        <w:rPr>
          <w:rFonts w:hint="eastAsia" w:ascii="宋体" w:hAnsi="宋体" w:eastAsia="宋体" w:cs="宋体"/>
          <w:b w:val="0"/>
          <w:bCs w:val="0"/>
          <w:color w:val="000000"/>
          <w:sz w:val="24"/>
          <w:szCs w:val="24"/>
        </w:rPr>
        <w:t>投标人须提供全新、原装，并符合质量标准的货物。</w:t>
      </w:r>
    </w:p>
    <w:p w14:paraId="1E33E32E">
      <w:pPr>
        <w:pageBreakBefore w:val="0"/>
        <w:widowControl w:val="0"/>
        <w:numPr>
          <w:ilvl w:val="0"/>
          <w:numId w:val="0"/>
        </w:numPr>
        <w:wordWrap/>
        <w:overflowPunct/>
        <w:topLinePunct w:val="0"/>
        <w:bidi w:val="0"/>
        <w:spacing w:line="360" w:lineRule="auto"/>
        <w:ind w:leftChars="0"/>
        <w:rPr>
          <w:rFonts w:hint="eastAsia" w:ascii="宋体" w:hAnsi="宋体" w:eastAsia="宋体" w:cs="宋体"/>
          <w:color w:val="auto"/>
          <w:spacing w:val="0"/>
          <w:w w:val="100"/>
          <w:position w:val="0"/>
          <w:sz w:val="24"/>
          <w:szCs w:val="24"/>
        </w:rPr>
      </w:pPr>
      <w:r>
        <w:rPr>
          <w:rFonts w:hint="eastAsia" w:ascii="宋体" w:hAnsi="宋体" w:eastAsia="宋体" w:cs="宋体"/>
          <w:b w:val="0"/>
          <w:bCs w:val="0"/>
          <w:color w:val="000000"/>
          <w:sz w:val="24"/>
          <w:szCs w:val="24"/>
          <w:lang w:eastAsia="zh-CN"/>
        </w:rPr>
        <w:t>（</w:t>
      </w:r>
      <w:r>
        <w:rPr>
          <w:rFonts w:hint="eastAsia" w:ascii="宋体" w:hAnsi="宋体" w:eastAsia="宋体" w:cs="宋体"/>
          <w:b w:val="0"/>
          <w:bCs w:val="0"/>
          <w:color w:val="000000"/>
          <w:sz w:val="24"/>
          <w:szCs w:val="24"/>
          <w:lang w:val="en-US" w:eastAsia="zh-CN"/>
        </w:rPr>
        <w:t>二）</w:t>
      </w:r>
      <w:r>
        <w:rPr>
          <w:rFonts w:hint="eastAsia" w:ascii="宋体" w:hAnsi="宋体" w:eastAsia="宋体" w:cs="宋体"/>
          <w:b w:val="0"/>
          <w:bCs w:val="0"/>
          <w:color w:val="000000"/>
          <w:sz w:val="24"/>
          <w:szCs w:val="24"/>
        </w:rPr>
        <w:t xml:space="preserve"> 货物如为某单位的专利或特有产品，请投标人在答疑期内告知政府采购代理机构。 </w:t>
      </w:r>
    </w:p>
    <w:p w14:paraId="6B859610">
      <w:pPr>
        <w:pageBreakBefore w:val="0"/>
        <w:widowControl w:val="0"/>
        <w:numPr>
          <w:ilvl w:val="0"/>
          <w:numId w:val="0"/>
        </w:numPr>
        <w:wordWrap/>
        <w:overflowPunct/>
        <w:topLinePunct w:val="0"/>
        <w:bidi w:val="0"/>
        <w:spacing w:line="360" w:lineRule="auto"/>
        <w:ind w:leftChars="0"/>
        <w:rPr>
          <w:rFonts w:hint="eastAsia" w:ascii="宋体" w:hAnsi="宋体" w:eastAsia="宋体" w:cs="宋体"/>
          <w:color w:val="auto"/>
          <w:spacing w:val="0"/>
          <w:w w:val="100"/>
          <w:position w:val="0"/>
          <w:sz w:val="24"/>
          <w:szCs w:val="24"/>
        </w:rPr>
      </w:pPr>
      <w:r>
        <w:rPr>
          <w:rFonts w:hint="eastAsia" w:ascii="宋体" w:hAnsi="宋体" w:eastAsia="宋体" w:cs="宋体"/>
          <w:b w:val="0"/>
          <w:bCs w:val="0"/>
          <w:color w:val="000000"/>
          <w:sz w:val="24"/>
          <w:szCs w:val="24"/>
          <w:lang w:eastAsia="zh-CN"/>
        </w:rPr>
        <w:t>（</w:t>
      </w:r>
      <w:r>
        <w:rPr>
          <w:rFonts w:hint="eastAsia" w:ascii="宋体" w:hAnsi="宋体" w:eastAsia="宋体" w:cs="宋体"/>
          <w:b w:val="0"/>
          <w:bCs w:val="0"/>
          <w:color w:val="000000"/>
          <w:sz w:val="24"/>
          <w:szCs w:val="24"/>
          <w:lang w:val="en-US" w:eastAsia="zh-CN"/>
        </w:rPr>
        <w:t>三）</w:t>
      </w:r>
      <w:r>
        <w:rPr>
          <w:rFonts w:hint="eastAsia" w:ascii="宋体" w:hAnsi="宋体" w:eastAsia="宋体" w:cs="宋体"/>
          <w:b w:val="0"/>
          <w:bCs w:val="0"/>
          <w:color w:val="000000"/>
          <w:sz w:val="24"/>
          <w:szCs w:val="24"/>
        </w:rPr>
        <w:t>所有货物</w:t>
      </w:r>
      <w:r>
        <w:rPr>
          <w:rFonts w:hint="eastAsia" w:ascii="宋体" w:hAnsi="宋体" w:eastAsia="宋体" w:cs="宋体"/>
          <w:b w:val="0"/>
          <w:bCs w:val="0"/>
          <w:color w:val="000000"/>
          <w:sz w:val="24"/>
          <w:szCs w:val="24"/>
          <w:lang w:eastAsia="zh-CN"/>
        </w:rPr>
        <w:t>、</w:t>
      </w:r>
      <w:r>
        <w:rPr>
          <w:rFonts w:hint="eastAsia" w:ascii="宋体" w:hAnsi="宋体" w:eastAsia="宋体" w:cs="宋体"/>
          <w:b w:val="0"/>
          <w:bCs w:val="0"/>
          <w:color w:val="000000"/>
          <w:sz w:val="24"/>
          <w:szCs w:val="24"/>
          <w:lang w:val="en-US" w:eastAsia="zh-CN"/>
        </w:rPr>
        <w:t>服务</w:t>
      </w:r>
      <w:r>
        <w:rPr>
          <w:rFonts w:hint="eastAsia" w:ascii="宋体" w:hAnsi="宋体" w:eastAsia="宋体" w:cs="宋体"/>
          <w:b w:val="0"/>
          <w:bCs w:val="0"/>
          <w:color w:val="000000"/>
          <w:sz w:val="24"/>
          <w:szCs w:val="24"/>
        </w:rPr>
        <w:t>的知识产权问题，由各投标人自行负责。</w:t>
      </w:r>
    </w:p>
    <w:p w14:paraId="6190AD13">
      <w:pPr>
        <w:pageBreakBefore w:val="0"/>
        <w:widowControl w:val="0"/>
        <w:numPr>
          <w:ilvl w:val="0"/>
          <w:numId w:val="0"/>
        </w:numPr>
        <w:wordWrap/>
        <w:overflowPunct/>
        <w:topLinePunct w:val="0"/>
        <w:bidi w:val="0"/>
        <w:spacing w:line="360" w:lineRule="auto"/>
        <w:ind w:leftChars="0"/>
        <w:rPr>
          <w:rFonts w:hint="eastAsia" w:ascii="宋体" w:hAnsi="宋体" w:eastAsia="宋体" w:cs="宋体"/>
          <w:color w:val="auto"/>
          <w:spacing w:val="0"/>
          <w:w w:val="100"/>
          <w:position w:val="0"/>
          <w:sz w:val="24"/>
          <w:szCs w:val="24"/>
        </w:rPr>
      </w:pPr>
      <w:r>
        <w:rPr>
          <w:rFonts w:hint="eastAsia" w:ascii="宋体" w:hAnsi="宋体" w:eastAsia="宋体" w:cs="宋体"/>
          <w:b w:val="0"/>
          <w:bCs w:val="0"/>
          <w:color w:val="000000"/>
          <w:sz w:val="24"/>
          <w:szCs w:val="24"/>
          <w:lang w:eastAsia="zh-CN"/>
        </w:rPr>
        <w:t>（</w:t>
      </w:r>
      <w:r>
        <w:rPr>
          <w:rFonts w:hint="eastAsia" w:ascii="宋体" w:hAnsi="宋体" w:eastAsia="宋体" w:cs="宋体"/>
          <w:b w:val="0"/>
          <w:bCs w:val="0"/>
          <w:color w:val="000000"/>
          <w:sz w:val="24"/>
          <w:szCs w:val="24"/>
          <w:lang w:val="en-US" w:eastAsia="zh-CN"/>
        </w:rPr>
        <w:t>四）</w:t>
      </w:r>
      <w:r>
        <w:rPr>
          <w:rFonts w:hint="eastAsia" w:ascii="宋体" w:hAnsi="宋体" w:eastAsia="宋体" w:cs="宋体"/>
          <w:b w:val="0"/>
          <w:bCs w:val="0"/>
          <w:color w:val="000000"/>
          <w:sz w:val="24"/>
          <w:szCs w:val="24"/>
        </w:rPr>
        <w:t>本招标文件提出的是最低限度的要求，投标人的方案应达到或优于本招 标文件要求，且符合国家有关标准和规范要求。</w:t>
      </w:r>
    </w:p>
    <w:p w14:paraId="3A7C65E8">
      <w:pP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58862128">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bookmarkStart w:id="2" w:name="_Toc445"/>
      <w:bookmarkStart w:id="3" w:name="_Toc5595"/>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bookmarkEnd w:id="2"/>
      <w:bookmarkEnd w:id="3"/>
    </w:p>
    <w:p w14:paraId="0302F13D">
      <w:pPr>
        <w:pageBreakBefore w:val="0"/>
        <w:widowControl w:val="0"/>
        <w:wordWrap/>
        <w:overflowPunct/>
        <w:topLinePunct w:val="0"/>
        <w:bidi w:val="0"/>
        <w:spacing w:line="258" w:lineRule="auto"/>
        <w:rPr>
          <w:color w:val="auto"/>
          <w:spacing w:val="0"/>
          <w:w w:val="100"/>
          <w:position w:val="0"/>
        </w:rPr>
      </w:pPr>
    </w:p>
    <w:p w14:paraId="1ABE00A7">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502" w:firstLineChars="200"/>
        <w:textAlignment w:val="baseline"/>
        <w:rPr>
          <w:rFonts w:hint="eastAsia" w:ascii="宋体" w:hAnsi="宋体" w:eastAsia="宋体" w:cs="宋体"/>
          <w:b/>
          <w:bCs/>
          <w:color w:val="auto"/>
          <w:spacing w:val="5"/>
          <w:sz w:val="24"/>
          <w:szCs w:val="24"/>
        </w:rPr>
      </w:pPr>
      <w:r>
        <w:rPr>
          <w:rFonts w:hint="eastAsia" w:ascii="宋体" w:hAnsi="宋体" w:eastAsia="宋体" w:cs="宋体"/>
          <w:b/>
          <w:bCs/>
          <w:color w:val="auto"/>
          <w:spacing w:val="5"/>
          <w:sz w:val="24"/>
          <w:szCs w:val="24"/>
          <w:lang w:eastAsia="zh-CN"/>
        </w:rPr>
        <w:t>（</w:t>
      </w:r>
      <w:r>
        <w:rPr>
          <w:rFonts w:hint="eastAsia" w:ascii="宋体" w:hAnsi="宋体" w:eastAsia="宋体" w:cs="宋体"/>
          <w:b/>
          <w:bCs/>
          <w:color w:val="auto"/>
          <w:spacing w:val="5"/>
          <w:sz w:val="24"/>
          <w:szCs w:val="24"/>
          <w:lang w:val="en-US" w:eastAsia="zh-CN"/>
        </w:rPr>
        <w:t>一）</w:t>
      </w:r>
      <w:r>
        <w:rPr>
          <w:rFonts w:hint="eastAsia" w:ascii="宋体" w:hAnsi="宋体" w:eastAsia="宋体" w:cs="宋体"/>
          <w:b/>
          <w:bCs/>
          <w:color w:val="auto"/>
          <w:spacing w:val="5"/>
          <w:sz w:val="24"/>
          <w:szCs w:val="24"/>
        </w:rPr>
        <w:t>项目概况</w:t>
      </w:r>
    </w:p>
    <w:p w14:paraId="3A4B24EA">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460" w:firstLineChars="200"/>
        <w:textAlignment w:val="baseline"/>
        <w:rPr>
          <w:rFonts w:hint="eastAsia" w:ascii="宋体" w:hAnsi="宋体" w:eastAsia="宋体" w:cs="宋体"/>
          <w:color w:val="auto"/>
          <w:spacing w:val="-5"/>
          <w:sz w:val="24"/>
          <w:szCs w:val="24"/>
          <w:u w:val="none" w:color="auto"/>
          <w:lang w:eastAsia="zh-CN"/>
        </w:rPr>
      </w:pPr>
      <w:r>
        <w:rPr>
          <w:rFonts w:hint="eastAsia" w:ascii="宋体" w:hAnsi="宋体" w:eastAsia="宋体" w:cs="宋体"/>
          <w:color w:val="auto"/>
          <w:spacing w:val="-5"/>
          <w:sz w:val="24"/>
          <w:szCs w:val="24"/>
          <w:u w:val="none" w:color="auto"/>
          <w:lang w:eastAsia="zh-CN"/>
        </w:rPr>
        <w:t>2026年儿童营养包采购项目，预算总金额为18706000.00元。采购婴幼儿辅食营养包一批，用于赣州20个县（市、区）6-24月龄儿童。单价不超过</w:t>
      </w:r>
      <w:r>
        <w:rPr>
          <w:rFonts w:hint="eastAsia" w:ascii="宋体" w:hAnsi="宋体" w:eastAsia="宋体" w:cs="宋体"/>
          <w:color w:val="auto"/>
          <w:spacing w:val="-5"/>
          <w:sz w:val="24"/>
          <w:szCs w:val="24"/>
          <w:u w:val="none" w:color="auto"/>
          <w:lang w:val="en-US" w:eastAsia="zh-CN"/>
        </w:rPr>
        <w:t>17.9</w:t>
      </w:r>
      <w:r>
        <w:rPr>
          <w:rFonts w:hint="eastAsia" w:ascii="宋体" w:hAnsi="宋体" w:eastAsia="宋体" w:cs="宋体"/>
          <w:color w:val="auto"/>
          <w:spacing w:val="-5"/>
          <w:sz w:val="24"/>
          <w:szCs w:val="24"/>
          <w:u w:val="none" w:color="auto"/>
          <w:lang w:eastAsia="zh-CN"/>
        </w:rPr>
        <w:t>元/盒，数量不少于1045027盒，最终以实际需求为准。</w:t>
      </w:r>
    </w:p>
    <w:p w14:paraId="2573EEDA">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default"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（二）项目营养包技术要求</w:t>
      </w:r>
    </w:p>
    <w:p w14:paraId="4CF631DC">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bCs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项目营养包质量应当符合《食品安全国家标准 辅食营养补充品》（GB22570-2014）的要求。</w:t>
      </w:r>
    </w:p>
    <w:p w14:paraId="2E91F40D">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lang w:val="en-US" w:eastAsia="zh-CN"/>
        </w:rPr>
      </w:pPr>
      <w:r>
        <w:rPr>
          <w:rFonts w:hint="eastAsia" w:ascii="宋体" w:hAnsi="宋体" w:eastAsia="宋体" w:cs="宋体"/>
          <w:b/>
          <w:bCs/>
          <w:color w:val="auto"/>
          <w:spacing w:val="-5"/>
          <w:kern w:val="0"/>
          <w:sz w:val="24"/>
          <w:szCs w:val="24"/>
          <w:highlight w:val="none"/>
          <w:u w:val="none" w:color="auto"/>
          <w:lang w:val="en-US" w:eastAsia="zh-CN" w:bidi="ar-SA"/>
        </w:rPr>
        <w:t>（三）项目营养包质量规格要求</w:t>
      </w:r>
    </w:p>
    <w:p w14:paraId="365637D6">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1.产品:婴幼儿辅食营养包。</w:t>
      </w:r>
    </w:p>
    <w:p w14:paraId="6A686B92">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2.包装规格:12g/袋×30袋/盒。</w:t>
      </w:r>
    </w:p>
    <w:p w14:paraId="4CD8787B">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3.适宜人群:6-36月龄婴幼儿。</w:t>
      </w:r>
    </w:p>
    <w:p w14:paraId="77F6ABD5">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4.保质期:至少 12 个月。</w:t>
      </w:r>
    </w:p>
    <w:p w14:paraId="2D232DE0">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5.感官要求:淡黄色粉状或微粒状，松散无结块，具有本品特有的滋味和气味，无异味和不良气味，不应有正常视力可见的外来异物，易冲调成均匀稀薄糊状。</w:t>
      </w:r>
    </w:p>
    <w:p w14:paraId="2E1401CA">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6.营养成份：</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97"/>
        <w:gridCol w:w="3031"/>
        <w:gridCol w:w="2691"/>
      </w:tblGrid>
      <w:tr w14:paraId="1A095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3497" w:type="dxa"/>
            <w:noWrap w:val="0"/>
            <w:vAlign w:val="center"/>
          </w:tcPr>
          <w:p w14:paraId="2AAF9719">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营养素</w:t>
            </w:r>
          </w:p>
        </w:tc>
        <w:tc>
          <w:tcPr>
            <w:tcW w:w="3031" w:type="dxa"/>
            <w:noWrap w:val="0"/>
            <w:vAlign w:val="top"/>
          </w:tcPr>
          <w:p w14:paraId="612C6AC7">
            <w:pPr>
              <w:keepNext w:val="0"/>
              <w:keepLines w:val="0"/>
              <w:pageBreakBefore w:val="0"/>
              <w:kinsoku w:val="0"/>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标识每日份含量(12g/袋）</w:t>
            </w:r>
          </w:p>
        </w:tc>
        <w:tc>
          <w:tcPr>
            <w:tcW w:w="2691" w:type="dxa"/>
            <w:noWrap w:val="0"/>
            <w:vAlign w:val="top"/>
          </w:tcPr>
          <w:p w14:paraId="78C6CBC9">
            <w:pPr>
              <w:keepNext w:val="0"/>
              <w:keepLines w:val="0"/>
              <w:pageBreakBefore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含量范围要求</w:t>
            </w:r>
          </w:p>
        </w:tc>
      </w:tr>
      <w:tr w14:paraId="1E579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6C60624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蛋白质（g）</w:t>
            </w:r>
          </w:p>
        </w:tc>
        <w:tc>
          <w:tcPr>
            <w:tcW w:w="3031" w:type="dxa"/>
            <w:noWrap w:val="0"/>
            <w:vAlign w:val="center"/>
          </w:tcPr>
          <w:p w14:paraId="6796F39C">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c>
          <w:tcPr>
            <w:tcW w:w="2691" w:type="dxa"/>
            <w:noWrap w:val="0"/>
            <w:vAlign w:val="center"/>
          </w:tcPr>
          <w:p w14:paraId="257ABCF3">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≥3</w:t>
            </w:r>
          </w:p>
        </w:tc>
      </w:tr>
      <w:tr w14:paraId="05B22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3AAFBE58">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钙（mg）</w:t>
            </w:r>
          </w:p>
        </w:tc>
        <w:tc>
          <w:tcPr>
            <w:tcW w:w="3031" w:type="dxa"/>
            <w:noWrap w:val="0"/>
            <w:vAlign w:val="center"/>
          </w:tcPr>
          <w:p w14:paraId="45B26FF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200</w:t>
            </w:r>
          </w:p>
        </w:tc>
        <w:tc>
          <w:tcPr>
            <w:tcW w:w="2691" w:type="dxa"/>
            <w:noWrap w:val="0"/>
            <w:vAlign w:val="center"/>
          </w:tcPr>
          <w:p w14:paraId="3718DA47">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180-240</w:t>
            </w:r>
          </w:p>
        </w:tc>
      </w:tr>
      <w:tr w14:paraId="3CFFF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30B64195">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铁（mg）</w:t>
            </w:r>
          </w:p>
        </w:tc>
        <w:tc>
          <w:tcPr>
            <w:tcW w:w="3031" w:type="dxa"/>
            <w:noWrap w:val="0"/>
            <w:vAlign w:val="center"/>
          </w:tcPr>
          <w:p w14:paraId="79AC783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7.5</w:t>
            </w:r>
          </w:p>
        </w:tc>
        <w:tc>
          <w:tcPr>
            <w:tcW w:w="2691" w:type="dxa"/>
            <w:noWrap w:val="0"/>
            <w:vAlign w:val="center"/>
          </w:tcPr>
          <w:p w14:paraId="15392A3E">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6.0-9.0</w:t>
            </w:r>
          </w:p>
        </w:tc>
      </w:tr>
      <w:tr w14:paraId="2C9C2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285E1578">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锌(mg)</w:t>
            </w:r>
          </w:p>
        </w:tc>
        <w:tc>
          <w:tcPr>
            <w:tcW w:w="3031" w:type="dxa"/>
            <w:noWrap w:val="0"/>
            <w:vAlign w:val="center"/>
          </w:tcPr>
          <w:p w14:paraId="28C9656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3.0</w:t>
            </w:r>
          </w:p>
        </w:tc>
        <w:tc>
          <w:tcPr>
            <w:tcW w:w="2691" w:type="dxa"/>
            <w:noWrap w:val="0"/>
            <w:vAlign w:val="center"/>
          </w:tcPr>
          <w:p w14:paraId="53610E4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2.4-6.0</w:t>
            </w:r>
          </w:p>
        </w:tc>
      </w:tr>
      <w:tr w14:paraId="4632F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6D848573">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维生素A（μg）</w:t>
            </w:r>
          </w:p>
        </w:tc>
        <w:tc>
          <w:tcPr>
            <w:tcW w:w="3031" w:type="dxa"/>
            <w:noWrap w:val="0"/>
            <w:vAlign w:val="center"/>
          </w:tcPr>
          <w:p w14:paraId="3387D15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250</w:t>
            </w:r>
          </w:p>
        </w:tc>
        <w:tc>
          <w:tcPr>
            <w:tcW w:w="2691" w:type="dxa"/>
            <w:noWrap w:val="0"/>
            <w:vAlign w:val="center"/>
          </w:tcPr>
          <w:p w14:paraId="126A94CA">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200-360</w:t>
            </w:r>
          </w:p>
        </w:tc>
      </w:tr>
      <w:tr w14:paraId="5B8A8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6AFD4CE1">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维生素D（μg）</w:t>
            </w:r>
          </w:p>
        </w:tc>
        <w:tc>
          <w:tcPr>
            <w:tcW w:w="3031" w:type="dxa"/>
            <w:noWrap w:val="0"/>
            <w:vAlign w:val="center"/>
          </w:tcPr>
          <w:p w14:paraId="57762E08">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5.0</w:t>
            </w:r>
          </w:p>
        </w:tc>
        <w:tc>
          <w:tcPr>
            <w:tcW w:w="2691" w:type="dxa"/>
            <w:noWrap w:val="0"/>
            <w:vAlign w:val="center"/>
          </w:tcPr>
          <w:p w14:paraId="6F50AFC9">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4.0-9.0</w:t>
            </w:r>
          </w:p>
        </w:tc>
      </w:tr>
      <w:tr w14:paraId="747FE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2FCA33C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60"/>
                <w:highlight w:val="white"/>
              </w:rPr>
              <w:t xml:space="preserve"> </w:t>
            </w:r>
            <w:r>
              <w:rPr>
                <w:color w:val="auto"/>
                <w:spacing w:val="-2"/>
                <w:highlight w:val="white"/>
              </w:rPr>
              <w:t>B</w:t>
            </w:r>
            <w:r>
              <w:rPr>
                <w:color w:val="auto"/>
                <w:spacing w:val="-2"/>
                <w:position w:val="-1"/>
                <w:sz w:val="18"/>
                <w:szCs w:val="18"/>
                <w:highlight w:val="white"/>
              </w:rPr>
              <w:t>1</w:t>
            </w:r>
            <w:r>
              <w:rPr>
                <w:rFonts w:hint="eastAsia" w:ascii="宋体" w:hAnsi="宋体" w:eastAsia="宋体" w:cs="宋体"/>
                <w:color w:val="auto"/>
                <w:spacing w:val="-5"/>
                <w:sz w:val="24"/>
                <w:szCs w:val="24"/>
                <w:highlight w:val="none"/>
                <w:u w:val="none" w:color="auto"/>
                <w:lang w:eastAsia="zh-CN"/>
              </w:rPr>
              <w:t>（mg）</w:t>
            </w:r>
          </w:p>
        </w:tc>
        <w:tc>
          <w:tcPr>
            <w:tcW w:w="3031" w:type="dxa"/>
            <w:noWrap w:val="0"/>
            <w:vAlign w:val="center"/>
          </w:tcPr>
          <w:p w14:paraId="0096DA53">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c>
          <w:tcPr>
            <w:tcW w:w="2691" w:type="dxa"/>
            <w:noWrap w:val="0"/>
            <w:vAlign w:val="center"/>
          </w:tcPr>
          <w:p w14:paraId="279A5288">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≥0.4</w:t>
            </w:r>
          </w:p>
        </w:tc>
      </w:tr>
      <w:tr w14:paraId="4541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667C00BA">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2"/>
                <w:highlight w:val="white"/>
              </w:rPr>
              <w:t>B</w:t>
            </w:r>
            <w:r>
              <w:rPr>
                <w:color w:val="auto"/>
                <w:spacing w:val="-2"/>
                <w:position w:val="-1"/>
                <w:sz w:val="16"/>
                <w:szCs w:val="16"/>
                <w:highlight w:val="white"/>
              </w:rPr>
              <w:t>2</w:t>
            </w:r>
            <w:r>
              <w:rPr>
                <w:rFonts w:hint="eastAsia" w:ascii="宋体" w:hAnsi="宋体" w:eastAsia="宋体" w:cs="宋体"/>
                <w:color w:val="auto"/>
                <w:spacing w:val="-5"/>
                <w:sz w:val="24"/>
                <w:szCs w:val="24"/>
                <w:highlight w:val="none"/>
                <w:u w:val="none" w:color="auto"/>
                <w:lang w:eastAsia="zh-CN"/>
              </w:rPr>
              <w:t>（mg）</w:t>
            </w:r>
          </w:p>
        </w:tc>
        <w:tc>
          <w:tcPr>
            <w:tcW w:w="3031" w:type="dxa"/>
            <w:noWrap w:val="0"/>
            <w:vAlign w:val="center"/>
          </w:tcPr>
          <w:p w14:paraId="0143DE56">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c>
          <w:tcPr>
            <w:tcW w:w="2691" w:type="dxa"/>
            <w:noWrap w:val="0"/>
            <w:vAlign w:val="center"/>
          </w:tcPr>
          <w:p w14:paraId="50FDAB0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≥0.4</w:t>
            </w:r>
          </w:p>
        </w:tc>
      </w:tr>
      <w:tr w14:paraId="15B06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3497" w:type="dxa"/>
            <w:noWrap w:val="0"/>
            <w:vAlign w:val="center"/>
          </w:tcPr>
          <w:p w14:paraId="66CBA798">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叶酸（μg）</w:t>
            </w:r>
          </w:p>
        </w:tc>
        <w:tc>
          <w:tcPr>
            <w:tcW w:w="3031" w:type="dxa"/>
            <w:noWrap w:val="0"/>
            <w:vAlign w:val="center"/>
          </w:tcPr>
          <w:p w14:paraId="416DAF92">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75.0</w:t>
            </w:r>
          </w:p>
        </w:tc>
        <w:tc>
          <w:tcPr>
            <w:tcW w:w="2691" w:type="dxa"/>
            <w:noWrap w:val="0"/>
            <w:vAlign w:val="center"/>
          </w:tcPr>
          <w:p w14:paraId="68B53052">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60-150</w:t>
            </w:r>
          </w:p>
        </w:tc>
      </w:tr>
      <w:tr w14:paraId="58599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3497" w:type="dxa"/>
            <w:noWrap w:val="0"/>
            <w:vAlign w:val="center"/>
          </w:tcPr>
          <w:p w14:paraId="121CC177">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63"/>
                <w:highlight w:val="white"/>
              </w:rPr>
              <w:t xml:space="preserve"> </w:t>
            </w:r>
            <w:r>
              <w:rPr>
                <w:color w:val="auto"/>
                <w:spacing w:val="-1"/>
                <w:highlight w:val="white"/>
              </w:rPr>
              <w:t>B</w:t>
            </w:r>
            <w:r>
              <w:rPr>
                <w:color w:val="auto"/>
                <w:spacing w:val="-1"/>
                <w:position w:val="-1"/>
                <w:sz w:val="16"/>
                <w:szCs w:val="16"/>
                <w:highlight w:val="white"/>
              </w:rPr>
              <w:t>12</w:t>
            </w:r>
            <w:r>
              <w:rPr>
                <w:rFonts w:hint="eastAsia" w:ascii="宋体" w:hAnsi="宋体" w:eastAsia="宋体" w:cs="宋体"/>
                <w:color w:val="auto"/>
                <w:spacing w:val="-5"/>
                <w:sz w:val="24"/>
                <w:szCs w:val="24"/>
                <w:highlight w:val="none"/>
                <w:u w:val="none" w:color="auto"/>
                <w:lang w:eastAsia="zh-CN"/>
              </w:rPr>
              <w:t>（μg）</w:t>
            </w:r>
          </w:p>
        </w:tc>
        <w:tc>
          <w:tcPr>
            <w:tcW w:w="3031" w:type="dxa"/>
            <w:noWrap w:val="0"/>
            <w:vAlign w:val="center"/>
          </w:tcPr>
          <w:p w14:paraId="3678959B">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c>
          <w:tcPr>
            <w:tcW w:w="2691" w:type="dxa"/>
            <w:noWrap w:val="0"/>
            <w:vAlign w:val="center"/>
          </w:tcPr>
          <w:p w14:paraId="59D3BC5B">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≥0.4</w:t>
            </w:r>
          </w:p>
        </w:tc>
      </w:tr>
    </w:tbl>
    <w:p w14:paraId="7BB7C0C5">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7.其他指标要求：</w:t>
      </w:r>
    </w:p>
    <w:tbl>
      <w:tblPr>
        <w:tblStyle w:val="5"/>
        <w:tblW w:w="91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9"/>
        <w:gridCol w:w="657"/>
        <w:gridCol w:w="790"/>
        <w:gridCol w:w="270"/>
        <w:gridCol w:w="652"/>
        <w:gridCol w:w="930"/>
        <w:gridCol w:w="4086"/>
      </w:tblGrid>
      <w:tr w14:paraId="7DDD6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9144" w:type="dxa"/>
            <w:gridSpan w:val="7"/>
            <w:noWrap w:val="0"/>
            <w:vAlign w:val="center"/>
          </w:tcPr>
          <w:p w14:paraId="6C6ACE1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污染物限量</w:t>
            </w:r>
          </w:p>
        </w:tc>
      </w:tr>
      <w:tr w14:paraId="6ABD7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3476" w:type="dxa"/>
            <w:gridSpan w:val="4"/>
            <w:noWrap w:val="0"/>
            <w:vAlign w:val="center"/>
          </w:tcPr>
          <w:p w14:paraId="141D4FC2">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项目</w:t>
            </w:r>
          </w:p>
        </w:tc>
        <w:tc>
          <w:tcPr>
            <w:tcW w:w="1582" w:type="dxa"/>
            <w:gridSpan w:val="2"/>
            <w:noWrap w:val="0"/>
            <w:vAlign w:val="center"/>
          </w:tcPr>
          <w:p w14:paraId="61B159ED">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指标</w:t>
            </w:r>
          </w:p>
        </w:tc>
        <w:tc>
          <w:tcPr>
            <w:tcW w:w="4086" w:type="dxa"/>
            <w:noWrap w:val="0"/>
            <w:vAlign w:val="center"/>
          </w:tcPr>
          <w:p w14:paraId="188DF5E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说明</w:t>
            </w:r>
          </w:p>
        </w:tc>
      </w:tr>
      <w:tr w14:paraId="2381A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3476" w:type="dxa"/>
            <w:gridSpan w:val="4"/>
            <w:noWrap w:val="0"/>
            <w:vAlign w:val="center"/>
          </w:tcPr>
          <w:p w14:paraId="3C8C0E0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铅/（mg/kg)</w:t>
            </w:r>
          </w:p>
        </w:tc>
        <w:tc>
          <w:tcPr>
            <w:tcW w:w="1582" w:type="dxa"/>
            <w:gridSpan w:val="2"/>
            <w:noWrap w:val="0"/>
            <w:vAlign w:val="center"/>
          </w:tcPr>
          <w:p w14:paraId="6AC096C9">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w:t>
            </w:r>
          </w:p>
        </w:tc>
        <w:tc>
          <w:tcPr>
            <w:tcW w:w="4086" w:type="dxa"/>
            <w:noWrap w:val="0"/>
            <w:vAlign w:val="center"/>
          </w:tcPr>
          <w:p w14:paraId="25513829">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7C192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3476" w:type="dxa"/>
            <w:gridSpan w:val="4"/>
            <w:noWrap w:val="0"/>
            <w:vAlign w:val="center"/>
          </w:tcPr>
          <w:p w14:paraId="13FEADB9">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总砷/（mg/kg)</w:t>
            </w:r>
          </w:p>
        </w:tc>
        <w:tc>
          <w:tcPr>
            <w:tcW w:w="1582" w:type="dxa"/>
            <w:gridSpan w:val="2"/>
            <w:noWrap w:val="0"/>
            <w:vAlign w:val="center"/>
          </w:tcPr>
          <w:p w14:paraId="6C336072">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w:t>
            </w:r>
          </w:p>
        </w:tc>
        <w:tc>
          <w:tcPr>
            <w:tcW w:w="4086" w:type="dxa"/>
            <w:noWrap w:val="0"/>
            <w:vAlign w:val="center"/>
          </w:tcPr>
          <w:p w14:paraId="3F60C2FD">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251E3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3476" w:type="dxa"/>
            <w:gridSpan w:val="4"/>
            <w:noWrap w:val="0"/>
            <w:vAlign w:val="center"/>
          </w:tcPr>
          <w:p w14:paraId="558BC99C">
            <w:pPr>
              <w:keepNext w:val="0"/>
              <w:keepLines w:val="0"/>
              <w:pageBreakBefore w:val="0"/>
              <w:kinsoku w:val="0"/>
              <w:wordWrap/>
              <w:overflowPunct/>
              <w:topLinePunct w:val="0"/>
              <w:autoSpaceDE w:val="0"/>
              <w:autoSpaceDN w:val="0"/>
              <w:bidi w:val="0"/>
              <w:adjustRightInd w:val="0"/>
              <w:snapToGrid w:val="0"/>
              <w:spacing w:line="560" w:lineRule="exact"/>
              <w:jc w:val="both"/>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硝酸盐（以</w:t>
            </w:r>
            <w:r>
              <w:rPr>
                <w:color w:val="auto"/>
                <w:spacing w:val="-65"/>
                <w:sz w:val="22"/>
                <w:szCs w:val="22"/>
                <w:highlight w:val="white"/>
              </w:rPr>
              <w:t xml:space="preserve"> </w:t>
            </w:r>
            <w:r>
              <w:rPr>
                <w:color w:val="auto"/>
                <w:spacing w:val="-12"/>
                <w:sz w:val="22"/>
                <w:szCs w:val="22"/>
                <w:highlight w:val="white"/>
              </w:rPr>
              <w:t>NaNO</w:t>
            </w:r>
            <w:r>
              <w:rPr>
                <w:color w:val="auto"/>
                <w:spacing w:val="9"/>
                <w:position w:val="-2"/>
                <w:sz w:val="18"/>
                <w:szCs w:val="18"/>
                <w:highlight w:val="white"/>
              </w:rPr>
              <w:t>3</w:t>
            </w:r>
            <w:r>
              <w:rPr>
                <w:color w:val="auto"/>
                <w:spacing w:val="-19"/>
                <w:position w:val="-2"/>
                <w:sz w:val="13"/>
                <w:szCs w:val="13"/>
                <w:highlight w:val="white"/>
              </w:rPr>
              <w:t xml:space="preserve"> </w:t>
            </w:r>
            <w:r>
              <w:rPr>
                <w:rFonts w:hint="eastAsia" w:ascii="宋体" w:hAnsi="宋体" w:eastAsia="宋体" w:cs="宋体"/>
                <w:color w:val="auto"/>
                <w:spacing w:val="-48"/>
                <w:sz w:val="24"/>
                <w:szCs w:val="24"/>
                <w:highlight w:val="white"/>
              </w:rPr>
              <w:t>计</w:t>
            </w:r>
            <w:r>
              <w:rPr>
                <w:rFonts w:hint="eastAsia" w:ascii="宋体" w:hAnsi="宋体" w:eastAsia="宋体" w:cs="宋体"/>
                <w:color w:val="auto"/>
                <w:spacing w:val="-5"/>
                <w:sz w:val="24"/>
                <w:szCs w:val="24"/>
                <w:highlight w:val="none"/>
                <w:u w:val="none" w:color="auto"/>
                <w:lang w:eastAsia="zh-CN"/>
              </w:rPr>
              <w:t>）</w:t>
            </w:r>
            <w:r>
              <w:rPr>
                <w:rFonts w:hint="eastAsia" w:ascii="宋体" w:hAnsi="宋体" w:eastAsia="宋体" w:cs="宋体"/>
                <w:color w:val="auto"/>
                <w:spacing w:val="-5"/>
                <w:sz w:val="24"/>
                <w:szCs w:val="24"/>
                <w:highlight w:val="none"/>
                <w:u w:val="none" w:color="auto"/>
                <w:vertAlign w:val="baseline"/>
                <w:lang w:eastAsia="zh-CN"/>
              </w:rPr>
              <w:t>a</w:t>
            </w:r>
            <w:r>
              <w:rPr>
                <w:rFonts w:hint="eastAsia" w:ascii="宋体" w:hAnsi="宋体" w:eastAsia="宋体" w:cs="宋体"/>
                <w:color w:val="auto"/>
                <w:spacing w:val="-5"/>
                <w:sz w:val="24"/>
                <w:szCs w:val="24"/>
                <w:highlight w:val="none"/>
                <w:u w:val="none" w:color="auto"/>
                <w:lang w:eastAsia="zh-CN"/>
              </w:rPr>
              <w:t>/（mg/kg)</w:t>
            </w:r>
          </w:p>
        </w:tc>
        <w:tc>
          <w:tcPr>
            <w:tcW w:w="1582" w:type="dxa"/>
            <w:gridSpan w:val="2"/>
            <w:noWrap w:val="0"/>
            <w:vAlign w:val="center"/>
          </w:tcPr>
          <w:p w14:paraId="61966981">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≤100</w:t>
            </w:r>
          </w:p>
        </w:tc>
        <w:tc>
          <w:tcPr>
            <w:tcW w:w="4086" w:type="dxa"/>
            <w:noWrap w:val="0"/>
            <w:vAlign w:val="center"/>
          </w:tcPr>
          <w:p w14:paraId="21F1C7C6">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vertAlign w:val="baseline"/>
                <w:lang w:val="en-US" w:eastAsia="zh-CN"/>
              </w:rPr>
              <w:t>a</w:t>
            </w:r>
            <w:r>
              <w:rPr>
                <w:rFonts w:hint="eastAsia" w:ascii="宋体" w:hAnsi="宋体" w:eastAsia="宋体" w:cs="宋体"/>
                <w:color w:val="auto"/>
                <w:spacing w:val="-5"/>
                <w:sz w:val="24"/>
                <w:szCs w:val="24"/>
                <w:highlight w:val="none"/>
                <w:u w:val="none" w:color="auto"/>
                <w:lang w:eastAsia="zh-CN"/>
              </w:rPr>
              <w:t>不适用于添加蔬菜和水果的产品</w:t>
            </w:r>
          </w:p>
        </w:tc>
      </w:tr>
      <w:tr w14:paraId="45C8E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9144" w:type="dxa"/>
            <w:gridSpan w:val="7"/>
            <w:noWrap w:val="0"/>
            <w:vAlign w:val="center"/>
          </w:tcPr>
          <w:p w14:paraId="0FC31165">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真菌毒素限量</w:t>
            </w:r>
          </w:p>
        </w:tc>
      </w:tr>
      <w:tr w14:paraId="5EA1E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3476" w:type="dxa"/>
            <w:gridSpan w:val="4"/>
            <w:noWrap w:val="0"/>
            <w:vAlign w:val="center"/>
          </w:tcPr>
          <w:p w14:paraId="2D73A86E">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项目</w:t>
            </w:r>
          </w:p>
        </w:tc>
        <w:tc>
          <w:tcPr>
            <w:tcW w:w="1582" w:type="dxa"/>
            <w:gridSpan w:val="2"/>
            <w:noWrap w:val="0"/>
            <w:vAlign w:val="center"/>
          </w:tcPr>
          <w:p w14:paraId="21A0A31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指标</w:t>
            </w:r>
          </w:p>
        </w:tc>
        <w:tc>
          <w:tcPr>
            <w:tcW w:w="4086" w:type="dxa"/>
            <w:noWrap w:val="0"/>
            <w:vAlign w:val="center"/>
          </w:tcPr>
          <w:p w14:paraId="0990A74D">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说明</w:t>
            </w:r>
          </w:p>
        </w:tc>
      </w:tr>
      <w:tr w14:paraId="78A98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3476" w:type="dxa"/>
            <w:gridSpan w:val="4"/>
            <w:noWrap w:val="0"/>
            <w:vAlign w:val="center"/>
          </w:tcPr>
          <w:p w14:paraId="5DFDB566">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黄曲霉毒素M</w:t>
            </w:r>
            <w:r>
              <w:rPr>
                <w:rFonts w:hint="eastAsia" w:ascii="宋体" w:hAnsi="宋体" w:eastAsia="宋体" w:cs="宋体"/>
                <w:color w:val="auto"/>
                <w:spacing w:val="-5"/>
                <w:sz w:val="24"/>
                <w:szCs w:val="24"/>
                <w:highlight w:val="none"/>
                <w:u w:val="none" w:color="auto"/>
                <w:vertAlign w:val="baseline"/>
                <w:lang w:eastAsia="zh-CN"/>
              </w:rPr>
              <w:t>1a</w:t>
            </w:r>
            <w:r>
              <w:rPr>
                <w:rFonts w:hint="eastAsia" w:ascii="宋体" w:hAnsi="宋体" w:eastAsia="宋体" w:cs="宋体"/>
                <w:color w:val="auto"/>
                <w:spacing w:val="-5"/>
                <w:sz w:val="24"/>
                <w:szCs w:val="24"/>
                <w:highlight w:val="none"/>
                <w:u w:val="none" w:color="auto"/>
                <w:lang w:eastAsia="zh-CN"/>
              </w:rPr>
              <w:t>(μg/kg)</w:t>
            </w:r>
          </w:p>
        </w:tc>
        <w:tc>
          <w:tcPr>
            <w:tcW w:w="1582" w:type="dxa"/>
            <w:gridSpan w:val="2"/>
            <w:noWrap w:val="0"/>
            <w:vAlign w:val="center"/>
          </w:tcPr>
          <w:p w14:paraId="197EDB15">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w:t>
            </w:r>
          </w:p>
        </w:tc>
        <w:tc>
          <w:tcPr>
            <w:tcW w:w="4086" w:type="dxa"/>
            <w:vMerge w:val="restart"/>
            <w:noWrap w:val="0"/>
            <w:vAlign w:val="center"/>
          </w:tcPr>
          <w:p w14:paraId="2D7DDC5B">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vertAlign w:val="baseline"/>
                <w:lang w:val="en-US" w:eastAsia="zh-CN"/>
              </w:rPr>
              <w:t>a</w:t>
            </w:r>
            <w:r>
              <w:rPr>
                <w:rFonts w:hint="eastAsia" w:ascii="宋体" w:hAnsi="宋体" w:eastAsia="宋体" w:cs="宋体"/>
                <w:color w:val="auto"/>
                <w:spacing w:val="-5"/>
                <w:sz w:val="24"/>
                <w:szCs w:val="24"/>
                <w:highlight w:val="none"/>
                <w:u w:val="none" w:color="auto"/>
                <w:lang w:eastAsia="zh-CN"/>
              </w:rPr>
              <w:t>黄曲霉毒素M</w:t>
            </w:r>
            <w:r>
              <w:rPr>
                <w:rFonts w:hint="eastAsia" w:ascii="宋体" w:hAnsi="宋体" w:eastAsia="宋体" w:cs="宋体"/>
                <w:color w:val="auto"/>
                <w:spacing w:val="-5"/>
                <w:sz w:val="24"/>
                <w:szCs w:val="24"/>
                <w:highlight w:val="none"/>
                <w:u w:val="none" w:color="auto"/>
                <w:vertAlign w:val="baseline"/>
                <w:lang w:eastAsia="zh-CN"/>
              </w:rPr>
              <w:t>1</w:t>
            </w:r>
            <w:r>
              <w:rPr>
                <w:rFonts w:hint="eastAsia" w:ascii="宋体" w:hAnsi="宋体" w:eastAsia="宋体" w:cs="宋体"/>
                <w:color w:val="auto"/>
                <w:spacing w:val="-5"/>
                <w:sz w:val="24"/>
                <w:szCs w:val="24"/>
                <w:highlight w:val="none"/>
                <w:u w:val="none" w:color="auto"/>
                <w:lang w:eastAsia="zh-CN"/>
              </w:rPr>
              <w:t>只限于含乳类的产品。</w:t>
            </w:r>
          </w:p>
          <w:p w14:paraId="18C9D6D3">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vertAlign w:val="baseline"/>
                <w:lang w:eastAsia="zh-CN"/>
              </w:rPr>
              <w:t>b</w:t>
            </w:r>
            <w:r>
              <w:rPr>
                <w:rFonts w:hint="eastAsia" w:ascii="宋体" w:hAnsi="宋体" w:eastAsia="宋体" w:cs="宋体"/>
                <w:color w:val="auto"/>
                <w:spacing w:val="-5"/>
                <w:sz w:val="24"/>
                <w:szCs w:val="24"/>
                <w:highlight w:val="none"/>
                <w:u w:val="none" w:color="auto"/>
                <w:lang w:eastAsia="zh-CN"/>
              </w:rPr>
              <w:t>黄曲霉毒素B</w:t>
            </w:r>
            <w:r>
              <w:rPr>
                <w:rFonts w:hint="eastAsia" w:ascii="宋体" w:hAnsi="宋体" w:eastAsia="宋体" w:cs="宋体"/>
                <w:color w:val="auto"/>
                <w:spacing w:val="-5"/>
                <w:sz w:val="24"/>
                <w:szCs w:val="24"/>
                <w:highlight w:val="none"/>
                <w:u w:val="none" w:color="auto"/>
                <w:vertAlign w:val="baseline"/>
                <w:lang w:eastAsia="zh-CN"/>
              </w:rPr>
              <w:t>1</w:t>
            </w:r>
            <w:r>
              <w:rPr>
                <w:rFonts w:hint="eastAsia" w:ascii="宋体" w:hAnsi="宋体" w:eastAsia="宋体" w:cs="宋体"/>
                <w:color w:val="auto"/>
                <w:spacing w:val="-5"/>
                <w:sz w:val="24"/>
                <w:szCs w:val="24"/>
                <w:highlight w:val="none"/>
                <w:u w:val="none" w:color="auto"/>
                <w:lang w:eastAsia="zh-CN"/>
              </w:rPr>
              <w:t>只限于含谷类、坚果和豆类的产品。</w:t>
            </w:r>
          </w:p>
        </w:tc>
      </w:tr>
      <w:tr w14:paraId="068E8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3476" w:type="dxa"/>
            <w:gridSpan w:val="4"/>
            <w:noWrap w:val="0"/>
            <w:vAlign w:val="center"/>
          </w:tcPr>
          <w:p w14:paraId="6E963AA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黄曲霉毒素B</w:t>
            </w:r>
            <w:r>
              <w:rPr>
                <w:rFonts w:hint="eastAsia" w:ascii="宋体" w:hAnsi="宋体" w:eastAsia="宋体" w:cs="宋体"/>
                <w:color w:val="auto"/>
                <w:spacing w:val="-5"/>
                <w:sz w:val="24"/>
                <w:szCs w:val="24"/>
                <w:highlight w:val="none"/>
                <w:u w:val="none" w:color="auto"/>
                <w:vertAlign w:val="baseline"/>
                <w:lang w:eastAsia="zh-CN"/>
              </w:rPr>
              <w:t>1b</w:t>
            </w:r>
            <w:r>
              <w:rPr>
                <w:rFonts w:hint="eastAsia" w:ascii="宋体" w:hAnsi="宋体" w:eastAsia="宋体" w:cs="宋体"/>
                <w:color w:val="auto"/>
                <w:spacing w:val="-5"/>
                <w:sz w:val="24"/>
                <w:szCs w:val="24"/>
                <w:highlight w:val="none"/>
                <w:u w:val="none" w:color="auto"/>
                <w:lang w:eastAsia="zh-CN"/>
              </w:rPr>
              <w:t>(μg/kg)</w:t>
            </w:r>
          </w:p>
        </w:tc>
        <w:tc>
          <w:tcPr>
            <w:tcW w:w="1582" w:type="dxa"/>
            <w:gridSpan w:val="2"/>
            <w:noWrap w:val="0"/>
            <w:vAlign w:val="center"/>
          </w:tcPr>
          <w:p w14:paraId="0F1F6FA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w:t>
            </w:r>
          </w:p>
        </w:tc>
        <w:tc>
          <w:tcPr>
            <w:tcW w:w="4086" w:type="dxa"/>
            <w:vMerge w:val="continue"/>
            <w:noWrap w:val="0"/>
            <w:vAlign w:val="center"/>
          </w:tcPr>
          <w:p w14:paraId="246A80EC">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3E831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9144" w:type="dxa"/>
            <w:gridSpan w:val="7"/>
            <w:noWrap w:val="0"/>
            <w:vAlign w:val="center"/>
          </w:tcPr>
          <w:p w14:paraId="7367632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微生物限量</w:t>
            </w:r>
          </w:p>
        </w:tc>
      </w:tr>
      <w:tr w14:paraId="39E8C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1759" w:type="dxa"/>
            <w:vMerge w:val="restart"/>
            <w:noWrap w:val="0"/>
            <w:vAlign w:val="center"/>
          </w:tcPr>
          <w:p w14:paraId="071575FF">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项目</w:t>
            </w:r>
          </w:p>
        </w:tc>
        <w:tc>
          <w:tcPr>
            <w:tcW w:w="3299" w:type="dxa"/>
            <w:gridSpan w:val="5"/>
            <w:noWrap w:val="0"/>
            <w:vAlign w:val="center"/>
          </w:tcPr>
          <w:p w14:paraId="21E0E1FC">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采样方案</w:t>
            </w:r>
            <w:r>
              <w:rPr>
                <w:rFonts w:hint="eastAsia" w:ascii="宋体" w:hAnsi="宋体" w:eastAsia="宋体" w:cs="宋体"/>
                <w:color w:val="auto"/>
                <w:spacing w:val="-5"/>
                <w:sz w:val="24"/>
                <w:szCs w:val="24"/>
                <w:highlight w:val="none"/>
                <w:u w:val="none" w:color="auto"/>
                <w:vertAlign w:val="baseline"/>
                <w:lang w:eastAsia="zh-CN"/>
              </w:rPr>
              <w:t>a</w:t>
            </w:r>
            <w:r>
              <w:rPr>
                <w:rFonts w:hint="eastAsia" w:ascii="宋体" w:hAnsi="宋体" w:eastAsia="宋体" w:cs="宋体"/>
                <w:color w:val="auto"/>
                <w:spacing w:val="-5"/>
                <w:sz w:val="24"/>
                <w:szCs w:val="24"/>
                <w:highlight w:val="none"/>
                <w:u w:val="none" w:color="auto"/>
                <w:lang w:eastAsia="zh-CN"/>
              </w:rPr>
              <w:t>及限量（若非指定，均以CFU/g表示）</w:t>
            </w:r>
          </w:p>
        </w:tc>
        <w:tc>
          <w:tcPr>
            <w:tcW w:w="4086" w:type="dxa"/>
            <w:noWrap w:val="0"/>
            <w:vAlign w:val="center"/>
          </w:tcPr>
          <w:p w14:paraId="5AD7D59D">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说明</w:t>
            </w:r>
          </w:p>
        </w:tc>
      </w:tr>
      <w:tr w14:paraId="55247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1759" w:type="dxa"/>
            <w:vMerge w:val="continue"/>
            <w:noWrap w:val="0"/>
            <w:vAlign w:val="center"/>
          </w:tcPr>
          <w:p w14:paraId="4C975A41">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c>
          <w:tcPr>
            <w:tcW w:w="657" w:type="dxa"/>
            <w:noWrap w:val="0"/>
            <w:vAlign w:val="center"/>
          </w:tcPr>
          <w:p w14:paraId="015A063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n</w:t>
            </w:r>
          </w:p>
        </w:tc>
        <w:tc>
          <w:tcPr>
            <w:tcW w:w="790" w:type="dxa"/>
            <w:noWrap w:val="0"/>
            <w:vAlign w:val="center"/>
          </w:tcPr>
          <w:p w14:paraId="27C9EA0C">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c</w:t>
            </w:r>
          </w:p>
        </w:tc>
        <w:tc>
          <w:tcPr>
            <w:tcW w:w="922" w:type="dxa"/>
            <w:gridSpan w:val="2"/>
            <w:noWrap w:val="0"/>
            <w:vAlign w:val="center"/>
          </w:tcPr>
          <w:p w14:paraId="587A8B6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m</w:t>
            </w:r>
          </w:p>
        </w:tc>
        <w:tc>
          <w:tcPr>
            <w:tcW w:w="930" w:type="dxa"/>
            <w:noWrap w:val="0"/>
            <w:vAlign w:val="center"/>
          </w:tcPr>
          <w:p w14:paraId="6B0DF936">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M</w:t>
            </w:r>
          </w:p>
        </w:tc>
        <w:tc>
          <w:tcPr>
            <w:tcW w:w="4086" w:type="dxa"/>
            <w:vMerge w:val="restart"/>
            <w:noWrap w:val="0"/>
            <w:vAlign w:val="center"/>
          </w:tcPr>
          <w:p w14:paraId="5C1A688A">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vertAlign w:val="baseline"/>
                <w:lang w:eastAsia="zh-CN"/>
              </w:rPr>
              <w:t>a</w:t>
            </w:r>
            <w:r>
              <w:rPr>
                <w:rFonts w:hint="eastAsia" w:ascii="宋体" w:hAnsi="宋体" w:eastAsia="宋体" w:cs="宋体"/>
                <w:color w:val="auto"/>
                <w:spacing w:val="-5"/>
                <w:sz w:val="24"/>
                <w:szCs w:val="24"/>
                <w:highlight w:val="none"/>
                <w:u w:val="none" w:color="auto"/>
                <w:lang w:eastAsia="zh-CN"/>
              </w:rPr>
              <w:t>样品的分析及处理按GB 4789.1执行。</w:t>
            </w:r>
          </w:p>
        </w:tc>
      </w:tr>
      <w:tr w14:paraId="01344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759" w:type="dxa"/>
            <w:noWrap w:val="0"/>
            <w:vAlign w:val="center"/>
          </w:tcPr>
          <w:p w14:paraId="03446630">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菌落总数</w:t>
            </w:r>
          </w:p>
        </w:tc>
        <w:tc>
          <w:tcPr>
            <w:tcW w:w="657" w:type="dxa"/>
            <w:noWrap w:val="0"/>
            <w:vAlign w:val="center"/>
          </w:tcPr>
          <w:p w14:paraId="1287348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5</w:t>
            </w:r>
          </w:p>
        </w:tc>
        <w:tc>
          <w:tcPr>
            <w:tcW w:w="790" w:type="dxa"/>
            <w:noWrap w:val="0"/>
            <w:vAlign w:val="center"/>
          </w:tcPr>
          <w:p w14:paraId="370D390E">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w:t>
            </w:r>
          </w:p>
        </w:tc>
        <w:tc>
          <w:tcPr>
            <w:tcW w:w="922" w:type="dxa"/>
            <w:gridSpan w:val="2"/>
            <w:noWrap w:val="0"/>
            <w:vAlign w:val="center"/>
          </w:tcPr>
          <w:p w14:paraId="13DDF0E0">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1000</w:t>
            </w:r>
          </w:p>
        </w:tc>
        <w:tc>
          <w:tcPr>
            <w:tcW w:w="930" w:type="dxa"/>
            <w:noWrap w:val="0"/>
            <w:vAlign w:val="center"/>
          </w:tcPr>
          <w:p w14:paraId="04C2FD25">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10000</w:t>
            </w:r>
          </w:p>
        </w:tc>
        <w:tc>
          <w:tcPr>
            <w:tcW w:w="4086" w:type="dxa"/>
            <w:vMerge w:val="continue"/>
            <w:noWrap w:val="0"/>
            <w:vAlign w:val="center"/>
          </w:tcPr>
          <w:p w14:paraId="40D6DCD1">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20429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1759" w:type="dxa"/>
            <w:noWrap w:val="0"/>
            <w:vAlign w:val="center"/>
          </w:tcPr>
          <w:p w14:paraId="2FD53D44">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大肠菌群</w:t>
            </w:r>
          </w:p>
        </w:tc>
        <w:tc>
          <w:tcPr>
            <w:tcW w:w="657" w:type="dxa"/>
            <w:noWrap w:val="0"/>
            <w:vAlign w:val="center"/>
          </w:tcPr>
          <w:p w14:paraId="1CFCF67E">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5</w:t>
            </w:r>
          </w:p>
        </w:tc>
        <w:tc>
          <w:tcPr>
            <w:tcW w:w="790" w:type="dxa"/>
            <w:noWrap w:val="0"/>
            <w:vAlign w:val="center"/>
          </w:tcPr>
          <w:p w14:paraId="3C3D7C74">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w:t>
            </w:r>
          </w:p>
        </w:tc>
        <w:tc>
          <w:tcPr>
            <w:tcW w:w="922" w:type="dxa"/>
            <w:gridSpan w:val="2"/>
            <w:noWrap w:val="0"/>
            <w:vAlign w:val="center"/>
          </w:tcPr>
          <w:p w14:paraId="50EE59FE">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10</w:t>
            </w:r>
          </w:p>
        </w:tc>
        <w:tc>
          <w:tcPr>
            <w:tcW w:w="930" w:type="dxa"/>
            <w:noWrap w:val="0"/>
            <w:vAlign w:val="center"/>
          </w:tcPr>
          <w:p w14:paraId="43C275F6">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100</w:t>
            </w:r>
          </w:p>
        </w:tc>
        <w:tc>
          <w:tcPr>
            <w:tcW w:w="4086" w:type="dxa"/>
            <w:vMerge w:val="continue"/>
            <w:noWrap w:val="0"/>
            <w:vAlign w:val="center"/>
          </w:tcPr>
          <w:p w14:paraId="2B230235">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09FE5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1759" w:type="dxa"/>
            <w:noWrap w:val="0"/>
            <w:vAlign w:val="center"/>
          </w:tcPr>
          <w:p w14:paraId="4CBFB008">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沙门氏菌</w:t>
            </w:r>
          </w:p>
        </w:tc>
        <w:tc>
          <w:tcPr>
            <w:tcW w:w="657" w:type="dxa"/>
            <w:noWrap w:val="0"/>
            <w:vAlign w:val="center"/>
          </w:tcPr>
          <w:p w14:paraId="1295997B">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5</w:t>
            </w:r>
          </w:p>
        </w:tc>
        <w:tc>
          <w:tcPr>
            <w:tcW w:w="790" w:type="dxa"/>
            <w:noWrap w:val="0"/>
            <w:vAlign w:val="center"/>
          </w:tcPr>
          <w:p w14:paraId="0D244BEF">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w:t>
            </w:r>
          </w:p>
        </w:tc>
        <w:tc>
          <w:tcPr>
            <w:tcW w:w="922" w:type="dxa"/>
            <w:gridSpan w:val="2"/>
            <w:noWrap w:val="0"/>
            <w:vAlign w:val="center"/>
          </w:tcPr>
          <w:p w14:paraId="29319C8E">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0/25g</w:t>
            </w:r>
          </w:p>
        </w:tc>
        <w:tc>
          <w:tcPr>
            <w:tcW w:w="930" w:type="dxa"/>
            <w:noWrap w:val="0"/>
            <w:vAlign w:val="center"/>
          </w:tcPr>
          <w:p w14:paraId="37BED715">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_</w:t>
            </w:r>
          </w:p>
        </w:tc>
        <w:tc>
          <w:tcPr>
            <w:tcW w:w="4086" w:type="dxa"/>
            <w:vMerge w:val="continue"/>
            <w:noWrap w:val="0"/>
            <w:vAlign w:val="center"/>
          </w:tcPr>
          <w:p w14:paraId="11DD6459">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p>
        </w:tc>
      </w:tr>
      <w:tr w14:paraId="16459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9144" w:type="dxa"/>
            <w:gridSpan w:val="7"/>
            <w:noWrap w:val="0"/>
            <w:vAlign w:val="center"/>
          </w:tcPr>
          <w:p w14:paraId="0215A05F">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脲酶活性</w:t>
            </w:r>
          </w:p>
        </w:tc>
      </w:tr>
      <w:tr w14:paraId="43ED0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trPr>
        <w:tc>
          <w:tcPr>
            <w:tcW w:w="1759" w:type="dxa"/>
            <w:noWrap w:val="0"/>
            <w:vAlign w:val="center"/>
          </w:tcPr>
          <w:p w14:paraId="4946A570">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项目</w:t>
            </w:r>
          </w:p>
        </w:tc>
        <w:tc>
          <w:tcPr>
            <w:tcW w:w="3299" w:type="dxa"/>
            <w:gridSpan w:val="5"/>
            <w:noWrap w:val="0"/>
            <w:vAlign w:val="center"/>
          </w:tcPr>
          <w:p w14:paraId="060AD2E7">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指标</w:t>
            </w:r>
          </w:p>
        </w:tc>
        <w:tc>
          <w:tcPr>
            <w:tcW w:w="4086" w:type="dxa"/>
            <w:noWrap w:val="0"/>
            <w:vAlign w:val="center"/>
          </w:tcPr>
          <w:p w14:paraId="78689812">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说明</w:t>
            </w:r>
          </w:p>
        </w:tc>
      </w:tr>
      <w:tr w14:paraId="185B4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1759" w:type="dxa"/>
            <w:noWrap w:val="0"/>
            <w:vAlign w:val="center"/>
          </w:tcPr>
          <w:p w14:paraId="101856A4">
            <w:pPr>
              <w:keepNext w:val="0"/>
              <w:keepLines w:val="0"/>
              <w:pageBreakBefore w:val="0"/>
              <w:kinsoku w:val="0"/>
              <w:wordWrap/>
              <w:overflowPunct/>
              <w:topLinePunct w:val="0"/>
              <w:autoSpaceDE w:val="0"/>
              <w:autoSpaceDN w:val="0"/>
              <w:bidi w:val="0"/>
              <w:adjustRightInd w:val="0"/>
              <w:snapToGrid w:val="0"/>
              <w:spacing w:line="560" w:lineRule="exact"/>
              <w:ind w:firstLine="0" w:firstLineChars="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脲酶活性定性</w:t>
            </w:r>
          </w:p>
        </w:tc>
        <w:tc>
          <w:tcPr>
            <w:tcW w:w="3299" w:type="dxa"/>
            <w:gridSpan w:val="5"/>
            <w:noWrap w:val="0"/>
            <w:vAlign w:val="center"/>
          </w:tcPr>
          <w:p w14:paraId="45FAF955">
            <w:pPr>
              <w:keepNext w:val="0"/>
              <w:keepLines w:val="0"/>
              <w:pageBreakBefore w:val="0"/>
              <w:kinsoku w:val="0"/>
              <w:wordWrap/>
              <w:overflowPunct/>
              <w:topLinePunct w:val="0"/>
              <w:autoSpaceDE w:val="0"/>
              <w:autoSpaceDN w:val="0"/>
              <w:bidi w:val="0"/>
              <w:adjustRightInd w:val="0"/>
              <w:snapToGrid w:val="0"/>
              <w:spacing w:line="560" w:lineRule="exact"/>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阴性</w:t>
            </w:r>
          </w:p>
        </w:tc>
        <w:tc>
          <w:tcPr>
            <w:tcW w:w="4086" w:type="dxa"/>
            <w:noWrap w:val="0"/>
            <w:vAlign w:val="center"/>
          </w:tcPr>
          <w:p w14:paraId="4074C55E">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w:t>
            </w:r>
          </w:p>
        </w:tc>
      </w:tr>
    </w:tbl>
    <w:p w14:paraId="3E04AED6">
      <w:pPr>
        <w:keepNext w:val="0"/>
        <w:keepLines w:val="0"/>
        <w:pageBreakBefore w:val="0"/>
        <w:widowControl/>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（四）项目营养包配料要求：</w:t>
      </w:r>
    </w:p>
    <w:p w14:paraId="5B90E23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食物基质:应当选用非转基因的食品原料。每袋营养包中应含I类速溶豆粉至少8.4克，其质量须符合《速溶豆粉和豆奶粉》(GB/T18738-2006)标准中的I类速溶豆粉要求及相应的食品安全标准。I类速溶豆粉应作为营养包中大豆蛋白的全部来源。</w:t>
      </w:r>
    </w:p>
    <w:p w14:paraId="2831E809">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2.维生素和矿物质:</w:t>
      </w:r>
    </w:p>
    <w:tbl>
      <w:tblPr>
        <w:tblStyle w:val="5"/>
        <w:tblW w:w="88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99"/>
        <w:gridCol w:w="6060"/>
      </w:tblGrid>
      <w:tr w14:paraId="3FF6D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79B954E7">
            <w:pPr>
              <w:keepNext w:val="0"/>
              <w:keepLines w:val="0"/>
              <w:pageBreakBefore w:val="0"/>
              <w:kinsoku w:val="0"/>
              <w:wordWrap/>
              <w:overflowPunct/>
              <w:topLinePunct w:val="0"/>
              <w:autoSpaceDE w:val="0"/>
              <w:autoSpaceDN w:val="0"/>
              <w:bidi w:val="0"/>
              <w:adjustRightInd w:val="0"/>
              <w:snapToGrid w:val="0"/>
              <w:spacing w:line="560" w:lineRule="exact"/>
              <w:ind w:firstLine="462" w:firstLineChars="200"/>
              <w:jc w:val="center"/>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营养素</w:t>
            </w:r>
          </w:p>
        </w:tc>
        <w:tc>
          <w:tcPr>
            <w:tcW w:w="6060" w:type="dxa"/>
            <w:noWrap w:val="0"/>
            <w:vAlign w:val="center"/>
          </w:tcPr>
          <w:p w14:paraId="06D0E5E7">
            <w:pPr>
              <w:keepNext w:val="0"/>
              <w:keepLines w:val="0"/>
              <w:pageBreakBefore w:val="0"/>
              <w:kinsoku w:val="0"/>
              <w:wordWrap/>
              <w:overflowPunct/>
              <w:topLinePunct w:val="0"/>
              <w:autoSpaceDE w:val="0"/>
              <w:autoSpaceDN w:val="0"/>
              <w:bidi w:val="0"/>
              <w:adjustRightInd w:val="0"/>
              <w:snapToGrid w:val="0"/>
              <w:spacing w:line="560" w:lineRule="exact"/>
              <w:ind w:firstLine="462" w:firstLineChars="200"/>
              <w:jc w:val="center"/>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营养强化剂</w:t>
            </w:r>
          </w:p>
        </w:tc>
      </w:tr>
      <w:tr w14:paraId="7582E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002D437E">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维生素A</w:t>
            </w:r>
          </w:p>
        </w:tc>
        <w:tc>
          <w:tcPr>
            <w:tcW w:w="6060" w:type="dxa"/>
            <w:noWrap w:val="0"/>
            <w:vAlign w:val="center"/>
          </w:tcPr>
          <w:p w14:paraId="47BD96A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微囊化冷水分散型粉末</w:t>
            </w:r>
          </w:p>
        </w:tc>
      </w:tr>
      <w:tr w14:paraId="37947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2799" w:type="dxa"/>
            <w:noWrap w:val="0"/>
            <w:vAlign w:val="center"/>
          </w:tcPr>
          <w:p w14:paraId="278F8ECB">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维生素D</w:t>
            </w:r>
          </w:p>
        </w:tc>
        <w:tc>
          <w:tcPr>
            <w:tcW w:w="6060" w:type="dxa"/>
            <w:noWrap w:val="0"/>
            <w:vAlign w:val="center"/>
          </w:tcPr>
          <w:p w14:paraId="3B5C1C19">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rFonts w:hint="eastAsia" w:ascii="宋体" w:hAnsi="宋体" w:eastAsia="宋体" w:cs="宋体"/>
                <w:color w:val="auto"/>
                <w:spacing w:val="-5"/>
                <w:sz w:val="28"/>
                <w:szCs w:val="28"/>
                <w:highlight w:val="none"/>
                <w:u w:val="none" w:color="auto"/>
                <w:lang w:eastAsia="zh-CN"/>
              </w:rPr>
              <w:t>D</w:t>
            </w:r>
            <w:r>
              <w:rPr>
                <w:color w:val="auto"/>
                <w:spacing w:val="9"/>
                <w:position w:val="-2"/>
                <w:sz w:val="18"/>
                <w:szCs w:val="18"/>
                <w:highlight w:val="white"/>
              </w:rPr>
              <w:t>3</w:t>
            </w:r>
            <w:r>
              <w:rPr>
                <w:rFonts w:hint="eastAsia" w:ascii="宋体" w:hAnsi="宋体" w:eastAsia="宋体" w:cs="宋体"/>
                <w:color w:val="auto"/>
                <w:spacing w:val="-5"/>
                <w:sz w:val="24"/>
                <w:szCs w:val="24"/>
                <w:highlight w:val="none"/>
                <w:u w:val="none" w:color="auto"/>
                <w:lang w:eastAsia="zh-CN"/>
              </w:rPr>
              <w:t>的微囊化冷水分散型粉末</w:t>
            </w:r>
          </w:p>
        </w:tc>
      </w:tr>
      <w:tr w14:paraId="0B64D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651938BA">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2"/>
                <w:highlight w:val="white"/>
              </w:rPr>
              <w:t>B</w:t>
            </w:r>
            <w:r>
              <w:rPr>
                <w:color w:val="auto"/>
                <w:spacing w:val="-2"/>
                <w:position w:val="-1"/>
                <w:sz w:val="18"/>
                <w:szCs w:val="18"/>
                <w:highlight w:val="white"/>
              </w:rPr>
              <w:t>1</w:t>
            </w:r>
          </w:p>
        </w:tc>
        <w:tc>
          <w:tcPr>
            <w:tcW w:w="6060" w:type="dxa"/>
            <w:noWrap w:val="0"/>
            <w:vAlign w:val="center"/>
          </w:tcPr>
          <w:p w14:paraId="24976145">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硝酸硫胺素或盐酸硫胺素</w:t>
            </w:r>
          </w:p>
        </w:tc>
      </w:tr>
      <w:tr w14:paraId="6D2B6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38CF4AD7">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2"/>
                <w:highlight w:val="white"/>
              </w:rPr>
              <w:t>B</w:t>
            </w:r>
            <w:r>
              <w:rPr>
                <w:color w:val="auto"/>
                <w:spacing w:val="-2"/>
                <w:position w:val="-1"/>
                <w:sz w:val="16"/>
                <w:szCs w:val="16"/>
                <w:highlight w:val="white"/>
              </w:rPr>
              <w:t>2</w:t>
            </w:r>
          </w:p>
        </w:tc>
        <w:tc>
          <w:tcPr>
            <w:tcW w:w="6060" w:type="dxa"/>
            <w:noWrap w:val="0"/>
            <w:vAlign w:val="center"/>
          </w:tcPr>
          <w:p w14:paraId="6A01DA9C">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核黄素</w:t>
            </w:r>
          </w:p>
        </w:tc>
      </w:tr>
      <w:tr w14:paraId="4016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525D5155">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w:t>
            </w:r>
            <w:r>
              <w:rPr>
                <w:color w:val="auto"/>
                <w:spacing w:val="-63"/>
                <w:highlight w:val="white"/>
              </w:rPr>
              <w:t xml:space="preserve"> </w:t>
            </w:r>
            <w:r>
              <w:rPr>
                <w:color w:val="auto"/>
                <w:spacing w:val="-1"/>
                <w:highlight w:val="white"/>
              </w:rPr>
              <w:t>B</w:t>
            </w:r>
            <w:r>
              <w:rPr>
                <w:color w:val="auto"/>
                <w:spacing w:val="-1"/>
                <w:position w:val="-1"/>
                <w:sz w:val="16"/>
                <w:szCs w:val="16"/>
                <w:highlight w:val="white"/>
              </w:rPr>
              <w:t>12</w:t>
            </w:r>
          </w:p>
        </w:tc>
        <w:tc>
          <w:tcPr>
            <w:tcW w:w="6060" w:type="dxa"/>
            <w:noWrap w:val="0"/>
            <w:vAlign w:val="center"/>
          </w:tcPr>
          <w:p w14:paraId="52C58E86">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氰钴胺</w:t>
            </w:r>
          </w:p>
        </w:tc>
      </w:tr>
      <w:tr w14:paraId="37B45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724B2398">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叶酸</w:t>
            </w:r>
          </w:p>
        </w:tc>
        <w:tc>
          <w:tcPr>
            <w:tcW w:w="6060" w:type="dxa"/>
            <w:noWrap w:val="0"/>
            <w:vAlign w:val="center"/>
          </w:tcPr>
          <w:p w14:paraId="40A8594F">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叶酸</w:t>
            </w:r>
          </w:p>
        </w:tc>
      </w:tr>
      <w:tr w14:paraId="10A3A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2799" w:type="dxa"/>
            <w:noWrap w:val="0"/>
            <w:vAlign w:val="center"/>
          </w:tcPr>
          <w:p w14:paraId="32D72C4D">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钙</w:t>
            </w:r>
          </w:p>
        </w:tc>
        <w:tc>
          <w:tcPr>
            <w:tcW w:w="6060" w:type="dxa"/>
            <w:noWrap w:val="0"/>
            <w:vAlign w:val="center"/>
          </w:tcPr>
          <w:p w14:paraId="36D0F3E6">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碳酸钙*</w:t>
            </w:r>
          </w:p>
        </w:tc>
      </w:tr>
      <w:tr w14:paraId="2074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2799" w:type="dxa"/>
            <w:noWrap w:val="0"/>
            <w:vAlign w:val="center"/>
          </w:tcPr>
          <w:p w14:paraId="27F4FA3E">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铁</w:t>
            </w:r>
          </w:p>
        </w:tc>
        <w:tc>
          <w:tcPr>
            <w:tcW w:w="6060" w:type="dxa"/>
            <w:noWrap w:val="0"/>
            <w:vAlign w:val="center"/>
          </w:tcPr>
          <w:p w14:paraId="7E48DDE1">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2.5mg来自乙二胺四乙酸铁钠；5mg来自富马酸亚铁或焦磷酸铁</w:t>
            </w:r>
          </w:p>
        </w:tc>
      </w:tr>
      <w:tr w14:paraId="2C1BE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2799" w:type="dxa"/>
            <w:noWrap w:val="0"/>
            <w:vAlign w:val="center"/>
          </w:tcPr>
          <w:p w14:paraId="1F2815E2">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锌</w:t>
            </w:r>
          </w:p>
        </w:tc>
        <w:tc>
          <w:tcPr>
            <w:tcW w:w="6060" w:type="dxa"/>
            <w:noWrap w:val="0"/>
            <w:vAlign w:val="center"/>
          </w:tcPr>
          <w:p w14:paraId="6C49E3F0">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氧化锌*</w:t>
            </w:r>
          </w:p>
        </w:tc>
      </w:tr>
    </w:tbl>
    <w:p w14:paraId="3FBADD74">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color w:val="auto"/>
          <w:spacing w:val="-5"/>
          <w:sz w:val="24"/>
          <w:szCs w:val="24"/>
          <w:highlight w:val="none"/>
          <w:u w:val="none" w:color="auto"/>
          <w:lang w:eastAsia="zh-CN"/>
        </w:rPr>
        <w:t>注：*可选择其他钙和锌的化合物，其来源应符合GB 14880附录C要求。</w:t>
      </w:r>
    </w:p>
    <w:p w14:paraId="4C18C836">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（五）包装及标签标识要求</w:t>
      </w:r>
    </w:p>
    <w:p w14:paraId="5D71454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1.包装材料要求。</w:t>
      </w:r>
    </w:p>
    <w:p w14:paraId="660775FE">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(1)内包装材质:采用食品包装用塑料与铝箔复合袋，材质质量应当符合《食品包装用塑料与铝箔复合膜、袋》(GB/T 28118-2011)的要求及相应的食品安全标准，其中铝层厚度不低于7微米。</w:t>
      </w:r>
    </w:p>
    <w:p w14:paraId="76880486">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(2)纸盒:采用至少300g/㎡规格的白卡纸制作，用于包装30袋营养包,白卡纸质量应当符合《涂布纸和纸板涂布白卡纸》(GB/T 10335.3-2018)的要求。</w:t>
      </w:r>
    </w:p>
    <w:p w14:paraId="7D14BFE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2.标识内容要求。</w:t>
      </w:r>
    </w:p>
    <w:p w14:paraId="52C3A5BF">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(1)应当符合《食品安全国家标准 辅食营养补充品》(GB 22570-2014)、《食品安全国家标准 预包装食品标签通则》(GB 7718-2011)、《食品安全国家标准 预包装特殊膳食用食品标签》(GB 13432-2013)标识要求。具体要求如下:</w:t>
      </w:r>
    </w:p>
    <w:p w14:paraId="57B8E21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儿童营养改善项目专用</w:t>
      </w:r>
    </w:p>
    <w:p w14:paraId="7DDAD8D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产品名称:婴幼儿辅食营养包(辅食营养补充品)。</w:t>
      </w:r>
    </w:p>
    <w:p w14:paraId="06D64B89">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配料表:企业根据营养包实际配料并按GB7718-2011和GB 13432-2013列出。</w:t>
      </w:r>
    </w:p>
    <w:p w14:paraId="7241DEF0">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适宜人群:6-36月龄婴幼儿。</w:t>
      </w:r>
    </w:p>
    <w:p w14:paraId="470CD51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净含量/规格:360g(12g×30袋)。</w:t>
      </w:r>
    </w:p>
    <w:p w14:paraId="2C434BF9">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产品标准号:GB 22570。</w:t>
      </w:r>
    </w:p>
    <w:p w14:paraId="63A6C94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食用方法及食用量:每日1袋，拌入婴幼儿辅食中或直接以温开水调成糊状食用。(附使用示意图)</w:t>
      </w:r>
    </w:p>
    <w:p w14:paraId="1DE86BD2">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生产日期:</w:t>
      </w:r>
    </w:p>
    <w:p w14:paraId="6F383820">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批号:</w:t>
      </w:r>
    </w:p>
    <w:p w14:paraId="249CD5B4">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保质期:</w:t>
      </w:r>
    </w:p>
    <w:p w14:paraId="27E58319">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贮存条件:置于室内阴凉干燥处保存。</w:t>
      </w:r>
    </w:p>
    <w:p w14:paraId="2174EC0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注意事项:本品不能代替母乳及婴幼儿辅助食品;本品添加多种微量营养素，与其他同类产品同时食用时应当注意用量。</w:t>
      </w:r>
    </w:p>
    <w:p w14:paraId="201C7E8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生产商:(名称、地址、联系电话)。</w:t>
      </w:r>
    </w:p>
    <w:p w14:paraId="41216DA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leftChars="0"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营养成分表:</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3"/>
        <w:gridCol w:w="4176"/>
      </w:tblGrid>
      <w:tr w14:paraId="38580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46E53C65">
            <w:pPr>
              <w:keepNext w:val="0"/>
              <w:keepLines w:val="0"/>
              <w:pageBreakBefore w:val="0"/>
              <w:kinsoku w:val="0"/>
              <w:wordWrap/>
              <w:overflowPunct/>
              <w:topLinePunct w:val="0"/>
              <w:autoSpaceDE w:val="0"/>
              <w:autoSpaceDN w:val="0"/>
              <w:bidi w:val="0"/>
              <w:adjustRightInd w:val="0"/>
              <w:snapToGrid w:val="0"/>
              <w:spacing w:line="560" w:lineRule="exact"/>
              <w:ind w:firstLine="462" w:firstLineChars="200"/>
              <w:jc w:val="center"/>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营养成分</w:t>
            </w:r>
          </w:p>
        </w:tc>
        <w:tc>
          <w:tcPr>
            <w:tcW w:w="4176" w:type="dxa"/>
            <w:noWrap w:val="0"/>
            <w:vAlign w:val="center"/>
          </w:tcPr>
          <w:p w14:paraId="6FA6A056">
            <w:pPr>
              <w:keepNext w:val="0"/>
              <w:keepLines w:val="0"/>
              <w:pageBreakBefore w:val="0"/>
              <w:kinsoku w:val="0"/>
              <w:wordWrap/>
              <w:overflowPunct/>
              <w:topLinePunct w:val="0"/>
              <w:autoSpaceDE w:val="0"/>
              <w:autoSpaceDN w:val="0"/>
              <w:bidi w:val="0"/>
              <w:adjustRightInd w:val="0"/>
              <w:snapToGrid w:val="0"/>
              <w:spacing w:line="560" w:lineRule="exact"/>
              <w:ind w:firstLine="462" w:firstLineChars="200"/>
              <w:jc w:val="center"/>
              <w:textAlignment w:val="baseline"/>
              <w:rPr>
                <w:rFonts w:hint="eastAsia" w:ascii="宋体" w:hAnsi="宋体" w:eastAsia="宋体" w:cs="宋体"/>
                <w:b/>
                <w:bCs/>
                <w:color w:val="auto"/>
                <w:spacing w:val="-5"/>
                <w:sz w:val="24"/>
                <w:szCs w:val="24"/>
                <w:highlight w:val="none"/>
                <w:u w:val="none" w:color="auto"/>
                <w:lang w:eastAsia="zh-CN"/>
              </w:rPr>
            </w:pPr>
            <w:r>
              <w:rPr>
                <w:rFonts w:hint="eastAsia" w:ascii="宋体" w:hAnsi="宋体" w:eastAsia="宋体" w:cs="宋体"/>
                <w:b/>
                <w:bCs/>
                <w:color w:val="auto"/>
                <w:spacing w:val="-5"/>
                <w:sz w:val="24"/>
                <w:szCs w:val="24"/>
                <w:highlight w:val="none"/>
                <w:u w:val="none" w:color="auto"/>
                <w:lang w:eastAsia="zh-CN"/>
              </w:rPr>
              <w:t>每份（12g）</w:t>
            </w:r>
          </w:p>
        </w:tc>
      </w:tr>
      <w:tr w14:paraId="01D7F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3EB3FFCE">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能量（KJ）</w:t>
            </w:r>
          </w:p>
        </w:tc>
        <w:tc>
          <w:tcPr>
            <w:tcW w:w="4176" w:type="dxa"/>
            <w:noWrap w:val="0"/>
            <w:vAlign w:val="center"/>
          </w:tcPr>
          <w:p w14:paraId="3247E32F">
            <w:pPr>
              <w:keepNext w:val="0"/>
              <w:keepLines w:val="0"/>
              <w:pageBreakBefore w:val="0"/>
              <w:widowControl/>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按实际标注</w:t>
            </w:r>
          </w:p>
        </w:tc>
      </w:tr>
      <w:tr w14:paraId="486C1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558AAEF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蛋白质（g）</w:t>
            </w:r>
          </w:p>
        </w:tc>
        <w:tc>
          <w:tcPr>
            <w:tcW w:w="4176" w:type="dxa"/>
            <w:noWrap w:val="0"/>
            <w:vAlign w:val="center"/>
          </w:tcPr>
          <w:p w14:paraId="7C33D69D">
            <w:pPr>
              <w:keepNext w:val="0"/>
              <w:keepLines w:val="0"/>
              <w:pageBreakBefore w:val="0"/>
              <w:widowControl/>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按实际标注</w:t>
            </w:r>
          </w:p>
        </w:tc>
      </w:tr>
      <w:tr w14:paraId="344E8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0492EA04">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脂肪（g）</w:t>
            </w:r>
          </w:p>
        </w:tc>
        <w:tc>
          <w:tcPr>
            <w:tcW w:w="4176" w:type="dxa"/>
            <w:noWrap w:val="0"/>
            <w:vAlign w:val="center"/>
          </w:tcPr>
          <w:p w14:paraId="771B33A7">
            <w:pPr>
              <w:keepNext w:val="0"/>
              <w:keepLines w:val="0"/>
              <w:pageBreakBefore w:val="0"/>
              <w:widowControl/>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按实际标注</w:t>
            </w:r>
          </w:p>
        </w:tc>
      </w:tr>
      <w:tr w14:paraId="6F35D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51E85256">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碳水化合物（g）</w:t>
            </w:r>
          </w:p>
        </w:tc>
        <w:tc>
          <w:tcPr>
            <w:tcW w:w="4176" w:type="dxa"/>
            <w:noWrap w:val="0"/>
            <w:vAlign w:val="center"/>
          </w:tcPr>
          <w:p w14:paraId="40EF8A39">
            <w:pPr>
              <w:keepNext w:val="0"/>
              <w:keepLines w:val="0"/>
              <w:pageBreakBefore w:val="0"/>
              <w:widowControl/>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按实际标注</w:t>
            </w:r>
          </w:p>
        </w:tc>
      </w:tr>
      <w:tr w14:paraId="20752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00364540">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钠（mg）</w:t>
            </w:r>
          </w:p>
        </w:tc>
        <w:tc>
          <w:tcPr>
            <w:tcW w:w="4176" w:type="dxa"/>
            <w:noWrap w:val="0"/>
            <w:vAlign w:val="center"/>
          </w:tcPr>
          <w:p w14:paraId="05C493DC">
            <w:pPr>
              <w:keepNext w:val="0"/>
              <w:keepLines w:val="0"/>
              <w:pageBreakBefore w:val="0"/>
              <w:widowControl/>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按实际标注</w:t>
            </w:r>
          </w:p>
        </w:tc>
      </w:tr>
      <w:tr w14:paraId="30785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1FCCC5F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钙（mg）</w:t>
            </w:r>
          </w:p>
        </w:tc>
        <w:tc>
          <w:tcPr>
            <w:tcW w:w="4176" w:type="dxa"/>
            <w:noWrap w:val="0"/>
            <w:vAlign w:val="center"/>
          </w:tcPr>
          <w:p w14:paraId="16EDD70A">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200</w:t>
            </w:r>
          </w:p>
        </w:tc>
      </w:tr>
      <w:tr w14:paraId="12419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6D60FDE8">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铁（mg）</w:t>
            </w:r>
          </w:p>
        </w:tc>
        <w:tc>
          <w:tcPr>
            <w:tcW w:w="4176" w:type="dxa"/>
            <w:noWrap w:val="0"/>
            <w:vAlign w:val="center"/>
          </w:tcPr>
          <w:p w14:paraId="47A23E99">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7.5</w:t>
            </w:r>
          </w:p>
        </w:tc>
      </w:tr>
      <w:tr w14:paraId="3EC46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4283" w:type="dxa"/>
            <w:noWrap w:val="0"/>
            <w:vAlign w:val="center"/>
          </w:tcPr>
          <w:p w14:paraId="3B3421E9">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锌（mg）</w:t>
            </w:r>
          </w:p>
        </w:tc>
        <w:tc>
          <w:tcPr>
            <w:tcW w:w="4176" w:type="dxa"/>
            <w:noWrap w:val="0"/>
            <w:vAlign w:val="center"/>
          </w:tcPr>
          <w:p w14:paraId="708B4277">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3.0</w:t>
            </w:r>
          </w:p>
        </w:tc>
      </w:tr>
      <w:tr w14:paraId="53BC6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149EDB98">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维生素A（μg RE）</w:t>
            </w:r>
          </w:p>
        </w:tc>
        <w:tc>
          <w:tcPr>
            <w:tcW w:w="4176" w:type="dxa"/>
            <w:noWrap w:val="0"/>
            <w:vAlign w:val="center"/>
          </w:tcPr>
          <w:p w14:paraId="0B65DF72">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250</w:t>
            </w:r>
          </w:p>
        </w:tc>
      </w:tr>
      <w:tr w14:paraId="23188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4283" w:type="dxa"/>
            <w:noWrap w:val="0"/>
            <w:vAlign w:val="center"/>
          </w:tcPr>
          <w:p w14:paraId="157639CA">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维生素D（μg）</w:t>
            </w:r>
          </w:p>
        </w:tc>
        <w:tc>
          <w:tcPr>
            <w:tcW w:w="4176" w:type="dxa"/>
            <w:noWrap w:val="0"/>
            <w:vAlign w:val="center"/>
          </w:tcPr>
          <w:p w14:paraId="0BD3636B">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5.0</w:t>
            </w:r>
          </w:p>
        </w:tc>
      </w:tr>
      <w:tr w14:paraId="0E4F6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1E584D8D">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1</w:t>
            </w:r>
            <w:r>
              <w:rPr>
                <w:rFonts w:hint="eastAsia" w:ascii="宋体" w:hAnsi="宋体" w:eastAsia="宋体" w:cs="宋体"/>
                <w:color w:val="auto"/>
                <w:spacing w:val="-5"/>
                <w:sz w:val="24"/>
                <w:szCs w:val="24"/>
                <w:highlight w:val="none"/>
                <w:u w:val="none" w:color="auto"/>
                <w:lang w:eastAsia="zh-CN"/>
              </w:rPr>
              <w:t>（mg）</w:t>
            </w:r>
          </w:p>
        </w:tc>
        <w:tc>
          <w:tcPr>
            <w:tcW w:w="4176" w:type="dxa"/>
            <w:noWrap w:val="0"/>
            <w:vAlign w:val="center"/>
          </w:tcPr>
          <w:p w14:paraId="061BA5A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r>
      <w:tr w14:paraId="564B5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3574141B">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2</w:t>
            </w:r>
            <w:r>
              <w:rPr>
                <w:rFonts w:hint="eastAsia" w:ascii="宋体" w:hAnsi="宋体" w:eastAsia="宋体" w:cs="宋体"/>
                <w:color w:val="auto"/>
                <w:spacing w:val="-5"/>
                <w:sz w:val="24"/>
                <w:szCs w:val="24"/>
                <w:highlight w:val="none"/>
                <w:u w:val="none" w:color="auto"/>
                <w:lang w:eastAsia="zh-CN"/>
              </w:rPr>
              <w:t>（mg）</w:t>
            </w:r>
          </w:p>
        </w:tc>
        <w:tc>
          <w:tcPr>
            <w:tcW w:w="4176" w:type="dxa"/>
            <w:noWrap w:val="0"/>
            <w:vAlign w:val="center"/>
          </w:tcPr>
          <w:p w14:paraId="5FAFF281">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r>
      <w:tr w14:paraId="11F54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4283" w:type="dxa"/>
            <w:noWrap w:val="0"/>
            <w:vAlign w:val="center"/>
          </w:tcPr>
          <w:p w14:paraId="4164F50C">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叶酸（μg）</w:t>
            </w:r>
          </w:p>
        </w:tc>
        <w:tc>
          <w:tcPr>
            <w:tcW w:w="4176" w:type="dxa"/>
            <w:noWrap w:val="0"/>
            <w:vAlign w:val="center"/>
          </w:tcPr>
          <w:p w14:paraId="52C1598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75.0</w:t>
            </w:r>
          </w:p>
        </w:tc>
      </w:tr>
      <w:tr w14:paraId="76D61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4283" w:type="dxa"/>
            <w:noWrap w:val="0"/>
            <w:vAlign w:val="center"/>
          </w:tcPr>
          <w:p w14:paraId="07931523">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0"/>
                <w:szCs w:val="20"/>
                <w:highlight w:val="none"/>
                <w:u w:val="none" w:color="auto"/>
                <w:vertAlign w:val="baseline"/>
                <w:lang w:eastAsia="zh-CN"/>
              </w:rPr>
              <w:t>12</w:t>
            </w:r>
            <w:r>
              <w:rPr>
                <w:rFonts w:hint="eastAsia" w:ascii="宋体" w:hAnsi="宋体" w:eastAsia="宋体" w:cs="宋体"/>
                <w:color w:val="auto"/>
                <w:spacing w:val="-5"/>
                <w:sz w:val="24"/>
                <w:szCs w:val="24"/>
                <w:highlight w:val="none"/>
                <w:u w:val="none" w:color="auto"/>
                <w:lang w:eastAsia="zh-CN"/>
              </w:rPr>
              <w:t>（μg）</w:t>
            </w:r>
          </w:p>
        </w:tc>
        <w:tc>
          <w:tcPr>
            <w:tcW w:w="4176" w:type="dxa"/>
            <w:noWrap w:val="0"/>
            <w:vAlign w:val="center"/>
          </w:tcPr>
          <w:p w14:paraId="383AB5C4">
            <w:pPr>
              <w:keepNext w:val="0"/>
              <w:keepLines w:val="0"/>
              <w:pageBreakBefore w:val="0"/>
              <w:kinsoku w:val="0"/>
              <w:wordWrap/>
              <w:overflowPunct/>
              <w:topLinePunct w:val="0"/>
              <w:autoSpaceDE w:val="0"/>
              <w:autoSpaceDN w:val="0"/>
              <w:bidi w:val="0"/>
              <w:adjustRightInd w:val="0"/>
              <w:snapToGrid w:val="0"/>
              <w:spacing w:line="560" w:lineRule="exact"/>
              <w:ind w:firstLine="460" w:firstLineChars="200"/>
              <w:jc w:val="center"/>
              <w:textAlignment w:val="baseline"/>
              <w:rPr>
                <w:rFonts w:hint="eastAsia" w:ascii="宋体" w:hAnsi="宋体" w:eastAsia="宋体" w:cs="宋体"/>
                <w:color w:val="auto"/>
                <w:spacing w:val="-5"/>
                <w:sz w:val="24"/>
                <w:szCs w:val="24"/>
                <w:highlight w:val="none"/>
                <w:u w:val="none" w:color="auto"/>
                <w:lang w:eastAsia="zh-CN"/>
              </w:rPr>
            </w:pPr>
            <w:r>
              <w:rPr>
                <w:rFonts w:hint="eastAsia" w:ascii="宋体" w:hAnsi="宋体" w:eastAsia="宋体" w:cs="宋体"/>
                <w:color w:val="auto"/>
                <w:spacing w:val="-5"/>
                <w:sz w:val="24"/>
                <w:szCs w:val="24"/>
                <w:highlight w:val="none"/>
                <w:u w:val="none" w:color="auto"/>
                <w:lang w:eastAsia="zh-CN"/>
              </w:rPr>
              <w:t>0.50</w:t>
            </w:r>
          </w:p>
        </w:tc>
      </w:tr>
    </w:tbl>
    <w:p w14:paraId="4A0B88D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(2)项目专用包装应当以项目名称为主，生产企业标识为辅。</w:t>
      </w:r>
    </w:p>
    <w:p w14:paraId="74446B5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(3)以图文并茂的方式详细说明营养包用法。</w:t>
      </w:r>
    </w:p>
    <w:p w14:paraId="5FACDECE">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3.小袋标识。产品名称，并醒目标识“儿童营养改善项目专用”字样。</w:t>
      </w:r>
    </w:p>
    <w:p w14:paraId="26300A7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4.外盒标识。在醒目位置标识“儿童营养改善项目专用”和“国家免费”字样、主办单位名称、生产商、产品名称、类别、配料、营养成分表及含量声称、适用人群、批号、生产日期、保质期、贮存条件、注意事项、图表性标识食用方法和食用量、净含量/规格、厂商地址、电话等。</w:t>
      </w:r>
    </w:p>
    <w:p w14:paraId="06FA2D9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5.外箱标识。醒目位置标识“儿童营养改善项目专用”和“国家免费”字样、主办单位名称、生产商、产品名称、净含量(盒/箱x袋/盒，重量g)、生产日期和/或批号、厂商地址、电话。</w:t>
      </w:r>
    </w:p>
    <w:p w14:paraId="337AE137">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（六）生产和服务要求</w:t>
      </w:r>
    </w:p>
    <w:p w14:paraId="7D546672">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bCs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生产要求：</w:t>
      </w:r>
    </w:p>
    <w:p w14:paraId="250A2C0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1.建立并运行全面的食品安全管理体系、质量管理体系、食品安全防御性计划。</w:t>
      </w:r>
    </w:p>
    <w:p w14:paraId="12F67C4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2.生产企业必须具备《食品安全国家标准辅食营养补充品》(GB 22570-2014)技术要求的检测能力，包括感官、蛋白质、钙、铁、锌、维生素A、维生素D、</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1</w:t>
      </w:r>
      <w:r>
        <w:rPr>
          <w:rFonts w:hint="eastAsia" w:ascii="宋体" w:hAnsi="宋体" w:eastAsia="宋体" w:cs="宋体"/>
          <w:b w:val="0"/>
          <w:color w:val="auto"/>
          <w:spacing w:val="-5"/>
          <w:w w:val="100"/>
          <w:kern w:val="0"/>
          <w:sz w:val="24"/>
          <w:szCs w:val="24"/>
          <w:highlight w:val="none"/>
          <w:u w:val="none" w:color="auto"/>
          <w:lang w:val="en-US" w:eastAsia="zh-CN" w:bidi="ar-SA"/>
        </w:rPr>
        <w:t>、</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2"/>
          <w:szCs w:val="22"/>
          <w:highlight w:val="none"/>
          <w:u w:val="none" w:color="auto"/>
          <w:vertAlign w:val="baseline"/>
          <w:lang w:eastAsia="zh-CN"/>
        </w:rPr>
        <w:t>2</w:t>
      </w:r>
      <w:r>
        <w:rPr>
          <w:rFonts w:hint="eastAsia" w:ascii="宋体" w:hAnsi="宋体" w:eastAsia="宋体" w:cs="宋体"/>
          <w:b w:val="0"/>
          <w:color w:val="auto"/>
          <w:spacing w:val="-5"/>
          <w:w w:val="100"/>
          <w:kern w:val="0"/>
          <w:sz w:val="24"/>
          <w:szCs w:val="24"/>
          <w:highlight w:val="none"/>
          <w:u w:val="none" w:color="auto"/>
          <w:lang w:val="en-US" w:eastAsia="zh-CN" w:bidi="ar-SA"/>
        </w:rPr>
        <w:t>、</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12</w:t>
      </w:r>
      <w:r>
        <w:rPr>
          <w:rFonts w:hint="eastAsia" w:ascii="宋体" w:hAnsi="宋体" w:eastAsia="宋体" w:cs="宋体"/>
          <w:b w:val="0"/>
          <w:color w:val="auto"/>
          <w:spacing w:val="-5"/>
          <w:kern w:val="0"/>
          <w:sz w:val="24"/>
          <w:szCs w:val="24"/>
          <w:highlight w:val="none"/>
          <w:u w:val="none" w:color="auto"/>
          <w:lang w:val="en-US" w:eastAsia="zh-CN" w:bidi="ar-SA"/>
        </w:rPr>
        <w:t>、叶酸、铅、总砷、硝酸盐、黄曲霉毒素</w:t>
      </w:r>
      <w:r>
        <w:rPr>
          <w:rFonts w:hint="eastAsia" w:ascii="宋体" w:hAnsi="宋体" w:eastAsia="宋体" w:cs="宋体"/>
          <w:color w:val="auto"/>
          <w:spacing w:val="-5"/>
          <w:sz w:val="24"/>
          <w:szCs w:val="24"/>
          <w:highlight w:val="none"/>
          <w:u w:val="none" w:color="auto"/>
          <w:lang w:eastAsia="zh-CN"/>
        </w:rPr>
        <w:t>B</w:t>
      </w:r>
      <w:r>
        <w:rPr>
          <w:rFonts w:hint="eastAsia" w:ascii="宋体" w:hAnsi="宋体" w:eastAsia="宋体" w:cs="宋体"/>
          <w:color w:val="auto"/>
          <w:spacing w:val="-5"/>
          <w:sz w:val="22"/>
          <w:szCs w:val="22"/>
          <w:highlight w:val="none"/>
          <w:u w:val="none" w:color="auto"/>
          <w:vertAlign w:val="baseline"/>
          <w:lang w:eastAsia="zh-CN"/>
        </w:rPr>
        <w:t>1</w:t>
      </w:r>
      <w:r>
        <w:rPr>
          <w:rFonts w:hint="eastAsia" w:ascii="宋体" w:hAnsi="宋体" w:eastAsia="宋体" w:cs="宋体"/>
          <w:b w:val="0"/>
          <w:color w:val="auto"/>
          <w:spacing w:val="-5"/>
          <w:kern w:val="0"/>
          <w:sz w:val="24"/>
          <w:szCs w:val="24"/>
          <w:highlight w:val="none"/>
          <w:u w:val="none" w:color="auto"/>
          <w:lang w:val="en-US" w:eastAsia="zh-CN" w:bidi="ar-SA"/>
        </w:rPr>
        <w:t>、黄曲霉毒素M₁、脲酶活性、菌落总数、大肠菌群、沙门氏菌。</w:t>
      </w:r>
    </w:p>
    <w:p w14:paraId="4EAE5D59">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3.项目产品检测报告要求</w:t>
      </w:r>
    </w:p>
    <w:p w14:paraId="7EC36C0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按以下要求，在项目实施后，需提供项目营养包的检验报告至市、县项目办。</w:t>
      </w:r>
    </w:p>
    <w:p w14:paraId="67D0CFE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(1)批次出厂检验报告。每批次检验报告项目必须包括:感官、蛋白质、钙、铁、锌、维生素A、维生素D、</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1</w:t>
      </w:r>
      <w:r>
        <w:rPr>
          <w:rFonts w:hint="eastAsia" w:ascii="宋体" w:hAnsi="宋体" w:eastAsia="宋体" w:cs="宋体"/>
          <w:b w:val="0"/>
          <w:color w:val="auto"/>
          <w:spacing w:val="-5"/>
          <w:w w:val="100"/>
          <w:kern w:val="0"/>
          <w:sz w:val="24"/>
          <w:szCs w:val="24"/>
          <w:highlight w:val="none"/>
          <w:u w:val="none" w:color="auto"/>
          <w:lang w:val="en-US" w:eastAsia="zh-CN" w:bidi="ar-SA"/>
        </w:rPr>
        <w:t>、</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2"/>
          <w:szCs w:val="22"/>
          <w:highlight w:val="none"/>
          <w:u w:val="none" w:color="auto"/>
          <w:vertAlign w:val="baseline"/>
          <w:lang w:eastAsia="zh-CN"/>
        </w:rPr>
        <w:t>2</w:t>
      </w:r>
      <w:r>
        <w:rPr>
          <w:rFonts w:hint="eastAsia" w:ascii="宋体" w:hAnsi="宋体" w:eastAsia="宋体" w:cs="宋体"/>
          <w:b w:val="0"/>
          <w:color w:val="auto"/>
          <w:spacing w:val="-5"/>
          <w:w w:val="100"/>
          <w:kern w:val="0"/>
          <w:sz w:val="24"/>
          <w:szCs w:val="24"/>
          <w:highlight w:val="none"/>
          <w:u w:val="none" w:color="auto"/>
          <w:lang w:val="en-US" w:eastAsia="zh-CN" w:bidi="ar-SA"/>
        </w:rPr>
        <w:t>、</w:t>
      </w:r>
      <w:r>
        <w:rPr>
          <w:rFonts w:hint="eastAsia" w:ascii="宋体" w:hAnsi="宋体" w:eastAsia="宋体" w:cs="宋体"/>
          <w:color w:val="auto"/>
          <w:spacing w:val="-5"/>
          <w:sz w:val="24"/>
          <w:szCs w:val="24"/>
          <w:highlight w:val="none"/>
          <w:u w:val="none" w:color="auto"/>
          <w:lang w:eastAsia="zh-CN"/>
        </w:rPr>
        <w:t>维生素B</w:t>
      </w:r>
      <w:r>
        <w:rPr>
          <w:rFonts w:hint="eastAsia" w:ascii="宋体" w:hAnsi="宋体" w:eastAsia="宋体" w:cs="宋体"/>
          <w:color w:val="auto"/>
          <w:spacing w:val="-5"/>
          <w:sz w:val="21"/>
          <w:szCs w:val="21"/>
          <w:highlight w:val="none"/>
          <w:u w:val="none" w:color="auto"/>
          <w:vertAlign w:val="baseline"/>
          <w:lang w:eastAsia="zh-CN"/>
        </w:rPr>
        <w:t>12</w:t>
      </w:r>
      <w:r>
        <w:rPr>
          <w:rFonts w:hint="eastAsia" w:ascii="宋体" w:hAnsi="宋体" w:eastAsia="宋体" w:cs="宋体"/>
          <w:b w:val="0"/>
          <w:color w:val="auto"/>
          <w:spacing w:val="-5"/>
          <w:kern w:val="0"/>
          <w:sz w:val="24"/>
          <w:szCs w:val="24"/>
          <w:highlight w:val="none"/>
          <w:u w:val="none" w:color="auto"/>
          <w:lang w:val="en-US" w:eastAsia="zh-CN" w:bidi="ar-SA"/>
        </w:rPr>
        <w:t>、叶酸、铅、总砷、硝酸盐、黄曲霉毒素</w:t>
      </w:r>
      <w:r>
        <w:rPr>
          <w:rFonts w:hint="eastAsia" w:ascii="宋体" w:hAnsi="宋体" w:eastAsia="宋体" w:cs="宋体"/>
          <w:color w:val="auto"/>
          <w:spacing w:val="-5"/>
          <w:sz w:val="24"/>
          <w:szCs w:val="24"/>
          <w:highlight w:val="none"/>
          <w:u w:val="none" w:color="auto"/>
          <w:lang w:eastAsia="zh-CN"/>
        </w:rPr>
        <w:t>B</w:t>
      </w:r>
      <w:r>
        <w:rPr>
          <w:rFonts w:hint="eastAsia" w:ascii="宋体" w:hAnsi="宋体" w:eastAsia="宋体" w:cs="宋体"/>
          <w:color w:val="auto"/>
          <w:spacing w:val="-5"/>
          <w:sz w:val="22"/>
          <w:szCs w:val="22"/>
          <w:highlight w:val="none"/>
          <w:u w:val="none" w:color="auto"/>
          <w:vertAlign w:val="baseline"/>
          <w:lang w:eastAsia="zh-CN"/>
        </w:rPr>
        <w:t>1</w:t>
      </w:r>
      <w:r>
        <w:rPr>
          <w:rFonts w:hint="eastAsia" w:ascii="宋体" w:hAnsi="宋体" w:eastAsia="宋体" w:cs="宋体"/>
          <w:b w:val="0"/>
          <w:color w:val="auto"/>
          <w:spacing w:val="-5"/>
          <w:kern w:val="0"/>
          <w:sz w:val="24"/>
          <w:szCs w:val="24"/>
          <w:highlight w:val="none"/>
          <w:u w:val="none" w:color="auto"/>
          <w:lang w:val="en-US" w:eastAsia="zh-CN" w:bidi="ar-SA"/>
        </w:rPr>
        <w:t>、黄曲霉毒素M₁、脲酶活性、菌落总数、大肠菌群、沙门氏菌。</w:t>
      </w:r>
    </w:p>
    <w:p w14:paraId="385518D0">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(2)型式检验报告。每半年1次，第1次提供报告时间为开始履约供应项目营养包的前3个月内，按项目产品的相关标准要求对项目营养包进行全项检验，并提供具备CMA资质的检验检测机构出具的检验报告。</w:t>
      </w:r>
    </w:p>
    <w:p w14:paraId="310454F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4.应按国家法律法规的规定组织生产，保障产品质量并对产品质量负责。</w:t>
      </w:r>
    </w:p>
    <w:p w14:paraId="34C87F4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5.项目营养包须符合清真食品要求。</w:t>
      </w:r>
    </w:p>
    <w:p w14:paraId="2F4343D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6.原材料供货：中标人须建立原材料非转基因三道检测机制，第一道由原材料生产企业自检并提供检测报告（含采购数量及非转基因检测项目）；第二道由中标人在货物生产前对原材料进行非转基因抽检并出具抽检报告（中标人可自行检测（须具备CMA资质）或委托具备CMA资质的第三方检测机构进行检测，提供检测报告）；第三道由采购人对营养包成品进行非转基因检测。中标人须在生产前向采购人提交前两道检测的证明材料。如需更换原材料，必须事先书面征得采购人同意。任一项检测证明缺失或不合格，或擅自更换原材料的，采购人有权暂停供货或终止合同。</w:t>
      </w:r>
    </w:p>
    <w:p w14:paraId="1EEDE5D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（七）服务要求</w:t>
      </w:r>
    </w:p>
    <w:p w14:paraId="4044A9B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1.中标企业应当按照采购合同要求负责运送项目产品至各项目县指定地点。为保障营养包安全有效，营养包生产后应在3个月内配送。配送频率为每季度一次。</w:t>
      </w:r>
    </w:p>
    <w:p w14:paraId="7E4CEDE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 xml:space="preserve">    2.中标企业在供货过程中，营养包出现包装破损、标签不清、污损等问题，应当无条件退货。在保质期内，营养包出现感官等质量问题，经市级项目管理办公室组织确认，接收方有权要求退货，原则上终止供货合同。若判定为不安全食品，应按国家相关法规处置，予以召回。</w:t>
      </w:r>
    </w:p>
    <w:p w14:paraId="5C788FD7">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3.中标企业提供电话咨询服务，解答营养包食用中遇到的问题。</w:t>
      </w:r>
    </w:p>
    <w:p w14:paraId="52A6849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（八）产品验收</w:t>
      </w:r>
    </w:p>
    <w:p w14:paraId="3B8CB63B">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按</w:t>
      </w:r>
      <w:r>
        <w:rPr>
          <w:rFonts w:hint="eastAsia" w:ascii="宋体" w:hAnsi="宋体" w:eastAsia="宋体" w:cs="宋体"/>
          <w:b w:val="0"/>
          <w:color w:val="auto"/>
          <w:spacing w:val="-5"/>
          <w:kern w:val="0"/>
          <w:sz w:val="24"/>
          <w:szCs w:val="24"/>
          <w:highlight w:val="none"/>
          <w:u w:val="none" w:color="auto"/>
          <w:lang w:val="en-US" w:eastAsia="zh-CN" w:bidi="ar-SA"/>
        </w:rPr>
        <w:t>《食品安全国家标准 辅食营养补充品》（GB22570-2014）和项目产品技术要求进行。</w:t>
      </w:r>
    </w:p>
    <w:p w14:paraId="6F5E21C1">
      <w:pPr>
        <w:rPr>
          <w:rFonts w:hint="eastAsia" w:ascii="宋体" w:hAnsi="宋体" w:eastAsia="宋体" w:cs="宋体"/>
          <w:b/>
          <w:bCs/>
          <w:color w:val="auto"/>
          <w:spacing w:val="-5"/>
          <w:kern w:val="0"/>
          <w:sz w:val="24"/>
          <w:szCs w:val="24"/>
          <w:u w:val="none" w:color="auto"/>
          <w:lang w:val="en-US" w:eastAsia="zh-CN" w:bidi="ar-SA"/>
        </w:rPr>
      </w:pPr>
      <w:r>
        <w:rPr>
          <w:rFonts w:hint="eastAsia" w:ascii="宋体" w:hAnsi="宋体" w:eastAsia="宋体" w:cs="宋体"/>
          <w:b/>
          <w:bCs/>
          <w:color w:val="auto"/>
          <w:spacing w:val="-5"/>
          <w:kern w:val="0"/>
          <w:sz w:val="24"/>
          <w:szCs w:val="24"/>
          <w:u w:val="none" w:color="auto"/>
          <w:lang w:val="en-US" w:eastAsia="zh-CN" w:bidi="ar-SA"/>
        </w:rPr>
        <w:br w:type="page"/>
      </w:r>
    </w:p>
    <w:p w14:paraId="71FA7B47">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u w:val="none" w:color="auto"/>
          <w:lang w:val="en-US" w:eastAsia="zh-CN" w:bidi="ar-SA"/>
        </w:rPr>
      </w:pPr>
      <w:r>
        <w:rPr>
          <w:rFonts w:hint="eastAsia" w:ascii="宋体" w:hAnsi="宋体" w:eastAsia="宋体" w:cs="宋体"/>
          <w:b/>
          <w:bCs/>
          <w:color w:val="auto"/>
          <w:spacing w:val="-5"/>
          <w:kern w:val="0"/>
          <w:sz w:val="24"/>
          <w:szCs w:val="24"/>
          <w:u w:val="none" w:color="auto"/>
          <w:lang w:val="en-US" w:eastAsia="zh-CN" w:bidi="ar-SA"/>
        </w:rPr>
        <w:t xml:space="preserve">（九）其他要求 </w:t>
      </w:r>
    </w:p>
    <w:p w14:paraId="2170DBAF">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1.广泛开展社会动员及多种形式的宣传活动，开展项目管理和技术培训，开展多种形式的健康教育活动等。配备营养包使用的宣传资料、宣传物品，宣传资料包括但不限于《营养包家长使用手册》（其中应增加科学喂养知识内容）、《家长知情同意书》、《村级人员手册》、《宣传海报》、《培训教材》、《赣州市营养包发放食用登记表台账》等。宣传物品不仅限于上述资料，可为用户常用生活小用品等。</w:t>
      </w:r>
    </w:p>
    <w:p w14:paraId="3C5225F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2.为保证产品质量，采购人每年将委托第三方检测机构对项目产品抽样检测，检测指标为本文件规定的营养成分指标和《食品安全国家标准辅食营养补充品》（GB 22570-2014）规定的指标，并增加对成品的大豆非转基因成分检测。如抽检项目为不合格，采购人有权终止合同。产品每年不少于4次抽样检测，抽样检测费用已包含在投标人的投标报价中，由中标人支付相关费用。</w:t>
      </w:r>
    </w:p>
    <w:p w14:paraId="0114609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3.产品的配送</w:t>
      </w:r>
    </w:p>
    <w:p w14:paraId="225D984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 xml:space="preserve">3.1中标人根据项目办的计划安排，每季度进行一次营养包配送（营养包、干湿温度计、其他资料），免费配送至指定地点，负责运输营养包到达指定地点后的货物卸载和入库存放，并向项目主管部门提供统计数据，如果中标人在产品生产或配送过程中，因履约不到位造成的责任由中标人自行负责。 </w:t>
      </w:r>
    </w:p>
    <w:p w14:paraId="42D8E111">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3.2中标人须协助完成营养包从乡（镇）至村级转运、储存、入户发放、食用指导及健康随访等全部后续工作。</w:t>
      </w:r>
    </w:p>
    <w:p w14:paraId="4626EB4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4.产品配送过程质量保障的要求</w:t>
      </w:r>
    </w:p>
    <w:p w14:paraId="11F53662">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4.1投标人必须按国家相关要求保障产品运输及过程中的卫生条件。</w:t>
      </w:r>
    </w:p>
    <w:p w14:paraId="10F39DB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default" w:ascii="宋体" w:hAnsi="宋体" w:eastAsia="宋体" w:cs="宋体"/>
          <w:b w:val="0"/>
          <w:bCs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4.2投标人须提供两种配送方式供采购人选择：线下运输配送至指定地点，以及线上通过软件或小程序下单、快递物流直接配送至用户。中标后，具体采用何种方式，由采购人根据各县区实际情况统一确定或授权各县区自行指定。</w:t>
      </w:r>
    </w:p>
    <w:p w14:paraId="014E7A9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bCs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线上配送规则：每次申领按3盒为1件发货（单次申领3盒，按1件发出）；若申领不足3盒，按实发货，物流费仍由投标人承担。申领软件（或小程序）的开发、维护及运营费用，以及所有产品物流费或快递费均由投标人承担，已包含在投标报价中。投标人报价时须自行考虑该项费用及相应的税务成本。</w:t>
      </w:r>
    </w:p>
    <w:p w14:paraId="09A91914">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bCs w:val="0"/>
          <w:color w:val="auto"/>
          <w:spacing w:val="-5"/>
          <w:kern w:val="0"/>
          <w:sz w:val="24"/>
          <w:szCs w:val="24"/>
          <w:highlight w:val="none"/>
          <w:u w:val="none" w:color="auto"/>
          <w:lang w:val="en-US" w:eastAsia="zh-CN" w:bidi="ar-SA"/>
        </w:rPr>
      </w:pPr>
      <w:r>
        <w:rPr>
          <w:rFonts w:hint="eastAsia" w:ascii="宋体" w:hAnsi="宋体" w:eastAsia="宋体" w:cs="宋体"/>
          <w:b w:val="0"/>
          <w:bCs w:val="0"/>
          <w:color w:val="auto"/>
          <w:spacing w:val="-5"/>
          <w:kern w:val="0"/>
          <w:sz w:val="24"/>
          <w:szCs w:val="24"/>
          <w:highlight w:val="none"/>
          <w:u w:val="none" w:color="auto"/>
          <w:lang w:val="en-US" w:eastAsia="zh-CN" w:bidi="ar-SA"/>
        </w:rPr>
        <w:t>实施线上配送前，投标人须向采购人提交详细的线上配送方案（内容至少包括：申领流程、发货规则、物流时效、异常处理、售后服务、数据后台监督方式等），并取得采购人书面认可后方可执行。</w:t>
      </w:r>
    </w:p>
    <w:p w14:paraId="2FAEF692">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highlight w:val="none"/>
          <w:u w:val="none" w:color="auto"/>
          <w:lang w:val="en-US" w:eastAsia="zh-CN" w:bidi="ar-SA"/>
        </w:rPr>
      </w:pPr>
      <w:r>
        <w:rPr>
          <w:rFonts w:hint="eastAsia" w:ascii="宋体" w:hAnsi="宋体" w:eastAsia="宋体" w:cs="宋体"/>
          <w:b/>
          <w:bCs/>
          <w:color w:val="auto"/>
          <w:spacing w:val="-5"/>
          <w:kern w:val="0"/>
          <w:sz w:val="24"/>
          <w:szCs w:val="24"/>
          <w:highlight w:val="none"/>
          <w:u w:val="none" w:color="auto"/>
          <w:lang w:val="en-US" w:eastAsia="zh-CN" w:bidi="ar-SA"/>
        </w:rPr>
        <w:t>投标文件中须提供承诺函（承诺完全响应上述要求），未提供或提供无效的作无效投标处理。</w:t>
      </w:r>
    </w:p>
    <w:p w14:paraId="7556F52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bCs/>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4.3为保证物流或快递的时效，保证从用户下单到发货时间控制在3天内，线上下单产品须从发货后用户7个自然日内收到货。</w:t>
      </w:r>
      <w:r>
        <w:rPr>
          <w:rFonts w:hint="eastAsia" w:ascii="宋体" w:hAnsi="宋体" w:eastAsia="宋体" w:cs="宋体"/>
          <w:b/>
          <w:bCs/>
          <w:color w:val="auto"/>
          <w:spacing w:val="-5"/>
          <w:kern w:val="0"/>
          <w:sz w:val="24"/>
          <w:szCs w:val="24"/>
          <w:u w:val="none" w:color="auto"/>
          <w:lang w:val="en-US" w:eastAsia="zh-CN" w:bidi="ar-SA"/>
        </w:rPr>
        <w:t>投标人投标文件中提供承诺函。（未提供或提供无效作无效投标。）</w:t>
      </w:r>
    </w:p>
    <w:p w14:paraId="12038D4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 xml:space="preserve">5.售后服务的要求 </w:t>
      </w:r>
    </w:p>
    <w:p w14:paraId="2F55633D">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2" w:firstLineChars="200"/>
        <w:jc w:val="left"/>
        <w:textAlignment w:val="baseline"/>
        <w:rPr>
          <w:rFonts w:hint="eastAsia" w:ascii="宋体" w:hAnsi="宋体" w:eastAsia="宋体" w:cs="宋体"/>
          <w:b/>
          <w:bCs/>
          <w:color w:val="auto"/>
          <w:spacing w:val="-5"/>
          <w:kern w:val="0"/>
          <w:sz w:val="24"/>
          <w:szCs w:val="24"/>
          <w:u w:val="none" w:color="auto"/>
          <w:lang w:val="en-US" w:eastAsia="zh-CN" w:bidi="ar-SA"/>
        </w:rPr>
      </w:pPr>
      <w:r>
        <w:rPr>
          <w:rFonts w:hint="eastAsia" w:ascii="宋体" w:hAnsi="宋体" w:eastAsia="宋体" w:cs="宋体"/>
          <w:b/>
          <w:bCs/>
          <w:color w:val="auto"/>
          <w:spacing w:val="-5"/>
          <w:kern w:val="0"/>
          <w:sz w:val="24"/>
          <w:szCs w:val="24"/>
          <w:u w:val="none" w:color="auto"/>
          <w:lang w:val="en-US" w:eastAsia="zh-CN" w:bidi="ar-SA"/>
        </w:rPr>
        <w:t>5.1本项目儿童营养包须</w:t>
      </w:r>
      <w:r>
        <w:rPr>
          <w:rFonts w:hint="eastAsia" w:ascii="宋体" w:hAnsi="宋体" w:eastAsia="宋体" w:cs="宋体"/>
          <w:b/>
          <w:bCs/>
          <w:color w:val="auto"/>
          <w:spacing w:val="-5"/>
          <w:kern w:val="0"/>
          <w:sz w:val="24"/>
          <w:szCs w:val="24"/>
          <w:highlight w:val="none"/>
          <w:u w:val="none" w:color="auto"/>
          <w:lang w:val="en-US" w:eastAsia="zh-CN" w:bidi="ar-SA"/>
        </w:rPr>
        <w:t>在签订合同后10日内，为本项目投保食品安全责任险；且累计赔偿限额不低于1000万元人民币。</w:t>
      </w:r>
    </w:p>
    <w:p w14:paraId="5F6319BC">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5.2供货及时，运输损耗承诺无条件更换。免费及时更换破损和影响质量的营养包。</w:t>
      </w:r>
    </w:p>
    <w:p w14:paraId="5D1C4B97">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5.3包装印有营养包咨询热线，进行营养包使用及问题的解答。</w:t>
      </w:r>
    </w:p>
    <w:p w14:paraId="1C37F616">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提供7×24小时电话咨询服务，及时协调处理解决项目实施过程中出现的问题。免费提供售后服务，24小时内派人员现场处理家长或项目人员反映的营养包食用过程中出现的问题。</w:t>
      </w:r>
    </w:p>
    <w:p w14:paraId="1393DA0F">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5.4</w:t>
      </w:r>
      <w:r>
        <w:rPr>
          <w:rFonts w:hint="eastAsia" w:ascii="宋体" w:hAnsi="宋体" w:eastAsia="宋体" w:cs="宋体"/>
          <w:b w:val="0"/>
          <w:color w:val="auto"/>
          <w:spacing w:val="-5"/>
          <w:kern w:val="0"/>
          <w:sz w:val="24"/>
          <w:szCs w:val="24"/>
          <w:highlight w:val="none"/>
          <w:u w:val="none" w:color="auto"/>
          <w:lang w:val="en-US" w:eastAsia="zh-CN" w:bidi="ar-SA"/>
        </w:rPr>
        <w:t>项目市、县有专人负责项目实施，项目市所辖20个县市、区（章贡区、经开区、蓉江区、南康区、赣县区、信丰县、大余县、上犹县、崇义县、安远县、定南县、全南县、宁都县、于都县、兴国县、会昌县、寻乌县、石城县、瑞金市</w:t>
      </w:r>
    </w:p>
    <w:p w14:paraId="5A2C7B3E">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highlight w:val="none"/>
          <w:u w:val="none" w:color="auto"/>
          <w:lang w:val="en-US" w:eastAsia="zh-CN" w:bidi="ar-SA"/>
        </w:rPr>
        <w:t>、龙南市）须配备项目服务人员，负责项目实施，包括协助组织乡（镇）及村级项目人员的培训、项目宣传、健康教育，及时协调处理解决项目实施过程中出现的问题。</w:t>
      </w:r>
    </w:p>
    <w:p w14:paraId="0D00C085">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5.5中标后提供建立并运行电子信息化食品安全全程追溯体系(能够实现食品安全追溯功能，可追溯到每批次产品生产环境、设备运行、关键控制点、配方、投料、赋码、检测、储存、销售、召回等环节)，一盒一码(二维码)，该码能自动读取并录入电子信息化系统，实现项目营养包分发过程的电子化系统支持，实现每一盒营养包发放至项目儿童的电子化管理，采购人可通过系统查询实时发放营养包的数据。</w:t>
      </w:r>
    </w:p>
    <w:p w14:paraId="52F0A6D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highlight w:val="none"/>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w:t>
      </w:r>
      <w:r>
        <w:rPr>
          <w:rFonts w:hint="eastAsia" w:ascii="宋体" w:hAnsi="宋体" w:eastAsia="宋体" w:cs="宋体"/>
          <w:b w:val="0"/>
          <w:color w:val="auto"/>
          <w:spacing w:val="-5"/>
          <w:kern w:val="0"/>
          <w:sz w:val="24"/>
          <w:szCs w:val="24"/>
          <w:highlight w:val="none"/>
          <w:u w:val="none" w:color="auto"/>
          <w:lang w:val="en-US" w:eastAsia="zh-CN" w:bidi="ar-SA"/>
        </w:rPr>
        <w:t>6培训向基层倾斜，由中标人以乡镇为单位组织，开展项目实施人员和管理人员的专业培训，所有培训产生的费用由中标人承担。</w:t>
      </w:r>
    </w:p>
    <w:p w14:paraId="5EE1A9FF">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bCs/>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5.7中标人每年度须为国家指定的项目监测县做监测评估培训及基线调查检测，监测评估培训及基线调查检测产生的所有费用已包含在投标人的投标报价中。费用由中标人承担，</w:t>
      </w:r>
      <w:r>
        <w:rPr>
          <w:rFonts w:hint="eastAsia" w:ascii="宋体" w:hAnsi="宋体" w:eastAsia="宋体" w:cs="宋体"/>
          <w:b/>
          <w:bCs/>
          <w:color w:val="auto"/>
          <w:spacing w:val="-5"/>
          <w:kern w:val="0"/>
          <w:sz w:val="24"/>
          <w:szCs w:val="24"/>
          <w:u w:val="none" w:color="auto"/>
          <w:lang w:val="en-US" w:eastAsia="zh-CN" w:bidi="ar-SA"/>
        </w:rPr>
        <w:t>投标文件中须提供承诺函。未提供或提供无效作无效投标。</w:t>
      </w:r>
    </w:p>
    <w:p w14:paraId="3DDA1BB8">
      <w:pPr>
        <w:keepNext w:val="0"/>
        <w:keepLines w:val="0"/>
        <w:pageBreakBefore w:val="0"/>
        <w:widowControl/>
        <w:numPr>
          <w:ilvl w:val="-1"/>
          <w:numId w:val="0"/>
        </w:numPr>
        <w:suppressLineNumbers w:val="0"/>
        <w:kinsoku w:val="0"/>
        <w:wordWrap/>
        <w:overflowPunct/>
        <w:topLinePunct w:val="0"/>
        <w:autoSpaceDE w:val="0"/>
        <w:autoSpaceDN w:val="0"/>
        <w:bidi w:val="0"/>
        <w:adjustRightInd w:val="0"/>
        <w:snapToGrid w:val="0"/>
        <w:spacing w:line="560" w:lineRule="exact"/>
        <w:ind w:firstLine="460" w:firstLineChars="200"/>
        <w:jc w:val="left"/>
        <w:textAlignment w:val="baseline"/>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t>5.8 所有费用包含在所投报价中，投标人报价时须自行考虑本项目的培训、宣传和健康教育、售后服务方面等成本。</w:t>
      </w:r>
    </w:p>
    <w:p w14:paraId="5BA63E98">
      <w:pPr>
        <w:numPr>
          <w:ilvl w:val="0"/>
          <w:numId w:val="0"/>
        </w:numPr>
        <w:spacing w:line="540" w:lineRule="exact"/>
        <w:ind w:firstLine="460" w:firstLineChars="200"/>
        <w:rPr>
          <w:rFonts w:hint="eastAsia" w:ascii="宋体" w:hAnsi="宋体" w:eastAsia="宋体" w:cs="宋体"/>
          <w:color w:val="auto"/>
          <w:kern w:val="0"/>
          <w:sz w:val="24"/>
          <w:szCs w:val="24"/>
          <w:highlight w:val="none"/>
        </w:rPr>
      </w:pPr>
      <w:r>
        <w:rPr>
          <w:rFonts w:hint="eastAsia" w:ascii="宋体" w:hAnsi="宋体" w:eastAsia="宋体" w:cs="宋体"/>
          <w:b w:val="0"/>
          <w:color w:val="auto"/>
          <w:spacing w:val="-5"/>
          <w:kern w:val="0"/>
          <w:sz w:val="24"/>
          <w:szCs w:val="24"/>
          <w:u w:val="none" w:color="auto"/>
          <w:lang w:val="en-US" w:eastAsia="zh-CN" w:bidi="ar-SA"/>
        </w:rPr>
        <w:br w:type="page"/>
      </w:r>
      <w:r>
        <w:rPr>
          <w:rFonts w:hint="eastAsia" w:ascii="宋体" w:hAnsi="宋体" w:eastAsia="宋体" w:cs="宋体"/>
          <w:b/>
          <w:bCs/>
          <w:color w:val="auto"/>
          <w:spacing w:val="-5"/>
          <w:kern w:val="0"/>
          <w:sz w:val="24"/>
          <w:szCs w:val="24"/>
          <w:u w:val="none" w:color="auto"/>
          <w:lang w:val="en-US" w:eastAsia="zh-CN" w:bidi="ar-SA"/>
        </w:rPr>
        <w:t>（十）</w:t>
      </w:r>
      <w:r>
        <w:rPr>
          <w:rFonts w:hint="eastAsia" w:ascii="宋体" w:hAnsi="宋体" w:eastAsia="宋体" w:cs="宋体"/>
          <w:b/>
          <w:bCs/>
          <w:color w:val="auto"/>
          <w:kern w:val="0"/>
          <w:sz w:val="24"/>
          <w:szCs w:val="24"/>
          <w:highlight w:val="none"/>
        </w:rPr>
        <w:t>提供营养包使用说明等宣传资料</w:t>
      </w:r>
    </w:p>
    <w:p w14:paraId="34DF9A70">
      <w:pPr>
        <w:spacing w:line="540" w:lineRule="exact"/>
        <w:ind w:firstLine="480" w:firstLineChars="200"/>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培训及宣传资料和村级人员手册按采购人要求制定，具体为：</w:t>
      </w:r>
    </w:p>
    <w:p w14:paraId="2D181E15">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1.《营养包使用手册》，发放对象为食用营养包的婴幼儿家长。要求250g铜版纸，32k纸张大小，正反两面彩印。（其中应增加科学喂养知识内容）49520本。</w:t>
      </w:r>
    </w:p>
    <w:p w14:paraId="145BDCCA">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2.《家长知情同意书》，发放对象为食用营养包的婴幼儿家长，50张/本。要求纸张50g，A4纸大小。1266本。</w:t>
      </w:r>
    </w:p>
    <w:p w14:paraId="12B0E149">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3.《村级人员手册》，发放对象为市、县、乡、村卫生工作人员。要求纸张250g，A4纸大小，正反两面，封面铜板纸。1280本。</w:t>
      </w:r>
    </w:p>
    <w:p w14:paraId="4C25BC11">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4.《宣传海报》，发放对象为市、县、乡、村项目有关机构。要求250g铜版纸，大对开，780mm×520mm，单面4色彩印，覆亮膜，配牢固张贴配件。3510张。</w:t>
      </w:r>
    </w:p>
    <w:p w14:paraId="557A76CC">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5.《营养包发放食用登记表》，使用对象为各村村医或发放营养包的县、乡妇幼保健服务机构，40张/本。要求纸张80g，A4纸大小，200g铜版纸封面。2162本。</w:t>
      </w:r>
    </w:p>
    <w:p w14:paraId="71DEF1E6">
      <w:pPr>
        <w:spacing w:line="540" w:lineRule="exact"/>
        <w:ind w:firstLine="480" w:firstLineChars="200"/>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6.《营养包出入库登记本》</w:t>
      </w:r>
    </w:p>
    <w:p w14:paraId="5D4B9675">
      <w:pPr>
        <w:spacing w:line="540" w:lineRule="exact"/>
        <w:ind w:firstLine="480" w:firstLineChars="200"/>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使用对象为项目管理实施相关人员，40张/本。要求纸张50g，A4纸大小，200g铜版纸封面。110本。</w:t>
      </w:r>
    </w:p>
    <w:p w14:paraId="1D32B876">
      <w:pPr>
        <w:pStyle w:val="2"/>
        <w:rPr>
          <w:rFonts w:hint="eastAsia" w:ascii="宋体" w:hAnsi="宋体" w:eastAsia="宋体" w:cs="宋体"/>
          <w:sz w:val="24"/>
          <w:szCs w:val="24"/>
          <w:lang w:val="en-US" w:eastAsia="zh-CN"/>
        </w:rPr>
        <w:sectPr>
          <w:footerReference r:id="rId3" w:type="default"/>
          <w:pgSz w:w="11906" w:h="16839"/>
          <w:pgMar w:top="1429" w:right="1786" w:bottom="1270" w:left="1786" w:header="0" w:footer="992" w:gutter="0"/>
          <w:pgNumType w:fmt="decimal"/>
          <w:cols w:space="0" w:num="1"/>
          <w:rtlGutter w:val="0"/>
          <w:docGrid w:linePitch="0" w:charSpace="0"/>
        </w:sectPr>
      </w:pPr>
    </w:p>
    <w:p w14:paraId="554F1A10">
      <w:pPr>
        <w:spacing w:line="540" w:lineRule="exact"/>
        <w:ind w:firstLine="482" w:firstLineChars="200"/>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w:t>
      </w:r>
      <w:r>
        <w:rPr>
          <w:rFonts w:hint="eastAsia" w:ascii="宋体" w:hAnsi="宋体" w:eastAsia="宋体" w:cs="宋体"/>
          <w:b/>
          <w:bCs/>
          <w:color w:val="auto"/>
          <w:kern w:val="0"/>
          <w:sz w:val="24"/>
          <w:szCs w:val="24"/>
          <w:highlight w:val="none"/>
          <w:lang w:val="en-US" w:eastAsia="zh-CN"/>
        </w:rPr>
        <w:t>十一</w:t>
      </w:r>
      <w:r>
        <w:rPr>
          <w:rFonts w:hint="eastAsia" w:ascii="宋体" w:hAnsi="宋体" w:eastAsia="宋体" w:cs="宋体"/>
          <w:b/>
          <w:bCs/>
          <w:color w:val="auto"/>
          <w:kern w:val="0"/>
          <w:sz w:val="24"/>
          <w:szCs w:val="24"/>
          <w:highlight w:val="none"/>
        </w:rPr>
        <w:t>）协助开展宣传培训与基线调查</w:t>
      </w:r>
    </w:p>
    <w:p w14:paraId="38434A40">
      <w:pPr>
        <w:keepNext w:val="0"/>
        <w:keepLines w:val="0"/>
        <w:pageBreakBefore w:val="0"/>
        <w:widowControl/>
        <w:kinsoku/>
        <w:wordWrap/>
        <w:overflowPunct/>
        <w:topLinePunct/>
        <w:autoSpaceDE/>
        <w:autoSpaceDN/>
        <w:bidi w:val="0"/>
        <w:adjustRightInd w:val="0"/>
        <w:snapToGrid w:val="0"/>
        <w:spacing w:line="540" w:lineRule="exact"/>
        <w:ind w:firstLine="480" w:firstLineChars="200"/>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1.项目管理和培训。中标</w:t>
      </w:r>
      <w:r>
        <w:rPr>
          <w:rFonts w:hint="eastAsia" w:ascii="宋体" w:hAnsi="宋体" w:eastAsia="宋体" w:cs="宋体"/>
          <w:color w:val="auto"/>
          <w:kern w:val="0"/>
          <w:sz w:val="24"/>
          <w:szCs w:val="24"/>
          <w:highlight w:val="none"/>
          <w:lang w:eastAsia="zh-CN"/>
        </w:rPr>
        <w:t>人</w:t>
      </w:r>
      <w:r>
        <w:rPr>
          <w:rFonts w:hint="eastAsia" w:ascii="宋体" w:hAnsi="宋体" w:eastAsia="宋体" w:cs="宋体"/>
          <w:color w:val="auto"/>
          <w:kern w:val="0"/>
          <w:sz w:val="24"/>
          <w:szCs w:val="24"/>
          <w:highlight w:val="none"/>
        </w:rPr>
        <w:t>须对市</w:t>
      </w:r>
      <w:r>
        <w:rPr>
          <w:rFonts w:hint="eastAsia" w:ascii="宋体" w:hAnsi="宋体" w:eastAsia="宋体" w:cs="宋体"/>
          <w:b w:val="0"/>
          <w:bCs w:val="0"/>
          <w:color w:val="auto"/>
          <w:spacing w:val="0"/>
          <w:kern w:val="0"/>
          <w:sz w:val="24"/>
          <w:szCs w:val="24"/>
          <w:highlight w:val="none"/>
          <w:u w:val="none" w:color="auto"/>
          <w:lang w:val="en-US" w:eastAsia="zh-CN" w:bidi="ar-SA"/>
        </w:rPr>
        <w:t>（区）</w:t>
      </w:r>
      <w:r>
        <w:rPr>
          <w:rFonts w:hint="eastAsia" w:ascii="宋体" w:hAnsi="宋体" w:eastAsia="宋体" w:cs="宋体"/>
          <w:color w:val="auto"/>
          <w:kern w:val="0"/>
          <w:sz w:val="24"/>
          <w:szCs w:val="24"/>
          <w:highlight w:val="none"/>
        </w:rPr>
        <w:t>、</w:t>
      </w:r>
      <w:r>
        <w:rPr>
          <w:rFonts w:hint="eastAsia" w:ascii="宋体" w:hAnsi="宋体" w:eastAsia="宋体" w:cs="宋体"/>
          <w:color w:val="auto"/>
          <w:kern w:val="0"/>
          <w:sz w:val="24"/>
          <w:szCs w:val="24"/>
          <w:highlight w:val="none"/>
          <w:lang w:eastAsia="zh-CN"/>
        </w:rPr>
        <w:t>县、</w:t>
      </w:r>
      <w:r>
        <w:rPr>
          <w:rFonts w:hint="eastAsia" w:ascii="宋体" w:hAnsi="宋体" w:eastAsia="宋体" w:cs="宋体"/>
          <w:color w:val="auto"/>
          <w:kern w:val="0"/>
          <w:sz w:val="24"/>
          <w:szCs w:val="24"/>
          <w:highlight w:val="none"/>
        </w:rPr>
        <w:t>乡镇和村级人员至少各组织一次培训，并负责聘请师资，根据培训需要提供资料等其它相关支持。培训人员包括各级卫生健康和妇幼行政管理人员、妇幼保健项目管理人员及服务人员；村级须含乡村医生、妇幼保健员、计划生育服务员等相关服务发放人员。</w:t>
      </w:r>
    </w:p>
    <w:p w14:paraId="2ACB9C8D">
      <w:pPr>
        <w:spacing w:line="540" w:lineRule="exact"/>
        <w:ind w:firstLine="480" w:firstLineChars="20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2.项目监测评估或基线调查。中标</w:t>
      </w:r>
      <w:r>
        <w:rPr>
          <w:rFonts w:hint="eastAsia" w:ascii="宋体" w:hAnsi="宋体" w:eastAsia="宋体" w:cs="宋体"/>
          <w:color w:val="auto"/>
          <w:kern w:val="0"/>
          <w:sz w:val="24"/>
          <w:szCs w:val="24"/>
          <w:highlight w:val="none"/>
          <w:lang w:eastAsia="zh-CN"/>
        </w:rPr>
        <w:t>人</w:t>
      </w:r>
      <w:r>
        <w:rPr>
          <w:rFonts w:hint="eastAsia" w:ascii="宋体" w:hAnsi="宋体" w:eastAsia="宋体" w:cs="宋体"/>
          <w:color w:val="auto"/>
          <w:kern w:val="0"/>
          <w:sz w:val="24"/>
          <w:szCs w:val="24"/>
          <w:highlight w:val="none"/>
        </w:rPr>
        <w:t>须按照国家、省儿童营养改善项目实施方案要求，组织专家和相关人员开展1次项目监测评估或基线调查。中标</w:t>
      </w:r>
      <w:r>
        <w:rPr>
          <w:rFonts w:hint="eastAsia" w:ascii="宋体" w:hAnsi="宋体" w:eastAsia="宋体" w:cs="宋体"/>
          <w:color w:val="auto"/>
          <w:kern w:val="0"/>
          <w:sz w:val="24"/>
          <w:szCs w:val="24"/>
          <w:highlight w:val="none"/>
          <w:lang w:val="en-US" w:eastAsia="zh-CN"/>
        </w:rPr>
        <w:t>人</w:t>
      </w:r>
      <w:r>
        <w:rPr>
          <w:rFonts w:hint="eastAsia" w:ascii="宋体" w:hAnsi="宋体" w:eastAsia="宋体" w:cs="宋体"/>
          <w:color w:val="auto"/>
          <w:kern w:val="0"/>
          <w:sz w:val="24"/>
          <w:szCs w:val="24"/>
          <w:highlight w:val="none"/>
        </w:rPr>
        <w:t>需负责印制调查表及数据</w:t>
      </w:r>
      <w:r>
        <w:rPr>
          <w:rFonts w:hint="eastAsia" w:ascii="宋体" w:hAnsi="宋体" w:eastAsia="宋体" w:cs="宋体"/>
          <w:color w:val="auto"/>
          <w:kern w:val="0"/>
          <w:sz w:val="24"/>
          <w:szCs w:val="24"/>
          <w:highlight w:val="none"/>
          <w:lang w:eastAsia="zh-CN"/>
        </w:rPr>
        <w:t>收集、</w:t>
      </w:r>
      <w:r>
        <w:rPr>
          <w:rFonts w:hint="eastAsia" w:ascii="宋体" w:hAnsi="宋体" w:eastAsia="宋体" w:cs="宋体"/>
          <w:color w:val="auto"/>
          <w:kern w:val="0"/>
          <w:sz w:val="24"/>
          <w:szCs w:val="24"/>
          <w:highlight w:val="none"/>
        </w:rPr>
        <w:t>分析等费用。</w:t>
      </w:r>
    </w:p>
    <w:p w14:paraId="38FF6AE2">
      <w:pPr>
        <w:spacing w:line="540" w:lineRule="exact"/>
        <w:ind w:firstLine="480" w:firstLineChars="20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3.项目宣传动员。中标</w:t>
      </w:r>
      <w:r>
        <w:rPr>
          <w:rFonts w:hint="eastAsia" w:ascii="宋体" w:hAnsi="宋体" w:eastAsia="宋体" w:cs="宋体"/>
          <w:color w:val="auto"/>
          <w:kern w:val="0"/>
          <w:sz w:val="24"/>
          <w:szCs w:val="24"/>
          <w:highlight w:val="none"/>
          <w:lang w:eastAsia="zh-CN"/>
        </w:rPr>
        <w:t>人</w:t>
      </w:r>
      <w:r>
        <w:rPr>
          <w:rFonts w:hint="eastAsia" w:ascii="宋体" w:hAnsi="宋体" w:eastAsia="宋体" w:cs="宋体"/>
          <w:color w:val="auto"/>
          <w:kern w:val="0"/>
          <w:sz w:val="24"/>
          <w:szCs w:val="24"/>
          <w:highlight w:val="none"/>
        </w:rPr>
        <w:t>需按照国家儿童营养改善项目实施方案要求，协助项目县开展项目宣传动员和健康促进活动。（每乡</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镇</w:t>
      </w:r>
      <w:r>
        <w:rPr>
          <w:rFonts w:hint="eastAsia" w:ascii="宋体" w:hAnsi="宋体" w:eastAsia="宋体" w:cs="宋体"/>
          <w:color w:val="auto"/>
          <w:kern w:val="0"/>
          <w:sz w:val="24"/>
          <w:szCs w:val="24"/>
          <w:highlight w:val="none"/>
        </w:rPr>
        <w:t>至少举办一次对儿童家长的健康教育活动，并为采购人提供视频宣传等素材。宣传形式可包括但不限于短视频制作与投放、微信公众号科普推送、手机有奖知识问答、线上直播讲座、广播音频宣传、现场体验与实操演示、面对面咨询、宣传栏更新、宣传横幅悬挂等。具体宣传形式和频次由采购人根据实际需求确定）。</w:t>
      </w:r>
    </w:p>
    <w:p w14:paraId="6623162C">
      <w:pPr>
        <w:spacing w:line="540" w:lineRule="exact"/>
        <w:ind w:firstLine="480" w:firstLineChars="200"/>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说明：涉及上述要求的宣传资料</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val="en-US" w:eastAsia="zh-CN"/>
        </w:rPr>
        <w:t>素材等</w:t>
      </w:r>
      <w:r>
        <w:rPr>
          <w:rFonts w:hint="eastAsia" w:ascii="宋体" w:hAnsi="宋体" w:eastAsia="宋体" w:cs="宋体"/>
          <w:color w:val="auto"/>
          <w:kern w:val="0"/>
          <w:sz w:val="24"/>
          <w:szCs w:val="24"/>
          <w:highlight w:val="none"/>
        </w:rPr>
        <w:t>由投标人根据基本模版及内容进行设计（所有宣传资料须包含“国家免费”字样）</w:t>
      </w:r>
      <w:r>
        <w:rPr>
          <w:rFonts w:hint="eastAsia" w:ascii="宋体" w:hAnsi="宋体" w:eastAsia="宋体" w:cs="宋体"/>
          <w:color w:val="auto"/>
          <w:kern w:val="0"/>
          <w:sz w:val="24"/>
          <w:szCs w:val="24"/>
          <w:highlight w:val="none"/>
          <w:lang w:val="en-US" w:eastAsia="zh-CN"/>
        </w:rPr>
        <w:t>经采购人同意后印发实施</w:t>
      </w:r>
      <w:r>
        <w:rPr>
          <w:rFonts w:hint="eastAsia" w:ascii="宋体" w:hAnsi="宋体" w:eastAsia="宋体" w:cs="宋体"/>
          <w:color w:val="auto"/>
          <w:kern w:val="0"/>
          <w:sz w:val="24"/>
          <w:szCs w:val="24"/>
          <w:highlight w:val="none"/>
        </w:rPr>
        <w:t>，投标人报价须包含上述所有产品（及配套服务）。</w:t>
      </w:r>
    </w:p>
    <w:p w14:paraId="5311BCD7">
      <w:pPr>
        <w:keepNext w:val="0"/>
        <w:keepLines w:val="0"/>
        <w:pageBreakBefore w:val="0"/>
        <w:widowControl/>
        <w:numPr>
          <w:ilvl w:val="-1"/>
          <w:numId w:val="0"/>
        </w:numPr>
        <w:suppressLineNumbers w:val="0"/>
        <w:kinsoku/>
        <w:wordWrap/>
        <w:overflowPunct/>
        <w:topLinePunct w:val="0"/>
        <w:autoSpaceDE/>
        <w:autoSpaceDN/>
        <w:bidi w:val="0"/>
        <w:adjustRightInd/>
        <w:snapToGrid/>
        <w:spacing w:line="240" w:lineRule="auto"/>
        <w:ind w:firstLine="0" w:firstLineChars="0"/>
        <w:jc w:val="left"/>
        <w:textAlignment w:val="auto"/>
        <w:rPr>
          <w:rFonts w:hint="eastAsia" w:ascii="宋体" w:hAnsi="宋体" w:eastAsia="宋体" w:cs="宋体"/>
          <w:b w:val="0"/>
          <w:color w:val="auto"/>
          <w:spacing w:val="-5"/>
          <w:kern w:val="0"/>
          <w:sz w:val="24"/>
          <w:szCs w:val="24"/>
          <w:u w:val="none" w:color="auto"/>
          <w:lang w:val="en-US" w:eastAsia="zh-CN" w:bidi="ar-SA"/>
        </w:rPr>
      </w:pPr>
    </w:p>
    <w:p w14:paraId="2F925555">
      <w:pPr>
        <w:keepNext w:val="0"/>
        <w:keepLines w:val="0"/>
        <w:pageBreakBefore w:val="0"/>
        <w:widowControl/>
        <w:numPr>
          <w:ilvl w:val="-1"/>
          <w:numId w:val="0"/>
        </w:numPr>
        <w:suppressLineNumbers w:val="0"/>
        <w:kinsoku/>
        <w:wordWrap/>
        <w:overflowPunct/>
        <w:topLinePunct w:val="0"/>
        <w:autoSpaceDE/>
        <w:autoSpaceDN/>
        <w:bidi w:val="0"/>
        <w:adjustRightInd/>
        <w:snapToGrid/>
        <w:spacing w:line="240" w:lineRule="auto"/>
        <w:ind w:firstLine="0" w:firstLineChars="0"/>
        <w:jc w:val="left"/>
        <w:textAlignment w:val="auto"/>
        <w:rPr>
          <w:rFonts w:hint="eastAsia" w:ascii="宋体" w:hAnsi="宋体" w:eastAsia="宋体" w:cs="宋体"/>
          <w:b w:val="0"/>
          <w:color w:val="auto"/>
          <w:spacing w:val="-5"/>
          <w:kern w:val="0"/>
          <w:sz w:val="24"/>
          <w:szCs w:val="24"/>
          <w:u w:val="none" w:color="auto"/>
          <w:lang w:val="en-US" w:eastAsia="zh-CN" w:bidi="ar-SA"/>
        </w:rPr>
      </w:pPr>
      <w:r>
        <w:rPr>
          <w:rFonts w:hint="eastAsia" w:ascii="宋体" w:hAnsi="宋体" w:eastAsia="宋体" w:cs="宋体"/>
          <w:b w:val="0"/>
          <w:color w:val="auto"/>
          <w:spacing w:val="-5"/>
          <w:kern w:val="0"/>
          <w:sz w:val="24"/>
          <w:szCs w:val="24"/>
          <w:u w:val="none" w:color="auto"/>
          <w:lang w:val="en-US" w:eastAsia="zh-CN" w:bidi="ar-SA"/>
        </w:rPr>
        <w:br w:type="page"/>
      </w:r>
    </w:p>
    <w:p w14:paraId="0C4A146A">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sectPr>
          <w:footerReference r:id="rId4" w:type="default"/>
          <w:pgSz w:w="11906" w:h="16839"/>
          <w:pgMar w:top="1429" w:right="1786" w:bottom="1429" w:left="1786" w:header="0" w:footer="994" w:gutter="0"/>
          <w:pgNumType w:fmt="decimal"/>
          <w:cols w:space="720" w:num="1"/>
        </w:sectPr>
      </w:pPr>
    </w:p>
    <w:p w14:paraId="54A704F6">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（十二）商务要求</w:t>
      </w:r>
    </w:p>
    <w:p w14:paraId="6B493970">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1. 报价：</w:t>
      </w:r>
    </w:p>
    <w:p w14:paraId="4285A0B5">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本次采购以预算单价折扣报价，采购货物的成交数量为预算总金额除以折扣后的单价计算得出（按四舍五入取整数）。投标人的报价应包含但不限于产品制造、包装、仓储、运输、保险、验收、售后服务、抽检费用、随访费、配送费、宣传培训费、各项税费及合同实施过程中不可预见费用等完成本项目所需的一切费用。</w:t>
      </w:r>
    </w:p>
    <w:p w14:paraId="55964903">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2. 交付（实施）的时间（期限）：</w:t>
      </w:r>
    </w:p>
    <w:p w14:paraId="0ED592CC">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 xml:space="preserve"> 合同签订后，接到采购人供货通知后30天内完成第一季度供货；后续各季度供货按采购人规定的时间按时完成。线上配送：签订合同后，30天内完成线上申领系统的开发，40天内开始投入使用并进行线上配送，用户下单后3天内发货，发货后，须在7个自然日配送至用户。</w:t>
      </w:r>
    </w:p>
    <w:p w14:paraId="7EC9D6D6">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3. 交付（实施）的地点（范围）：</w:t>
      </w:r>
    </w:p>
    <w:p w14:paraId="7207D63F">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线下配送：赣州市20个县（市、区）的乡（镇）村级指定地点，中标人负责货物卸载及入库存放；线上配送：直接快递配送至用户（由采购人或各县区依据当地实际情况选择配送方式）。</w:t>
      </w:r>
    </w:p>
    <w:p w14:paraId="097A1DA1">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4. 质量保证期：</w:t>
      </w:r>
    </w:p>
    <w:p w14:paraId="72938F91">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自每批货物生产之日起不少于12个月（技术参数要求有规定的，以其规定为准，投标单位有优于招标文件承诺的以其承诺为准）。线下配送到乡（镇）村级后货物剩余原本质保期不低于9个月，线上直接配送给用户的产品，发货时剩余原本质保期不低于9个月。</w:t>
      </w:r>
    </w:p>
    <w:p w14:paraId="2D7BA39A">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5. 售后服务要求：</w:t>
      </w:r>
    </w:p>
    <w:p w14:paraId="14F27D07">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供货与换货：供货及时，运输损耗承诺无条件更换；包装破损、标签不清、污损等无条件退货；出现感官质量问题经确认可退货或终止合同；不安全食品按国家规定召回。咨询热线：包装上印有营养包咨询热线，提供7×24小时电话咨询服务，解答食用问题。</w:t>
      </w:r>
    </w:p>
    <w:p w14:paraId="06539483">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赣州市所辖20个县（市、区）须配备项目服务人员，负责协助组织培训、宣传、健康教育及问题协调处理。</w:t>
      </w:r>
    </w:p>
    <w:p w14:paraId="1AAABAD8">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6. 付款方式：</w:t>
      </w:r>
    </w:p>
    <w:p w14:paraId="04C31E33">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合同签订后一周内支付中标标的总金额的10%。中标人须在收到预付款前，向采购人提供与预付款等额、有效期至第一批货物验收合格后90日、见索即付的银行保函作为担保，保函与履约保证金分别适用、互不冲抵。每批货物及相关资料配送到指定地点验收合格后原则上15个工作日内支付该批次相应货款的70%，按季度结算。最后一批货物及相关资料配送到指定地点验收合格后付清剩余全部货款(不计算利息)；线上配送的地区以用户签收（或签字）后，按实际签收数量据实结算（按季度支付相应货款的70%），最后一批货物及相关资料配送到指定地点验收合格后付清剩余全部货款(不计算利息)。</w:t>
      </w:r>
    </w:p>
    <w:p w14:paraId="5072DC9D">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7. 履约保证金：</w:t>
      </w:r>
    </w:p>
    <w:p w14:paraId="04644B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u w:val="none"/>
          <w:shd w:val="clear" w:fill="FFFFFF"/>
        </w:rPr>
        <w:t>中标人须在合同签订</w:t>
      </w:r>
      <w:r>
        <w:rPr>
          <w:rFonts w:hint="eastAsia" w:cs="宋体"/>
          <w:b w:val="0"/>
          <w:bCs w:val="0"/>
          <w:i w:val="0"/>
          <w:iCs w:val="0"/>
          <w:caps w:val="0"/>
          <w:color w:val="auto"/>
          <w:spacing w:val="0"/>
          <w:sz w:val="24"/>
          <w:szCs w:val="24"/>
          <w:u w:val="none"/>
          <w:shd w:val="clear" w:fill="FFFFFF"/>
          <w:lang w:eastAsia="zh-CN"/>
        </w:rPr>
        <w:t>前</w:t>
      </w:r>
      <w:r>
        <w:rPr>
          <w:rFonts w:hint="eastAsia" w:ascii="宋体" w:hAnsi="宋体" w:eastAsia="宋体" w:cs="宋体"/>
          <w:b w:val="0"/>
          <w:bCs w:val="0"/>
          <w:i w:val="0"/>
          <w:iCs w:val="0"/>
          <w:caps w:val="0"/>
          <w:color w:val="auto"/>
          <w:spacing w:val="0"/>
          <w:sz w:val="24"/>
          <w:szCs w:val="24"/>
          <w:u w:val="none"/>
          <w:shd w:val="clear" w:fill="FFFFFF"/>
        </w:rPr>
        <w:t>向采购人缴纳合同金额的</w:t>
      </w:r>
      <w:r>
        <w:rPr>
          <w:rFonts w:hint="eastAsia" w:cs="宋体"/>
          <w:b w:val="0"/>
          <w:bCs w:val="0"/>
          <w:i w:val="0"/>
          <w:iCs w:val="0"/>
          <w:caps w:val="0"/>
          <w:color w:val="auto"/>
          <w:spacing w:val="0"/>
          <w:sz w:val="24"/>
          <w:szCs w:val="24"/>
          <w:u w:val="none"/>
          <w:shd w:val="clear" w:fill="FFFFFF"/>
          <w:lang w:val="en-US" w:eastAsia="zh-CN"/>
        </w:rPr>
        <w:t>10</w:t>
      </w:r>
      <w:r>
        <w:rPr>
          <w:rFonts w:hint="eastAsia" w:ascii="宋体" w:hAnsi="宋体" w:eastAsia="宋体" w:cs="宋体"/>
          <w:b w:val="0"/>
          <w:bCs w:val="0"/>
          <w:i w:val="0"/>
          <w:iCs w:val="0"/>
          <w:caps w:val="0"/>
          <w:color w:val="auto"/>
          <w:spacing w:val="0"/>
          <w:sz w:val="24"/>
          <w:szCs w:val="24"/>
          <w:u w:val="none"/>
          <w:shd w:val="clear" w:fill="FFFFFF"/>
        </w:rPr>
        <w:t>%作为履约保证金[履约保证金以银行转账（电汇）、支票、汇票、本票或者</w:t>
      </w:r>
      <w:r>
        <w:rPr>
          <w:rFonts w:hint="eastAsia" w:cs="宋体"/>
          <w:b w:val="0"/>
          <w:bCs w:val="0"/>
          <w:i w:val="0"/>
          <w:iCs w:val="0"/>
          <w:caps w:val="0"/>
          <w:color w:val="auto"/>
          <w:spacing w:val="0"/>
          <w:sz w:val="24"/>
          <w:szCs w:val="24"/>
          <w:u w:val="none"/>
          <w:shd w:val="clear" w:fill="FFFFFF"/>
          <w:lang w:val="en-US" w:eastAsia="zh-CN"/>
        </w:rPr>
        <w:t>银行</w:t>
      </w:r>
      <w:r>
        <w:rPr>
          <w:rFonts w:hint="eastAsia" w:ascii="宋体" w:hAnsi="宋体" w:eastAsia="宋体" w:cs="宋体"/>
          <w:b w:val="0"/>
          <w:bCs w:val="0"/>
          <w:i w:val="0"/>
          <w:iCs w:val="0"/>
          <w:caps w:val="0"/>
          <w:color w:val="auto"/>
          <w:spacing w:val="0"/>
          <w:sz w:val="24"/>
          <w:szCs w:val="24"/>
          <w:u w:val="none"/>
          <w:shd w:val="clear" w:fill="FFFFFF"/>
        </w:rPr>
        <w:t>出具的保函非现金形式提交]。</w:t>
      </w:r>
      <w:r>
        <w:rPr>
          <w:rFonts w:hint="eastAsia" w:ascii="宋体" w:hAnsi="宋体" w:eastAsia="宋体" w:cs="宋体"/>
          <w:b w:val="0"/>
          <w:bCs w:val="0"/>
          <w:i w:val="0"/>
          <w:iCs w:val="0"/>
          <w:caps w:val="0"/>
          <w:color w:val="auto"/>
          <w:spacing w:val="0"/>
          <w:sz w:val="24"/>
          <w:szCs w:val="24"/>
          <w:highlight w:val="none"/>
          <w:u w:val="none"/>
          <w:shd w:val="clear" w:fill="FFFFFF"/>
        </w:rPr>
        <w:t>并对保函的真实性和有效性承担连带保证责任。出具</w:t>
      </w:r>
      <w:r>
        <w:rPr>
          <w:rFonts w:hint="eastAsia" w:cs="宋体"/>
          <w:b w:val="0"/>
          <w:bCs w:val="0"/>
          <w:i w:val="0"/>
          <w:iCs w:val="0"/>
          <w:caps w:val="0"/>
          <w:color w:val="auto"/>
          <w:spacing w:val="0"/>
          <w:sz w:val="24"/>
          <w:szCs w:val="24"/>
          <w:highlight w:val="none"/>
          <w:u w:val="none"/>
          <w:shd w:val="clear" w:fill="FFFFFF"/>
          <w:lang w:val="en-US" w:eastAsia="zh-CN"/>
        </w:rPr>
        <w:t>的银行</w:t>
      </w:r>
      <w:r>
        <w:rPr>
          <w:rFonts w:hint="eastAsia" w:ascii="宋体" w:hAnsi="宋体" w:eastAsia="宋体" w:cs="宋体"/>
          <w:b w:val="0"/>
          <w:bCs w:val="0"/>
          <w:i w:val="0"/>
          <w:iCs w:val="0"/>
          <w:caps w:val="0"/>
          <w:color w:val="auto"/>
          <w:spacing w:val="0"/>
          <w:sz w:val="24"/>
          <w:szCs w:val="24"/>
          <w:highlight w:val="none"/>
          <w:u w:val="none"/>
          <w:shd w:val="clear" w:fill="FFFFFF"/>
        </w:rPr>
        <w:t>保函</w:t>
      </w:r>
      <w:r>
        <w:rPr>
          <w:rFonts w:hint="eastAsia" w:cs="宋体"/>
          <w:b w:val="0"/>
          <w:bCs w:val="0"/>
          <w:i w:val="0"/>
          <w:iCs w:val="0"/>
          <w:caps w:val="0"/>
          <w:color w:val="auto"/>
          <w:spacing w:val="0"/>
          <w:sz w:val="24"/>
          <w:szCs w:val="24"/>
          <w:highlight w:val="none"/>
          <w:u w:val="none"/>
          <w:shd w:val="clear" w:fill="FFFFFF"/>
          <w:lang w:val="en-US" w:eastAsia="zh-CN"/>
        </w:rPr>
        <w:t>须</w:t>
      </w:r>
      <w:r>
        <w:rPr>
          <w:rFonts w:hint="eastAsia" w:ascii="宋体" w:hAnsi="宋体" w:eastAsia="宋体" w:cs="宋体"/>
          <w:b w:val="0"/>
          <w:bCs w:val="0"/>
          <w:i w:val="0"/>
          <w:iCs w:val="0"/>
          <w:caps w:val="0"/>
          <w:color w:val="auto"/>
          <w:spacing w:val="0"/>
          <w:sz w:val="24"/>
          <w:szCs w:val="24"/>
          <w:highlight w:val="none"/>
          <w:u w:val="none"/>
          <w:shd w:val="clear" w:fill="FFFFFF"/>
        </w:rPr>
        <w:t>满足赣州市相关政策文件（赣市发改政策字[2020]676号）的要求。履约保证金在采购项目履约完成并验收合格后</w:t>
      </w:r>
      <w:r>
        <w:rPr>
          <w:rFonts w:hint="eastAsia" w:ascii="宋体" w:hAnsi="宋体" w:eastAsia="宋体" w:cs="宋体"/>
          <w:b w:val="0"/>
          <w:bCs w:val="0"/>
          <w:i w:val="0"/>
          <w:iCs w:val="0"/>
          <w:caps w:val="0"/>
          <w:color w:val="auto"/>
          <w:spacing w:val="0"/>
          <w:sz w:val="24"/>
          <w:szCs w:val="24"/>
          <w:highlight w:val="none"/>
          <w:u w:val="none"/>
          <w:shd w:val="clear" w:fill="FFFFFF"/>
          <w:lang w:val="en-US" w:eastAsia="zh-CN"/>
        </w:rPr>
        <w:t>无违约行为</w:t>
      </w:r>
      <w:r>
        <w:rPr>
          <w:rFonts w:hint="eastAsia" w:ascii="宋体" w:hAnsi="宋体" w:eastAsia="宋体" w:cs="宋体"/>
          <w:b w:val="0"/>
          <w:bCs w:val="0"/>
          <w:i w:val="0"/>
          <w:iCs w:val="0"/>
          <w:caps w:val="0"/>
          <w:color w:val="auto"/>
          <w:spacing w:val="0"/>
          <w:sz w:val="24"/>
          <w:szCs w:val="24"/>
          <w:highlight w:val="none"/>
          <w:u w:val="none"/>
          <w:shd w:val="clear" w:fill="FFFFFF"/>
        </w:rPr>
        <w:t>15个工作日一次性无息退还或解除履约保函。</w:t>
      </w:r>
    </w:p>
    <w:p w14:paraId="32E5934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履约保证金用于担保中标人按合同约定履行其全部义务。合同履行期间，如中标人发生下列违约情形之一，采购人有权从履约保证金中扣除相应金额，履约保证金不足以弥补采购人损失的，采购人有权继续追偿：</w:t>
      </w:r>
    </w:p>
    <w:p w14:paraId="58A627C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（1）逾期供货</w:t>
      </w:r>
      <w:r>
        <w:rPr>
          <w:rFonts w:hint="eastAsia" w:cs="宋体"/>
          <w:b w:val="0"/>
          <w:bCs w:val="0"/>
          <w:i w:val="0"/>
          <w:iCs w:val="0"/>
          <w:caps w:val="0"/>
          <w:color w:val="auto"/>
          <w:spacing w:val="0"/>
          <w:sz w:val="24"/>
          <w:szCs w:val="24"/>
          <w:highlight w:val="none"/>
          <w:u w:val="none"/>
          <w:shd w:val="clear" w:fill="FFFFFF"/>
          <w:lang w:eastAsia="zh-CN"/>
        </w:rPr>
        <w:t>或提供服务</w:t>
      </w:r>
      <w:r>
        <w:rPr>
          <w:rFonts w:hint="eastAsia" w:ascii="宋体" w:hAnsi="宋体" w:eastAsia="宋体" w:cs="宋体"/>
          <w:b w:val="0"/>
          <w:bCs w:val="0"/>
          <w:i w:val="0"/>
          <w:iCs w:val="0"/>
          <w:caps w:val="0"/>
          <w:color w:val="auto"/>
          <w:spacing w:val="0"/>
          <w:sz w:val="24"/>
          <w:szCs w:val="24"/>
          <w:highlight w:val="none"/>
          <w:u w:val="none"/>
          <w:shd w:val="clear" w:fill="FFFFFF"/>
        </w:rPr>
        <w:t>，每逾期 1 天，扣除履约保证金总额的0.1%；逾期累计超过30 天，</w:t>
      </w:r>
      <w:r>
        <w:rPr>
          <w:rFonts w:hint="eastAsia" w:cs="宋体"/>
          <w:b w:val="0"/>
          <w:bCs w:val="0"/>
          <w:i w:val="0"/>
          <w:iCs w:val="0"/>
          <w:caps w:val="0"/>
          <w:color w:val="auto"/>
          <w:spacing w:val="0"/>
          <w:sz w:val="24"/>
          <w:szCs w:val="24"/>
          <w:highlight w:val="none"/>
          <w:u w:val="none"/>
          <w:shd w:val="clear" w:fill="FFFFFF"/>
          <w:lang w:eastAsia="zh-CN"/>
        </w:rPr>
        <w:t>采购人</w:t>
      </w:r>
      <w:r>
        <w:rPr>
          <w:rFonts w:hint="eastAsia" w:ascii="宋体" w:hAnsi="宋体" w:eastAsia="宋体" w:cs="宋体"/>
          <w:b w:val="0"/>
          <w:bCs w:val="0"/>
          <w:i w:val="0"/>
          <w:iCs w:val="0"/>
          <w:caps w:val="0"/>
          <w:color w:val="auto"/>
          <w:spacing w:val="0"/>
          <w:sz w:val="24"/>
          <w:szCs w:val="24"/>
          <w:highlight w:val="none"/>
          <w:u w:val="none"/>
          <w:shd w:val="clear" w:fill="FFFFFF"/>
        </w:rPr>
        <w:t>有权全额扣除履约保证金并解除合同。</w:t>
      </w:r>
    </w:p>
    <w:p w14:paraId="6FA19A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（2）交付产品存在一般质量问题，经</w:t>
      </w:r>
      <w:r>
        <w:rPr>
          <w:rFonts w:hint="eastAsia" w:cs="宋体"/>
          <w:b w:val="0"/>
          <w:bCs w:val="0"/>
          <w:i w:val="0"/>
          <w:iCs w:val="0"/>
          <w:caps w:val="0"/>
          <w:color w:val="auto"/>
          <w:spacing w:val="0"/>
          <w:sz w:val="24"/>
          <w:szCs w:val="24"/>
          <w:highlight w:val="none"/>
          <w:u w:val="none"/>
          <w:shd w:val="clear" w:fill="FFFFFF"/>
          <w:lang w:eastAsia="zh-CN"/>
        </w:rPr>
        <w:t>采购人</w:t>
      </w:r>
      <w:r>
        <w:rPr>
          <w:rFonts w:hint="eastAsia" w:ascii="宋体" w:hAnsi="宋体" w:eastAsia="宋体" w:cs="宋体"/>
          <w:b w:val="0"/>
          <w:bCs w:val="0"/>
          <w:i w:val="0"/>
          <w:iCs w:val="0"/>
          <w:caps w:val="0"/>
          <w:color w:val="auto"/>
          <w:spacing w:val="0"/>
          <w:sz w:val="24"/>
          <w:szCs w:val="24"/>
          <w:highlight w:val="none"/>
          <w:u w:val="none"/>
          <w:shd w:val="clear" w:fill="FFFFFF"/>
        </w:rPr>
        <w:t>书面通知 7 日内未整改，每次扣除履约保证金的5%。</w:t>
      </w:r>
    </w:p>
    <w:p w14:paraId="60A6CF9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（3）未按约定提供培训、宣传、配送、系统支持等服务，经</w:t>
      </w:r>
      <w:r>
        <w:rPr>
          <w:rFonts w:hint="eastAsia" w:cs="宋体"/>
          <w:b w:val="0"/>
          <w:bCs w:val="0"/>
          <w:i w:val="0"/>
          <w:iCs w:val="0"/>
          <w:caps w:val="0"/>
          <w:color w:val="auto"/>
          <w:spacing w:val="0"/>
          <w:sz w:val="24"/>
          <w:szCs w:val="24"/>
          <w:highlight w:val="none"/>
          <w:u w:val="none"/>
          <w:shd w:val="clear" w:fill="FFFFFF"/>
          <w:lang w:eastAsia="zh-CN"/>
        </w:rPr>
        <w:t>采购人</w:t>
      </w:r>
      <w:r>
        <w:rPr>
          <w:rFonts w:hint="eastAsia" w:ascii="宋体" w:hAnsi="宋体" w:eastAsia="宋体" w:cs="宋体"/>
          <w:b w:val="0"/>
          <w:bCs w:val="0"/>
          <w:i w:val="0"/>
          <w:iCs w:val="0"/>
          <w:caps w:val="0"/>
          <w:color w:val="auto"/>
          <w:spacing w:val="0"/>
          <w:sz w:val="24"/>
          <w:szCs w:val="24"/>
          <w:highlight w:val="none"/>
          <w:u w:val="none"/>
          <w:shd w:val="clear" w:fill="FFFFFF"/>
        </w:rPr>
        <w:t>书面通知 7 日内未整改，每次扣除履约保证金的5%；累计3次及以上，</w:t>
      </w:r>
      <w:r>
        <w:rPr>
          <w:rFonts w:hint="eastAsia" w:cs="宋体"/>
          <w:b w:val="0"/>
          <w:bCs w:val="0"/>
          <w:i w:val="0"/>
          <w:iCs w:val="0"/>
          <w:caps w:val="0"/>
          <w:color w:val="auto"/>
          <w:spacing w:val="0"/>
          <w:sz w:val="24"/>
          <w:szCs w:val="24"/>
          <w:highlight w:val="none"/>
          <w:u w:val="none"/>
          <w:shd w:val="clear" w:fill="FFFFFF"/>
          <w:lang w:eastAsia="zh-CN"/>
        </w:rPr>
        <w:t>采购人</w:t>
      </w:r>
      <w:r>
        <w:rPr>
          <w:rFonts w:hint="eastAsia" w:ascii="宋体" w:hAnsi="宋体" w:eastAsia="宋体" w:cs="宋体"/>
          <w:b w:val="0"/>
          <w:bCs w:val="0"/>
          <w:i w:val="0"/>
          <w:iCs w:val="0"/>
          <w:caps w:val="0"/>
          <w:color w:val="auto"/>
          <w:spacing w:val="0"/>
          <w:sz w:val="24"/>
          <w:szCs w:val="24"/>
          <w:highlight w:val="none"/>
          <w:u w:val="none"/>
          <w:shd w:val="clear" w:fill="FFFFFF"/>
        </w:rPr>
        <w:t>有权全额扣除履约保证金并解除合同。</w:t>
      </w:r>
    </w:p>
    <w:p w14:paraId="00FB07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（4）擅自分包、转包合同义务，甲方有权全额扣除履约保证金并解除合同。</w:t>
      </w:r>
    </w:p>
    <w:p w14:paraId="1975CE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（5）因乙方原因导致项目无法继续履行、被主管部门通报批评或造成不良社会影响，甲方有权全额扣除履约保证金。</w:t>
      </w:r>
    </w:p>
    <w:p w14:paraId="64A465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（6）乙方产品出现严重食品安全问题或食品安全事故，构成根本违约，甲方有权全额扣除履约保证金。</w:t>
      </w:r>
    </w:p>
    <w:p w14:paraId="459BA01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合同履行完毕且乙方无任何违约行为，甲方在30 日内无息全额退还履约保证金。</w:t>
      </w:r>
    </w:p>
    <w:p w14:paraId="56B273B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60" w:lineRule="exact"/>
        <w:ind w:right="0" w:firstLine="480" w:firstLineChars="200"/>
        <w:jc w:val="left"/>
        <w:textAlignment w:val="baseline"/>
        <w:rPr>
          <w:rFonts w:hint="eastAsia" w:ascii="宋体" w:hAnsi="宋体" w:eastAsia="宋体" w:cs="宋体"/>
          <w:b w:val="0"/>
          <w:bCs w:val="0"/>
          <w:i w:val="0"/>
          <w:iCs w:val="0"/>
          <w:caps w:val="0"/>
          <w:color w:val="auto"/>
          <w:spacing w:val="0"/>
          <w:sz w:val="24"/>
          <w:szCs w:val="24"/>
          <w:highlight w:val="yellow"/>
          <w:u w:val="none"/>
          <w:shd w:val="clear" w:fill="FFFFFF"/>
        </w:rPr>
      </w:pPr>
      <w:r>
        <w:rPr>
          <w:rFonts w:hint="eastAsia" w:ascii="宋体" w:hAnsi="宋体" w:eastAsia="宋体" w:cs="宋体"/>
          <w:b w:val="0"/>
          <w:bCs w:val="0"/>
          <w:i w:val="0"/>
          <w:iCs w:val="0"/>
          <w:caps w:val="0"/>
          <w:color w:val="auto"/>
          <w:spacing w:val="0"/>
          <w:sz w:val="24"/>
          <w:szCs w:val="24"/>
          <w:highlight w:val="none"/>
          <w:u w:val="none"/>
          <w:shd w:val="clear" w:fill="FFFFFF"/>
        </w:rPr>
        <w:t>履约保证金被部分扣除后，乙方应在7 日内补足至合同总金额 10%，否则甲方有权暂停付款、拒收货物或解除合同。</w:t>
      </w:r>
    </w:p>
    <w:p w14:paraId="7CA67013">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8. 验收：</w:t>
      </w:r>
    </w:p>
    <w:p w14:paraId="0808CF55">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经采购人同意后，采购人与中标人双方共同按招标文件、投标文件和国行业相关标准进行验收。中标人应负责在项目验收时将全部有关技术文件、资料、验收报告等文档汇集成册交付采购人或用户。本项目由采购人组织验收，验收费用由中标人承担，验收报告由采购人出具。</w:t>
      </w:r>
    </w:p>
    <w:p w14:paraId="467850B2">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9. 安全保密要求：</w:t>
      </w:r>
    </w:p>
    <w:p w14:paraId="1199A8D4">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rFonts w:hint="eastAsia" w:ascii="宋体" w:hAnsi="宋体" w:eastAsia="宋体" w:cs="宋体"/>
          <w:b w:val="0"/>
          <w:bCs w:val="0"/>
          <w:color w:val="auto"/>
          <w:spacing w:val="0"/>
          <w:kern w:val="0"/>
          <w:sz w:val="24"/>
          <w:szCs w:val="24"/>
          <w:highlight w:val="none"/>
          <w:u w:val="none" w:color="auto"/>
          <w:lang w:val="en-US" w:eastAsia="zh-CN" w:bidi="ar-SA"/>
        </w:rPr>
      </w:pPr>
      <w:r>
        <w:rPr>
          <w:rFonts w:hint="eastAsia" w:ascii="宋体" w:hAnsi="宋体" w:eastAsia="宋体" w:cs="宋体"/>
          <w:b w:val="0"/>
          <w:bCs w:val="0"/>
          <w:color w:val="auto"/>
          <w:spacing w:val="0"/>
          <w:kern w:val="0"/>
          <w:sz w:val="24"/>
          <w:szCs w:val="24"/>
          <w:highlight w:val="none"/>
          <w:u w:val="none" w:color="auto"/>
          <w:lang w:val="en-US" w:eastAsia="zh-CN" w:bidi="ar-SA"/>
        </w:rPr>
        <w:t>中标人要对项目实施过程中的信息进行有效的保密措施处理，特别是营养包用户的个人公民信息保密处理，如出现公民信息泄露导致出现项目或社会不良影响，将追究法律责任。</w:t>
      </w:r>
    </w:p>
    <w:p w14:paraId="16AE37BC">
      <w:pPr>
        <w:keepNext w:val="0"/>
        <w:keepLines w:val="0"/>
        <w:pageBreakBefore w:val="0"/>
        <w:widowControl/>
        <w:kinsoku/>
        <w:wordWrap/>
        <w:overflowPunct/>
        <w:topLinePunct w:val="0"/>
        <w:autoSpaceDE/>
        <w:autoSpaceDN/>
        <w:bidi w:val="0"/>
        <w:adjustRightInd/>
        <w:snapToGrid/>
        <w:spacing w:line="540" w:lineRule="exact"/>
        <w:ind w:left="0" w:right="0" w:firstLine="482" w:firstLineChars="200"/>
        <w:jc w:val="left"/>
        <w:textAlignment w:val="auto"/>
        <w:rPr>
          <w:rFonts w:hint="eastAsia" w:ascii="宋体" w:hAnsi="宋体" w:eastAsia="宋体" w:cs="宋体"/>
          <w:b/>
          <w:bCs/>
          <w:color w:val="auto"/>
          <w:spacing w:val="0"/>
          <w:kern w:val="0"/>
          <w:sz w:val="24"/>
          <w:szCs w:val="24"/>
          <w:highlight w:val="none"/>
          <w:u w:val="none" w:color="auto"/>
          <w:lang w:val="en-US" w:eastAsia="zh-CN" w:bidi="ar-SA"/>
        </w:rPr>
      </w:pPr>
      <w:r>
        <w:rPr>
          <w:rFonts w:hint="eastAsia" w:ascii="宋体" w:hAnsi="宋体" w:eastAsia="宋体" w:cs="宋体"/>
          <w:b/>
          <w:bCs/>
          <w:color w:val="auto"/>
          <w:spacing w:val="0"/>
          <w:kern w:val="0"/>
          <w:sz w:val="24"/>
          <w:szCs w:val="24"/>
          <w:highlight w:val="none"/>
          <w:u w:val="none" w:color="auto"/>
          <w:lang w:val="en-US" w:eastAsia="zh-CN" w:bidi="ar-SA"/>
        </w:rPr>
        <w:t>10. 知识产权要求：</w:t>
      </w:r>
    </w:p>
    <w:p w14:paraId="6271B4FD">
      <w:pPr>
        <w:keepNext w:val="0"/>
        <w:keepLines w:val="0"/>
        <w:pageBreakBefore w:val="0"/>
        <w:widowControl/>
        <w:kinsoku/>
        <w:wordWrap/>
        <w:overflowPunct/>
        <w:topLinePunct w:val="0"/>
        <w:autoSpaceDE/>
        <w:autoSpaceDN/>
        <w:bidi w:val="0"/>
        <w:adjustRightInd/>
        <w:snapToGrid/>
        <w:spacing w:line="540" w:lineRule="exact"/>
        <w:ind w:left="0" w:right="0" w:firstLine="480" w:firstLineChars="200"/>
        <w:jc w:val="left"/>
        <w:textAlignment w:val="auto"/>
        <w:rPr>
          <w:color w:val="auto"/>
          <w:spacing w:val="0"/>
          <w:w w:val="100"/>
          <w:position w:val="0"/>
        </w:rPr>
      </w:pPr>
      <w:r>
        <w:rPr>
          <w:rFonts w:hint="eastAsia" w:ascii="宋体" w:hAnsi="宋体" w:eastAsia="宋体" w:cs="宋体"/>
          <w:b w:val="0"/>
          <w:bCs w:val="0"/>
          <w:color w:val="auto"/>
          <w:spacing w:val="0"/>
          <w:kern w:val="0"/>
          <w:sz w:val="24"/>
          <w:szCs w:val="24"/>
          <w:highlight w:val="none"/>
          <w:u w:val="none" w:color="auto"/>
          <w:lang w:val="en-US" w:eastAsia="zh-CN" w:bidi="ar-SA"/>
        </w:rPr>
        <w:t>所投产品必须完全符合招标文件要求，否则视为无效投标。所投产品若发生版权或专利权纠纷，由中标人承担一切责任。</w:t>
      </w:r>
    </w:p>
    <w:p w14:paraId="6F22A791">
      <w:pPr>
        <w:pageBreakBefore w:val="0"/>
        <w:widowControl w:val="0"/>
        <w:wordWrap/>
        <w:overflowPunct/>
        <w:topLinePunct w:val="0"/>
        <w:bidi w:val="0"/>
        <w:spacing w:line="242" w:lineRule="auto"/>
        <w:rPr>
          <w:color w:val="auto"/>
          <w:spacing w:val="0"/>
          <w:w w:val="100"/>
          <w:position w:val="0"/>
        </w:rPr>
      </w:pPr>
    </w:p>
    <w:p w14:paraId="600CA3BB">
      <w:pP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bookmarkStart w:id="4" w:name="_GoBack"/>
      <w:bookmarkEnd w:id="4"/>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30DB5">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99EA6A">
                          <w:pPr>
                            <w:pStyle w:val="3"/>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D99EA6A">
                    <w:pPr>
                      <w:pStyle w:val="3"/>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3BAFB">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3B980B">
                          <w:pPr>
                            <w:pStyle w:val="3"/>
                          </w:pPr>
                          <w:r>
                            <w:fldChar w:fldCharType="begin"/>
                          </w:r>
                          <w:r>
                            <w:instrText xml:space="preserve"> PAGE  \* MERGEFORMAT </w:instrText>
                          </w:r>
                          <w:r>
                            <w:fldChar w:fldCharType="separate"/>
                          </w:r>
                          <w:r>
                            <w:t>12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213B980B">
                    <w:pPr>
                      <w:pStyle w:val="3"/>
                    </w:pPr>
                    <w:r>
                      <w:fldChar w:fldCharType="begin"/>
                    </w:r>
                    <w:r>
                      <w:instrText xml:space="preserve"> PAGE  \* MERGEFORMAT </w:instrText>
                    </w:r>
                    <w:r>
                      <w:fldChar w:fldCharType="separate"/>
                    </w:r>
                    <w:r>
                      <w:t>12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7BB3B83"/>
    <w:rsid w:val="5BDD3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7">
    <w:name w:val="样式1"/>
    <w:basedOn w:val="1"/>
    <w:next w:val="1"/>
    <w:qFormat/>
    <w:uiPriority w:val="0"/>
    <w:pPr>
      <w:keepNext/>
      <w:keepLines/>
      <w:spacing w:before="260" w:beforeLines="0" w:after="260" w:afterLines="0" w:line="413" w:lineRule="auto"/>
      <w:jc w:val="center"/>
      <w:outlineLvl w:val="2"/>
    </w:pPr>
    <w:rPr>
      <w:rFonts w:hint="default" w:eastAsia="仿宋" w:asciiTheme="minorAscii" w:hAnsiTheme="minorAscii"/>
      <w:b/>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2023-09-04T02:55:00Z</dcterms:created>
  <dc:creator>Administrator</dc:creator>
  <cp:lastModifiedBy>Administrator</cp:lastModifiedBy>
  <dcterms:modified xsi:type="dcterms:W3CDTF">2026-05-26T09:37:43Z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DB5F1A112D61411DB85BCC5201FC7BAA_12</vt:lpwstr>
  </property>
  <property fmtid="{D5CDD505-2E9C-101B-9397-08002B2CF9AE}" pid="4" name="KSOTemplateDocerSaveRecord">
    <vt:lpwstr>eyJoZGlkIjoiMmUyZWUxNmJmOTk4ZTIwMDVlMDQyMTA0Mjc2MTZjMWYiLCJ1c2VySWQiOiIxNDU4MzAxMzMzIn0=</vt:lpwstr>
  </property>
</Properties>
</file>