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6949F1">
      <w:pPr>
        <w:pageBreakBefore w:val="0"/>
        <w:widowControl w:val="0"/>
        <w:wordWrap/>
        <w:overflowPunct/>
        <w:topLinePunct w:val="0"/>
        <w:bidi w:val="0"/>
        <w:spacing w:before="78" w:line="220" w:lineRule="auto"/>
        <w:outlineLvl w:val="1"/>
        <w:rPr>
          <w:rFonts w:hint="eastAsia" w:ascii="宋体" w:hAnsi="宋体" w:eastAsia="宋体" w:cs="宋体"/>
          <w:color w:val="auto"/>
          <w:spacing w:val="0"/>
          <w:position w:val="0"/>
          <w:sz w:val="24"/>
          <w:szCs w:val="24"/>
        </w:rPr>
      </w:pPr>
      <w:bookmarkStart w:id="0" w:name="_Toc16449"/>
      <w:r>
        <w:rPr>
          <w:rFonts w:hint="eastAsia"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bookmarkEnd w:id="0"/>
    </w:p>
    <w:p w14:paraId="5F739219">
      <w:pPr>
        <w:pageBreakBefore w:val="0"/>
        <w:widowControl w:val="0"/>
        <w:wordWrap/>
        <w:overflowPunct/>
        <w:topLinePunct w:val="0"/>
        <w:bidi w:val="0"/>
        <w:spacing w:before="64"/>
        <w:rPr>
          <w:rFonts w:hint="eastAsia" w:ascii="宋体" w:hAnsi="宋体" w:eastAsia="宋体" w:cs="宋体"/>
          <w:color w:val="auto"/>
          <w:spacing w:val="0"/>
          <w:position w:val="0"/>
          <w:sz w:val="24"/>
          <w:szCs w:val="24"/>
        </w:rPr>
      </w:pPr>
    </w:p>
    <w:tbl>
      <w:tblPr>
        <w:tblStyle w:val="6"/>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287145"/>
                  <wp:effectExtent l="0" t="0" r="4445" b="825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287145"/>
                          </a:xfrm>
                          <a:prstGeom prst="rect">
                            <a:avLst/>
                          </a:prstGeom>
                        </pic:spPr>
                      </pic:pic>
                    </a:graphicData>
                  </a:graphic>
                </wp:anchor>
              </w:drawing>
            </w:r>
            <w:r>
              <w:rPr>
                <w:rFonts w:hint="eastAsia" w:ascii="宋体" w:hAnsi="宋体" w:eastAsia="宋体" w:cs="宋体"/>
                <w:color w:val="auto"/>
                <w:spacing w:val="0"/>
                <w:position w:val="0"/>
                <w:sz w:val="24"/>
                <w:szCs w:val="24"/>
              </w:rPr>
              <w:t>名</w:t>
            </w:r>
          </w:p>
          <w:p w14:paraId="7F4DE6C5">
            <w:pPr>
              <w:pStyle w:val="7"/>
              <w:pageBreakBefore w:val="0"/>
              <w:widowControl w:val="0"/>
              <w:wordWrap/>
              <w:overflowPunct/>
              <w:topLinePunct w:val="0"/>
              <w:bidi w:val="0"/>
              <w:spacing w:line="245" w:lineRule="auto"/>
              <w:rPr>
                <w:rFonts w:hint="eastAsia" w:ascii="宋体" w:hAnsi="宋体" w:eastAsia="宋体" w:cs="宋体"/>
                <w:color w:val="auto"/>
                <w:spacing w:val="0"/>
                <w:position w:val="0"/>
                <w:sz w:val="24"/>
                <w:szCs w:val="24"/>
              </w:rPr>
            </w:pPr>
          </w:p>
          <w:p w14:paraId="48CD3627">
            <w:pPr>
              <w:pStyle w:val="7"/>
              <w:pageBreakBefore w:val="0"/>
              <w:widowControl w:val="0"/>
              <w:wordWrap/>
              <w:overflowPunct/>
              <w:topLinePunct w:val="0"/>
              <w:bidi w:val="0"/>
              <w:spacing w:line="246" w:lineRule="auto"/>
              <w:rPr>
                <w:rFonts w:hint="eastAsia" w:ascii="宋体" w:hAnsi="宋体" w:eastAsia="宋体" w:cs="宋体"/>
                <w:color w:val="auto"/>
                <w:spacing w:val="0"/>
                <w:position w:val="0"/>
                <w:sz w:val="24"/>
                <w:szCs w:val="24"/>
              </w:rPr>
            </w:pPr>
          </w:p>
          <w:p w14:paraId="0B8A177C">
            <w:pPr>
              <w:pageBreakBefore w:val="0"/>
              <w:widowControl w:val="0"/>
              <w:wordWrap/>
              <w:overflowPunct/>
              <w:topLinePunct w:val="0"/>
              <w:bidi w:val="0"/>
              <w:spacing w:before="78" w:line="219" w:lineRule="auto"/>
              <w:ind w:left="48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内</w:t>
            </w:r>
          </w:p>
          <w:p w14:paraId="28E8E994">
            <w:pPr>
              <w:pStyle w:val="7"/>
              <w:pageBreakBefore w:val="0"/>
              <w:widowControl w:val="0"/>
              <w:wordWrap/>
              <w:overflowPunct/>
              <w:topLinePunct w:val="0"/>
              <w:bidi w:val="0"/>
              <w:spacing w:line="338" w:lineRule="auto"/>
              <w:rPr>
                <w:rFonts w:hint="eastAsia" w:ascii="宋体" w:hAnsi="宋体" w:eastAsia="宋体" w:cs="宋体"/>
                <w:color w:val="auto"/>
                <w:spacing w:val="0"/>
                <w:position w:val="0"/>
                <w:sz w:val="24"/>
                <w:szCs w:val="24"/>
              </w:rPr>
            </w:pPr>
          </w:p>
          <w:p w14:paraId="1E37CBA5">
            <w:pPr>
              <w:pageBreakBefore w:val="0"/>
              <w:widowControl w:val="0"/>
              <w:wordWrap/>
              <w:overflowPunct/>
              <w:topLinePunct w:val="0"/>
              <w:bidi w:val="0"/>
              <w:spacing w:before="78" w:line="220" w:lineRule="auto"/>
              <w:ind w:left="131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容</w:t>
            </w:r>
          </w:p>
        </w:tc>
        <w:tc>
          <w:tcPr>
            <w:tcW w:w="817" w:type="dxa"/>
            <w:tcBorders>
              <w:left w:val="nil"/>
            </w:tcBorders>
          </w:tcPr>
          <w:p w14:paraId="32FF109B">
            <w:pPr>
              <w:pStyle w:val="7"/>
              <w:pageBreakBefore w:val="0"/>
              <w:widowControl w:val="0"/>
              <w:wordWrap/>
              <w:overflowPunct/>
              <w:topLinePunct w:val="0"/>
              <w:bidi w:val="0"/>
              <w:spacing w:line="263" w:lineRule="auto"/>
              <w:rPr>
                <w:rFonts w:hint="eastAsia" w:ascii="宋体" w:hAnsi="宋体" w:eastAsia="宋体" w:cs="宋体"/>
                <w:color w:val="auto"/>
                <w:spacing w:val="0"/>
                <w:position w:val="0"/>
                <w:sz w:val="24"/>
                <w:szCs w:val="24"/>
              </w:rPr>
            </w:pPr>
          </w:p>
          <w:p w14:paraId="05E0F17E">
            <w:pPr>
              <w:pStyle w:val="7"/>
              <w:pageBreakBefore w:val="0"/>
              <w:widowControl w:val="0"/>
              <w:wordWrap/>
              <w:overflowPunct/>
              <w:topLinePunct w:val="0"/>
              <w:bidi w:val="0"/>
              <w:spacing w:line="263" w:lineRule="auto"/>
              <w:rPr>
                <w:rFonts w:hint="eastAsia" w:ascii="宋体" w:hAnsi="宋体" w:eastAsia="宋体" w:cs="宋体"/>
                <w:color w:val="auto"/>
                <w:spacing w:val="0"/>
                <w:position w:val="0"/>
                <w:sz w:val="24"/>
                <w:szCs w:val="24"/>
              </w:rPr>
            </w:pPr>
          </w:p>
          <w:p w14:paraId="309D1F5B">
            <w:pPr>
              <w:pStyle w:val="7"/>
              <w:pageBreakBefore w:val="0"/>
              <w:widowControl w:val="0"/>
              <w:wordWrap/>
              <w:overflowPunct/>
              <w:topLinePunct w:val="0"/>
              <w:bidi w:val="0"/>
              <w:spacing w:line="264" w:lineRule="auto"/>
              <w:rPr>
                <w:rFonts w:hint="eastAsia" w:ascii="宋体" w:hAnsi="宋体" w:eastAsia="宋体" w:cs="宋体"/>
                <w:color w:val="auto"/>
                <w:spacing w:val="0"/>
                <w:position w:val="0"/>
                <w:sz w:val="24"/>
                <w:szCs w:val="24"/>
              </w:rPr>
            </w:pPr>
          </w:p>
          <w:p w14:paraId="1E3BFF19">
            <w:pPr>
              <w:pageBreakBefore w:val="0"/>
              <w:widowControl w:val="0"/>
              <w:wordWrap/>
              <w:overflowPunct/>
              <w:topLinePunct w:val="0"/>
              <w:bidi w:val="0"/>
              <w:spacing w:before="78" w:line="221" w:lineRule="auto"/>
              <w:ind w:left="192"/>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称</w:t>
            </w:r>
          </w:p>
        </w:tc>
        <w:tc>
          <w:tcPr>
            <w:tcW w:w="6150" w:type="dxa"/>
          </w:tcPr>
          <w:p w14:paraId="5B55FAC7">
            <w:pPr>
              <w:pageBreakBefore w:val="0"/>
              <w:widowControl w:val="0"/>
              <w:wordWrap/>
              <w:overflowPunct/>
              <w:topLinePunct w:val="0"/>
              <w:bidi w:val="0"/>
              <w:spacing w:before="256" w:line="221" w:lineRule="auto"/>
              <w:ind w:left="1189"/>
              <w:jc w:val="center"/>
              <w:rPr>
                <w:rFonts w:hint="eastAsia" w:ascii="宋体" w:hAnsi="宋体" w:eastAsia="宋体" w:cs="宋体"/>
                <w:color w:val="auto"/>
                <w:spacing w:val="0"/>
                <w:position w:val="0"/>
                <w:sz w:val="24"/>
                <w:szCs w:val="24"/>
                <w:lang w:eastAsia="zh-CN"/>
              </w:rPr>
            </w:pPr>
          </w:p>
          <w:p w14:paraId="22450751">
            <w:pPr>
              <w:pageBreakBefore w:val="0"/>
              <w:widowControl w:val="0"/>
              <w:wordWrap/>
              <w:overflowPunct/>
              <w:topLinePunct w:val="0"/>
              <w:bidi w:val="0"/>
              <w:spacing w:before="256" w:line="221" w:lineRule="auto"/>
              <w:jc w:val="center"/>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井冈山风景名胜区责任险采购项目</w:t>
            </w:r>
          </w:p>
          <w:p w14:paraId="24455BB5">
            <w:pPr>
              <w:pageBreakBefore w:val="0"/>
              <w:widowControl w:val="0"/>
              <w:wordWrap/>
              <w:overflowPunct/>
              <w:topLinePunct w:val="0"/>
              <w:bidi w:val="0"/>
              <w:spacing w:before="256" w:line="221" w:lineRule="auto"/>
              <w:ind w:left="1189"/>
              <w:jc w:val="center"/>
              <w:rPr>
                <w:rFonts w:hint="eastAsia" w:ascii="宋体" w:hAnsi="宋体" w:eastAsia="宋体" w:cs="宋体"/>
                <w:color w:val="auto"/>
                <w:spacing w:val="0"/>
                <w:position w:val="0"/>
                <w:sz w:val="24"/>
                <w:szCs w:val="24"/>
              </w:rPr>
            </w:pP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数量</w:t>
            </w:r>
          </w:p>
        </w:tc>
        <w:tc>
          <w:tcPr>
            <w:tcW w:w="6150" w:type="dxa"/>
          </w:tcPr>
          <w:p w14:paraId="2F349A5E">
            <w:pPr>
              <w:pageBreakBefore w:val="0"/>
              <w:widowControl w:val="0"/>
              <w:wordWrap/>
              <w:overflowPunct/>
              <w:topLinePunct w:val="0"/>
              <w:bidi w:val="0"/>
              <w:spacing w:before="256" w:line="221"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865" w:type="dxa"/>
            <w:gridSpan w:val="2"/>
          </w:tcPr>
          <w:p w14:paraId="4F1711F5">
            <w:pPr>
              <w:pageBreakBefore w:val="0"/>
              <w:widowControl w:val="0"/>
              <w:wordWrap/>
              <w:overflowPunct/>
              <w:topLinePunct w:val="0"/>
              <w:bidi w:val="0"/>
              <w:spacing w:before="253" w:line="219" w:lineRule="auto"/>
              <w:ind w:left="107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hint="eastAsia" w:ascii="宋体" w:hAnsi="宋体" w:eastAsia="宋体" w:cs="宋体"/>
                <w:color w:val="auto"/>
                <w:spacing w:val="0"/>
                <w:position w:val="0"/>
                <w:sz w:val="24"/>
                <w:szCs w:val="24"/>
              </w:rPr>
              <w:t>期</w:t>
            </w:r>
          </w:p>
        </w:tc>
        <w:tc>
          <w:tcPr>
            <w:tcW w:w="6150" w:type="dxa"/>
          </w:tcPr>
          <w:p w14:paraId="79B3426F">
            <w:pPr>
              <w:pageBreakBefore w:val="0"/>
              <w:widowControl w:val="0"/>
              <w:wordWrap/>
              <w:overflowPunct/>
              <w:topLinePunct w:val="0"/>
              <w:bidi w:val="0"/>
              <w:spacing w:before="256" w:line="221" w:lineRule="auto"/>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eastAsia="zh-CN"/>
              </w:rPr>
              <w:t>合同期限为三年，合同一年一签。</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0" w:hRule="atLeast"/>
        </w:trPr>
        <w:tc>
          <w:tcPr>
            <w:tcW w:w="2865" w:type="dxa"/>
            <w:gridSpan w:val="2"/>
          </w:tcPr>
          <w:p w14:paraId="20569D79">
            <w:pPr>
              <w:pageBreakBefore w:val="0"/>
              <w:widowControl w:val="0"/>
              <w:wordWrap/>
              <w:overflowPunct/>
              <w:topLinePunct w:val="0"/>
              <w:bidi w:val="0"/>
              <w:spacing w:before="256" w:line="219" w:lineRule="auto"/>
              <w:ind w:left="95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hint="eastAsia" w:ascii="宋体" w:hAnsi="宋体" w:eastAsia="宋体" w:cs="宋体"/>
                <w:color w:val="auto"/>
                <w:spacing w:val="0"/>
                <w:position w:val="0"/>
                <w:sz w:val="24"/>
                <w:szCs w:val="24"/>
              </w:rPr>
              <w:t>地点</w:t>
            </w:r>
          </w:p>
        </w:tc>
        <w:tc>
          <w:tcPr>
            <w:tcW w:w="6150" w:type="dxa"/>
          </w:tcPr>
          <w:p w14:paraId="6AF95DC6">
            <w:pPr>
              <w:pageBreakBefore w:val="0"/>
              <w:widowControl w:val="0"/>
              <w:wordWrap/>
              <w:overflowPunct/>
              <w:topLinePunct w:val="0"/>
              <w:bidi w:val="0"/>
              <w:spacing w:before="256" w:line="221" w:lineRule="auto"/>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eastAsia="zh-CN"/>
              </w:rPr>
              <w:t>井冈山风景名胜区</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4" w:hRule="atLeast"/>
        </w:trPr>
        <w:tc>
          <w:tcPr>
            <w:tcW w:w="2865" w:type="dxa"/>
            <w:gridSpan w:val="2"/>
          </w:tcPr>
          <w:p w14:paraId="54F338C6">
            <w:pPr>
              <w:pageBreakBefore w:val="0"/>
              <w:widowControl w:val="0"/>
              <w:wordWrap/>
              <w:overflowPunct/>
              <w:topLinePunct w:val="0"/>
              <w:bidi w:val="0"/>
              <w:spacing w:before="256" w:line="221" w:lineRule="auto"/>
              <w:jc w:val="center"/>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备注</w:t>
            </w:r>
          </w:p>
        </w:tc>
        <w:tc>
          <w:tcPr>
            <w:tcW w:w="6150" w:type="dxa"/>
          </w:tcPr>
          <w:p w14:paraId="0DF1623E">
            <w:pPr>
              <w:pageBreakBefore w:val="0"/>
              <w:widowControl w:val="0"/>
              <w:wordWrap/>
              <w:overflowPunct/>
              <w:topLinePunct w:val="0"/>
              <w:bidi w:val="0"/>
              <w:spacing w:before="256" w:line="221"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w:t>
            </w:r>
          </w:p>
        </w:tc>
      </w:tr>
    </w:tbl>
    <w:p w14:paraId="17675241">
      <w:pPr>
        <w:pageBreakBefore w:val="0"/>
        <w:widowControl w:val="0"/>
        <w:wordWrap/>
        <w:overflowPunct/>
        <w:topLinePunct w:val="0"/>
        <w:bidi w:val="0"/>
        <w:rPr>
          <w:rFonts w:hint="eastAsia" w:ascii="宋体" w:hAnsi="宋体" w:eastAsia="宋体" w:cs="宋体"/>
          <w:color w:val="auto"/>
          <w:spacing w:val="0"/>
          <w:position w:val="0"/>
          <w:sz w:val="24"/>
          <w:szCs w:val="24"/>
        </w:rPr>
      </w:pPr>
    </w:p>
    <w:p w14:paraId="16243D57">
      <w:pPr>
        <w:pageBreakBefore w:val="0"/>
        <w:widowControl w:val="0"/>
        <w:wordWrap/>
        <w:overflowPunct/>
        <w:topLinePunct w:val="0"/>
        <w:bidi w:val="0"/>
        <w:rPr>
          <w:rFonts w:hint="eastAsia" w:ascii="宋体" w:hAnsi="宋体" w:eastAsia="宋体" w:cs="宋体"/>
          <w:color w:val="auto"/>
          <w:spacing w:val="0"/>
          <w:position w:val="0"/>
          <w:sz w:val="24"/>
          <w:szCs w:val="24"/>
        </w:rPr>
        <w:sectPr>
          <w:footerReference r:id="rId3"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0"/>
          <w:position w:val="0"/>
          <w:sz w:val="24"/>
          <w:szCs w:val="24"/>
        </w:rPr>
      </w:pPr>
      <w:bookmarkStart w:id="1" w:name="bookmark81"/>
      <w:bookmarkEnd w:id="1"/>
      <w:bookmarkStart w:id="2" w:name="_Toc23857"/>
      <w:r>
        <w:rPr>
          <w:rFonts w:hint="eastAsia"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bookmarkEnd w:id="2"/>
    </w:p>
    <w:p w14:paraId="012063D0">
      <w:pPr>
        <w:spacing w:line="400" w:lineRule="exact"/>
        <w:rPr>
          <w:rFonts w:hint="eastAsia" w:ascii="宋体" w:hAnsi="宋体" w:eastAsia="宋体" w:cs="宋体"/>
          <w:sz w:val="24"/>
          <w:szCs w:val="24"/>
          <w:lang w:eastAsia="zh-CN"/>
        </w:rPr>
      </w:pPr>
    </w:p>
    <w:tbl>
      <w:tblPr>
        <w:tblStyle w:val="4"/>
        <w:tblW w:w="0" w:type="auto"/>
        <w:jc w:val="center"/>
        <w:tblLayout w:type="fixed"/>
        <w:tblCellMar>
          <w:top w:w="0" w:type="dxa"/>
          <w:left w:w="108" w:type="dxa"/>
          <w:bottom w:w="0" w:type="dxa"/>
          <w:right w:w="108" w:type="dxa"/>
        </w:tblCellMar>
      </w:tblPr>
      <w:tblGrid>
        <w:gridCol w:w="3973"/>
        <w:gridCol w:w="4651"/>
      </w:tblGrid>
      <w:tr w14:paraId="496A1BE2">
        <w:tblPrEx>
          <w:tblCellMar>
            <w:top w:w="0" w:type="dxa"/>
            <w:left w:w="108" w:type="dxa"/>
            <w:bottom w:w="0" w:type="dxa"/>
            <w:right w:w="108" w:type="dxa"/>
          </w:tblCellMar>
        </w:tblPrEx>
        <w:trPr>
          <w:trHeight w:val="460" w:hRule="atLeast"/>
          <w:jc w:val="center"/>
        </w:trPr>
        <w:tc>
          <w:tcPr>
            <w:tcW w:w="3973" w:type="dxa"/>
            <w:tcBorders>
              <w:top w:val="single" w:color="auto" w:sz="4" w:space="0"/>
              <w:left w:val="single" w:color="auto" w:sz="4" w:space="0"/>
              <w:bottom w:val="single" w:color="auto" w:sz="4" w:space="0"/>
              <w:right w:val="single" w:color="auto" w:sz="4" w:space="0"/>
            </w:tcBorders>
            <w:vAlign w:val="center"/>
          </w:tcPr>
          <w:p w14:paraId="3F4C5939">
            <w:pPr>
              <w:spacing w:line="400" w:lineRule="exact"/>
              <w:ind w:firstLine="1440" w:firstLineChars="600"/>
              <w:rPr>
                <w:rFonts w:hint="eastAsia" w:ascii="宋体" w:hAnsi="宋体" w:eastAsia="宋体" w:cs="宋体"/>
                <w:sz w:val="24"/>
                <w:szCs w:val="24"/>
              </w:rPr>
            </w:pPr>
            <w:r>
              <w:rPr>
                <w:rFonts w:hint="eastAsia" w:ascii="宋体" w:hAnsi="宋体" w:eastAsia="宋体" w:cs="宋体"/>
                <w:sz w:val="24"/>
                <w:szCs w:val="24"/>
              </w:rPr>
              <w:t>人数</w:t>
            </w:r>
          </w:p>
        </w:tc>
        <w:tc>
          <w:tcPr>
            <w:tcW w:w="4651" w:type="dxa"/>
            <w:tcBorders>
              <w:top w:val="single" w:color="auto" w:sz="4" w:space="0"/>
              <w:left w:val="nil"/>
              <w:bottom w:val="single" w:color="auto" w:sz="4" w:space="0"/>
              <w:right w:val="single" w:color="auto" w:sz="4" w:space="0"/>
            </w:tcBorders>
            <w:vAlign w:val="center"/>
          </w:tcPr>
          <w:p w14:paraId="085133AA">
            <w:pPr>
              <w:spacing w:line="400" w:lineRule="exact"/>
              <w:ind w:firstLine="960" w:firstLineChars="400"/>
              <w:rPr>
                <w:rFonts w:hint="eastAsia" w:ascii="宋体" w:hAnsi="宋体" w:eastAsia="宋体" w:cs="宋体"/>
                <w:sz w:val="24"/>
                <w:szCs w:val="24"/>
              </w:rPr>
            </w:pPr>
            <w:r>
              <w:rPr>
                <w:rFonts w:hint="eastAsia" w:ascii="宋体" w:hAnsi="宋体" w:eastAsia="宋体" w:cs="宋体"/>
                <w:sz w:val="24"/>
                <w:szCs w:val="24"/>
              </w:rPr>
              <w:t>每人保费标准（元）</w:t>
            </w:r>
          </w:p>
        </w:tc>
      </w:tr>
      <w:tr w14:paraId="501D4A54">
        <w:tblPrEx>
          <w:tblCellMar>
            <w:top w:w="0" w:type="dxa"/>
            <w:left w:w="108" w:type="dxa"/>
            <w:bottom w:w="0" w:type="dxa"/>
            <w:right w:w="108" w:type="dxa"/>
          </w:tblCellMar>
        </w:tblPrEx>
        <w:trPr>
          <w:trHeight w:val="460" w:hRule="atLeast"/>
          <w:jc w:val="center"/>
        </w:trPr>
        <w:tc>
          <w:tcPr>
            <w:tcW w:w="3973" w:type="dxa"/>
            <w:tcBorders>
              <w:top w:val="nil"/>
              <w:left w:val="single" w:color="auto" w:sz="4" w:space="0"/>
              <w:bottom w:val="single" w:color="auto" w:sz="4" w:space="0"/>
              <w:right w:val="single" w:color="auto" w:sz="4" w:space="0"/>
            </w:tcBorders>
            <w:vAlign w:val="center"/>
          </w:tcPr>
          <w:p w14:paraId="34577208">
            <w:pPr>
              <w:spacing w:line="400" w:lineRule="exact"/>
              <w:ind w:firstLine="960" w:firstLineChars="400"/>
              <w:rPr>
                <w:rFonts w:hint="eastAsia" w:ascii="宋体" w:hAnsi="宋体" w:eastAsia="宋体" w:cs="宋体"/>
                <w:sz w:val="24"/>
                <w:szCs w:val="24"/>
              </w:rPr>
            </w:pPr>
            <w:r>
              <w:rPr>
                <w:rFonts w:hint="eastAsia" w:ascii="宋体" w:hAnsi="宋体" w:eastAsia="宋体" w:cs="宋体"/>
                <w:sz w:val="24"/>
                <w:szCs w:val="24"/>
              </w:rPr>
              <w:t>约30万人/年</w:t>
            </w:r>
          </w:p>
        </w:tc>
        <w:tc>
          <w:tcPr>
            <w:tcW w:w="4651" w:type="dxa"/>
            <w:tcBorders>
              <w:top w:val="nil"/>
              <w:left w:val="nil"/>
              <w:bottom w:val="single" w:color="auto" w:sz="4" w:space="0"/>
              <w:right w:val="single" w:color="auto" w:sz="4" w:space="0"/>
            </w:tcBorders>
            <w:vAlign w:val="center"/>
          </w:tcPr>
          <w:p w14:paraId="64E5E815">
            <w:pPr>
              <w:spacing w:line="400" w:lineRule="exact"/>
              <w:ind w:firstLine="1200" w:firstLineChars="500"/>
              <w:rPr>
                <w:rFonts w:hint="eastAsia" w:ascii="宋体" w:hAnsi="宋体" w:eastAsia="宋体" w:cs="宋体"/>
                <w:sz w:val="24"/>
                <w:szCs w:val="24"/>
              </w:rPr>
            </w:pPr>
            <w:r>
              <w:rPr>
                <w:rFonts w:hint="eastAsia" w:ascii="宋体" w:hAnsi="宋体" w:eastAsia="宋体" w:cs="宋体"/>
                <w:sz w:val="24"/>
                <w:szCs w:val="24"/>
              </w:rPr>
              <w:t>1元/人/年</w:t>
            </w:r>
          </w:p>
        </w:tc>
      </w:tr>
      <w:tr w14:paraId="41FDF976">
        <w:tblPrEx>
          <w:tblCellMar>
            <w:top w:w="0" w:type="dxa"/>
            <w:left w:w="108" w:type="dxa"/>
            <w:bottom w:w="0" w:type="dxa"/>
            <w:right w:w="108" w:type="dxa"/>
          </w:tblCellMar>
        </w:tblPrEx>
        <w:trPr>
          <w:trHeight w:val="339" w:hRule="atLeast"/>
          <w:jc w:val="center"/>
        </w:trPr>
        <w:tc>
          <w:tcPr>
            <w:tcW w:w="8624" w:type="dxa"/>
            <w:gridSpan w:val="2"/>
            <w:tcBorders>
              <w:top w:val="nil"/>
              <w:left w:val="single" w:color="auto" w:sz="4" w:space="0"/>
              <w:bottom w:val="single" w:color="auto" w:sz="4" w:space="0"/>
              <w:right w:val="single" w:color="auto" w:sz="4" w:space="0"/>
            </w:tcBorders>
            <w:vAlign w:val="center"/>
          </w:tcPr>
          <w:p w14:paraId="7AB965AD">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合同期限：三年，一年一签。</w:t>
            </w:r>
          </w:p>
        </w:tc>
      </w:tr>
      <w:tr w14:paraId="424D8DEC">
        <w:tblPrEx>
          <w:tblCellMar>
            <w:top w:w="0" w:type="dxa"/>
            <w:left w:w="108" w:type="dxa"/>
            <w:bottom w:w="0" w:type="dxa"/>
            <w:right w:w="108" w:type="dxa"/>
          </w:tblCellMar>
        </w:tblPrEx>
        <w:trPr>
          <w:trHeight w:val="490" w:hRule="atLeast"/>
          <w:jc w:val="center"/>
        </w:trPr>
        <w:tc>
          <w:tcPr>
            <w:tcW w:w="8624" w:type="dxa"/>
            <w:gridSpan w:val="2"/>
            <w:tcBorders>
              <w:top w:val="nil"/>
              <w:left w:val="single" w:color="auto" w:sz="4" w:space="0"/>
              <w:bottom w:val="single" w:color="auto" w:sz="4" w:space="0"/>
              <w:right w:val="single" w:color="auto" w:sz="4" w:space="0"/>
            </w:tcBorders>
            <w:vAlign w:val="center"/>
          </w:tcPr>
          <w:p w14:paraId="700B5365">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注：本次招标预算金额为暂估数，具体金额以实际游客购票张数和门票收入清算。</w:t>
            </w:r>
          </w:p>
        </w:tc>
      </w:tr>
    </w:tbl>
    <w:p w14:paraId="26D5E4C7">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三、</w:t>
      </w:r>
      <w:r>
        <w:rPr>
          <w:rFonts w:hint="eastAsia" w:ascii="宋体" w:hAnsi="宋体" w:eastAsia="宋体" w:cs="宋体"/>
          <w:sz w:val="24"/>
          <w:szCs w:val="24"/>
          <w:lang w:eastAsia="zh-CN"/>
        </w:rPr>
        <w:t>服务要求</w:t>
      </w:r>
    </w:p>
    <w:p w14:paraId="33472E58">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（一）项目名称</w:t>
      </w:r>
    </w:p>
    <w:p w14:paraId="4068A6A1">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井冈山风景名胜区责任险采购项目</w:t>
      </w:r>
    </w:p>
    <w:p w14:paraId="105384DE">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（二）保险险种</w:t>
      </w:r>
    </w:p>
    <w:p w14:paraId="35FFAE2D">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井冈山风景名胜区责任险</w:t>
      </w:r>
    </w:p>
    <w:p w14:paraId="1E16BE20">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（三）保险费计算基数</w:t>
      </w:r>
    </w:p>
    <w:p w14:paraId="4414220C">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按年度售出的景区入区</w:t>
      </w:r>
      <w:r>
        <w:rPr>
          <w:rFonts w:hint="eastAsia" w:ascii="宋体" w:hAnsi="宋体" w:eastAsia="宋体" w:cs="宋体"/>
          <w:color w:val="FF0000"/>
          <w:sz w:val="24"/>
          <w:szCs w:val="24"/>
          <w:lang w:val="en-US" w:eastAsia="zh-CN"/>
        </w:rPr>
        <w:t>有价</w:t>
      </w:r>
      <w:r>
        <w:rPr>
          <w:rFonts w:hint="eastAsia" w:ascii="宋体" w:hAnsi="宋体" w:eastAsia="宋体" w:cs="宋体"/>
          <w:color w:val="FF0000"/>
          <w:sz w:val="24"/>
          <w:szCs w:val="24"/>
          <w:lang w:eastAsia="zh-CN"/>
        </w:rPr>
        <w:t>门票</w:t>
      </w:r>
      <w:r>
        <w:rPr>
          <w:rFonts w:hint="eastAsia" w:ascii="宋体" w:hAnsi="宋体" w:eastAsia="宋体" w:cs="宋体"/>
          <w:sz w:val="24"/>
          <w:szCs w:val="24"/>
          <w:lang w:eastAsia="zh-CN"/>
        </w:rPr>
        <w:t>张数乘以1元标准计算年度保险费。</w:t>
      </w:r>
    </w:p>
    <w:p w14:paraId="182D31D5">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(四）保险期限</w:t>
      </w:r>
    </w:p>
    <w:p w14:paraId="5720AAE0">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合同期限为3年，一年一签。若在服务期内，服务商提供的服务达不到服务要求或采购人认为服务商不能达到项目服务标准的，采购人有权提前解除合同或拒绝签订延续合同，中标人资格解除后，采购人可以本次项目招标采购综合得分排名第二的服务商签订合同。</w:t>
      </w:r>
    </w:p>
    <w:p w14:paraId="6A25D108">
      <w:pPr>
        <w:numPr>
          <w:ilvl w:val="0"/>
          <w:numId w:val="1"/>
        </w:numPr>
        <w:spacing w:line="260" w:lineRule="exact"/>
        <w:ind w:firstLine="480"/>
        <w:rPr>
          <w:rFonts w:hint="eastAsia" w:ascii="宋体" w:hAnsi="宋体" w:eastAsia="宋体" w:cs="宋体"/>
          <w:sz w:val="24"/>
          <w:szCs w:val="24"/>
        </w:rPr>
      </w:pPr>
      <w:r>
        <w:rPr>
          <w:rFonts w:hint="eastAsia" w:ascii="宋体" w:hAnsi="宋体" w:eastAsia="宋体" w:cs="宋体"/>
          <w:sz w:val="24"/>
          <w:szCs w:val="24"/>
        </w:rPr>
        <w:t>投诉案件</w:t>
      </w:r>
    </w:p>
    <w:p w14:paraId="4267A03A">
      <w:pPr>
        <w:rPr>
          <w:rFonts w:hint="eastAsia" w:ascii="宋体" w:hAnsi="宋体" w:eastAsia="宋体" w:cs="宋体"/>
          <w:sz w:val="24"/>
          <w:szCs w:val="24"/>
          <w:lang w:eastAsia="zh-CN"/>
        </w:rPr>
      </w:pPr>
      <w:r>
        <w:rPr>
          <w:rFonts w:hint="eastAsia" w:ascii="宋体" w:hAnsi="宋体" w:eastAsia="宋体" w:cs="宋体"/>
          <w:b/>
          <w:sz w:val="24"/>
          <w:szCs w:val="24"/>
          <w:lang w:eastAsia="zh-CN"/>
        </w:rPr>
        <w:t>服务商在项目服务期内，应做到高效服务，尽量减少投诉案件。</w:t>
      </w:r>
    </w:p>
    <w:p w14:paraId="5E617641">
      <w:pPr>
        <w:spacing w:line="36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（六）保险内容</w:t>
      </w:r>
    </w:p>
    <w:p w14:paraId="68F68F55">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（1）意外死亡责任：游客在景区内自意外伤害之日起180天内因同一原因死亡应由被保险人承担经济赔偿责任，保险公司按赔偿限额内赔付，赔付额度最低为30万元。</w:t>
      </w:r>
    </w:p>
    <w:p w14:paraId="66663075">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（2）意外残疾责任：游客在景区内自意外伤害之日起180天内因同一原因伤残应由被保险人承担经济赔偿责任，保险公司按伤残等级在赔偿限额内赔付，赔付额度最低为30万元。</w:t>
      </w:r>
    </w:p>
    <w:p w14:paraId="04164BBF">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（3）意外医疗费责任：游客在景区办因意外伤害造成的医疗费用，应由被保险人承担经济赔偿责任，保险公司在赔偿限额内按实际发生的必要费用扣除100元免赔额后按80%赔付，赔付额度最低为10万元。</w:t>
      </w:r>
    </w:p>
    <w:p w14:paraId="565F4EE6">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以上赔偿责任以服务商提供每人及累计最高赔偿限额为限，具体赔偿限额以双方签订的保险合同为准。</w:t>
      </w:r>
    </w:p>
    <w:p w14:paraId="1AC8676C">
      <w:pPr>
        <w:rPr>
          <w:rFonts w:hint="eastAsia" w:ascii="宋体" w:hAnsi="宋体" w:eastAsia="宋体" w:cs="宋体"/>
          <w:sz w:val="24"/>
          <w:szCs w:val="24"/>
          <w:lang w:eastAsia="zh-CN"/>
        </w:rPr>
      </w:pPr>
      <w:r>
        <w:rPr>
          <w:rFonts w:hint="eastAsia" w:ascii="宋体" w:hAnsi="宋体" w:eastAsia="宋体" w:cs="宋体"/>
          <w:sz w:val="24"/>
          <w:szCs w:val="24"/>
          <w:lang w:eastAsia="zh-CN"/>
        </w:rPr>
        <w:br w:type="page"/>
      </w:r>
    </w:p>
    <w:p w14:paraId="7B37B34A">
      <w:pPr>
        <w:spacing w:line="400" w:lineRule="exact"/>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val="en-US" w:eastAsia="zh-CN"/>
        </w:rPr>
        <w:t>四</w:t>
      </w:r>
      <w:r>
        <w:rPr>
          <w:rFonts w:hint="eastAsia" w:ascii="宋体" w:hAnsi="宋体" w:eastAsia="宋体" w:cs="宋体"/>
          <w:sz w:val="24"/>
          <w:szCs w:val="24"/>
          <w:lang w:eastAsia="zh-CN"/>
        </w:rPr>
        <w:t>、商务要求</w:t>
      </w:r>
    </w:p>
    <w:p w14:paraId="70F4498F">
      <w:pP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1、处理问题响应时间：接到采购人处理问题通知后20分钟内响应，2小时内到达采购人指定现场； </w:t>
      </w:r>
    </w:p>
    <w:p w14:paraId="34CD1CB7">
      <w:pPr>
        <w:rPr>
          <w:rFonts w:hint="eastAsia" w:ascii="宋体" w:hAnsi="宋体" w:eastAsia="宋体" w:cs="宋体"/>
          <w:sz w:val="24"/>
          <w:szCs w:val="24"/>
          <w:lang w:eastAsia="zh-CN"/>
        </w:rPr>
      </w:pPr>
      <w:r>
        <w:rPr>
          <w:rFonts w:hint="eastAsia" w:ascii="宋体" w:hAnsi="宋体" w:eastAsia="宋体" w:cs="宋体"/>
          <w:sz w:val="24"/>
          <w:szCs w:val="24"/>
          <w:lang w:eastAsia="zh-CN"/>
        </w:rPr>
        <w:t>2、付款方式：</w:t>
      </w:r>
      <w:r>
        <w:rPr>
          <w:rFonts w:hint="eastAsia" w:ascii="宋体" w:hAnsi="宋体" w:eastAsia="宋体" w:cs="宋体"/>
          <w:b/>
          <w:sz w:val="24"/>
          <w:szCs w:val="24"/>
          <w:lang w:eastAsia="zh-CN"/>
        </w:rPr>
        <w:t>保费每年7月份支付，金额以当年实际游客购票张数和门票收入为基础清算，一年一结。</w:t>
      </w:r>
    </w:p>
    <w:p w14:paraId="3C278A0F">
      <w:pPr>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3、投标人的报价应符合国家对责任保险的有关规定； </w:t>
      </w:r>
    </w:p>
    <w:p w14:paraId="20973E62">
      <w:pPr>
        <w:rPr>
          <w:rFonts w:hint="eastAsia" w:ascii="宋体" w:hAnsi="宋体" w:eastAsia="宋体" w:cs="宋体"/>
          <w:sz w:val="24"/>
          <w:szCs w:val="24"/>
          <w:lang w:eastAsia="zh-CN"/>
        </w:rPr>
      </w:pPr>
      <w:r>
        <w:rPr>
          <w:rFonts w:hint="eastAsia" w:ascii="宋体" w:hAnsi="宋体" w:eastAsia="宋体" w:cs="宋体"/>
          <w:sz w:val="24"/>
          <w:szCs w:val="24"/>
          <w:lang w:eastAsia="zh-CN"/>
        </w:rPr>
        <w:t>4、合同期限</w:t>
      </w:r>
    </w:p>
    <w:p w14:paraId="1AF26D9D">
      <w:pPr>
        <w:rPr>
          <w:rFonts w:hint="eastAsia" w:ascii="宋体" w:hAnsi="宋体" w:eastAsia="宋体" w:cs="宋体"/>
          <w:sz w:val="24"/>
          <w:szCs w:val="24"/>
          <w:lang w:eastAsia="zh-CN"/>
        </w:rPr>
      </w:pPr>
      <w:r>
        <w:rPr>
          <w:rFonts w:hint="eastAsia" w:ascii="宋体" w:hAnsi="宋体" w:eastAsia="宋体" w:cs="宋体"/>
          <w:sz w:val="24"/>
          <w:szCs w:val="24"/>
          <w:lang w:eastAsia="zh-CN"/>
        </w:rPr>
        <w:t>1)合同履约期间，中标单价不可变动，但国家保险监督管理部门有新政策的，按新政策执行。</w:t>
      </w:r>
    </w:p>
    <w:p w14:paraId="2094988F">
      <w:pPr>
        <w:rPr>
          <w:rFonts w:hint="eastAsia" w:ascii="宋体" w:hAnsi="宋体" w:eastAsia="宋体" w:cs="宋体"/>
          <w:sz w:val="24"/>
          <w:szCs w:val="24"/>
          <w:lang w:eastAsia="zh-CN"/>
        </w:rPr>
      </w:pPr>
      <w:r>
        <w:rPr>
          <w:rFonts w:hint="eastAsia" w:ascii="宋体" w:hAnsi="宋体" w:eastAsia="宋体" w:cs="宋体"/>
          <w:sz w:val="24"/>
          <w:szCs w:val="24"/>
          <w:lang w:eastAsia="zh-CN"/>
        </w:rPr>
        <w:t>5、本项目为固定单价合同，具体投保人数以实际游客购票张数和门票收入清算。</w:t>
      </w:r>
    </w:p>
    <w:p w14:paraId="7E15AF73">
      <w:pPr>
        <w:rPr>
          <w:rFonts w:hint="eastAsia" w:ascii="宋体" w:hAnsi="宋体" w:eastAsia="宋体" w:cs="宋体"/>
          <w:sz w:val="24"/>
          <w:szCs w:val="24"/>
          <w:lang w:eastAsia="zh-CN"/>
        </w:rPr>
      </w:pPr>
      <w:r>
        <w:rPr>
          <w:rFonts w:hint="eastAsia" w:ascii="宋体" w:hAnsi="宋体" w:eastAsia="宋体" w:cs="宋体"/>
          <w:sz w:val="24"/>
          <w:szCs w:val="24"/>
          <w:lang w:eastAsia="zh-CN"/>
        </w:rPr>
        <w:t>6、其他</w:t>
      </w:r>
    </w:p>
    <w:p w14:paraId="08D50B5C">
      <w:pPr>
        <w:rPr>
          <w:rFonts w:hint="eastAsia" w:ascii="宋体" w:hAnsi="宋体" w:eastAsia="宋体" w:cs="宋体"/>
          <w:sz w:val="24"/>
          <w:szCs w:val="24"/>
          <w:lang w:eastAsia="zh-CN"/>
        </w:rPr>
      </w:pPr>
      <w:r>
        <w:rPr>
          <w:rFonts w:hint="eastAsia" w:ascii="宋体" w:hAnsi="宋体" w:eastAsia="宋体" w:cs="宋体"/>
          <w:sz w:val="24"/>
          <w:szCs w:val="24"/>
          <w:lang w:eastAsia="zh-CN"/>
        </w:rPr>
        <w:t>①中标人须委派两名工作人员到井冈山管理局游客服务中心便民服务窗口坐堂（含节假日）；</w:t>
      </w:r>
    </w:p>
    <w:p w14:paraId="5AE1CF35">
      <w:pPr>
        <w:rPr>
          <w:rFonts w:hint="eastAsia" w:ascii="宋体" w:hAnsi="宋体" w:eastAsia="宋体" w:cs="宋体"/>
          <w:sz w:val="24"/>
          <w:szCs w:val="24"/>
          <w:lang w:eastAsia="zh-CN"/>
        </w:rPr>
      </w:pPr>
      <w:r>
        <w:rPr>
          <w:rFonts w:hint="eastAsia" w:ascii="宋体" w:hAnsi="宋体" w:eastAsia="宋体" w:cs="宋体"/>
          <w:sz w:val="24"/>
          <w:szCs w:val="24"/>
          <w:lang w:eastAsia="zh-CN"/>
        </w:rPr>
        <w:t>②坐堂工作人员协助井冈山管理局游客服务中心工作人员做好井冈山风景名胜区责任险咨询服务、理赔等相关工作事宜。</w:t>
      </w:r>
    </w:p>
    <w:p w14:paraId="62BDAE22">
      <w:pPr>
        <w:rPr>
          <w:rFonts w:hint="eastAsia" w:ascii="宋体" w:hAnsi="宋体" w:eastAsia="宋体" w:cs="宋体"/>
          <w:sz w:val="24"/>
          <w:szCs w:val="24"/>
          <w:lang w:eastAsia="zh-CN"/>
        </w:rPr>
      </w:pPr>
      <w:r>
        <w:rPr>
          <w:rFonts w:hint="eastAsia" w:ascii="宋体" w:hAnsi="宋体" w:eastAsia="宋体" w:cs="宋体"/>
          <w:sz w:val="24"/>
          <w:szCs w:val="24"/>
          <w:lang w:eastAsia="zh-CN"/>
        </w:rPr>
        <w:t>7、年度服务考核内容（包括但不限于以下内容）</w:t>
      </w:r>
    </w:p>
    <w:p w14:paraId="0FD02BBD">
      <w:pPr>
        <w:rPr>
          <w:rFonts w:hint="eastAsia" w:ascii="宋体" w:hAnsi="宋体" w:eastAsia="宋体" w:cs="宋体"/>
          <w:sz w:val="24"/>
          <w:szCs w:val="24"/>
          <w:lang w:eastAsia="zh-CN"/>
        </w:rPr>
      </w:pPr>
      <w:r>
        <w:rPr>
          <w:rFonts w:hint="eastAsia" w:ascii="宋体" w:hAnsi="宋体" w:eastAsia="宋体" w:cs="宋体"/>
          <w:sz w:val="24"/>
          <w:szCs w:val="24"/>
          <w:lang w:eastAsia="zh-CN"/>
        </w:rPr>
        <w:t>（1）服务理念：建立以客户为导向的服务体系，实施客户满意战略。</w:t>
      </w:r>
    </w:p>
    <w:p w14:paraId="52A6A915">
      <w:pPr>
        <w:rPr>
          <w:rFonts w:hint="eastAsia" w:ascii="宋体" w:hAnsi="宋体" w:eastAsia="宋体" w:cs="宋体"/>
          <w:b/>
          <w:sz w:val="24"/>
          <w:szCs w:val="24"/>
          <w:lang w:eastAsia="zh-CN"/>
        </w:rPr>
      </w:pPr>
      <w:r>
        <w:rPr>
          <w:rFonts w:hint="eastAsia" w:ascii="宋体" w:hAnsi="宋体" w:eastAsia="宋体" w:cs="宋体"/>
          <w:b/>
          <w:sz w:val="24"/>
          <w:szCs w:val="24"/>
          <w:lang w:eastAsia="zh-CN"/>
        </w:rPr>
        <w:t>（2）服务宗旨：“诚信第一、效率第一、客户至上、服务至上”</w:t>
      </w:r>
    </w:p>
    <w:p w14:paraId="08A5D329">
      <w:pPr>
        <w:rPr>
          <w:rFonts w:hint="eastAsia" w:ascii="宋体" w:hAnsi="宋体" w:eastAsia="宋体" w:cs="宋体"/>
          <w:sz w:val="24"/>
          <w:szCs w:val="24"/>
          <w:lang w:eastAsia="zh-CN"/>
        </w:rPr>
      </w:pPr>
      <w:r>
        <w:rPr>
          <w:rFonts w:hint="eastAsia" w:ascii="宋体" w:hAnsi="宋体" w:eastAsia="宋体" w:cs="宋体"/>
          <w:sz w:val="24"/>
          <w:szCs w:val="24"/>
          <w:lang w:eastAsia="zh-CN"/>
        </w:rPr>
        <w:t>（3）态度热情、及时、主动，服务语气温和、语速适中、话术规范，遵守业务规定。</w:t>
      </w:r>
    </w:p>
    <w:p w14:paraId="5CE0B83B">
      <w:pPr>
        <w:rPr>
          <w:rFonts w:hint="eastAsia" w:ascii="宋体" w:hAnsi="宋体" w:eastAsia="宋体" w:cs="宋体"/>
          <w:b/>
          <w:sz w:val="24"/>
          <w:szCs w:val="24"/>
          <w:lang w:eastAsia="zh-CN"/>
        </w:rPr>
      </w:pPr>
      <w:r>
        <w:rPr>
          <w:rFonts w:hint="eastAsia" w:ascii="宋体" w:hAnsi="宋体" w:eastAsia="宋体" w:cs="宋体"/>
          <w:b/>
          <w:sz w:val="24"/>
          <w:szCs w:val="24"/>
          <w:lang w:eastAsia="zh-CN"/>
        </w:rPr>
        <w:t>（4）耐心解答客户咨询，以通俗易懂、简洁明了的语言，专业地、一次性解决客户疑问。</w:t>
      </w:r>
    </w:p>
    <w:p w14:paraId="67DB71D5">
      <w:pPr>
        <w:rPr>
          <w:rFonts w:hint="eastAsia" w:ascii="宋体" w:hAnsi="宋体" w:eastAsia="宋体" w:cs="宋体"/>
          <w:sz w:val="24"/>
          <w:szCs w:val="24"/>
          <w:lang w:eastAsia="zh-CN"/>
        </w:rPr>
      </w:pPr>
      <w:r>
        <w:rPr>
          <w:rFonts w:hint="eastAsia" w:ascii="宋体" w:hAnsi="宋体" w:eastAsia="宋体" w:cs="宋体"/>
          <w:sz w:val="24"/>
          <w:szCs w:val="24"/>
          <w:lang w:eastAsia="zh-CN"/>
        </w:rPr>
        <w:t>（5）严格按照承诺的出险响应时间。</w:t>
      </w:r>
    </w:p>
    <w:p w14:paraId="0AE949AB">
      <w:pPr>
        <w:rPr>
          <w:rFonts w:hint="eastAsia" w:ascii="宋体" w:hAnsi="宋体" w:eastAsia="宋体" w:cs="宋体"/>
          <w:b/>
          <w:sz w:val="24"/>
          <w:szCs w:val="24"/>
          <w:lang w:eastAsia="zh-CN"/>
        </w:rPr>
      </w:pPr>
      <w:r>
        <w:rPr>
          <w:rFonts w:hint="eastAsia" w:ascii="宋体" w:hAnsi="宋体" w:eastAsia="宋体" w:cs="宋体"/>
          <w:b/>
          <w:sz w:val="24"/>
          <w:szCs w:val="24"/>
          <w:lang w:eastAsia="zh-CN"/>
        </w:rPr>
        <w:t>（6）热情、耐心接待客户，如材料不齐，明确告知，做到“一次补齐”，待资料收到齐全后，严格按照承诺的赔付时效赔付。</w:t>
      </w:r>
    </w:p>
    <w:p w14:paraId="118BBC9B">
      <w:pPr>
        <w:rPr>
          <w:rFonts w:hint="eastAsia" w:ascii="宋体" w:hAnsi="宋体" w:eastAsia="宋体" w:cs="宋体"/>
          <w:sz w:val="24"/>
          <w:szCs w:val="24"/>
          <w:lang w:eastAsia="zh-CN"/>
        </w:rPr>
      </w:pPr>
      <w:r>
        <w:rPr>
          <w:rFonts w:hint="eastAsia" w:ascii="宋体" w:hAnsi="宋体" w:eastAsia="宋体" w:cs="宋体"/>
          <w:sz w:val="24"/>
          <w:szCs w:val="24"/>
          <w:lang w:eastAsia="zh-CN"/>
        </w:rPr>
        <w:t>（7）及时提醒客户注意查收赔款，耐心细致接待客户赔款咨询，赔案查询等事宜。</w:t>
      </w:r>
    </w:p>
    <w:p w14:paraId="2AD5210F">
      <w:pPr>
        <w:rPr>
          <w:rFonts w:hint="eastAsia" w:ascii="宋体" w:hAnsi="宋体" w:eastAsia="宋体" w:cs="宋体"/>
          <w:sz w:val="24"/>
          <w:szCs w:val="24"/>
          <w:lang w:eastAsia="zh-CN"/>
        </w:rPr>
      </w:pPr>
      <w:r>
        <w:rPr>
          <w:rFonts w:hint="eastAsia" w:ascii="宋体" w:hAnsi="宋体" w:eastAsia="宋体" w:cs="宋体"/>
          <w:b/>
          <w:sz w:val="24"/>
          <w:szCs w:val="24"/>
          <w:lang w:eastAsia="zh-CN"/>
        </w:rPr>
        <w:t>（8）积极处理投诉事宜。</w:t>
      </w:r>
    </w:p>
    <w:p w14:paraId="0EA3AA7A">
      <w:pPr>
        <w:rPr>
          <w:rFonts w:hint="eastAsia" w:ascii="宋体" w:hAnsi="宋体" w:eastAsia="宋体" w:cs="宋体"/>
          <w:b/>
          <w:sz w:val="24"/>
          <w:szCs w:val="24"/>
          <w:lang w:eastAsia="zh-CN"/>
        </w:rPr>
      </w:pPr>
      <w:r>
        <w:rPr>
          <w:rFonts w:hint="eastAsia" w:ascii="宋体" w:hAnsi="宋体" w:eastAsia="宋体" w:cs="宋体"/>
          <w:b/>
          <w:sz w:val="24"/>
          <w:szCs w:val="24"/>
          <w:lang w:eastAsia="zh-CN"/>
        </w:rPr>
        <w:t>（8）投诉案件：</w:t>
      </w:r>
    </w:p>
    <w:p w14:paraId="4E329909">
      <w:pPr>
        <w:rPr>
          <w:rFonts w:hint="eastAsia" w:ascii="宋体" w:hAnsi="宋体" w:eastAsia="宋体" w:cs="宋体"/>
          <w:sz w:val="24"/>
          <w:szCs w:val="24"/>
          <w:lang w:eastAsia="zh-CN"/>
        </w:rPr>
      </w:pPr>
      <w:r>
        <w:rPr>
          <w:rFonts w:hint="eastAsia" w:ascii="宋体" w:hAnsi="宋体" w:eastAsia="宋体" w:cs="宋体"/>
          <w:sz w:val="24"/>
          <w:szCs w:val="24"/>
          <w:lang w:eastAsia="zh-CN"/>
        </w:rPr>
        <w:t>在一年的服务期内，在本项目服务期内投诉量＜20件，有效投诉量＜10件。</w:t>
      </w:r>
    </w:p>
    <w:p w14:paraId="2BC7F1B9">
      <w:pPr>
        <w:rPr>
          <w:rFonts w:hint="eastAsia" w:ascii="宋体" w:hAnsi="宋体" w:eastAsia="宋体" w:cs="宋体"/>
          <w:b/>
          <w:sz w:val="24"/>
          <w:szCs w:val="24"/>
          <w:lang w:eastAsia="zh-CN"/>
        </w:rPr>
      </w:pPr>
      <w:r>
        <w:rPr>
          <w:rFonts w:hint="eastAsia" w:ascii="宋体" w:hAnsi="宋体" w:eastAsia="宋体" w:cs="宋体"/>
          <w:b/>
          <w:sz w:val="24"/>
          <w:szCs w:val="24"/>
          <w:lang w:eastAsia="zh-CN"/>
        </w:rPr>
        <w:t>（9）具体服务考核内容以中标后甲乙双方签订合同时，采购人出具的考核服务内容为准。</w:t>
      </w:r>
    </w:p>
    <w:p w14:paraId="3A8ECEF6">
      <w:pPr>
        <w:rPr>
          <w:rFonts w:hint="eastAsia" w:ascii="宋体" w:hAnsi="宋体" w:eastAsia="宋体" w:cs="宋体"/>
          <w:sz w:val="24"/>
          <w:szCs w:val="24"/>
          <w:lang w:eastAsia="zh-CN"/>
        </w:rPr>
      </w:pPr>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225AE2"/>
    <w:multiLevelType w:val="singleLevel"/>
    <w:tmpl w:val="A1225AE2"/>
    <w:lvl w:ilvl="0" w:tentative="0">
      <w:start w:val="5"/>
      <w:numFmt w:val="chineseCounting"/>
      <w:suff w:val="nothing"/>
      <w:lvlText w:val="（%1）"/>
      <w:lvlJc w:val="left"/>
      <w:pPr>
        <w:ind w:left="-6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F34B91"/>
    <w:rsid w:val="5DF34B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2026-05-26T09:36:00Z</dcterms:created>
  <dc:creator>水金地火木土天海</dc:creator>
  <cp:lastModifiedBy>水金地火木土天海</cp:lastModifiedBy>
  <dcterms:modified xsi:type="dcterms:W3CDTF">2026-05-26T09:37:10Z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81E2B88C2CC44ED68D9C31311D916A75_11</vt:lpwstr>
  </property>
  <property fmtid="{D5CDD505-2E9C-101B-9397-08002B2CF9AE}" pid="4" name="KSOTemplateDocerSaveRecord">
    <vt:lpwstr>eyJoZGlkIjoiZGIwODZkZWM1MzFmNjA3NzU4OGM2NWY4MjZhZTQyYzYiLCJ1c2VySWQiOiIzMzE2MTk2OTIifQ==</vt:lpwstr>
  </property>
</Properties>
</file>