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1BAB88F">
      <w:pPr>
        <w:pageBreakBefore w:val="0"/>
        <w:widowControl w:val="0"/>
        <w:wordWrap/>
        <w:overflowPunct/>
        <w:topLinePunct w:val="0"/>
        <w:bidi w:val="0"/>
        <w:spacing w:before="78" w:line="220" w:lineRule="auto"/>
        <w:outlineLvl w:val="0"/>
        <w:rPr>
          <w:rFonts w:ascii="宋体" w:hAnsi="宋体" w:eastAsia="宋体" w:cs="宋体"/>
          <w:color w:val="auto"/>
          <w:spacing w:val="0"/>
          <w:position w:val="0"/>
          <w:sz w:val="24"/>
          <w:szCs w:val="24"/>
        </w:rPr>
      </w:pPr>
      <w:r>
        <w:rPr>
          <w:rFonts w:hint="eastAsia" w:ascii="宋体" w:hAnsi="宋体" w:eastAsia="宋体" w:cs="宋体"/>
          <w:color w:val="auto"/>
          <w:spacing w:val="0"/>
          <w:position w:val="0"/>
          <w:sz w:val="24"/>
          <w:szCs w:val="24"/>
          <w:lang w:val="en-US" w:eastAsia="zh-CN"/>
          <w14:textOutline w14:w="4356" w14:cap="sq" w14:cmpd="sng" w14:algn="ctr">
            <w14:solidFill>
              <w14:srgbClr w14:val="000000"/>
            </w14:solidFill>
            <w14:prstDash w14:val="solid"/>
            <w14:bevel/>
          </w14:textOutline>
        </w:rPr>
        <w:t>采购</w:t>
      </w:r>
      <w:r>
        <w:rPr>
          <w:rFonts w:ascii="宋体" w:hAnsi="宋体" w:eastAsia="宋体" w:cs="宋体"/>
          <w:color w:val="auto"/>
          <w:spacing w:val="0"/>
          <w:position w:val="0"/>
          <w:sz w:val="24"/>
          <w:szCs w:val="24"/>
          <w14:textOutline w14:w="4356" w14:cap="sq" w14:cmpd="sng" w14:algn="ctr">
            <w14:solidFill>
              <w14:srgbClr w14:val="000000"/>
            </w14:solidFill>
            <w14:prstDash w14:val="solid"/>
            <w14:bevel/>
          </w14:textOutline>
        </w:rPr>
        <w:t>需求表</w:t>
      </w:r>
    </w:p>
    <w:p w14:paraId="7A405D65">
      <w:pPr>
        <w:pageBreakBefore w:val="0"/>
        <w:widowControl w:val="0"/>
        <w:wordWrap/>
        <w:overflowPunct/>
        <w:topLinePunct w:val="0"/>
        <w:bidi w:val="0"/>
        <w:spacing w:before="64"/>
        <w:rPr>
          <w:color w:val="auto"/>
          <w:spacing w:val="0"/>
          <w:position w:val="0"/>
        </w:rPr>
      </w:pPr>
    </w:p>
    <w:tbl>
      <w:tblPr>
        <w:tblStyle w:val="8"/>
        <w:tblpPr w:leftFromText="180" w:rightFromText="180" w:vertAnchor="text" w:horzAnchor="page" w:tblpX="884" w:tblpY="239"/>
        <w:tblOverlap w:val="never"/>
        <w:tblW w:w="9620"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068"/>
        <w:gridCol w:w="1032"/>
        <w:gridCol w:w="2400"/>
        <w:gridCol w:w="768"/>
        <w:gridCol w:w="1632"/>
        <w:gridCol w:w="1284"/>
        <w:gridCol w:w="1436"/>
      </w:tblGrid>
      <w:tr w14:paraId="7D1C22F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58" w:hRule="atLeast"/>
        </w:trPr>
        <w:tc>
          <w:tcPr>
            <w:tcW w:w="1068" w:type="dxa"/>
            <w:vAlign w:val="center"/>
          </w:tcPr>
          <w:p w14:paraId="7BA98447">
            <w:pPr>
              <w:pStyle w:val="4"/>
              <w:spacing w:line="520" w:lineRule="exact"/>
              <w:jc w:val="center"/>
              <w:rPr>
                <w:rFonts w:hAnsi="宋体" w:eastAsia="宋体"/>
                <w:b/>
                <w:bCs/>
                <w:sz w:val="24"/>
                <w:szCs w:val="24"/>
              </w:rPr>
            </w:pPr>
            <w:bookmarkStart w:id="0" w:name="OLE_LINK4"/>
            <w:r>
              <w:rPr>
                <w:rFonts w:hint="eastAsia" w:hAnsi="宋体" w:eastAsia="宋体" w:cs="宋体"/>
                <w:b/>
                <w:bCs/>
                <w:spacing w:val="-2"/>
                <w:sz w:val="24"/>
                <w:szCs w:val="24"/>
              </w:rPr>
              <w:t>采购</w:t>
            </w:r>
            <w:r>
              <w:rPr>
                <w:rFonts w:hint="eastAsia" w:hAnsi="宋体" w:eastAsia="宋体" w:cs="宋体"/>
                <w:b/>
                <w:bCs/>
                <w:spacing w:val="-2"/>
                <w:sz w:val="24"/>
                <w:szCs w:val="24"/>
                <w:lang w:eastAsia="zh-CN"/>
              </w:rPr>
              <w:t>条目</w:t>
            </w:r>
            <w:r>
              <w:rPr>
                <w:rFonts w:hint="eastAsia" w:hAnsi="宋体" w:eastAsia="宋体" w:cs="宋体"/>
                <w:b/>
                <w:bCs/>
                <w:spacing w:val="-2"/>
                <w:sz w:val="24"/>
                <w:szCs w:val="24"/>
              </w:rPr>
              <w:t>编号</w:t>
            </w:r>
          </w:p>
        </w:tc>
        <w:tc>
          <w:tcPr>
            <w:tcW w:w="1032" w:type="dxa"/>
            <w:vAlign w:val="center"/>
          </w:tcPr>
          <w:p w14:paraId="67FBA77D">
            <w:pPr>
              <w:pStyle w:val="4"/>
              <w:spacing w:line="520" w:lineRule="exact"/>
              <w:jc w:val="center"/>
              <w:rPr>
                <w:rFonts w:hint="eastAsia" w:hAnsi="宋体" w:eastAsia="宋体" w:cs="宋体"/>
                <w:b/>
                <w:bCs/>
                <w:spacing w:val="-2"/>
                <w:sz w:val="24"/>
                <w:szCs w:val="24"/>
              </w:rPr>
            </w:pPr>
            <w:r>
              <w:rPr>
                <w:rFonts w:hint="eastAsia" w:hAnsi="宋体" w:eastAsia="宋体" w:cs="宋体"/>
                <w:b/>
                <w:bCs/>
                <w:spacing w:val="-2"/>
                <w:sz w:val="24"/>
                <w:szCs w:val="24"/>
              </w:rPr>
              <w:t>采购条目名称</w:t>
            </w:r>
          </w:p>
        </w:tc>
        <w:tc>
          <w:tcPr>
            <w:tcW w:w="2400" w:type="dxa"/>
            <w:vAlign w:val="center"/>
          </w:tcPr>
          <w:p w14:paraId="663F338A">
            <w:pPr>
              <w:pStyle w:val="4"/>
              <w:spacing w:line="520" w:lineRule="exact"/>
              <w:jc w:val="center"/>
              <w:rPr>
                <w:rFonts w:hAnsi="宋体" w:eastAsia="宋体"/>
                <w:b/>
                <w:bCs/>
                <w:sz w:val="24"/>
                <w:szCs w:val="24"/>
              </w:rPr>
            </w:pPr>
            <w:r>
              <w:rPr>
                <w:rFonts w:hint="eastAsia" w:hAnsi="宋体" w:eastAsia="宋体" w:cs="宋体"/>
                <w:b/>
                <w:bCs/>
                <w:spacing w:val="-2"/>
                <w:sz w:val="24"/>
                <w:szCs w:val="24"/>
              </w:rPr>
              <w:t>采购</w:t>
            </w:r>
            <w:r>
              <w:rPr>
                <w:rFonts w:hint="eastAsia" w:hAnsi="宋体" w:eastAsia="宋体" w:cs="宋体"/>
                <w:b/>
                <w:bCs/>
                <w:spacing w:val="-2"/>
                <w:sz w:val="24"/>
                <w:szCs w:val="24"/>
                <w:lang w:eastAsia="zh-CN"/>
              </w:rPr>
              <w:t>分项名</w:t>
            </w:r>
            <w:r>
              <w:rPr>
                <w:rFonts w:hint="eastAsia" w:hAnsi="宋体" w:eastAsia="宋体" w:cs="宋体"/>
                <w:b/>
                <w:bCs/>
                <w:spacing w:val="-2"/>
                <w:sz w:val="24"/>
                <w:szCs w:val="24"/>
              </w:rPr>
              <w:t>称</w:t>
            </w:r>
          </w:p>
        </w:tc>
        <w:tc>
          <w:tcPr>
            <w:tcW w:w="768" w:type="dxa"/>
            <w:vAlign w:val="center"/>
          </w:tcPr>
          <w:p w14:paraId="7F47CE0D">
            <w:pPr>
              <w:pStyle w:val="4"/>
              <w:spacing w:line="520" w:lineRule="exact"/>
              <w:jc w:val="center"/>
              <w:rPr>
                <w:rFonts w:hAnsi="宋体" w:eastAsia="宋体"/>
                <w:b/>
                <w:bCs/>
                <w:sz w:val="24"/>
                <w:szCs w:val="24"/>
              </w:rPr>
            </w:pPr>
            <w:r>
              <w:rPr>
                <w:rFonts w:hint="eastAsia" w:hAnsi="宋体" w:eastAsia="宋体" w:cs="宋体"/>
                <w:b/>
                <w:bCs/>
                <w:spacing w:val="-6"/>
                <w:sz w:val="24"/>
                <w:szCs w:val="24"/>
              </w:rPr>
              <w:t>数量</w:t>
            </w:r>
          </w:p>
        </w:tc>
        <w:tc>
          <w:tcPr>
            <w:tcW w:w="1632" w:type="dxa"/>
            <w:vAlign w:val="center"/>
          </w:tcPr>
          <w:p w14:paraId="4E943317">
            <w:pPr>
              <w:pStyle w:val="4"/>
              <w:jc w:val="center"/>
              <w:rPr>
                <w:rFonts w:hint="eastAsia" w:hAnsi="宋体" w:eastAsia="宋体" w:cs="宋体"/>
                <w:b/>
                <w:bCs/>
                <w:sz w:val="24"/>
                <w:szCs w:val="24"/>
                <w:lang w:val="en-US" w:eastAsia="zh-CN"/>
              </w:rPr>
            </w:pPr>
            <w:r>
              <w:rPr>
                <w:rFonts w:hint="eastAsia" w:hAnsi="宋体" w:eastAsia="宋体" w:cs="宋体"/>
                <w:b/>
                <w:bCs/>
                <w:sz w:val="24"/>
                <w:szCs w:val="24"/>
                <w:lang w:val="en-US" w:eastAsia="zh-CN"/>
              </w:rPr>
              <w:t>预算金额</w:t>
            </w:r>
          </w:p>
          <w:p w14:paraId="631CA3EB">
            <w:pPr>
              <w:pStyle w:val="4"/>
              <w:jc w:val="center"/>
              <w:rPr>
                <w:rFonts w:hAnsi="宋体" w:eastAsia="宋体"/>
                <w:b/>
                <w:bCs/>
                <w:sz w:val="24"/>
                <w:szCs w:val="24"/>
                <w:lang w:eastAsia="zh-CN"/>
              </w:rPr>
            </w:pPr>
            <w:r>
              <w:rPr>
                <w:rFonts w:hint="eastAsia" w:hAnsi="宋体" w:eastAsia="宋体"/>
                <w:b/>
                <w:bCs/>
                <w:sz w:val="24"/>
                <w:szCs w:val="24"/>
                <w:lang w:eastAsia="zh-CN"/>
              </w:rPr>
              <w:t>（人民币/元）</w:t>
            </w:r>
          </w:p>
        </w:tc>
        <w:tc>
          <w:tcPr>
            <w:tcW w:w="1284" w:type="dxa"/>
            <w:vAlign w:val="center"/>
          </w:tcPr>
          <w:p w14:paraId="14AF01C8">
            <w:pPr>
              <w:pStyle w:val="4"/>
              <w:spacing w:line="520" w:lineRule="exact"/>
              <w:jc w:val="center"/>
              <w:rPr>
                <w:rFonts w:hAnsi="宋体" w:eastAsia="宋体" w:cs="宋体"/>
                <w:b/>
                <w:bCs/>
                <w:spacing w:val="-6"/>
                <w:sz w:val="24"/>
                <w:szCs w:val="24"/>
              </w:rPr>
            </w:pPr>
            <w:r>
              <w:rPr>
                <w:rFonts w:hint="eastAsia" w:hAnsi="宋体" w:eastAsia="宋体" w:cs="宋体"/>
                <w:b/>
                <w:bCs/>
                <w:spacing w:val="-6"/>
                <w:sz w:val="24"/>
                <w:szCs w:val="24"/>
              </w:rPr>
              <w:t>服务期限</w:t>
            </w:r>
          </w:p>
        </w:tc>
        <w:tc>
          <w:tcPr>
            <w:tcW w:w="1436" w:type="dxa"/>
          </w:tcPr>
          <w:p w14:paraId="2E64C99E">
            <w:pPr>
              <w:pStyle w:val="4"/>
              <w:spacing w:line="520" w:lineRule="exact"/>
              <w:jc w:val="center"/>
              <w:rPr>
                <w:rFonts w:hint="eastAsia" w:hAnsi="宋体" w:eastAsia="宋体" w:cs="宋体"/>
                <w:b/>
                <w:bCs/>
                <w:spacing w:val="-6"/>
                <w:sz w:val="24"/>
                <w:szCs w:val="24"/>
              </w:rPr>
            </w:pPr>
            <w:r>
              <w:rPr>
                <w:rFonts w:hint="eastAsia" w:hAnsi="宋体" w:eastAsia="宋体" w:cs="宋体"/>
                <w:b/>
                <w:bCs/>
                <w:spacing w:val="-6"/>
                <w:sz w:val="24"/>
                <w:szCs w:val="24"/>
              </w:rPr>
              <w:t>预算金额合计</w:t>
            </w:r>
          </w:p>
          <w:p w14:paraId="327C55A5">
            <w:pPr>
              <w:pStyle w:val="4"/>
              <w:spacing w:line="520" w:lineRule="exact"/>
              <w:jc w:val="center"/>
              <w:rPr>
                <w:rFonts w:hint="eastAsia" w:hAnsi="宋体" w:eastAsia="宋体" w:cs="宋体"/>
                <w:b/>
                <w:bCs/>
                <w:spacing w:val="-6"/>
                <w:sz w:val="24"/>
                <w:szCs w:val="24"/>
              </w:rPr>
            </w:pPr>
            <w:r>
              <w:rPr>
                <w:rFonts w:hint="eastAsia" w:hAnsi="宋体" w:eastAsia="宋体" w:cs="宋体"/>
                <w:b/>
                <w:bCs/>
                <w:spacing w:val="-6"/>
                <w:sz w:val="24"/>
                <w:szCs w:val="24"/>
              </w:rPr>
              <w:t>（人民币/元）</w:t>
            </w:r>
          </w:p>
        </w:tc>
      </w:tr>
      <w:tr w14:paraId="72BBE20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52" w:hRule="atLeast"/>
        </w:trPr>
        <w:tc>
          <w:tcPr>
            <w:tcW w:w="1068" w:type="dxa"/>
            <w:vMerge w:val="restart"/>
            <w:vAlign w:val="center"/>
          </w:tcPr>
          <w:p w14:paraId="4C87A548">
            <w:pPr>
              <w:pStyle w:val="4"/>
              <w:jc w:val="center"/>
              <w:rPr>
                <w:rFonts w:hAnsi="宋体" w:eastAsia="宋体"/>
                <w:sz w:val="24"/>
                <w:szCs w:val="24"/>
                <w:lang w:eastAsia="zh-CN"/>
              </w:rPr>
            </w:pPr>
            <w:r>
              <w:rPr>
                <w:rFonts w:hint="eastAsia" w:hAnsi="宋体" w:eastAsia="宋体"/>
                <w:sz w:val="24"/>
                <w:szCs w:val="24"/>
                <w:lang w:eastAsia="zh-CN"/>
              </w:rPr>
              <w:t>赣购2026F000211130</w:t>
            </w:r>
          </w:p>
        </w:tc>
        <w:tc>
          <w:tcPr>
            <w:tcW w:w="1032" w:type="dxa"/>
            <w:vMerge w:val="restart"/>
            <w:vAlign w:val="center"/>
          </w:tcPr>
          <w:p w14:paraId="137F55FC">
            <w:pPr>
              <w:pStyle w:val="4"/>
              <w:jc w:val="center"/>
              <w:rPr>
                <w:rFonts w:hint="eastAsia" w:hAnsi="宋体" w:eastAsia="宋体"/>
                <w:sz w:val="24"/>
                <w:szCs w:val="24"/>
                <w:lang w:eastAsia="zh-CN"/>
              </w:rPr>
            </w:pPr>
            <w:r>
              <w:rPr>
                <w:rFonts w:hint="eastAsia" w:hAnsi="宋体" w:eastAsia="宋体"/>
                <w:sz w:val="24"/>
                <w:szCs w:val="24"/>
                <w:lang w:eastAsia="zh-CN"/>
              </w:rPr>
              <w:t>江西省交通运输信息化外场硬件运维服务项目</w:t>
            </w:r>
          </w:p>
        </w:tc>
        <w:tc>
          <w:tcPr>
            <w:tcW w:w="2400" w:type="dxa"/>
            <w:vAlign w:val="center"/>
          </w:tcPr>
          <w:p w14:paraId="26EDCC36">
            <w:pPr>
              <w:pStyle w:val="4"/>
              <w:jc w:val="center"/>
              <w:rPr>
                <w:rFonts w:hint="eastAsia" w:hAnsi="宋体" w:eastAsia="宋体"/>
                <w:sz w:val="24"/>
                <w:szCs w:val="24"/>
                <w:lang w:eastAsia="zh-CN"/>
              </w:rPr>
            </w:pPr>
            <w:r>
              <w:rPr>
                <w:rFonts w:hint="eastAsia" w:hAnsi="宋体" w:eastAsia="宋体"/>
                <w:sz w:val="24"/>
                <w:szCs w:val="24"/>
                <w:lang w:eastAsia="zh-CN"/>
              </w:rPr>
              <w:t>国省道交通情况调查数据采集与服务系统工程（一期）外场硬件运维服务</w:t>
            </w:r>
          </w:p>
        </w:tc>
        <w:tc>
          <w:tcPr>
            <w:tcW w:w="768" w:type="dxa"/>
            <w:vAlign w:val="center"/>
          </w:tcPr>
          <w:p w14:paraId="1F812705">
            <w:pPr>
              <w:pStyle w:val="4"/>
              <w:jc w:val="center"/>
              <w:rPr>
                <w:rFonts w:hint="default" w:hAnsi="宋体" w:eastAsia="宋体"/>
                <w:sz w:val="24"/>
                <w:szCs w:val="24"/>
                <w:lang w:val="en-US" w:eastAsia="zh-CN"/>
              </w:rPr>
            </w:pPr>
            <w:r>
              <w:rPr>
                <w:rFonts w:hint="eastAsia" w:hAnsi="宋体" w:eastAsia="宋体"/>
                <w:sz w:val="24"/>
                <w:szCs w:val="24"/>
                <w:lang w:eastAsia="zh-CN"/>
              </w:rPr>
              <w:t>1</w:t>
            </w:r>
            <w:r>
              <w:rPr>
                <w:rFonts w:hint="eastAsia" w:hAnsi="宋体" w:eastAsia="宋体"/>
                <w:sz w:val="24"/>
                <w:szCs w:val="24"/>
                <w:lang w:val="en-US" w:eastAsia="zh-CN"/>
              </w:rPr>
              <w:t>项</w:t>
            </w:r>
          </w:p>
        </w:tc>
        <w:tc>
          <w:tcPr>
            <w:tcW w:w="1632" w:type="dxa"/>
            <w:vAlign w:val="center"/>
          </w:tcPr>
          <w:p w14:paraId="4FBD55C6">
            <w:pPr>
              <w:pStyle w:val="4"/>
              <w:jc w:val="center"/>
              <w:rPr>
                <w:rFonts w:hint="eastAsia" w:hAnsi="宋体" w:eastAsia="宋体"/>
                <w:sz w:val="24"/>
                <w:szCs w:val="24"/>
                <w:lang w:eastAsia="zh-CN"/>
              </w:rPr>
            </w:pPr>
            <w:r>
              <w:rPr>
                <w:rFonts w:hint="eastAsia" w:hAnsi="宋体" w:eastAsia="宋体"/>
                <w:sz w:val="24"/>
                <w:szCs w:val="24"/>
                <w:lang w:val="en-US" w:eastAsia="zh-CN"/>
              </w:rPr>
              <w:t>6600</w:t>
            </w:r>
            <w:r>
              <w:rPr>
                <w:rFonts w:hint="eastAsia" w:hAnsi="宋体" w:eastAsia="宋体"/>
                <w:sz w:val="24"/>
                <w:szCs w:val="24"/>
                <w:lang w:eastAsia="zh-CN"/>
              </w:rPr>
              <w:t>00</w:t>
            </w:r>
          </w:p>
        </w:tc>
        <w:tc>
          <w:tcPr>
            <w:tcW w:w="1284" w:type="dxa"/>
            <w:vMerge w:val="restart"/>
            <w:vAlign w:val="center"/>
          </w:tcPr>
          <w:p w14:paraId="7B7B1C19">
            <w:pPr>
              <w:pStyle w:val="4"/>
              <w:spacing w:line="520" w:lineRule="exact"/>
              <w:jc w:val="center"/>
              <w:rPr>
                <w:rFonts w:hAnsi="宋体" w:eastAsia="宋体" w:cs="宋体"/>
                <w:bCs/>
                <w:spacing w:val="-6"/>
                <w:sz w:val="24"/>
                <w:szCs w:val="24"/>
                <w:lang w:eastAsia="zh-CN"/>
              </w:rPr>
            </w:pPr>
            <w:r>
              <w:rPr>
                <w:rFonts w:hint="eastAsia" w:hAnsi="宋体" w:eastAsia="宋体" w:cs="宋体"/>
                <w:bCs/>
                <w:spacing w:val="-6"/>
                <w:sz w:val="24"/>
                <w:szCs w:val="24"/>
                <w:lang w:eastAsia="zh-CN"/>
              </w:rPr>
              <w:t>202</w:t>
            </w:r>
            <w:r>
              <w:rPr>
                <w:rFonts w:hint="eastAsia" w:hAnsi="宋体" w:eastAsia="宋体" w:cs="宋体"/>
                <w:bCs/>
                <w:spacing w:val="-6"/>
                <w:sz w:val="24"/>
                <w:szCs w:val="24"/>
                <w:lang w:val="en-US" w:eastAsia="zh-CN"/>
              </w:rPr>
              <w:t>6</w:t>
            </w:r>
            <w:r>
              <w:rPr>
                <w:rFonts w:hint="eastAsia" w:hAnsi="宋体" w:eastAsia="宋体" w:cs="宋体"/>
                <w:bCs/>
                <w:spacing w:val="-6"/>
                <w:sz w:val="24"/>
                <w:szCs w:val="24"/>
                <w:lang w:eastAsia="zh-CN"/>
              </w:rPr>
              <w:t>年</w:t>
            </w:r>
            <w:r>
              <w:rPr>
                <w:rFonts w:hAnsi="宋体" w:eastAsia="宋体" w:cs="宋体"/>
                <w:bCs/>
                <w:spacing w:val="-6"/>
                <w:sz w:val="24"/>
                <w:szCs w:val="24"/>
                <w:lang w:eastAsia="zh-CN"/>
              </w:rPr>
              <w:t>7</w:t>
            </w:r>
            <w:r>
              <w:rPr>
                <w:rFonts w:hint="eastAsia" w:hAnsi="宋体" w:eastAsia="宋体" w:cs="宋体"/>
                <w:bCs/>
                <w:spacing w:val="-6"/>
                <w:sz w:val="24"/>
                <w:szCs w:val="24"/>
                <w:lang w:eastAsia="zh-CN"/>
              </w:rPr>
              <w:t>月</w:t>
            </w:r>
            <w:r>
              <w:rPr>
                <w:rFonts w:hAnsi="宋体" w:eastAsia="宋体" w:cs="宋体"/>
                <w:bCs/>
                <w:spacing w:val="-6"/>
                <w:sz w:val="24"/>
                <w:szCs w:val="24"/>
                <w:lang w:eastAsia="zh-CN"/>
              </w:rPr>
              <w:t>1</w:t>
            </w:r>
            <w:r>
              <w:rPr>
                <w:rFonts w:hint="eastAsia" w:hAnsi="宋体" w:eastAsia="宋体" w:cs="宋体"/>
                <w:bCs/>
                <w:spacing w:val="-6"/>
                <w:sz w:val="24"/>
                <w:szCs w:val="24"/>
                <w:lang w:eastAsia="zh-CN"/>
              </w:rPr>
              <w:t>日至</w:t>
            </w:r>
          </w:p>
          <w:p w14:paraId="610DD678">
            <w:pPr>
              <w:pStyle w:val="4"/>
              <w:spacing w:line="520" w:lineRule="exact"/>
              <w:jc w:val="center"/>
              <w:rPr>
                <w:rFonts w:hint="eastAsia" w:hAnsi="宋体" w:eastAsia="宋体" w:cs="宋体"/>
                <w:bCs/>
                <w:spacing w:val="-6"/>
                <w:sz w:val="24"/>
                <w:szCs w:val="24"/>
                <w:lang w:eastAsia="zh-CN"/>
              </w:rPr>
            </w:pPr>
            <w:r>
              <w:rPr>
                <w:rFonts w:hint="eastAsia" w:hAnsi="宋体" w:eastAsia="宋体" w:cs="宋体"/>
                <w:bCs/>
                <w:spacing w:val="-6"/>
                <w:sz w:val="24"/>
                <w:szCs w:val="24"/>
                <w:lang w:eastAsia="zh-CN"/>
              </w:rPr>
              <w:t>202</w:t>
            </w:r>
            <w:r>
              <w:rPr>
                <w:rFonts w:hint="eastAsia" w:hAnsi="宋体" w:eastAsia="宋体" w:cs="宋体"/>
                <w:bCs/>
                <w:spacing w:val="-6"/>
                <w:sz w:val="24"/>
                <w:szCs w:val="24"/>
                <w:lang w:val="en-US" w:eastAsia="zh-CN"/>
              </w:rPr>
              <w:t>7</w:t>
            </w:r>
            <w:r>
              <w:rPr>
                <w:rFonts w:hint="eastAsia" w:hAnsi="宋体" w:eastAsia="宋体" w:cs="宋体"/>
                <w:bCs/>
                <w:spacing w:val="-6"/>
                <w:sz w:val="24"/>
                <w:szCs w:val="24"/>
                <w:lang w:eastAsia="zh-CN"/>
              </w:rPr>
              <w:t>年6月30日</w:t>
            </w:r>
          </w:p>
          <w:p w14:paraId="7521EA2B">
            <w:pPr>
              <w:pStyle w:val="4"/>
              <w:spacing w:line="520" w:lineRule="exact"/>
              <w:jc w:val="center"/>
              <w:rPr>
                <w:rFonts w:hAnsi="宋体" w:eastAsia="宋体" w:cs="宋体"/>
                <w:b/>
                <w:bCs/>
                <w:spacing w:val="-6"/>
                <w:sz w:val="24"/>
                <w:szCs w:val="24"/>
              </w:rPr>
            </w:pPr>
          </w:p>
        </w:tc>
        <w:tc>
          <w:tcPr>
            <w:tcW w:w="1436" w:type="dxa"/>
            <w:vMerge w:val="restart"/>
            <w:vAlign w:val="center"/>
          </w:tcPr>
          <w:p w14:paraId="71F3660C">
            <w:pPr>
              <w:pStyle w:val="4"/>
              <w:spacing w:line="520" w:lineRule="exact"/>
              <w:jc w:val="center"/>
              <w:rPr>
                <w:rFonts w:hint="default" w:hAnsi="宋体" w:eastAsia="宋体" w:cs="宋体"/>
                <w:b/>
                <w:bCs/>
                <w:spacing w:val="-6"/>
                <w:sz w:val="24"/>
                <w:szCs w:val="24"/>
                <w:lang w:val="en-US" w:eastAsia="zh-CN"/>
              </w:rPr>
            </w:pPr>
            <w:r>
              <w:rPr>
                <w:rFonts w:hint="eastAsia" w:hAnsi="宋体" w:eastAsia="宋体"/>
                <w:sz w:val="24"/>
                <w:szCs w:val="24"/>
                <w:lang w:val="en-US" w:eastAsia="zh-CN"/>
              </w:rPr>
              <w:t>6408000</w:t>
            </w:r>
          </w:p>
        </w:tc>
      </w:tr>
      <w:tr w14:paraId="787948D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52" w:hRule="atLeast"/>
        </w:trPr>
        <w:tc>
          <w:tcPr>
            <w:tcW w:w="1068" w:type="dxa"/>
            <w:vMerge w:val="continue"/>
            <w:vAlign w:val="center"/>
          </w:tcPr>
          <w:p w14:paraId="4F2F6F10">
            <w:pPr>
              <w:pStyle w:val="4"/>
              <w:jc w:val="center"/>
              <w:rPr>
                <w:rFonts w:hAnsi="宋体" w:eastAsia="宋体"/>
                <w:sz w:val="24"/>
                <w:szCs w:val="24"/>
                <w:lang w:eastAsia="zh-CN"/>
              </w:rPr>
            </w:pPr>
          </w:p>
        </w:tc>
        <w:tc>
          <w:tcPr>
            <w:tcW w:w="1032" w:type="dxa"/>
            <w:vMerge w:val="continue"/>
            <w:vAlign w:val="center"/>
          </w:tcPr>
          <w:p w14:paraId="1F3AF8F6">
            <w:pPr>
              <w:pStyle w:val="4"/>
              <w:jc w:val="center"/>
              <w:rPr>
                <w:rFonts w:hint="eastAsia" w:hAnsi="宋体" w:eastAsia="宋体"/>
                <w:sz w:val="24"/>
                <w:szCs w:val="24"/>
                <w:lang w:eastAsia="zh-CN"/>
              </w:rPr>
            </w:pPr>
            <w:bookmarkStart w:id="1" w:name="OLE_LINK62"/>
          </w:p>
        </w:tc>
        <w:tc>
          <w:tcPr>
            <w:tcW w:w="2400" w:type="dxa"/>
            <w:vAlign w:val="center"/>
          </w:tcPr>
          <w:p w14:paraId="1CEB3E73">
            <w:pPr>
              <w:pStyle w:val="4"/>
              <w:jc w:val="center"/>
              <w:rPr>
                <w:rFonts w:hint="eastAsia" w:hAnsi="宋体" w:eastAsia="宋体"/>
                <w:sz w:val="24"/>
                <w:szCs w:val="24"/>
                <w:lang w:eastAsia="zh-CN"/>
              </w:rPr>
            </w:pPr>
            <w:r>
              <w:rPr>
                <w:rFonts w:hint="eastAsia" w:hAnsi="宋体" w:eastAsia="宋体"/>
                <w:sz w:val="24"/>
                <w:szCs w:val="24"/>
                <w:lang w:eastAsia="zh-CN"/>
              </w:rPr>
              <w:t>普通干线路网运行监测与应急处置平台（二期）外场硬件运维</w:t>
            </w:r>
            <w:bookmarkEnd w:id="1"/>
            <w:r>
              <w:rPr>
                <w:rFonts w:hint="eastAsia" w:hAnsi="宋体" w:eastAsia="宋体"/>
                <w:sz w:val="24"/>
                <w:szCs w:val="24"/>
                <w:lang w:eastAsia="zh-CN"/>
              </w:rPr>
              <w:t>服务</w:t>
            </w:r>
          </w:p>
        </w:tc>
        <w:tc>
          <w:tcPr>
            <w:tcW w:w="768" w:type="dxa"/>
            <w:vAlign w:val="center"/>
          </w:tcPr>
          <w:p w14:paraId="4061007D">
            <w:pPr>
              <w:pStyle w:val="4"/>
              <w:jc w:val="center"/>
              <w:rPr>
                <w:rFonts w:hint="eastAsia" w:hAnsi="宋体" w:eastAsia="宋体"/>
                <w:sz w:val="24"/>
                <w:szCs w:val="24"/>
                <w:lang w:eastAsia="zh-CN"/>
              </w:rPr>
            </w:pPr>
            <w:r>
              <w:rPr>
                <w:rFonts w:hint="eastAsia" w:hAnsi="宋体" w:eastAsia="宋体"/>
                <w:sz w:val="24"/>
                <w:szCs w:val="24"/>
                <w:lang w:eastAsia="zh-CN"/>
              </w:rPr>
              <w:t>1项</w:t>
            </w:r>
          </w:p>
        </w:tc>
        <w:tc>
          <w:tcPr>
            <w:tcW w:w="1632" w:type="dxa"/>
            <w:vAlign w:val="center"/>
          </w:tcPr>
          <w:p w14:paraId="207C27D5">
            <w:pPr>
              <w:pStyle w:val="4"/>
              <w:jc w:val="center"/>
              <w:rPr>
                <w:rFonts w:hint="eastAsia" w:hAnsi="宋体" w:eastAsia="宋体"/>
                <w:sz w:val="24"/>
                <w:szCs w:val="24"/>
                <w:lang w:eastAsia="zh-CN"/>
              </w:rPr>
            </w:pPr>
            <w:r>
              <w:rPr>
                <w:rFonts w:hint="eastAsia" w:hAnsi="宋体" w:eastAsia="宋体"/>
                <w:sz w:val="24"/>
                <w:szCs w:val="24"/>
                <w:lang w:val="en-US" w:eastAsia="zh-CN"/>
              </w:rPr>
              <w:t>37700</w:t>
            </w:r>
            <w:r>
              <w:rPr>
                <w:rFonts w:hint="eastAsia" w:hAnsi="宋体" w:eastAsia="宋体"/>
                <w:sz w:val="24"/>
                <w:szCs w:val="24"/>
                <w:lang w:eastAsia="zh-CN"/>
              </w:rPr>
              <w:t>00</w:t>
            </w:r>
          </w:p>
        </w:tc>
        <w:tc>
          <w:tcPr>
            <w:tcW w:w="1284" w:type="dxa"/>
            <w:vMerge w:val="continue"/>
          </w:tcPr>
          <w:p w14:paraId="1A23EB1E">
            <w:pPr>
              <w:pStyle w:val="4"/>
              <w:spacing w:line="520" w:lineRule="exact"/>
              <w:jc w:val="center"/>
              <w:rPr>
                <w:rFonts w:hAnsi="宋体" w:eastAsia="宋体" w:cs="宋体"/>
                <w:b/>
                <w:bCs/>
                <w:spacing w:val="-6"/>
                <w:sz w:val="24"/>
                <w:szCs w:val="24"/>
              </w:rPr>
            </w:pPr>
          </w:p>
        </w:tc>
        <w:tc>
          <w:tcPr>
            <w:tcW w:w="1436" w:type="dxa"/>
            <w:vMerge w:val="continue"/>
          </w:tcPr>
          <w:p w14:paraId="7172268D">
            <w:pPr>
              <w:pStyle w:val="4"/>
              <w:spacing w:line="520" w:lineRule="exact"/>
              <w:jc w:val="center"/>
              <w:rPr>
                <w:rFonts w:hAnsi="宋体" w:eastAsia="宋体" w:cs="宋体"/>
                <w:b/>
                <w:bCs/>
                <w:spacing w:val="-6"/>
                <w:sz w:val="24"/>
                <w:szCs w:val="24"/>
              </w:rPr>
            </w:pPr>
          </w:p>
        </w:tc>
      </w:tr>
      <w:tr w14:paraId="75A617C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41" w:hRule="atLeast"/>
        </w:trPr>
        <w:tc>
          <w:tcPr>
            <w:tcW w:w="1068" w:type="dxa"/>
            <w:vMerge w:val="continue"/>
            <w:vAlign w:val="center"/>
          </w:tcPr>
          <w:p w14:paraId="07D22343">
            <w:pPr>
              <w:pStyle w:val="4"/>
              <w:jc w:val="center"/>
              <w:rPr>
                <w:rFonts w:hAnsi="宋体" w:eastAsia="宋体"/>
                <w:sz w:val="24"/>
                <w:szCs w:val="24"/>
                <w:lang w:eastAsia="zh-CN"/>
              </w:rPr>
            </w:pPr>
          </w:p>
        </w:tc>
        <w:tc>
          <w:tcPr>
            <w:tcW w:w="1032" w:type="dxa"/>
            <w:vMerge w:val="continue"/>
            <w:vAlign w:val="center"/>
          </w:tcPr>
          <w:p w14:paraId="727D151E">
            <w:pPr>
              <w:pStyle w:val="4"/>
              <w:jc w:val="center"/>
              <w:rPr>
                <w:rFonts w:hint="eastAsia" w:hAnsi="宋体" w:eastAsia="宋体"/>
                <w:sz w:val="24"/>
                <w:szCs w:val="24"/>
                <w:lang w:eastAsia="zh-CN"/>
              </w:rPr>
            </w:pPr>
            <w:bookmarkStart w:id="2" w:name="OLE_LINK63"/>
            <w:bookmarkStart w:id="3" w:name="OLE_LINK64"/>
          </w:p>
        </w:tc>
        <w:tc>
          <w:tcPr>
            <w:tcW w:w="2400" w:type="dxa"/>
            <w:vAlign w:val="center"/>
          </w:tcPr>
          <w:p w14:paraId="629EC1FD">
            <w:pPr>
              <w:pStyle w:val="4"/>
              <w:jc w:val="center"/>
              <w:rPr>
                <w:rFonts w:hint="eastAsia" w:hAnsi="宋体" w:eastAsia="宋体"/>
                <w:sz w:val="24"/>
                <w:szCs w:val="24"/>
                <w:lang w:eastAsia="zh-CN"/>
              </w:rPr>
            </w:pPr>
            <w:r>
              <w:rPr>
                <w:rFonts w:hint="eastAsia" w:hAnsi="宋体" w:eastAsia="宋体"/>
                <w:sz w:val="24"/>
                <w:szCs w:val="24"/>
                <w:lang w:eastAsia="zh-CN"/>
              </w:rPr>
              <w:t>赣北航道事务中心视频监控系统运维服务</w:t>
            </w:r>
            <w:bookmarkEnd w:id="2"/>
            <w:bookmarkEnd w:id="3"/>
          </w:p>
        </w:tc>
        <w:tc>
          <w:tcPr>
            <w:tcW w:w="768" w:type="dxa"/>
            <w:vAlign w:val="center"/>
          </w:tcPr>
          <w:p w14:paraId="1B3578F2">
            <w:pPr>
              <w:pStyle w:val="4"/>
              <w:jc w:val="center"/>
              <w:rPr>
                <w:rFonts w:hint="eastAsia" w:hAnsi="宋体" w:eastAsia="宋体"/>
                <w:sz w:val="24"/>
                <w:szCs w:val="24"/>
                <w:lang w:eastAsia="zh-CN"/>
              </w:rPr>
            </w:pPr>
            <w:r>
              <w:rPr>
                <w:rFonts w:hint="eastAsia" w:hAnsi="宋体" w:eastAsia="宋体"/>
                <w:sz w:val="24"/>
                <w:szCs w:val="24"/>
                <w:lang w:eastAsia="zh-CN"/>
              </w:rPr>
              <w:t>1项</w:t>
            </w:r>
          </w:p>
        </w:tc>
        <w:tc>
          <w:tcPr>
            <w:tcW w:w="1632" w:type="dxa"/>
            <w:vAlign w:val="center"/>
          </w:tcPr>
          <w:p w14:paraId="3BB44AE6">
            <w:pPr>
              <w:pStyle w:val="4"/>
              <w:jc w:val="center"/>
              <w:rPr>
                <w:rFonts w:hint="eastAsia" w:hAnsi="宋体" w:eastAsia="宋体"/>
                <w:sz w:val="24"/>
                <w:szCs w:val="24"/>
                <w:lang w:eastAsia="zh-CN"/>
              </w:rPr>
            </w:pPr>
            <w:r>
              <w:rPr>
                <w:rFonts w:hint="eastAsia" w:hAnsi="宋体" w:eastAsia="宋体"/>
                <w:sz w:val="24"/>
                <w:szCs w:val="24"/>
                <w:lang w:eastAsia="zh-CN"/>
              </w:rPr>
              <w:t>2</w:t>
            </w:r>
            <w:r>
              <w:rPr>
                <w:rFonts w:hint="eastAsia" w:hAnsi="宋体" w:eastAsia="宋体"/>
                <w:sz w:val="24"/>
                <w:szCs w:val="24"/>
                <w:lang w:val="en-US" w:eastAsia="zh-CN"/>
              </w:rPr>
              <w:t>3</w:t>
            </w:r>
            <w:r>
              <w:rPr>
                <w:rFonts w:hint="eastAsia" w:hAnsi="宋体" w:eastAsia="宋体"/>
                <w:sz w:val="24"/>
                <w:szCs w:val="24"/>
                <w:lang w:eastAsia="zh-CN"/>
              </w:rPr>
              <w:t>0000</w:t>
            </w:r>
          </w:p>
        </w:tc>
        <w:tc>
          <w:tcPr>
            <w:tcW w:w="1284" w:type="dxa"/>
            <w:vMerge w:val="continue"/>
          </w:tcPr>
          <w:p w14:paraId="250BD2E5">
            <w:pPr>
              <w:pStyle w:val="4"/>
              <w:spacing w:line="520" w:lineRule="exact"/>
              <w:jc w:val="center"/>
              <w:rPr>
                <w:rFonts w:hAnsi="宋体" w:eastAsia="宋体" w:cs="宋体"/>
                <w:b/>
                <w:bCs/>
                <w:spacing w:val="-6"/>
                <w:sz w:val="24"/>
                <w:szCs w:val="24"/>
              </w:rPr>
            </w:pPr>
          </w:p>
        </w:tc>
        <w:tc>
          <w:tcPr>
            <w:tcW w:w="1436" w:type="dxa"/>
            <w:vMerge w:val="continue"/>
          </w:tcPr>
          <w:p w14:paraId="5CB59EBF">
            <w:pPr>
              <w:pStyle w:val="4"/>
              <w:spacing w:line="520" w:lineRule="exact"/>
              <w:jc w:val="center"/>
              <w:rPr>
                <w:rFonts w:hAnsi="宋体" w:eastAsia="宋体" w:cs="宋体"/>
                <w:b/>
                <w:bCs/>
                <w:spacing w:val="-6"/>
                <w:sz w:val="24"/>
                <w:szCs w:val="24"/>
              </w:rPr>
            </w:pPr>
          </w:p>
        </w:tc>
      </w:tr>
      <w:tr w14:paraId="3CA45FF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41" w:hRule="atLeast"/>
        </w:trPr>
        <w:tc>
          <w:tcPr>
            <w:tcW w:w="1068" w:type="dxa"/>
            <w:vMerge w:val="continue"/>
            <w:vAlign w:val="center"/>
          </w:tcPr>
          <w:p w14:paraId="5729C586">
            <w:pPr>
              <w:pStyle w:val="4"/>
              <w:ind w:firstLine="480"/>
              <w:jc w:val="center"/>
              <w:rPr>
                <w:rFonts w:hAnsi="宋体" w:eastAsia="宋体"/>
                <w:sz w:val="24"/>
                <w:szCs w:val="24"/>
                <w:lang w:eastAsia="zh-CN"/>
              </w:rPr>
            </w:pPr>
          </w:p>
        </w:tc>
        <w:tc>
          <w:tcPr>
            <w:tcW w:w="1032" w:type="dxa"/>
            <w:vMerge w:val="continue"/>
            <w:vAlign w:val="center"/>
          </w:tcPr>
          <w:p w14:paraId="462B940D">
            <w:pPr>
              <w:pStyle w:val="4"/>
              <w:jc w:val="center"/>
              <w:rPr>
                <w:rFonts w:hint="eastAsia" w:hAnsi="宋体" w:eastAsia="宋体"/>
                <w:sz w:val="24"/>
                <w:szCs w:val="24"/>
                <w:lang w:eastAsia="zh-CN"/>
              </w:rPr>
            </w:pPr>
            <w:bookmarkStart w:id="4" w:name="OLE_LINK65"/>
          </w:p>
        </w:tc>
        <w:tc>
          <w:tcPr>
            <w:tcW w:w="2400" w:type="dxa"/>
            <w:vAlign w:val="center"/>
          </w:tcPr>
          <w:p w14:paraId="79B267A3">
            <w:pPr>
              <w:pStyle w:val="4"/>
              <w:jc w:val="center"/>
              <w:rPr>
                <w:rFonts w:hint="eastAsia" w:hAnsi="宋体" w:eastAsia="宋体"/>
                <w:sz w:val="24"/>
                <w:szCs w:val="24"/>
                <w:lang w:eastAsia="zh-CN"/>
              </w:rPr>
            </w:pPr>
            <w:r>
              <w:rPr>
                <w:rFonts w:hint="eastAsia" w:hAnsi="宋体" w:eastAsia="宋体"/>
                <w:sz w:val="24"/>
                <w:szCs w:val="24"/>
                <w:lang w:eastAsia="zh-CN"/>
              </w:rPr>
              <w:t>赣东航道事务中心视频监控系统运维服务</w:t>
            </w:r>
            <w:bookmarkEnd w:id="4"/>
          </w:p>
        </w:tc>
        <w:tc>
          <w:tcPr>
            <w:tcW w:w="768" w:type="dxa"/>
            <w:vAlign w:val="center"/>
          </w:tcPr>
          <w:p w14:paraId="0EB1E2B8">
            <w:pPr>
              <w:pStyle w:val="4"/>
              <w:jc w:val="center"/>
              <w:rPr>
                <w:rFonts w:hint="eastAsia" w:hAnsi="宋体" w:eastAsia="宋体"/>
                <w:sz w:val="24"/>
                <w:szCs w:val="24"/>
                <w:lang w:eastAsia="zh-CN"/>
              </w:rPr>
            </w:pPr>
            <w:r>
              <w:rPr>
                <w:rFonts w:hint="eastAsia" w:hAnsi="宋体" w:eastAsia="宋体"/>
                <w:sz w:val="24"/>
                <w:szCs w:val="24"/>
                <w:lang w:eastAsia="zh-CN"/>
              </w:rPr>
              <w:t>1项</w:t>
            </w:r>
          </w:p>
        </w:tc>
        <w:tc>
          <w:tcPr>
            <w:tcW w:w="1632" w:type="dxa"/>
            <w:vAlign w:val="center"/>
          </w:tcPr>
          <w:p w14:paraId="27F2689D">
            <w:pPr>
              <w:pStyle w:val="4"/>
              <w:jc w:val="center"/>
              <w:rPr>
                <w:rFonts w:hint="eastAsia" w:hAnsi="宋体" w:eastAsia="宋体"/>
                <w:sz w:val="24"/>
                <w:szCs w:val="24"/>
                <w:lang w:eastAsia="zh-CN"/>
              </w:rPr>
            </w:pPr>
            <w:r>
              <w:rPr>
                <w:rFonts w:hint="eastAsia" w:hAnsi="宋体" w:eastAsia="宋体"/>
                <w:sz w:val="24"/>
                <w:szCs w:val="24"/>
                <w:lang w:eastAsia="zh-CN"/>
              </w:rPr>
              <w:t>2</w:t>
            </w:r>
            <w:r>
              <w:rPr>
                <w:rFonts w:hint="eastAsia" w:hAnsi="宋体" w:eastAsia="宋体"/>
                <w:sz w:val="24"/>
                <w:szCs w:val="24"/>
                <w:lang w:val="en-US" w:eastAsia="zh-CN"/>
              </w:rPr>
              <w:t>2</w:t>
            </w:r>
            <w:r>
              <w:rPr>
                <w:rFonts w:hint="eastAsia" w:hAnsi="宋体" w:eastAsia="宋体"/>
                <w:sz w:val="24"/>
                <w:szCs w:val="24"/>
                <w:lang w:eastAsia="zh-CN"/>
              </w:rPr>
              <w:t>0000</w:t>
            </w:r>
          </w:p>
        </w:tc>
        <w:tc>
          <w:tcPr>
            <w:tcW w:w="1284" w:type="dxa"/>
            <w:vMerge w:val="continue"/>
          </w:tcPr>
          <w:p w14:paraId="79C28D94">
            <w:pPr>
              <w:pStyle w:val="4"/>
              <w:spacing w:line="520" w:lineRule="exact"/>
              <w:jc w:val="center"/>
              <w:rPr>
                <w:rFonts w:hAnsi="宋体" w:eastAsia="宋体" w:cs="宋体"/>
                <w:b/>
                <w:bCs/>
                <w:spacing w:val="-6"/>
                <w:sz w:val="24"/>
                <w:szCs w:val="24"/>
              </w:rPr>
            </w:pPr>
          </w:p>
        </w:tc>
        <w:tc>
          <w:tcPr>
            <w:tcW w:w="1436" w:type="dxa"/>
            <w:vMerge w:val="continue"/>
          </w:tcPr>
          <w:p w14:paraId="4DBD342C">
            <w:pPr>
              <w:pStyle w:val="4"/>
              <w:spacing w:line="520" w:lineRule="exact"/>
              <w:jc w:val="center"/>
              <w:rPr>
                <w:rFonts w:hAnsi="宋体" w:eastAsia="宋体" w:cs="宋体"/>
                <w:b/>
                <w:bCs/>
                <w:spacing w:val="-6"/>
                <w:sz w:val="24"/>
                <w:szCs w:val="24"/>
              </w:rPr>
            </w:pPr>
          </w:p>
        </w:tc>
      </w:tr>
      <w:tr w14:paraId="661F79D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41" w:hRule="atLeast"/>
        </w:trPr>
        <w:tc>
          <w:tcPr>
            <w:tcW w:w="1068" w:type="dxa"/>
            <w:vMerge w:val="continue"/>
            <w:vAlign w:val="center"/>
          </w:tcPr>
          <w:p w14:paraId="3B125333">
            <w:pPr>
              <w:pStyle w:val="4"/>
              <w:ind w:firstLine="480"/>
              <w:jc w:val="center"/>
              <w:rPr>
                <w:rFonts w:hAnsi="宋体" w:eastAsia="宋体"/>
                <w:sz w:val="24"/>
                <w:szCs w:val="24"/>
                <w:lang w:eastAsia="zh-CN"/>
              </w:rPr>
            </w:pPr>
          </w:p>
        </w:tc>
        <w:tc>
          <w:tcPr>
            <w:tcW w:w="1032" w:type="dxa"/>
            <w:vMerge w:val="continue"/>
            <w:vAlign w:val="center"/>
          </w:tcPr>
          <w:p w14:paraId="17E48CA8">
            <w:pPr>
              <w:pStyle w:val="4"/>
              <w:jc w:val="center"/>
              <w:rPr>
                <w:rFonts w:hint="eastAsia" w:hAnsi="宋体" w:eastAsia="宋体"/>
                <w:sz w:val="24"/>
                <w:szCs w:val="24"/>
                <w:lang w:eastAsia="zh-CN"/>
              </w:rPr>
            </w:pPr>
            <w:bookmarkStart w:id="5" w:name="OLE_LINK66"/>
          </w:p>
        </w:tc>
        <w:tc>
          <w:tcPr>
            <w:tcW w:w="2400" w:type="dxa"/>
            <w:vAlign w:val="center"/>
          </w:tcPr>
          <w:p w14:paraId="0BEDBDBB">
            <w:pPr>
              <w:pStyle w:val="4"/>
              <w:jc w:val="center"/>
              <w:rPr>
                <w:rFonts w:hint="eastAsia" w:hAnsi="宋体" w:eastAsia="宋体"/>
                <w:sz w:val="24"/>
                <w:szCs w:val="24"/>
                <w:lang w:eastAsia="zh-CN"/>
              </w:rPr>
            </w:pPr>
            <w:r>
              <w:rPr>
                <w:rFonts w:hint="eastAsia" w:hAnsi="宋体" w:eastAsia="宋体"/>
                <w:sz w:val="24"/>
                <w:szCs w:val="24"/>
                <w:lang w:eastAsia="zh-CN"/>
              </w:rPr>
              <w:t>赣南航道事务中心视频监控系统运维服务</w:t>
            </w:r>
            <w:bookmarkEnd w:id="5"/>
          </w:p>
        </w:tc>
        <w:tc>
          <w:tcPr>
            <w:tcW w:w="768" w:type="dxa"/>
            <w:vAlign w:val="center"/>
          </w:tcPr>
          <w:p w14:paraId="276FA7E5">
            <w:pPr>
              <w:pStyle w:val="4"/>
              <w:jc w:val="center"/>
              <w:rPr>
                <w:rFonts w:hint="eastAsia" w:hAnsi="宋体" w:eastAsia="宋体"/>
                <w:sz w:val="24"/>
                <w:szCs w:val="24"/>
                <w:lang w:eastAsia="zh-CN"/>
              </w:rPr>
            </w:pPr>
            <w:r>
              <w:rPr>
                <w:rFonts w:hint="eastAsia" w:hAnsi="宋体" w:eastAsia="宋体"/>
                <w:sz w:val="24"/>
                <w:szCs w:val="24"/>
                <w:lang w:eastAsia="zh-CN"/>
              </w:rPr>
              <w:t>1项</w:t>
            </w:r>
          </w:p>
        </w:tc>
        <w:tc>
          <w:tcPr>
            <w:tcW w:w="1632" w:type="dxa"/>
            <w:vAlign w:val="center"/>
          </w:tcPr>
          <w:p w14:paraId="67C80C60">
            <w:pPr>
              <w:pStyle w:val="4"/>
              <w:jc w:val="center"/>
              <w:rPr>
                <w:rFonts w:hint="eastAsia" w:hAnsi="宋体" w:eastAsia="宋体"/>
                <w:sz w:val="24"/>
                <w:szCs w:val="24"/>
                <w:lang w:eastAsia="zh-CN"/>
              </w:rPr>
            </w:pPr>
            <w:r>
              <w:rPr>
                <w:rFonts w:hint="eastAsia" w:hAnsi="宋体" w:eastAsia="宋体"/>
                <w:sz w:val="24"/>
                <w:szCs w:val="24"/>
                <w:lang w:eastAsia="zh-CN"/>
              </w:rPr>
              <w:t>2</w:t>
            </w:r>
            <w:r>
              <w:rPr>
                <w:rFonts w:hint="eastAsia" w:hAnsi="宋体" w:eastAsia="宋体"/>
                <w:sz w:val="24"/>
                <w:szCs w:val="24"/>
                <w:lang w:val="en-US" w:eastAsia="zh-CN"/>
              </w:rPr>
              <w:t>2</w:t>
            </w:r>
            <w:r>
              <w:rPr>
                <w:rFonts w:hint="eastAsia" w:hAnsi="宋体" w:eastAsia="宋体"/>
                <w:sz w:val="24"/>
                <w:szCs w:val="24"/>
                <w:lang w:eastAsia="zh-CN"/>
              </w:rPr>
              <w:t>0000</w:t>
            </w:r>
          </w:p>
        </w:tc>
        <w:tc>
          <w:tcPr>
            <w:tcW w:w="1284" w:type="dxa"/>
            <w:vMerge w:val="continue"/>
          </w:tcPr>
          <w:p w14:paraId="57B25B8A">
            <w:pPr>
              <w:pStyle w:val="4"/>
              <w:spacing w:line="520" w:lineRule="exact"/>
              <w:jc w:val="center"/>
              <w:rPr>
                <w:rFonts w:hAnsi="宋体" w:eastAsia="宋体" w:cs="宋体"/>
                <w:b/>
                <w:bCs/>
                <w:spacing w:val="-6"/>
                <w:sz w:val="24"/>
                <w:szCs w:val="24"/>
              </w:rPr>
            </w:pPr>
          </w:p>
        </w:tc>
        <w:tc>
          <w:tcPr>
            <w:tcW w:w="1436" w:type="dxa"/>
            <w:vMerge w:val="continue"/>
          </w:tcPr>
          <w:p w14:paraId="565E8763">
            <w:pPr>
              <w:pStyle w:val="4"/>
              <w:spacing w:line="520" w:lineRule="exact"/>
              <w:jc w:val="center"/>
              <w:rPr>
                <w:rFonts w:hAnsi="宋体" w:eastAsia="宋体" w:cs="宋体"/>
                <w:b/>
                <w:bCs/>
                <w:spacing w:val="-6"/>
                <w:sz w:val="24"/>
                <w:szCs w:val="24"/>
              </w:rPr>
            </w:pPr>
          </w:p>
        </w:tc>
      </w:tr>
      <w:tr w14:paraId="5500493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41" w:hRule="atLeast"/>
        </w:trPr>
        <w:tc>
          <w:tcPr>
            <w:tcW w:w="1068" w:type="dxa"/>
            <w:vMerge w:val="continue"/>
            <w:vAlign w:val="center"/>
          </w:tcPr>
          <w:p w14:paraId="05049472">
            <w:pPr>
              <w:pStyle w:val="4"/>
              <w:ind w:firstLine="480"/>
              <w:jc w:val="center"/>
              <w:rPr>
                <w:rFonts w:hAnsi="宋体" w:eastAsia="宋体"/>
                <w:sz w:val="24"/>
                <w:szCs w:val="24"/>
                <w:lang w:eastAsia="zh-CN"/>
              </w:rPr>
            </w:pPr>
          </w:p>
        </w:tc>
        <w:tc>
          <w:tcPr>
            <w:tcW w:w="1032" w:type="dxa"/>
            <w:vMerge w:val="continue"/>
            <w:vAlign w:val="center"/>
          </w:tcPr>
          <w:p w14:paraId="0B597A89">
            <w:pPr>
              <w:pStyle w:val="4"/>
              <w:jc w:val="center"/>
              <w:rPr>
                <w:rFonts w:hint="eastAsia" w:hAnsi="宋体" w:eastAsia="宋体"/>
                <w:sz w:val="24"/>
                <w:szCs w:val="24"/>
                <w:lang w:eastAsia="zh-CN"/>
              </w:rPr>
            </w:pPr>
            <w:bookmarkStart w:id="6" w:name="OLE_LINK68"/>
            <w:bookmarkStart w:id="7" w:name="OLE_LINK67"/>
          </w:p>
        </w:tc>
        <w:tc>
          <w:tcPr>
            <w:tcW w:w="2400" w:type="dxa"/>
            <w:vAlign w:val="center"/>
          </w:tcPr>
          <w:p w14:paraId="048587DA">
            <w:pPr>
              <w:pStyle w:val="4"/>
              <w:jc w:val="center"/>
              <w:rPr>
                <w:rFonts w:hint="eastAsia" w:hAnsi="宋体" w:eastAsia="宋体"/>
                <w:sz w:val="24"/>
                <w:szCs w:val="24"/>
                <w:lang w:eastAsia="zh-CN"/>
              </w:rPr>
            </w:pPr>
            <w:r>
              <w:rPr>
                <w:rFonts w:hint="eastAsia" w:hAnsi="宋体" w:eastAsia="宋体"/>
                <w:sz w:val="24"/>
                <w:szCs w:val="24"/>
                <w:lang w:eastAsia="zh-CN"/>
              </w:rPr>
              <w:t>赣西航道事务中心视频监控系统运维服务</w:t>
            </w:r>
            <w:bookmarkEnd w:id="6"/>
            <w:bookmarkEnd w:id="7"/>
          </w:p>
        </w:tc>
        <w:tc>
          <w:tcPr>
            <w:tcW w:w="768" w:type="dxa"/>
            <w:vAlign w:val="center"/>
          </w:tcPr>
          <w:p w14:paraId="67605D79">
            <w:pPr>
              <w:pStyle w:val="4"/>
              <w:jc w:val="center"/>
              <w:rPr>
                <w:rFonts w:hint="eastAsia" w:hAnsi="宋体" w:eastAsia="宋体"/>
                <w:sz w:val="24"/>
                <w:szCs w:val="24"/>
                <w:lang w:eastAsia="zh-CN"/>
              </w:rPr>
            </w:pPr>
            <w:r>
              <w:rPr>
                <w:rFonts w:hint="eastAsia" w:hAnsi="宋体" w:eastAsia="宋体"/>
                <w:sz w:val="24"/>
                <w:szCs w:val="24"/>
                <w:lang w:eastAsia="zh-CN"/>
              </w:rPr>
              <w:t>1项</w:t>
            </w:r>
          </w:p>
        </w:tc>
        <w:tc>
          <w:tcPr>
            <w:tcW w:w="1632" w:type="dxa"/>
            <w:vAlign w:val="center"/>
          </w:tcPr>
          <w:p w14:paraId="671C598A">
            <w:pPr>
              <w:pStyle w:val="4"/>
              <w:jc w:val="center"/>
              <w:rPr>
                <w:rFonts w:hint="eastAsia" w:hAnsi="宋体" w:eastAsia="宋体"/>
                <w:sz w:val="24"/>
                <w:szCs w:val="24"/>
                <w:lang w:eastAsia="zh-CN"/>
              </w:rPr>
            </w:pPr>
            <w:r>
              <w:rPr>
                <w:rFonts w:hint="eastAsia" w:hAnsi="宋体" w:eastAsia="宋体"/>
                <w:sz w:val="24"/>
                <w:szCs w:val="24"/>
                <w:lang w:eastAsia="zh-CN"/>
              </w:rPr>
              <w:t>1</w:t>
            </w:r>
            <w:r>
              <w:rPr>
                <w:rFonts w:hint="eastAsia" w:hAnsi="宋体" w:eastAsia="宋体"/>
                <w:sz w:val="24"/>
                <w:szCs w:val="24"/>
                <w:lang w:val="en-US" w:eastAsia="zh-CN"/>
              </w:rPr>
              <w:t>6</w:t>
            </w:r>
            <w:r>
              <w:rPr>
                <w:rFonts w:hint="eastAsia" w:hAnsi="宋体" w:eastAsia="宋体"/>
                <w:sz w:val="24"/>
                <w:szCs w:val="24"/>
                <w:lang w:eastAsia="zh-CN"/>
              </w:rPr>
              <w:t>0000</w:t>
            </w:r>
          </w:p>
        </w:tc>
        <w:tc>
          <w:tcPr>
            <w:tcW w:w="1284" w:type="dxa"/>
            <w:vMerge w:val="continue"/>
          </w:tcPr>
          <w:p w14:paraId="7DDAAA53">
            <w:pPr>
              <w:pStyle w:val="4"/>
              <w:spacing w:line="520" w:lineRule="exact"/>
              <w:jc w:val="center"/>
              <w:rPr>
                <w:rFonts w:hAnsi="宋体" w:eastAsia="宋体" w:cs="宋体"/>
                <w:b/>
                <w:bCs/>
                <w:spacing w:val="-6"/>
                <w:sz w:val="24"/>
                <w:szCs w:val="24"/>
              </w:rPr>
            </w:pPr>
          </w:p>
        </w:tc>
        <w:tc>
          <w:tcPr>
            <w:tcW w:w="1436" w:type="dxa"/>
            <w:vMerge w:val="continue"/>
          </w:tcPr>
          <w:p w14:paraId="67745B3E">
            <w:pPr>
              <w:pStyle w:val="4"/>
              <w:spacing w:line="520" w:lineRule="exact"/>
              <w:jc w:val="center"/>
              <w:rPr>
                <w:rFonts w:hAnsi="宋体" w:eastAsia="宋体" w:cs="宋体"/>
                <w:b/>
                <w:bCs/>
                <w:spacing w:val="-6"/>
                <w:sz w:val="24"/>
                <w:szCs w:val="24"/>
              </w:rPr>
            </w:pPr>
          </w:p>
        </w:tc>
      </w:tr>
      <w:tr w14:paraId="054F3AB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41" w:hRule="atLeast"/>
        </w:trPr>
        <w:tc>
          <w:tcPr>
            <w:tcW w:w="1068" w:type="dxa"/>
            <w:vMerge w:val="continue"/>
            <w:vAlign w:val="center"/>
          </w:tcPr>
          <w:p w14:paraId="5B0EE3DC">
            <w:pPr>
              <w:pStyle w:val="4"/>
              <w:ind w:firstLine="480"/>
              <w:jc w:val="center"/>
              <w:rPr>
                <w:rFonts w:hAnsi="宋体" w:eastAsia="宋体"/>
                <w:sz w:val="24"/>
                <w:szCs w:val="24"/>
                <w:lang w:eastAsia="zh-CN"/>
              </w:rPr>
            </w:pPr>
          </w:p>
        </w:tc>
        <w:tc>
          <w:tcPr>
            <w:tcW w:w="1032" w:type="dxa"/>
            <w:vMerge w:val="continue"/>
            <w:vAlign w:val="center"/>
          </w:tcPr>
          <w:p w14:paraId="0BD89563">
            <w:pPr>
              <w:pStyle w:val="4"/>
              <w:jc w:val="center"/>
              <w:rPr>
                <w:rFonts w:hint="eastAsia" w:hAnsi="宋体" w:eastAsia="宋体"/>
                <w:sz w:val="24"/>
                <w:szCs w:val="24"/>
                <w:lang w:eastAsia="zh-CN"/>
              </w:rPr>
            </w:pPr>
            <w:bookmarkStart w:id="8" w:name="OLE_LINK70"/>
            <w:bookmarkStart w:id="9" w:name="OLE_LINK69"/>
          </w:p>
        </w:tc>
        <w:tc>
          <w:tcPr>
            <w:tcW w:w="2400" w:type="dxa"/>
            <w:vAlign w:val="center"/>
          </w:tcPr>
          <w:p w14:paraId="35A2F246">
            <w:pPr>
              <w:pStyle w:val="4"/>
              <w:jc w:val="center"/>
              <w:rPr>
                <w:rFonts w:hint="eastAsia" w:hAnsi="宋体" w:eastAsia="宋体"/>
                <w:sz w:val="24"/>
                <w:szCs w:val="24"/>
                <w:lang w:eastAsia="zh-CN"/>
              </w:rPr>
            </w:pPr>
            <w:r>
              <w:rPr>
                <w:rFonts w:hint="eastAsia" w:hAnsi="宋体" w:eastAsia="宋体"/>
                <w:sz w:val="24"/>
                <w:szCs w:val="24"/>
                <w:lang w:eastAsia="zh-CN"/>
              </w:rPr>
              <w:t>赣中航道事务中心视频监控系统运维服务</w:t>
            </w:r>
            <w:bookmarkEnd w:id="8"/>
            <w:bookmarkEnd w:id="9"/>
          </w:p>
        </w:tc>
        <w:tc>
          <w:tcPr>
            <w:tcW w:w="768" w:type="dxa"/>
            <w:vAlign w:val="center"/>
          </w:tcPr>
          <w:p w14:paraId="128505E1">
            <w:pPr>
              <w:pStyle w:val="4"/>
              <w:jc w:val="center"/>
              <w:rPr>
                <w:rFonts w:hint="eastAsia" w:hAnsi="宋体" w:eastAsia="宋体"/>
                <w:sz w:val="24"/>
                <w:szCs w:val="24"/>
                <w:lang w:eastAsia="zh-CN"/>
              </w:rPr>
            </w:pPr>
            <w:r>
              <w:rPr>
                <w:rFonts w:hint="eastAsia" w:hAnsi="宋体" w:eastAsia="宋体"/>
                <w:sz w:val="24"/>
                <w:szCs w:val="24"/>
                <w:lang w:eastAsia="zh-CN"/>
              </w:rPr>
              <w:t>1项</w:t>
            </w:r>
          </w:p>
        </w:tc>
        <w:tc>
          <w:tcPr>
            <w:tcW w:w="1632" w:type="dxa"/>
            <w:vAlign w:val="center"/>
          </w:tcPr>
          <w:p w14:paraId="0BD79C1C">
            <w:pPr>
              <w:pStyle w:val="4"/>
              <w:jc w:val="center"/>
              <w:rPr>
                <w:rFonts w:hint="eastAsia" w:hAnsi="宋体" w:eastAsia="宋体"/>
                <w:sz w:val="24"/>
                <w:szCs w:val="24"/>
                <w:lang w:eastAsia="zh-CN"/>
              </w:rPr>
            </w:pPr>
            <w:r>
              <w:rPr>
                <w:rFonts w:hint="eastAsia" w:hAnsi="宋体" w:eastAsia="宋体"/>
                <w:sz w:val="24"/>
                <w:szCs w:val="24"/>
                <w:lang w:eastAsia="zh-CN"/>
              </w:rPr>
              <w:t>2</w:t>
            </w:r>
            <w:r>
              <w:rPr>
                <w:rFonts w:hint="eastAsia" w:hAnsi="宋体" w:eastAsia="宋体"/>
                <w:sz w:val="24"/>
                <w:szCs w:val="24"/>
                <w:lang w:val="en-US" w:eastAsia="zh-CN"/>
              </w:rPr>
              <w:t>3</w:t>
            </w:r>
            <w:r>
              <w:rPr>
                <w:rFonts w:hint="eastAsia" w:hAnsi="宋体" w:eastAsia="宋体"/>
                <w:sz w:val="24"/>
                <w:szCs w:val="24"/>
                <w:lang w:eastAsia="zh-CN"/>
              </w:rPr>
              <w:t>0000</w:t>
            </w:r>
          </w:p>
        </w:tc>
        <w:tc>
          <w:tcPr>
            <w:tcW w:w="1284" w:type="dxa"/>
            <w:vMerge w:val="continue"/>
          </w:tcPr>
          <w:p w14:paraId="69B78D24">
            <w:pPr>
              <w:pStyle w:val="4"/>
              <w:spacing w:line="520" w:lineRule="exact"/>
              <w:jc w:val="center"/>
              <w:rPr>
                <w:rFonts w:hAnsi="宋体" w:eastAsia="宋体" w:cs="宋体"/>
                <w:b/>
                <w:bCs/>
                <w:spacing w:val="-6"/>
                <w:sz w:val="24"/>
                <w:szCs w:val="24"/>
              </w:rPr>
            </w:pPr>
          </w:p>
        </w:tc>
        <w:tc>
          <w:tcPr>
            <w:tcW w:w="1436" w:type="dxa"/>
            <w:vMerge w:val="continue"/>
          </w:tcPr>
          <w:p w14:paraId="22663D26">
            <w:pPr>
              <w:pStyle w:val="4"/>
              <w:spacing w:line="520" w:lineRule="exact"/>
              <w:jc w:val="center"/>
              <w:rPr>
                <w:rFonts w:hAnsi="宋体" w:eastAsia="宋体" w:cs="宋体"/>
                <w:b/>
                <w:bCs/>
                <w:spacing w:val="-6"/>
                <w:sz w:val="24"/>
                <w:szCs w:val="24"/>
              </w:rPr>
            </w:pPr>
          </w:p>
        </w:tc>
      </w:tr>
      <w:tr w14:paraId="21FE8A7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41" w:hRule="atLeast"/>
        </w:trPr>
        <w:tc>
          <w:tcPr>
            <w:tcW w:w="1068" w:type="dxa"/>
            <w:vMerge w:val="continue"/>
            <w:vAlign w:val="center"/>
          </w:tcPr>
          <w:p w14:paraId="2D5225E2">
            <w:pPr>
              <w:pStyle w:val="4"/>
              <w:jc w:val="center"/>
              <w:rPr>
                <w:rFonts w:hAnsi="宋体" w:eastAsia="宋体"/>
                <w:sz w:val="24"/>
                <w:szCs w:val="24"/>
                <w:lang w:eastAsia="zh-CN"/>
              </w:rPr>
            </w:pPr>
          </w:p>
        </w:tc>
        <w:tc>
          <w:tcPr>
            <w:tcW w:w="1032" w:type="dxa"/>
            <w:vMerge w:val="continue"/>
            <w:vAlign w:val="center"/>
          </w:tcPr>
          <w:p w14:paraId="75A14AFE">
            <w:pPr>
              <w:pStyle w:val="4"/>
              <w:jc w:val="center"/>
              <w:rPr>
                <w:rFonts w:hint="eastAsia" w:hAnsi="宋体" w:eastAsia="宋体"/>
                <w:sz w:val="24"/>
                <w:szCs w:val="24"/>
                <w:lang w:eastAsia="zh-CN"/>
              </w:rPr>
            </w:pPr>
            <w:bookmarkStart w:id="10" w:name="OLE_LINK71"/>
            <w:bookmarkStart w:id="11" w:name="OLE_LINK72"/>
          </w:p>
        </w:tc>
        <w:tc>
          <w:tcPr>
            <w:tcW w:w="2400" w:type="dxa"/>
            <w:vAlign w:val="center"/>
          </w:tcPr>
          <w:p w14:paraId="00F5B49D">
            <w:pPr>
              <w:pStyle w:val="4"/>
              <w:jc w:val="center"/>
              <w:rPr>
                <w:rFonts w:hint="eastAsia" w:hAnsi="宋体" w:eastAsia="宋体"/>
                <w:sz w:val="24"/>
                <w:szCs w:val="24"/>
                <w:lang w:eastAsia="zh-CN"/>
              </w:rPr>
            </w:pPr>
            <w:r>
              <w:rPr>
                <w:rFonts w:hint="eastAsia" w:hAnsi="宋体" w:eastAsia="宋体"/>
                <w:sz w:val="24"/>
                <w:szCs w:val="24"/>
                <w:lang w:eastAsia="zh-CN"/>
              </w:rPr>
              <w:t>信江高等级航道整治工程信息化支撑保障系统运维</w:t>
            </w:r>
            <w:bookmarkEnd w:id="10"/>
            <w:bookmarkEnd w:id="11"/>
            <w:r>
              <w:rPr>
                <w:rFonts w:hint="eastAsia" w:hAnsi="宋体" w:eastAsia="宋体"/>
                <w:sz w:val="24"/>
                <w:szCs w:val="24"/>
                <w:lang w:eastAsia="zh-CN"/>
              </w:rPr>
              <w:t>服务</w:t>
            </w:r>
          </w:p>
        </w:tc>
        <w:tc>
          <w:tcPr>
            <w:tcW w:w="768" w:type="dxa"/>
            <w:vAlign w:val="center"/>
          </w:tcPr>
          <w:p w14:paraId="16EF3A77">
            <w:pPr>
              <w:pStyle w:val="4"/>
              <w:jc w:val="center"/>
              <w:rPr>
                <w:rFonts w:hint="eastAsia" w:hAnsi="宋体" w:eastAsia="宋体"/>
                <w:sz w:val="24"/>
                <w:szCs w:val="24"/>
                <w:lang w:eastAsia="zh-CN"/>
              </w:rPr>
            </w:pPr>
            <w:r>
              <w:rPr>
                <w:rFonts w:hint="eastAsia" w:hAnsi="宋体" w:eastAsia="宋体"/>
                <w:sz w:val="24"/>
                <w:szCs w:val="24"/>
                <w:lang w:eastAsia="zh-CN"/>
              </w:rPr>
              <w:t>1项</w:t>
            </w:r>
          </w:p>
        </w:tc>
        <w:tc>
          <w:tcPr>
            <w:tcW w:w="1632" w:type="dxa"/>
            <w:vAlign w:val="center"/>
          </w:tcPr>
          <w:p w14:paraId="5DBC3D85">
            <w:pPr>
              <w:pStyle w:val="4"/>
              <w:jc w:val="center"/>
              <w:rPr>
                <w:rFonts w:hint="eastAsia" w:hAnsi="宋体" w:eastAsia="宋体"/>
                <w:sz w:val="24"/>
                <w:szCs w:val="24"/>
                <w:lang w:eastAsia="zh-CN"/>
              </w:rPr>
            </w:pPr>
            <w:r>
              <w:rPr>
                <w:rFonts w:hint="eastAsia" w:hAnsi="宋体" w:eastAsia="宋体"/>
                <w:sz w:val="24"/>
                <w:szCs w:val="24"/>
                <w:highlight w:val="none"/>
                <w:lang w:eastAsia="zh-CN"/>
              </w:rPr>
              <w:t>3</w:t>
            </w:r>
            <w:r>
              <w:rPr>
                <w:rFonts w:hint="eastAsia" w:hAnsi="宋体" w:eastAsia="宋体"/>
                <w:sz w:val="24"/>
                <w:szCs w:val="24"/>
                <w:highlight w:val="none"/>
                <w:lang w:val="en-US" w:eastAsia="zh-CN"/>
              </w:rPr>
              <w:t>9</w:t>
            </w:r>
            <w:r>
              <w:rPr>
                <w:rFonts w:hint="eastAsia" w:hAnsi="宋体" w:eastAsia="宋体"/>
                <w:sz w:val="24"/>
                <w:szCs w:val="24"/>
                <w:highlight w:val="none"/>
                <w:lang w:eastAsia="zh-CN"/>
              </w:rPr>
              <w:t>0000</w:t>
            </w:r>
          </w:p>
        </w:tc>
        <w:tc>
          <w:tcPr>
            <w:tcW w:w="1284" w:type="dxa"/>
            <w:vMerge w:val="continue"/>
          </w:tcPr>
          <w:p w14:paraId="0D36DF2E">
            <w:pPr>
              <w:pStyle w:val="4"/>
              <w:spacing w:line="520" w:lineRule="exact"/>
              <w:jc w:val="center"/>
              <w:rPr>
                <w:rFonts w:hAnsi="宋体" w:eastAsia="宋体" w:cs="宋体"/>
                <w:b/>
                <w:bCs/>
                <w:spacing w:val="-6"/>
                <w:sz w:val="24"/>
                <w:szCs w:val="24"/>
                <w:lang w:eastAsia="zh-CN"/>
              </w:rPr>
            </w:pPr>
          </w:p>
        </w:tc>
        <w:tc>
          <w:tcPr>
            <w:tcW w:w="1436" w:type="dxa"/>
            <w:vMerge w:val="continue"/>
          </w:tcPr>
          <w:p w14:paraId="00038E64">
            <w:pPr>
              <w:pStyle w:val="4"/>
              <w:spacing w:line="520" w:lineRule="exact"/>
              <w:jc w:val="center"/>
              <w:rPr>
                <w:rFonts w:hAnsi="宋体" w:eastAsia="宋体" w:cs="宋体"/>
                <w:b/>
                <w:bCs/>
                <w:spacing w:val="-6"/>
                <w:sz w:val="24"/>
                <w:szCs w:val="24"/>
                <w:lang w:eastAsia="zh-CN"/>
              </w:rPr>
            </w:pPr>
          </w:p>
        </w:tc>
      </w:tr>
      <w:tr w14:paraId="6AFEB95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41" w:hRule="atLeast"/>
        </w:trPr>
        <w:tc>
          <w:tcPr>
            <w:tcW w:w="1068" w:type="dxa"/>
            <w:vMerge w:val="continue"/>
            <w:vAlign w:val="center"/>
          </w:tcPr>
          <w:p w14:paraId="79EC2EDB">
            <w:pPr>
              <w:pStyle w:val="4"/>
              <w:jc w:val="center"/>
              <w:rPr>
                <w:rFonts w:hAnsi="宋体" w:eastAsia="宋体"/>
                <w:sz w:val="24"/>
                <w:szCs w:val="24"/>
                <w:lang w:eastAsia="zh-CN"/>
              </w:rPr>
            </w:pPr>
          </w:p>
        </w:tc>
        <w:tc>
          <w:tcPr>
            <w:tcW w:w="1032" w:type="dxa"/>
            <w:vMerge w:val="continue"/>
            <w:vAlign w:val="center"/>
          </w:tcPr>
          <w:p w14:paraId="73F3ABC3">
            <w:pPr>
              <w:pStyle w:val="4"/>
              <w:jc w:val="center"/>
              <w:rPr>
                <w:rFonts w:hint="eastAsia" w:hAnsi="宋体" w:eastAsia="宋体"/>
                <w:sz w:val="24"/>
                <w:szCs w:val="24"/>
                <w:lang w:eastAsia="zh-CN"/>
              </w:rPr>
            </w:pPr>
            <w:bookmarkStart w:id="12" w:name="OLE_LINK73"/>
            <w:bookmarkStart w:id="13" w:name="OLE_LINK74"/>
          </w:p>
        </w:tc>
        <w:tc>
          <w:tcPr>
            <w:tcW w:w="2400" w:type="dxa"/>
            <w:vAlign w:val="center"/>
          </w:tcPr>
          <w:p w14:paraId="259130F4">
            <w:pPr>
              <w:pStyle w:val="4"/>
              <w:jc w:val="center"/>
              <w:rPr>
                <w:rFonts w:hint="eastAsia" w:hAnsi="宋体" w:eastAsia="宋体"/>
                <w:sz w:val="24"/>
                <w:szCs w:val="24"/>
                <w:lang w:eastAsia="zh-CN"/>
              </w:rPr>
            </w:pPr>
            <w:r>
              <w:rPr>
                <w:rFonts w:hint="eastAsia" w:hAnsi="宋体" w:eastAsia="宋体"/>
                <w:sz w:val="24"/>
                <w:szCs w:val="24"/>
                <w:lang w:eastAsia="zh-CN"/>
              </w:rPr>
              <w:t>执法记录仪及数据采集站运维服务</w:t>
            </w:r>
            <w:bookmarkEnd w:id="12"/>
            <w:bookmarkEnd w:id="13"/>
          </w:p>
        </w:tc>
        <w:tc>
          <w:tcPr>
            <w:tcW w:w="768" w:type="dxa"/>
            <w:vAlign w:val="center"/>
          </w:tcPr>
          <w:p w14:paraId="3E409576">
            <w:pPr>
              <w:pStyle w:val="4"/>
              <w:jc w:val="center"/>
              <w:rPr>
                <w:rFonts w:hint="eastAsia" w:hAnsi="宋体" w:eastAsia="宋体"/>
                <w:sz w:val="24"/>
                <w:szCs w:val="24"/>
                <w:lang w:eastAsia="zh-CN"/>
              </w:rPr>
            </w:pPr>
            <w:r>
              <w:rPr>
                <w:rFonts w:hint="eastAsia" w:hAnsi="宋体" w:eastAsia="宋体"/>
                <w:sz w:val="24"/>
                <w:szCs w:val="24"/>
                <w:lang w:eastAsia="zh-CN"/>
              </w:rPr>
              <w:t>1项</w:t>
            </w:r>
          </w:p>
        </w:tc>
        <w:tc>
          <w:tcPr>
            <w:tcW w:w="1632" w:type="dxa"/>
            <w:vAlign w:val="center"/>
          </w:tcPr>
          <w:p w14:paraId="73080DF6">
            <w:pPr>
              <w:pStyle w:val="4"/>
              <w:jc w:val="center"/>
              <w:rPr>
                <w:rFonts w:hint="eastAsia" w:hAnsi="宋体" w:eastAsia="宋体"/>
                <w:sz w:val="24"/>
                <w:szCs w:val="24"/>
                <w:lang w:eastAsia="zh-CN"/>
              </w:rPr>
            </w:pPr>
            <w:r>
              <w:rPr>
                <w:rFonts w:hint="eastAsia" w:hAnsi="宋体" w:eastAsia="宋体"/>
                <w:sz w:val="24"/>
                <w:szCs w:val="24"/>
                <w:lang w:val="en-US" w:eastAsia="zh-CN"/>
              </w:rPr>
              <w:t>2900</w:t>
            </w:r>
            <w:r>
              <w:rPr>
                <w:rFonts w:hint="eastAsia" w:hAnsi="宋体" w:eastAsia="宋体"/>
                <w:sz w:val="24"/>
                <w:szCs w:val="24"/>
                <w:lang w:eastAsia="zh-CN"/>
              </w:rPr>
              <w:t>00</w:t>
            </w:r>
          </w:p>
        </w:tc>
        <w:tc>
          <w:tcPr>
            <w:tcW w:w="1284" w:type="dxa"/>
            <w:vMerge w:val="continue"/>
          </w:tcPr>
          <w:p w14:paraId="0FDEA811">
            <w:pPr>
              <w:pStyle w:val="4"/>
              <w:spacing w:line="520" w:lineRule="exact"/>
              <w:jc w:val="center"/>
              <w:rPr>
                <w:rFonts w:hAnsi="宋体" w:eastAsia="宋体" w:cs="宋体"/>
                <w:b/>
                <w:bCs/>
                <w:spacing w:val="-6"/>
                <w:sz w:val="24"/>
                <w:szCs w:val="24"/>
              </w:rPr>
            </w:pPr>
          </w:p>
        </w:tc>
        <w:tc>
          <w:tcPr>
            <w:tcW w:w="1436" w:type="dxa"/>
            <w:vMerge w:val="continue"/>
          </w:tcPr>
          <w:p w14:paraId="0F1B85E5">
            <w:pPr>
              <w:pStyle w:val="4"/>
              <w:spacing w:line="520" w:lineRule="exact"/>
              <w:jc w:val="center"/>
              <w:rPr>
                <w:rFonts w:hAnsi="宋体" w:eastAsia="宋体" w:cs="宋体"/>
                <w:b/>
                <w:bCs/>
                <w:spacing w:val="-6"/>
                <w:sz w:val="24"/>
                <w:szCs w:val="24"/>
              </w:rPr>
            </w:pPr>
          </w:p>
        </w:tc>
      </w:tr>
      <w:tr w14:paraId="4FB3A2E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61" w:hRule="atLeast"/>
        </w:trPr>
        <w:tc>
          <w:tcPr>
            <w:tcW w:w="1068" w:type="dxa"/>
            <w:vMerge w:val="continue"/>
            <w:vAlign w:val="center"/>
          </w:tcPr>
          <w:p w14:paraId="15ED07AF">
            <w:pPr>
              <w:pStyle w:val="4"/>
              <w:jc w:val="center"/>
              <w:rPr>
                <w:rFonts w:hAnsi="宋体" w:eastAsia="宋体"/>
                <w:sz w:val="24"/>
                <w:szCs w:val="24"/>
                <w:lang w:eastAsia="zh-CN"/>
              </w:rPr>
            </w:pPr>
          </w:p>
        </w:tc>
        <w:tc>
          <w:tcPr>
            <w:tcW w:w="1032" w:type="dxa"/>
            <w:vMerge w:val="continue"/>
            <w:vAlign w:val="center"/>
          </w:tcPr>
          <w:p w14:paraId="7FE4B7ED">
            <w:pPr>
              <w:pStyle w:val="4"/>
              <w:jc w:val="center"/>
              <w:rPr>
                <w:rFonts w:hint="eastAsia" w:hAnsi="宋体" w:eastAsia="宋体"/>
                <w:sz w:val="24"/>
                <w:szCs w:val="24"/>
                <w:lang w:eastAsia="zh-CN"/>
              </w:rPr>
            </w:pPr>
          </w:p>
        </w:tc>
        <w:tc>
          <w:tcPr>
            <w:tcW w:w="2400" w:type="dxa"/>
            <w:vAlign w:val="center"/>
          </w:tcPr>
          <w:p w14:paraId="038E2390">
            <w:pPr>
              <w:pStyle w:val="4"/>
              <w:jc w:val="center"/>
              <w:rPr>
                <w:rFonts w:hint="eastAsia" w:hAnsi="宋体" w:eastAsia="宋体"/>
                <w:sz w:val="24"/>
                <w:szCs w:val="24"/>
                <w:lang w:eastAsia="zh-CN"/>
              </w:rPr>
            </w:pPr>
            <w:r>
              <w:rPr>
                <w:rFonts w:hint="eastAsia" w:hAnsi="宋体" w:eastAsia="宋体"/>
                <w:sz w:val="24"/>
                <w:szCs w:val="24"/>
                <w:lang w:eastAsia="zh-CN"/>
              </w:rPr>
              <w:t>路政智能指挥调度车载设备</w:t>
            </w:r>
            <w:r>
              <w:rPr>
                <w:rFonts w:hint="eastAsia" w:hAnsi="宋体" w:eastAsia="宋体"/>
                <w:sz w:val="24"/>
                <w:szCs w:val="24"/>
                <w:lang w:val="en-US" w:eastAsia="zh-CN"/>
              </w:rPr>
              <w:t>运维</w:t>
            </w:r>
            <w:r>
              <w:rPr>
                <w:rFonts w:hint="eastAsia" w:hAnsi="宋体" w:eastAsia="宋体"/>
                <w:sz w:val="24"/>
                <w:szCs w:val="24"/>
                <w:lang w:eastAsia="zh-CN"/>
              </w:rPr>
              <w:t>服务</w:t>
            </w:r>
          </w:p>
        </w:tc>
        <w:tc>
          <w:tcPr>
            <w:tcW w:w="768" w:type="dxa"/>
            <w:shd w:val="clear" w:color="auto" w:fill="auto"/>
            <w:vAlign w:val="center"/>
          </w:tcPr>
          <w:p w14:paraId="59BB9B41">
            <w:pPr>
              <w:pStyle w:val="4"/>
              <w:jc w:val="center"/>
              <w:rPr>
                <w:rFonts w:hint="eastAsia" w:hAnsi="宋体" w:eastAsia="宋体"/>
                <w:sz w:val="24"/>
                <w:szCs w:val="24"/>
                <w:lang w:val="en-US" w:eastAsia="zh-CN"/>
              </w:rPr>
            </w:pPr>
            <w:r>
              <w:rPr>
                <w:rFonts w:hint="eastAsia" w:hAnsi="宋体" w:eastAsia="宋体"/>
                <w:sz w:val="24"/>
                <w:szCs w:val="24"/>
                <w:lang w:eastAsia="zh-CN"/>
              </w:rPr>
              <w:t>1项</w:t>
            </w:r>
          </w:p>
        </w:tc>
        <w:tc>
          <w:tcPr>
            <w:tcW w:w="1632" w:type="dxa"/>
            <w:vAlign w:val="center"/>
          </w:tcPr>
          <w:p w14:paraId="085313C1">
            <w:pPr>
              <w:pStyle w:val="4"/>
              <w:jc w:val="center"/>
              <w:rPr>
                <w:rFonts w:hint="default" w:hAnsi="宋体" w:eastAsia="宋体"/>
                <w:sz w:val="24"/>
                <w:szCs w:val="24"/>
                <w:lang w:val="en-US" w:eastAsia="zh-CN"/>
              </w:rPr>
            </w:pPr>
            <w:r>
              <w:rPr>
                <w:rFonts w:hint="eastAsia" w:hAnsi="宋体" w:eastAsia="宋体"/>
                <w:sz w:val="24"/>
                <w:szCs w:val="24"/>
                <w:highlight w:val="none"/>
                <w:lang w:val="en-US" w:eastAsia="zh-CN"/>
              </w:rPr>
              <w:t>238000</w:t>
            </w:r>
          </w:p>
        </w:tc>
        <w:tc>
          <w:tcPr>
            <w:tcW w:w="1284" w:type="dxa"/>
            <w:vMerge w:val="continue"/>
          </w:tcPr>
          <w:p w14:paraId="31DE5139">
            <w:pPr>
              <w:pStyle w:val="4"/>
              <w:spacing w:line="520" w:lineRule="exact"/>
              <w:jc w:val="center"/>
              <w:rPr>
                <w:rFonts w:hint="eastAsia" w:hAnsi="宋体" w:eastAsia="宋体" w:cs="宋体"/>
                <w:bCs/>
                <w:spacing w:val="-6"/>
                <w:sz w:val="24"/>
                <w:szCs w:val="24"/>
                <w:lang w:eastAsia="zh-CN"/>
              </w:rPr>
            </w:pPr>
          </w:p>
        </w:tc>
        <w:tc>
          <w:tcPr>
            <w:tcW w:w="1436" w:type="dxa"/>
            <w:vMerge w:val="continue"/>
          </w:tcPr>
          <w:p w14:paraId="7BFFD66A">
            <w:pPr>
              <w:pStyle w:val="4"/>
              <w:spacing w:line="520" w:lineRule="exact"/>
              <w:jc w:val="center"/>
              <w:rPr>
                <w:rFonts w:hint="eastAsia" w:hAnsi="宋体" w:eastAsia="宋体" w:cs="宋体"/>
                <w:bCs/>
                <w:spacing w:val="-6"/>
                <w:sz w:val="24"/>
                <w:szCs w:val="24"/>
                <w:lang w:eastAsia="zh-CN"/>
              </w:rPr>
            </w:pPr>
          </w:p>
        </w:tc>
      </w:tr>
      <w:bookmarkEnd w:id="0"/>
    </w:tbl>
    <w:p w14:paraId="4F8EADBE">
      <w:pPr>
        <w:widowControl w:val="0"/>
        <w:rPr>
          <w:rFonts w:hint="eastAsia" w:asciiTheme="minorEastAsia" w:hAnsiTheme="minorEastAsia" w:eastAsiaTheme="minorEastAsia" w:cstheme="minorEastAsia"/>
          <w:color w:val="auto"/>
          <w:sz w:val="24"/>
          <w:szCs w:val="24"/>
        </w:rPr>
      </w:pPr>
      <w:r>
        <w:rPr>
          <w:rFonts w:hint="eastAsia" w:cs="楷体" w:asciiTheme="minorEastAsia" w:hAnsiTheme="minorEastAsia" w:eastAsiaTheme="minorEastAsia"/>
          <w:b/>
          <w:color w:val="auto"/>
          <w:sz w:val="24"/>
          <w:szCs w:val="24"/>
          <w:lang w:eastAsia="zh-CN"/>
        </w:rPr>
        <w:t>注：投标人须进行分项报价，且分项报价不得超过各预算金额，超过视为无效投标。</w:t>
      </w:r>
    </w:p>
    <w:p w14:paraId="079DB9C2">
      <w:pPr>
        <w:pageBreakBefore w:val="0"/>
        <w:widowControl w:val="0"/>
        <w:wordWrap/>
        <w:overflowPunct/>
        <w:topLinePunct w:val="0"/>
        <w:bidi w:val="0"/>
        <w:rPr>
          <w:color w:val="auto"/>
          <w:spacing w:val="0"/>
          <w:position w:val="0"/>
        </w:rPr>
        <w:sectPr>
          <w:footerReference r:id="rId3" w:type="default"/>
          <w:pgSz w:w="11906" w:h="16839"/>
          <w:pgMar w:top="1429" w:right="1786" w:bottom="1429" w:left="1786" w:header="0" w:footer="994" w:gutter="0"/>
          <w:pgNumType w:fmt="decimal"/>
          <w:cols w:space="720" w:num="1"/>
        </w:sectPr>
      </w:pPr>
    </w:p>
    <w:p w14:paraId="57B385ED">
      <w:pPr>
        <w:pageBreakBefore w:val="0"/>
        <w:widowControl w:val="0"/>
        <w:numPr>
          <w:ilvl w:val="0"/>
          <w:numId w:val="1"/>
        </w:numPr>
        <w:wordWrap/>
        <w:overflowPunct/>
        <w:topLinePunct w:val="0"/>
        <w:bidi w:val="0"/>
        <w:spacing w:before="47" w:line="219" w:lineRule="auto"/>
        <w:ind w:left="0" w:leftChars="0" w:firstLine="0" w:firstLineChars="0"/>
        <w:jc w:val="center"/>
        <w:outlineLvl w:val="0"/>
        <w:rPr>
          <w:rFonts w:hint="eastAsia" w:ascii="宋体" w:hAnsi="宋体" w:eastAsia="宋体" w:cs="宋体"/>
          <w:color w:val="auto"/>
          <w:spacing w:val="0"/>
          <w:position w:val="0"/>
          <w:sz w:val="24"/>
          <w:szCs w:val="24"/>
          <w:lang w:val="en-US" w:eastAsia="zh-CN"/>
          <w14:textOutline w14:w="4356" w14:cap="sq" w14:cmpd="sng" w14:algn="ctr">
            <w14:solidFill>
              <w14:srgbClr w14:val="000000"/>
            </w14:solidFill>
            <w14:prstDash w14:val="solid"/>
            <w14:bevel/>
          </w14:textOutline>
        </w:rPr>
      </w:pPr>
      <w:bookmarkStart w:id="14" w:name="_Toc21993"/>
      <w:bookmarkStart w:id="15" w:name="_Toc23716"/>
      <w:r>
        <w:rPr>
          <w:rFonts w:ascii="宋体" w:hAnsi="宋体" w:eastAsia="宋体" w:cs="宋体"/>
          <w:color w:val="auto"/>
          <w:spacing w:val="0"/>
          <w:position w:val="0"/>
          <w:sz w:val="24"/>
          <w:szCs w:val="24"/>
          <w14:textOutline w14:w="4356" w14:cap="sq" w14:cmpd="sng" w14:algn="ctr">
            <w14:solidFill>
              <w14:srgbClr w14:val="000000"/>
            </w14:solidFill>
            <w14:prstDash w14:val="solid"/>
            <w14:bevel/>
          </w14:textOutline>
        </w:rPr>
        <w:t>采购</w:t>
      </w:r>
      <w:bookmarkEnd w:id="14"/>
      <w:bookmarkEnd w:id="15"/>
      <w:r>
        <w:rPr>
          <w:rFonts w:hint="eastAsia" w:ascii="宋体" w:hAnsi="宋体" w:eastAsia="宋体" w:cs="宋体"/>
          <w:color w:val="auto"/>
          <w:spacing w:val="0"/>
          <w:position w:val="0"/>
          <w:sz w:val="24"/>
          <w:szCs w:val="24"/>
          <w:lang w:val="en-US" w:eastAsia="zh-CN"/>
          <w14:textOutline w14:w="4356" w14:cap="sq" w14:cmpd="sng" w14:algn="ctr">
            <w14:solidFill>
              <w14:srgbClr w14:val="000000"/>
            </w14:solidFill>
            <w14:prstDash w14:val="solid"/>
            <w14:bevel/>
          </w14:textOutline>
        </w:rPr>
        <w:t>需求</w:t>
      </w:r>
    </w:p>
    <w:p w14:paraId="6A06FBFA">
      <w:pPr>
        <w:pStyle w:val="9"/>
        <w:jc w:val="center"/>
        <w:rPr>
          <w:rFonts w:hint="eastAsia" w:ascii="宋体" w:hAnsi="宋体" w:eastAsia="宋体"/>
          <w:sz w:val="24"/>
          <w:szCs w:val="24"/>
          <w:lang w:val="en-US" w:eastAsia="zh-CN"/>
        </w:rPr>
      </w:pPr>
      <w:r>
        <w:rPr>
          <w:rFonts w:hint="eastAsia" w:ascii="宋体" w:hAnsi="宋体" w:eastAsia="宋体"/>
          <w:sz w:val="24"/>
          <w:szCs w:val="24"/>
          <w:lang w:val="en-US" w:eastAsia="zh-CN"/>
        </w:rPr>
        <w:t>（一）服务需求</w:t>
      </w:r>
    </w:p>
    <w:p w14:paraId="50CA340F">
      <w:pPr>
        <w:pStyle w:val="9"/>
        <w:rPr>
          <w:rFonts w:ascii="宋体" w:hAnsi="宋体" w:eastAsia="宋体"/>
        </w:rPr>
      </w:pPr>
      <w:bookmarkStart w:id="16" w:name="_Toc164930716"/>
      <w:bookmarkStart w:id="17" w:name="_Toc28454"/>
      <w:r>
        <w:rPr>
          <w:rFonts w:hint="eastAsia" w:ascii="宋体" w:hAnsi="宋体" w:eastAsia="宋体"/>
        </w:rPr>
        <w:t>一、项目概况</w:t>
      </w:r>
      <w:bookmarkEnd w:id="16"/>
    </w:p>
    <w:p w14:paraId="583CC04E">
      <w:pPr>
        <w:pStyle w:val="10"/>
        <w:spacing w:line="500" w:lineRule="exact"/>
        <w:ind w:firstLine="480"/>
        <w:rPr>
          <w:rFonts w:hint="eastAsia" w:asciiTheme="minorEastAsia" w:hAnsiTheme="minorEastAsia" w:eastAsiaTheme="minorEastAsia" w:cstheme="minorEastAsia"/>
          <w:color w:val="auto"/>
        </w:rPr>
      </w:pPr>
      <w:r>
        <w:rPr>
          <w:rFonts w:hint="eastAsia" w:ascii="宋体" w:hAnsi="宋体" w:eastAsia="宋体" w:cs="楷体"/>
          <w:color w:val="auto"/>
        </w:rPr>
        <w:t>江西省交通运输信息化外场硬件运维服务项目由</w:t>
      </w:r>
      <w:r>
        <w:rPr>
          <w:rFonts w:hint="eastAsia" w:ascii="宋体" w:hAnsi="宋体" w:eastAsia="宋体" w:cs="楷体"/>
          <w:color w:val="auto"/>
          <w:lang w:eastAsia="zh-CN"/>
        </w:rPr>
        <w:t>十</w:t>
      </w:r>
      <w:r>
        <w:rPr>
          <w:rFonts w:hint="eastAsia" w:ascii="宋体" w:hAnsi="宋体" w:eastAsia="宋体" w:cs="楷体"/>
          <w:color w:val="auto"/>
        </w:rPr>
        <w:t>个部分组成，预算金额为</w:t>
      </w:r>
      <w:r>
        <w:rPr>
          <w:rFonts w:hint="eastAsia" w:ascii="宋体" w:hAnsi="宋体" w:eastAsia="宋体" w:cs="楷体"/>
          <w:color w:val="auto"/>
          <w:lang w:val="en-US" w:eastAsia="zh-CN"/>
        </w:rPr>
        <w:t>640.8</w:t>
      </w:r>
      <w:r>
        <w:rPr>
          <w:rFonts w:hint="eastAsia" w:ascii="宋体" w:hAnsi="宋体" w:eastAsia="宋体" w:cs="楷体"/>
          <w:color w:val="auto"/>
        </w:rPr>
        <w:t>万元，运维服务期详见采购需求表，分别是：国省道交通情况调查数据采集与服务系统工程（一期）外场</w:t>
      </w:r>
      <w:r>
        <w:rPr>
          <w:rFonts w:ascii="宋体" w:hAnsi="宋体" w:eastAsia="宋体" w:cs="楷体"/>
          <w:color w:val="auto"/>
        </w:rPr>
        <w:t>硬件</w:t>
      </w:r>
      <w:r>
        <w:rPr>
          <w:rFonts w:hint="eastAsia" w:ascii="宋体" w:hAnsi="宋体" w:eastAsia="宋体" w:cs="楷体"/>
          <w:color w:val="auto"/>
        </w:rPr>
        <w:t>运维服务，分项控制价</w:t>
      </w:r>
      <w:r>
        <w:rPr>
          <w:rFonts w:hint="eastAsia" w:ascii="宋体" w:hAnsi="宋体" w:eastAsia="宋体" w:cs="楷体"/>
          <w:color w:val="auto"/>
          <w:lang w:val="en-US" w:eastAsia="zh-CN"/>
        </w:rPr>
        <w:t>66</w:t>
      </w:r>
      <w:r>
        <w:rPr>
          <w:rFonts w:hint="eastAsia" w:ascii="宋体" w:hAnsi="宋体" w:eastAsia="宋体" w:cs="楷体"/>
          <w:color w:val="auto"/>
        </w:rPr>
        <w:t>万元；普通干线路网运行监测与应急处置平台（二期）外场</w:t>
      </w:r>
      <w:r>
        <w:rPr>
          <w:rFonts w:ascii="宋体" w:hAnsi="宋体" w:eastAsia="宋体" w:cs="楷体"/>
          <w:color w:val="auto"/>
        </w:rPr>
        <w:t>硬件</w:t>
      </w:r>
      <w:r>
        <w:rPr>
          <w:rFonts w:hint="eastAsia" w:ascii="宋体" w:hAnsi="宋体" w:eastAsia="宋体" w:cs="楷体"/>
          <w:color w:val="auto"/>
        </w:rPr>
        <w:t>运维服务，分项控制价</w:t>
      </w:r>
      <w:r>
        <w:rPr>
          <w:rFonts w:hint="eastAsia" w:ascii="宋体" w:hAnsi="宋体" w:eastAsia="宋体" w:cs="楷体"/>
          <w:color w:val="auto"/>
          <w:lang w:val="en-US" w:eastAsia="zh-CN"/>
        </w:rPr>
        <w:t>377</w:t>
      </w:r>
      <w:r>
        <w:rPr>
          <w:rFonts w:hint="eastAsia" w:ascii="宋体" w:hAnsi="宋体" w:eastAsia="宋体" w:cs="楷体"/>
          <w:color w:val="auto"/>
        </w:rPr>
        <w:t>万元；赣北航道事务中心视频监控系统运维服务，分项控制价2</w:t>
      </w:r>
      <w:r>
        <w:rPr>
          <w:rFonts w:hint="eastAsia" w:ascii="宋体" w:hAnsi="宋体" w:eastAsia="宋体" w:cs="楷体"/>
          <w:color w:val="auto"/>
          <w:lang w:val="en-US" w:eastAsia="zh-CN"/>
        </w:rPr>
        <w:t>3</w:t>
      </w:r>
      <w:r>
        <w:rPr>
          <w:rFonts w:hint="eastAsia" w:ascii="宋体" w:hAnsi="宋体" w:eastAsia="宋体" w:cs="楷体"/>
          <w:color w:val="auto"/>
        </w:rPr>
        <w:t>万元；赣东航道事务中心视频监控系统运维服务，分项控制价2</w:t>
      </w:r>
      <w:r>
        <w:rPr>
          <w:rFonts w:hint="eastAsia" w:ascii="宋体" w:hAnsi="宋体" w:eastAsia="宋体" w:cs="楷体"/>
          <w:color w:val="auto"/>
          <w:lang w:val="en-US" w:eastAsia="zh-CN"/>
        </w:rPr>
        <w:t>2</w:t>
      </w:r>
      <w:r>
        <w:rPr>
          <w:rFonts w:hint="eastAsia" w:ascii="宋体" w:hAnsi="宋体" w:eastAsia="宋体" w:cs="楷体"/>
          <w:color w:val="auto"/>
        </w:rPr>
        <w:t>万元；赣南航道事务中心视频监控系统运维服务，分项控制价2</w:t>
      </w:r>
      <w:r>
        <w:rPr>
          <w:rFonts w:hint="eastAsia" w:ascii="宋体" w:hAnsi="宋体" w:eastAsia="宋体" w:cs="楷体"/>
          <w:color w:val="auto"/>
          <w:lang w:val="en-US" w:eastAsia="zh-CN"/>
        </w:rPr>
        <w:t>2</w:t>
      </w:r>
      <w:r>
        <w:rPr>
          <w:rFonts w:hint="eastAsia" w:ascii="宋体" w:hAnsi="宋体" w:eastAsia="宋体" w:cs="楷体"/>
          <w:color w:val="auto"/>
        </w:rPr>
        <w:t>万元；赣西航道事务中心视频监控系统运维服务，分项控制价1</w:t>
      </w:r>
      <w:r>
        <w:rPr>
          <w:rFonts w:hint="eastAsia" w:ascii="宋体" w:hAnsi="宋体" w:eastAsia="宋体" w:cs="楷体"/>
          <w:color w:val="auto"/>
          <w:lang w:val="en-US" w:eastAsia="zh-CN"/>
        </w:rPr>
        <w:t>6</w:t>
      </w:r>
      <w:r>
        <w:rPr>
          <w:rFonts w:hint="eastAsia" w:ascii="宋体" w:hAnsi="宋体" w:eastAsia="宋体" w:cs="楷体"/>
          <w:color w:val="auto"/>
        </w:rPr>
        <w:t>万元；赣中航道事务中心视频监控系统运维服务，分项控制价2</w:t>
      </w:r>
      <w:r>
        <w:rPr>
          <w:rFonts w:hint="eastAsia" w:ascii="宋体" w:hAnsi="宋体" w:eastAsia="宋体" w:cs="楷体"/>
          <w:color w:val="auto"/>
          <w:lang w:val="en-US" w:eastAsia="zh-CN"/>
        </w:rPr>
        <w:t>3</w:t>
      </w:r>
      <w:r>
        <w:rPr>
          <w:rFonts w:hint="eastAsia" w:ascii="宋体" w:hAnsi="宋体" w:eastAsia="宋体" w:cs="楷体"/>
          <w:color w:val="auto"/>
        </w:rPr>
        <w:t>万元；信江高等级航道整治工程信息化支撑保障系统运维服务，分项控制价3</w:t>
      </w:r>
      <w:r>
        <w:rPr>
          <w:rFonts w:hint="eastAsia" w:cs="楷体"/>
          <w:color w:val="auto"/>
          <w:lang w:val="en-US" w:eastAsia="zh-CN"/>
        </w:rPr>
        <w:t>9</w:t>
      </w:r>
      <w:r>
        <w:rPr>
          <w:rFonts w:hint="eastAsia" w:ascii="宋体" w:hAnsi="宋体" w:eastAsia="宋体" w:cs="楷体"/>
          <w:color w:val="auto"/>
        </w:rPr>
        <w:t>万元；执法记录仪及数据采集站运维服务，分项控制价</w:t>
      </w:r>
      <w:r>
        <w:rPr>
          <w:rFonts w:hint="eastAsia" w:ascii="宋体" w:hAnsi="宋体" w:eastAsia="宋体" w:cs="楷体"/>
          <w:color w:val="auto"/>
          <w:lang w:val="en-US" w:eastAsia="zh-CN"/>
        </w:rPr>
        <w:t>29</w:t>
      </w:r>
      <w:r>
        <w:rPr>
          <w:rFonts w:hint="eastAsia" w:ascii="宋体" w:hAnsi="宋体" w:eastAsia="宋体" w:cs="楷体"/>
          <w:color w:val="auto"/>
        </w:rPr>
        <w:t>万元</w:t>
      </w:r>
      <w:r>
        <w:rPr>
          <w:rFonts w:hint="eastAsia" w:asciiTheme="minorEastAsia" w:hAnsiTheme="minorEastAsia" w:eastAsiaTheme="minorEastAsia" w:cstheme="minorEastAsia"/>
          <w:color w:val="auto"/>
          <w:lang w:eastAsia="zh-CN"/>
        </w:rPr>
        <w:t>；</w:t>
      </w:r>
      <w:r>
        <w:rPr>
          <w:rFonts w:hint="eastAsia" w:asciiTheme="minorEastAsia" w:hAnsiTheme="minorEastAsia" w:eastAsiaTheme="minorEastAsia" w:cstheme="minorEastAsia"/>
          <w:color w:val="auto"/>
          <w:sz w:val="24"/>
          <w:szCs w:val="24"/>
          <w:lang w:eastAsia="zh-CN"/>
        </w:rPr>
        <w:t>路政智能指挥调度车载设备运维服务，分项控制价</w:t>
      </w:r>
      <w:r>
        <w:rPr>
          <w:rFonts w:hint="eastAsia" w:asciiTheme="minorEastAsia" w:hAnsiTheme="minorEastAsia" w:eastAsiaTheme="minorEastAsia" w:cstheme="minorEastAsia"/>
          <w:color w:val="auto"/>
          <w:sz w:val="24"/>
          <w:szCs w:val="24"/>
          <w:lang w:val="en-US" w:eastAsia="zh-CN"/>
        </w:rPr>
        <w:t>23.8</w:t>
      </w:r>
      <w:r>
        <w:rPr>
          <w:rFonts w:hint="eastAsia" w:asciiTheme="minorEastAsia" w:hAnsiTheme="minorEastAsia" w:eastAsiaTheme="minorEastAsia" w:cstheme="minorEastAsia"/>
          <w:color w:val="auto"/>
          <w:sz w:val="24"/>
          <w:szCs w:val="24"/>
          <w:lang w:eastAsia="zh-CN"/>
        </w:rPr>
        <w:t>万元</w:t>
      </w:r>
      <w:r>
        <w:rPr>
          <w:rFonts w:hint="eastAsia" w:asciiTheme="minorEastAsia" w:hAnsiTheme="minorEastAsia" w:eastAsiaTheme="minorEastAsia" w:cstheme="minorEastAsia"/>
          <w:color w:val="auto"/>
        </w:rPr>
        <w:t>。</w:t>
      </w:r>
    </w:p>
    <w:p w14:paraId="16455FCD">
      <w:pPr>
        <w:spacing w:line="500" w:lineRule="exact"/>
        <w:ind w:firstLine="482"/>
        <w:rPr>
          <w:rFonts w:ascii="宋体" w:hAnsi="宋体" w:eastAsia="宋体" w:cs="楷体"/>
          <w:b/>
          <w:sz w:val="24"/>
          <w:szCs w:val="24"/>
          <w:lang w:eastAsia="zh-CN"/>
        </w:rPr>
      </w:pPr>
      <w:r>
        <w:rPr>
          <w:rFonts w:hint="eastAsia" w:ascii="宋体" w:hAnsi="宋体" w:eastAsia="宋体" w:cs="楷体"/>
          <w:b/>
          <w:sz w:val="24"/>
          <w:szCs w:val="24"/>
          <w:lang w:eastAsia="zh-CN"/>
        </w:rPr>
        <w:t>二、项目目标</w:t>
      </w:r>
    </w:p>
    <w:p w14:paraId="1D6853C2">
      <w:pPr>
        <w:pStyle w:val="10"/>
        <w:spacing w:line="500" w:lineRule="exact"/>
        <w:ind w:firstLine="480"/>
        <w:rPr>
          <w:rFonts w:ascii="宋体" w:hAnsi="宋体" w:eastAsia="宋体" w:cs="楷体"/>
        </w:rPr>
      </w:pPr>
      <w:r>
        <w:rPr>
          <w:rFonts w:hint="eastAsia" w:ascii="宋体" w:hAnsi="宋体" w:eastAsia="宋体" w:cs="楷体"/>
        </w:rPr>
        <w:t>江西省交通运输信息化外场硬件运维服务项目将实现由专业服务公司承担硬件运维服务工作，以保障维护对象安全、持续、可靠、有效地运行。在满足总体要求为目标的前提下，达到以下目标：</w:t>
      </w:r>
    </w:p>
    <w:p w14:paraId="44830056">
      <w:pPr>
        <w:spacing w:line="500" w:lineRule="exact"/>
        <w:ind w:firstLine="480"/>
        <w:rPr>
          <w:rFonts w:ascii="宋体" w:hAnsi="宋体" w:eastAsia="宋体" w:cs="楷体"/>
          <w:sz w:val="24"/>
          <w:szCs w:val="24"/>
          <w:lang w:eastAsia="zh-CN"/>
        </w:rPr>
      </w:pPr>
      <w:r>
        <w:rPr>
          <w:rFonts w:hint="eastAsia" w:ascii="宋体" w:hAnsi="宋体" w:eastAsia="宋体" w:cs="楷体"/>
          <w:sz w:val="24"/>
          <w:szCs w:val="24"/>
          <w:lang w:eastAsia="zh-CN"/>
        </w:rPr>
        <w:t>1.在项目服务期内，保证硬件运行支撑水平满足所支撑的应用系统的业务管理需求，以及保证外场设施正常、安全、高效、经济运行；</w:t>
      </w:r>
    </w:p>
    <w:p w14:paraId="0FB7DE6C">
      <w:pPr>
        <w:spacing w:line="500" w:lineRule="exact"/>
        <w:ind w:firstLine="480"/>
        <w:rPr>
          <w:rFonts w:ascii="宋体" w:hAnsi="宋体" w:eastAsia="宋体" w:cs="楷体"/>
          <w:sz w:val="24"/>
          <w:szCs w:val="24"/>
          <w:lang w:eastAsia="zh-CN"/>
        </w:rPr>
      </w:pPr>
      <w:r>
        <w:rPr>
          <w:rFonts w:hint="eastAsia" w:ascii="宋体" w:hAnsi="宋体" w:eastAsia="宋体" w:cs="楷体"/>
          <w:sz w:val="24"/>
          <w:szCs w:val="24"/>
          <w:lang w:eastAsia="zh-CN"/>
        </w:rPr>
        <w:t>2.建立规范有效的运维服务管理体系，实现人员、技术和流程的标准化管理。通过该体系的建设和持续完善，促进运维工作实现标准化、规范化，满足信息运维工作集约化、精细化管理的要求，达到服务水平的持续提升；</w:t>
      </w:r>
    </w:p>
    <w:p w14:paraId="3346C456">
      <w:pPr>
        <w:spacing w:line="500" w:lineRule="exact"/>
        <w:ind w:firstLine="480"/>
        <w:rPr>
          <w:rFonts w:ascii="宋体" w:hAnsi="宋体" w:eastAsia="宋体" w:cs="楷体"/>
          <w:sz w:val="24"/>
          <w:szCs w:val="24"/>
          <w:lang w:eastAsia="zh-CN"/>
        </w:rPr>
      </w:pPr>
      <w:r>
        <w:rPr>
          <w:rFonts w:hint="eastAsia" w:ascii="宋体" w:hAnsi="宋体" w:eastAsia="宋体" w:cs="楷体"/>
          <w:sz w:val="24"/>
          <w:szCs w:val="24"/>
          <w:lang w:eastAsia="zh-CN"/>
        </w:rPr>
        <w:t>3.所支撑应用系统可用率≥99％（即每年24*365中，系统更新、故障导致的系统不可用排除）；</w:t>
      </w:r>
    </w:p>
    <w:p w14:paraId="426DB063">
      <w:pPr>
        <w:spacing w:line="500" w:lineRule="exact"/>
        <w:ind w:firstLine="480"/>
        <w:rPr>
          <w:rFonts w:ascii="宋体" w:hAnsi="宋体" w:eastAsia="宋体" w:cs="楷体"/>
          <w:sz w:val="24"/>
          <w:szCs w:val="24"/>
          <w:lang w:eastAsia="zh-CN"/>
        </w:rPr>
      </w:pPr>
      <w:r>
        <w:rPr>
          <w:rFonts w:hint="eastAsia" w:ascii="宋体" w:hAnsi="宋体" w:eastAsia="宋体" w:cs="楷体"/>
          <w:sz w:val="24"/>
          <w:szCs w:val="24"/>
          <w:lang w:eastAsia="zh-CN"/>
        </w:rPr>
        <w:t>4.故障响应：</w:t>
      </w:r>
      <w:r>
        <w:rPr>
          <w:rFonts w:hint="eastAsia" w:ascii="宋体" w:hAnsi="宋体" w:eastAsia="宋体" w:cs="楷体"/>
          <w:bCs/>
          <w:sz w:val="24"/>
          <w:szCs w:val="24"/>
          <w:lang w:eastAsia="zh-CN"/>
        </w:rPr>
        <w:t>提供7*24小时的技术支持服务，及时响应运维需求和采购单位的需求，及时处理设施故障，要求：运维响应时限≤8小时（</w:t>
      </w:r>
      <w:r>
        <w:rPr>
          <w:rFonts w:cs="楷体" w:asciiTheme="minorEastAsia" w:hAnsiTheme="minorEastAsia" w:eastAsiaTheme="minorEastAsia"/>
          <w:bCs/>
          <w:sz w:val="24"/>
          <w:szCs w:val="24"/>
          <w:lang w:eastAsia="zh-CN"/>
        </w:rPr>
        <w:t>即</w:t>
      </w:r>
      <w:r>
        <w:rPr>
          <w:rFonts w:hint="eastAsia" w:cs="楷体" w:asciiTheme="minorEastAsia" w:hAnsiTheme="minorEastAsia" w:eastAsiaTheme="minorEastAsia"/>
          <w:bCs/>
          <w:sz w:val="24"/>
          <w:szCs w:val="24"/>
          <w:lang w:eastAsia="zh-CN"/>
        </w:rPr>
        <w:t>8</w:t>
      </w:r>
      <w:r>
        <w:rPr>
          <w:rFonts w:cs="楷体" w:asciiTheme="minorEastAsia" w:hAnsiTheme="minorEastAsia" w:eastAsiaTheme="minorEastAsia"/>
          <w:bCs/>
          <w:sz w:val="24"/>
          <w:szCs w:val="24"/>
          <w:lang w:eastAsia="zh-CN"/>
        </w:rPr>
        <w:t>小时内有能够处理故障的技术人员到达现场</w:t>
      </w:r>
      <w:r>
        <w:rPr>
          <w:rFonts w:hint="eastAsia" w:cs="楷体" w:asciiTheme="minorEastAsia" w:hAnsiTheme="minorEastAsia" w:eastAsiaTheme="minorEastAsia"/>
          <w:bCs/>
          <w:sz w:val="24"/>
          <w:szCs w:val="24"/>
          <w:lang w:eastAsia="zh-CN"/>
        </w:rPr>
        <w:t>）</w:t>
      </w:r>
      <w:r>
        <w:rPr>
          <w:rFonts w:hint="eastAsia" w:ascii="宋体" w:hAnsi="宋体" w:eastAsia="宋体" w:cs="楷体"/>
          <w:bCs/>
          <w:sz w:val="24"/>
          <w:szCs w:val="24"/>
          <w:lang w:eastAsia="zh-CN"/>
        </w:rPr>
        <w:t>；</w:t>
      </w:r>
    </w:p>
    <w:p w14:paraId="53B02AA3">
      <w:pPr>
        <w:spacing w:line="500" w:lineRule="exact"/>
        <w:ind w:firstLine="480"/>
        <w:rPr>
          <w:rFonts w:ascii="宋体" w:hAnsi="宋体" w:eastAsia="宋体" w:cs="楷体"/>
          <w:sz w:val="24"/>
          <w:szCs w:val="24"/>
          <w:lang w:eastAsia="zh-CN"/>
        </w:rPr>
      </w:pPr>
      <w:r>
        <w:rPr>
          <w:rFonts w:hint="eastAsia" w:ascii="宋体" w:hAnsi="宋体" w:eastAsia="宋体" w:cs="楷体"/>
          <w:sz w:val="24"/>
          <w:szCs w:val="24"/>
          <w:lang w:eastAsia="zh-CN"/>
        </w:rPr>
        <w:t>5.故障维修：</w:t>
      </w:r>
      <w:r>
        <w:rPr>
          <w:rFonts w:hint="eastAsia" w:ascii="宋体" w:hAnsi="宋体" w:eastAsia="宋体" w:cs="楷体"/>
          <w:bCs/>
          <w:sz w:val="24"/>
          <w:szCs w:val="24"/>
          <w:lang w:eastAsia="zh-CN"/>
        </w:rPr>
        <w:t>一般故障维修完成时限≤8小时、较大故障维修完成时限≤24小时、重大故障维修完成时限≤7天</w:t>
      </w:r>
      <w:r>
        <w:rPr>
          <w:rFonts w:hint="eastAsia" w:ascii="宋体" w:hAnsi="宋体" w:eastAsia="宋体" w:cs="楷体"/>
          <w:sz w:val="24"/>
          <w:szCs w:val="24"/>
          <w:lang w:eastAsia="zh-CN"/>
        </w:rPr>
        <w:t>。</w:t>
      </w:r>
    </w:p>
    <w:p w14:paraId="5FD97BF1">
      <w:pPr>
        <w:spacing w:line="500" w:lineRule="exact"/>
        <w:ind w:firstLine="482"/>
        <w:rPr>
          <w:rFonts w:ascii="宋体" w:hAnsi="宋体" w:eastAsia="宋体" w:cs="楷体"/>
          <w:bCs/>
          <w:sz w:val="24"/>
          <w:szCs w:val="24"/>
          <w:lang w:eastAsia="zh-CN"/>
        </w:rPr>
      </w:pPr>
      <w:r>
        <w:rPr>
          <w:rFonts w:hint="eastAsia" w:ascii="宋体" w:hAnsi="宋体" w:eastAsia="宋体" w:cs="楷体"/>
          <w:b/>
          <w:sz w:val="24"/>
          <w:szCs w:val="24"/>
          <w:lang w:eastAsia="zh-CN"/>
        </w:rPr>
        <w:t>三、服务范围与要求</w:t>
      </w:r>
    </w:p>
    <w:p w14:paraId="30FA81BC">
      <w:pPr>
        <w:spacing w:line="500" w:lineRule="exact"/>
        <w:ind w:firstLine="480"/>
        <w:rPr>
          <w:rFonts w:ascii="宋体" w:hAnsi="宋体" w:eastAsia="宋体" w:cs="楷体"/>
          <w:bCs/>
          <w:sz w:val="24"/>
          <w:szCs w:val="24"/>
          <w:lang w:eastAsia="zh-CN"/>
        </w:rPr>
      </w:pPr>
      <w:r>
        <w:rPr>
          <w:rFonts w:hint="eastAsia" w:ascii="宋体" w:hAnsi="宋体" w:eastAsia="宋体" w:cs="楷体"/>
          <w:bCs/>
          <w:sz w:val="24"/>
          <w:szCs w:val="24"/>
          <w:lang w:eastAsia="zh-CN"/>
        </w:rPr>
        <w:t>（一）</w:t>
      </w:r>
      <w:r>
        <w:rPr>
          <w:rFonts w:hint="eastAsia" w:ascii="宋体" w:hAnsi="宋体" w:eastAsia="宋体" w:cs="楷体"/>
          <w:sz w:val="24"/>
          <w:szCs w:val="24"/>
          <w:lang w:eastAsia="zh-CN"/>
        </w:rPr>
        <w:t>国省道交通情况调查数据采集与服务系统工程（一期）外场</w:t>
      </w:r>
      <w:r>
        <w:rPr>
          <w:rFonts w:ascii="宋体" w:hAnsi="宋体" w:eastAsia="宋体" w:cs="楷体"/>
          <w:sz w:val="24"/>
          <w:szCs w:val="24"/>
          <w:lang w:eastAsia="zh-CN"/>
        </w:rPr>
        <w:t>硬件</w:t>
      </w:r>
      <w:r>
        <w:rPr>
          <w:rFonts w:hint="eastAsia" w:ascii="宋体" w:hAnsi="宋体" w:eastAsia="宋体" w:cs="楷体"/>
          <w:sz w:val="24"/>
          <w:szCs w:val="24"/>
          <w:lang w:eastAsia="zh-CN"/>
        </w:rPr>
        <w:t>运维服务</w:t>
      </w:r>
    </w:p>
    <w:p w14:paraId="2AABF14D">
      <w:pPr>
        <w:spacing w:line="500" w:lineRule="exact"/>
        <w:ind w:firstLine="480"/>
        <w:rPr>
          <w:rFonts w:ascii="宋体" w:hAnsi="宋体" w:eastAsia="宋体" w:cs="楷体"/>
          <w:bCs/>
          <w:sz w:val="24"/>
          <w:szCs w:val="24"/>
          <w:lang w:eastAsia="zh-CN"/>
        </w:rPr>
      </w:pPr>
      <w:r>
        <w:rPr>
          <w:rFonts w:hint="eastAsia" w:ascii="宋体" w:hAnsi="宋体" w:eastAsia="宋体" w:cs="楷体"/>
          <w:bCs/>
          <w:sz w:val="24"/>
          <w:szCs w:val="24"/>
          <w:lang w:eastAsia="zh-CN"/>
        </w:rPr>
        <w:t>服务范围包括江西省国省道交通情况调查数据采集与服务系统工程（一期）建设的外场设施。</w:t>
      </w:r>
    </w:p>
    <w:p w14:paraId="1985F58A">
      <w:pPr>
        <w:spacing w:line="500" w:lineRule="exact"/>
        <w:ind w:firstLine="480"/>
        <w:rPr>
          <w:rFonts w:ascii="宋体" w:hAnsi="宋体" w:eastAsia="宋体" w:cs="楷体"/>
          <w:bCs/>
          <w:sz w:val="24"/>
          <w:szCs w:val="24"/>
          <w:lang w:eastAsia="zh-CN"/>
        </w:rPr>
      </w:pPr>
      <w:r>
        <w:rPr>
          <w:rFonts w:hint="eastAsia" w:ascii="宋体" w:hAnsi="宋体" w:eastAsia="宋体" w:cs="楷体"/>
          <w:bCs/>
          <w:sz w:val="24"/>
          <w:szCs w:val="24"/>
          <w:lang w:eastAsia="zh-CN"/>
        </w:rPr>
        <w:t>1.提供70处外场设施的日常养护、维修更换、配置操作、系统升级、突发事件处理、7*24小时技术支持等运维服务；主要外场设施见附件1；</w:t>
      </w:r>
    </w:p>
    <w:p w14:paraId="551B4ECE">
      <w:pPr>
        <w:spacing w:line="500" w:lineRule="exact"/>
        <w:ind w:firstLine="480"/>
        <w:rPr>
          <w:rFonts w:ascii="宋体" w:hAnsi="宋体" w:eastAsia="宋体" w:cs="楷体"/>
          <w:bCs/>
          <w:sz w:val="24"/>
          <w:szCs w:val="24"/>
          <w:lang w:eastAsia="zh-CN"/>
        </w:rPr>
      </w:pPr>
      <w:r>
        <w:rPr>
          <w:rFonts w:hint="eastAsia" w:ascii="宋体" w:hAnsi="宋体" w:eastAsia="宋体" w:cs="楷体"/>
          <w:bCs/>
          <w:sz w:val="24"/>
          <w:szCs w:val="24"/>
          <w:lang w:eastAsia="zh-CN"/>
        </w:rPr>
        <w:t>2.提供70处外场设施正常运行的供电及保障，用电量约为7.0万度/年；</w:t>
      </w:r>
    </w:p>
    <w:p w14:paraId="00584708">
      <w:pPr>
        <w:spacing w:line="500" w:lineRule="exact"/>
        <w:ind w:firstLine="480"/>
        <w:rPr>
          <w:rFonts w:ascii="宋体" w:hAnsi="宋体" w:eastAsia="宋体" w:cs="楷体"/>
          <w:bCs/>
          <w:sz w:val="24"/>
          <w:szCs w:val="24"/>
          <w:lang w:eastAsia="zh-CN"/>
        </w:rPr>
      </w:pPr>
      <w:r>
        <w:rPr>
          <w:rFonts w:hint="eastAsia" w:ascii="宋体" w:hAnsi="宋体" w:eastAsia="宋体" w:cs="楷体"/>
          <w:bCs/>
          <w:sz w:val="24"/>
          <w:szCs w:val="24"/>
          <w:lang w:eastAsia="zh-CN"/>
        </w:rPr>
        <w:t>3.提供70条外场设施10M通信链路的租赁及保障，确保外场设施的数据正常、稳定、持续上传；</w:t>
      </w:r>
    </w:p>
    <w:p w14:paraId="5D016409">
      <w:pPr>
        <w:spacing w:line="500" w:lineRule="exact"/>
        <w:ind w:firstLine="480"/>
        <w:rPr>
          <w:rFonts w:ascii="宋体" w:hAnsi="宋体" w:eastAsia="宋体" w:cs="楷体"/>
          <w:bCs/>
          <w:color w:val="auto"/>
          <w:sz w:val="24"/>
          <w:szCs w:val="24"/>
          <w:highlight w:val="none"/>
          <w:lang w:eastAsia="zh-CN"/>
        </w:rPr>
      </w:pPr>
      <w:r>
        <w:rPr>
          <w:rFonts w:hint="eastAsia" w:ascii="宋体" w:hAnsi="宋体" w:eastAsia="宋体" w:cs="楷体"/>
          <w:bCs/>
          <w:color w:val="auto"/>
          <w:sz w:val="24"/>
          <w:szCs w:val="24"/>
          <w:highlight w:val="none"/>
          <w:lang w:eastAsia="zh-CN"/>
        </w:rPr>
        <w:t>4.开展23处交调监测站点的精度测试，并对精度不达标的设施进行完善，直至达到交调监测站点精度要求；运维项目合同签订后6个月内完成23个交调监测站点的精度测试工作；精度测试内容见附件2；</w:t>
      </w:r>
    </w:p>
    <w:p w14:paraId="12585780">
      <w:pPr>
        <w:spacing w:line="500" w:lineRule="exact"/>
        <w:ind w:firstLine="480"/>
        <w:rPr>
          <w:rFonts w:ascii="宋体" w:hAnsi="宋体" w:eastAsia="宋体" w:cs="楷体"/>
          <w:bCs/>
          <w:color w:val="auto"/>
          <w:sz w:val="24"/>
          <w:szCs w:val="24"/>
          <w:highlight w:val="none"/>
          <w:lang w:eastAsia="zh-CN"/>
        </w:rPr>
      </w:pPr>
      <w:r>
        <w:rPr>
          <w:rFonts w:hint="eastAsia" w:ascii="宋体" w:hAnsi="宋体" w:eastAsia="宋体" w:cs="楷体"/>
          <w:bCs/>
          <w:color w:val="auto"/>
          <w:sz w:val="24"/>
          <w:szCs w:val="24"/>
          <w:highlight w:val="none"/>
          <w:lang w:eastAsia="zh-CN"/>
        </w:rPr>
        <w:t>5.开展3处接触式交调站点改造工作，改造为激光式交调站点（主要技术要求见附件3）；</w:t>
      </w:r>
    </w:p>
    <w:p w14:paraId="198B9A76">
      <w:pPr>
        <w:spacing w:line="500" w:lineRule="exact"/>
        <w:ind w:firstLine="480"/>
        <w:rPr>
          <w:rFonts w:ascii="宋体" w:hAnsi="宋体" w:eastAsia="宋体" w:cs="楷体"/>
          <w:bCs/>
          <w:color w:val="auto"/>
          <w:sz w:val="24"/>
          <w:szCs w:val="24"/>
          <w:highlight w:val="none"/>
          <w:lang w:eastAsia="zh-CN"/>
        </w:rPr>
      </w:pPr>
      <w:r>
        <w:rPr>
          <w:rFonts w:hint="eastAsia" w:ascii="宋体" w:hAnsi="宋体" w:eastAsia="宋体" w:cs="楷体"/>
          <w:bCs/>
          <w:color w:val="auto"/>
          <w:sz w:val="24"/>
          <w:szCs w:val="24"/>
          <w:highlight w:val="none"/>
          <w:lang w:eastAsia="zh-CN"/>
        </w:rPr>
        <w:t xml:space="preserve">6. </w:t>
      </w:r>
      <w:r>
        <w:rPr>
          <w:rFonts w:hint="eastAsia" w:ascii="宋体" w:hAnsi="宋体" w:eastAsia="宋体" w:cs="楷体"/>
          <w:bCs/>
          <w:color w:val="auto"/>
          <w:sz w:val="24"/>
          <w:szCs w:val="24"/>
          <w:highlight w:val="none"/>
          <w:lang w:val="en-US" w:eastAsia="zh-CN"/>
        </w:rPr>
        <w:t>中标人</w:t>
      </w:r>
      <w:r>
        <w:rPr>
          <w:rFonts w:hint="eastAsia" w:ascii="宋体" w:hAnsi="宋体" w:eastAsia="宋体" w:cs="楷体"/>
          <w:bCs/>
          <w:color w:val="auto"/>
          <w:sz w:val="24"/>
          <w:szCs w:val="24"/>
          <w:highlight w:val="none"/>
          <w:lang w:eastAsia="zh-CN"/>
        </w:rPr>
        <w:t>根据采购人维护人员的实际需要，组织开展不低于50人·天的相应专题技术培训。</w:t>
      </w:r>
    </w:p>
    <w:p w14:paraId="3CE5FC72">
      <w:pPr>
        <w:spacing w:line="500" w:lineRule="exact"/>
        <w:ind w:firstLine="480"/>
        <w:rPr>
          <w:rFonts w:ascii="宋体" w:hAnsi="宋体" w:eastAsia="宋体" w:cs="楷体"/>
          <w:bCs/>
          <w:color w:val="auto"/>
          <w:sz w:val="24"/>
          <w:szCs w:val="24"/>
          <w:highlight w:val="none"/>
          <w:lang w:eastAsia="zh-CN"/>
        </w:rPr>
      </w:pPr>
      <w:r>
        <w:rPr>
          <w:rFonts w:hint="eastAsia" w:ascii="宋体" w:hAnsi="宋体" w:eastAsia="宋体" w:cs="楷体"/>
          <w:bCs/>
          <w:color w:val="auto"/>
          <w:sz w:val="24"/>
          <w:szCs w:val="24"/>
          <w:highlight w:val="none"/>
          <w:lang w:eastAsia="zh-CN"/>
        </w:rPr>
        <w:t>（二）</w:t>
      </w:r>
      <w:r>
        <w:rPr>
          <w:rFonts w:hint="eastAsia" w:ascii="宋体" w:hAnsi="宋体" w:eastAsia="宋体" w:cs="楷体"/>
          <w:color w:val="auto"/>
          <w:sz w:val="24"/>
          <w:szCs w:val="24"/>
          <w:highlight w:val="none"/>
          <w:lang w:eastAsia="zh-CN"/>
        </w:rPr>
        <w:t>普通干线路网运行监测与应急处置平台（二期）外场</w:t>
      </w:r>
      <w:r>
        <w:rPr>
          <w:rFonts w:ascii="宋体" w:hAnsi="宋体" w:eastAsia="宋体" w:cs="楷体"/>
          <w:color w:val="auto"/>
          <w:sz w:val="24"/>
          <w:szCs w:val="24"/>
          <w:highlight w:val="none"/>
          <w:lang w:eastAsia="zh-CN"/>
        </w:rPr>
        <w:t>硬件</w:t>
      </w:r>
      <w:r>
        <w:rPr>
          <w:rFonts w:hint="eastAsia" w:ascii="宋体" w:hAnsi="宋体" w:eastAsia="宋体" w:cs="楷体"/>
          <w:color w:val="auto"/>
          <w:sz w:val="24"/>
          <w:szCs w:val="24"/>
          <w:highlight w:val="none"/>
          <w:lang w:eastAsia="zh-CN"/>
        </w:rPr>
        <w:t>运维服务</w:t>
      </w:r>
    </w:p>
    <w:p w14:paraId="593CA544">
      <w:pPr>
        <w:spacing w:line="500" w:lineRule="exact"/>
        <w:ind w:firstLine="480"/>
        <w:rPr>
          <w:rFonts w:ascii="宋体" w:hAnsi="宋体" w:eastAsia="宋体" w:cs="楷体"/>
          <w:bCs/>
          <w:color w:val="auto"/>
          <w:sz w:val="24"/>
          <w:szCs w:val="24"/>
          <w:highlight w:val="none"/>
          <w:lang w:eastAsia="zh-CN"/>
        </w:rPr>
      </w:pPr>
      <w:r>
        <w:rPr>
          <w:rFonts w:hint="eastAsia" w:ascii="宋体" w:hAnsi="宋体" w:eastAsia="宋体" w:cs="楷体"/>
          <w:bCs/>
          <w:color w:val="auto"/>
          <w:sz w:val="24"/>
          <w:szCs w:val="24"/>
          <w:highlight w:val="none"/>
          <w:lang w:eastAsia="zh-CN"/>
        </w:rPr>
        <w:t>服务范围包括省级建设的外场设施。</w:t>
      </w:r>
    </w:p>
    <w:p w14:paraId="1C731369">
      <w:pPr>
        <w:spacing w:line="500" w:lineRule="exact"/>
        <w:ind w:firstLine="480"/>
        <w:rPr>
          <w:rFonts w:ascii="宋体" w:hAnsi="宋体" w:eastAsia="宋体" w:cs="楷体"/>
          <w:bCs/>
          <w:color w:val="auto"/>
          <w:sz w:val="24"/>
          <w:szCs w:val="24"/>
          <w:highlight w:val="none"/>
          <w:lang w:eastAsia="zh-CN"/>
        </w:rPr>
      </w:pPr>
      <w:r>
        <w:rPr>
          <w:rFonts w:hint="eastAsia" w:ascii="宋体" w:hAnsi="宋体" w:eastAsia="宋体" w:cs="楷体"/>
          <w:bCs/>
          <w:color w:val="auto"/>
          <w:sz w:val="24"/>
          <w:szCs w:val="24"/>
          <w:highlight w:val="none"/>
          <w:lang w:eastAsia="zh-CN"/>
        </w:rPr>
        <w:t>1.提供501处外场设施的日常养护、维修更换、配置操作、系统升级、突发事件处理、7*24小时技术支持等运维服务；主要外场设施见附件4；</w:t>
      </w:r>
    </w:p>
    <w:p w14:paraId="32BEBF54">
      <w:pPr>
        <w:spacing w:line="500" w:lineRule="exact"/>
        <w:ind w:firstLine="480"/>
        <w:rPr>
          <w:rFonts w:ascii="宋体" w:hAnsi="宋体" w:eastAsia="宋体" w:cs="楷体"/>
          <w:bCs/>
          <w:color w:val="auto"/>
          <w:sz w:val="24"/>
          <w:szCs w:val="24"/>
          <w:highlight w:val="none"/>
          <w:lang w:eastAsia="zh-CN"/>
        </w:rPr>
      </w:pPr>
      <w:r>
        <w:rPr>
          <w:rFonts w:hint="eastAsia" w:ascii="宋体" w:hAnsi="宋体" w:eastAsia="宋体" w:cs="楷体"/>
          <w:bCs/>
          <w:color w:val="auto"/>
          <w:sz w:val="24"/>
          <w:szCs w:val="24"/>
          <w:highlight w:val="none"/>
          <w:lang w:eastAsia="zh-CN"/>
        </w:rPr>
        <w:t>2.提供497处外场设施正常运行的供电及保障，用电量约为54.4万度/年；</w:t>
      </w:r>
    </w:p>
    <w:p w14:paraId="7D851079">
      <w:pPr>
        <w:spacing w:line="500" w:lineRule="exact"/>
        <w:ind w:firstLine="480"/>
        <w:rPr>
          <w:rFonts w:ascii="宋体" w:hAnsi="宋体" w:eastAsia="宋体" w:cs="楷体"/>
          <w:bCs/>
          <w:color w:val="auto"/>
          <w:sz w:val="24"/>
          <w:szCs w:val="24"/>
          <w:highlight w:val="none"/>
          <w:lang w:eastAsia="zh-CN"/>
        </w:rPr>
      </w:pPr>
      <w:r>
        <w:rPr>
          <w:rFonts w:hint="eastAsia" w:ascii="宋体" w:hAnsi="宋体" w:eastAsia="宋体" w:cs="楷体"/>
          <w:bCs/>
          <w:color w:val="auto"/>
          <w:sz w:val="24"/>
          <w:szCs w:val="24"/>
          <w:highlight w:val="none"/>
          <w:lang w:eastAsia="zh-CN"/>
        </w:rPr>
        <w:t>3.提供482条外场设施10M通信链路的租赁及保障，确保外场设施的数据正常、稳定、持续上传；</w:t>
      </w:r>
    </w:p>
    <w:p w14:paraId="4C5A8376">
      <w:pPr>
        <w:spacing w:line="500" w:lineRule="exact"/>
        <w:ind w:firstLine="480"/>
        <w:rPr>
          <w:rFonts w:ascii="宋体" w:hAnsi="宋体" w:eastAsia="宋体" w:cs="楷体"/>
          <w:bCs/>
          <w:color w:val="auto"/>
          <w:sz w:val="24"/>
          <w:szCs w:val="24"/>
          <w:highlight w:val="none"/>
          <w:lang w:eastAsia="zh-CN"/>
        </w:rPr>
      </w:pPr>
      <w:r>
        <w:rPr>
          <w:rFonts w:hint="eastAsia" w:ascii="宋体" w:hAnsi="宋体" w:eastAsia="宋体" w:cs="楷体"/>
          <w:bCs/>
          <w:color w:val="auto"/>
          <w:sz w:val="24"/>
          <w:szCs w:val="24"/>
          <w:lang w:eastAsia="zh-CN"/>
        </w:rPr>
        <w:t>4.开展120处交调监测站点的精度测试，并对精度不达标的设施进行完善，直至达到交调监测站点精度要求；运维项目合同签订后6个月内完成120个交调监测站点的精度测试工作；</w:t>
      </w:r>
      <w:r>
        <w:rPr>
          <w:rFonts w:hint="eastAsia" w:ascii="宋体" w:hAnsi="宋体" w:eastAsia="宋体" w:cs="楷体"/>
          <w:bCs/>
          <w:color w:val="auto"/>
          <w:sz w:val="24"/>
          <w:szCs w:val="24"/>
          <w:highlight w:val="none"/>
          <w:lang w:eastAsia="zh-CN"/>
        </w:rPr>
        <w:t>精度测试内容见附件2；</w:t>
      </w:r>
    </w:p>
    <w:p w14:paraId="642C074B">
      <w:pPr>
        <w:spacing w:line="500" w:lineRule="exact"/>
        <w:ind w:firstLine="480"/>
        <w:rPr>
          <w:rFonts w:ascii="宋体" w:hAnsi="宋体" w:eastAsia="宋体" w:cs="楷体"/>
          <w:bCs/>
          <w:color w:val="auto"/>
          <w:sz w:val="24"/>
          <w:szCs w:val="24"/>
          <w:highlight w:val="none"/>
          <w:lang w:eastAsia="zh-CN"/>
        </w:rPr>
      </w:pPr>
      <w:r>
        <w:rPr>
          <w:rFonts w:hint="eastAsia" w:ascii="宋体" w:hAnsi="宋体" w:eastAsia="宋体" w:cs="楷体"/>
          <w:bCs/>
          <w:color w:val="auto"/>
          <w:sz w:val="24"/>
          <w:szCs w:val="24"/>
          <w:highlight w:val="none"/>
          <w:lang w:eastAsia="zh-CN"/>
        </w:rPr>
        <w:t xml:space="preserve">5. </w:t>
      </w:r>
      <w:r>
        <w:rPr>
          <w:rFonts w:hint="eastAsia" w:ascii="宋体" w:hAnsi="宋体" w:eastAsia="宋体" w:cs="楷体"/>
          <w:bCs/>
          <w:color w:val="auto"/>
          <w:sz w:val="24"/>
          <w:szCs w:val="24"/>
          <w:highlight w:val="none"/>
          <w:lang w:val="en-US" w:eastAsia="zh-CN"/>
        </w:rPr>
        <w:t>中标人</w:t>
      </w:r>
      <w:r>
        <w:rPr>
          <w:rFonts w:hint="eastAsia" w:ascii="宋体" w:hAnsi="宋体" w:eastAsia="宋体" w:cs="楷体"/>
          <w:bCs/>
          <w:color w:val="auto"/>
          <w:sz w:val="24"/>
          <w:szCs w:val="24"/>
          <w:highlight w:val="none"/>
          <w:lang w:eastAsia="zh-CN"/>
        </w:rPr>
        <w:t>根据采购人维护人员的实际需要，组织开展不低于150人·天的相应专题技术培训。</w:t>
      </w:r>
    </w:p>
    <w:p w14:paraId="382E12A0">
      <w:pPr>
        <w:spacing w:line="500" w:lineRule="exact"/>
        <w:ind w:firstLine="480"/>
        <w:rPr>
          <w:rFonts w:ascii="宋体" w:hAnsi="宋体" w:eastAsia="宋体" w:cs="楷体"/>
          <w:color w:val="auto"/>
          <w:sz w:val="24"/>
          <w:szCs w:val="24"/>
          <w:highlight w:val="none"/>
          <w:lang w:eastAsia="zh-CN"/>
        </w:rPr>
      </w:pPr>
      <w:r>
        <w:rPr>
          <w:rFonts w:hint="eastAsia" w:ascii="宋体" w:hAnsi="宋体" w:eastAsia="宋体" w:cs="楷体"/>
          <w:bCs/>
          <w:color w:val="auto"/>
          <w:sz w:val="24"/>
          <w:szCs w:val="24"/>
          <w:highlight w:val="none"/>
          <w:lang w:eastAsia="zh-CN"/>
        </w:rPr>
        <w:t>（三）</w:t>
      </w:r>
      <w:r>
        <w:rPr>
          <w:rFonts w:hint="eastAsia" w:ascii="宋体" w:hAnsi="宋体" w:eastAsia="宋体" w:cs="楷体"/>
          <w:color w:val="auto"/>
          <w:sz w:val="24"/>
          <w:szCs w:val="24"/>
          <w:highlight w:val="none"/>
          <w:lang w:eastAsia="zh-CN"/>
        </w:rPr>
        <w:t>赣北航道事务中心视频监控系统运维服务</w:t>
      </w:r>
    </w:p>
    <w:p w14:paraId="3E0B52EC">
      <w:pPr>
        <w:pStyle w:val="3"/>
        <w:spacing w:line="500" w:lineRule="exact"/>
        <w:ind w:firstLine="480"/>
        <w:rPr>
          <w:rFonts w:ascii="宋体" w:hAnsi="宋体" w:eastAsia="宋体" w:cs="楷体"/>
          <w:bCs/>
          <w:color w:val="auto"/>
          <w:sz w:val="24"/>
          <w:szCs w:val="24"/>
          <w:highlight w:val="none"/>
        </w:rPr>
      </w:pPr>
      <w:r>
        <w:rPr>
          <w:rFonts w:hint="eastAsia" w:ascii="宋体" w:hAnsi="宋体" w:eastAsia="宋体" w:cs="楷体"/>
          <w:bCs/>
          <w:color w:val="auto"/>
          <w:sz w:val="24"/>
          <w:szCs w:val="24"/>
          <w:highlight w:val="none"/>
        </w:rPr>
        <w:t>服务范围包括中国移动九江分公司IDC机房托管设备、江西省赣北航道事务中心机房与15处外场设施等。</w:t>
      </w:r>
    </w:p>
    <w:p w14:paraId="58016893">
      <w:pPr>
        <w:spacing w:line="500" w:lineRule="exact"/>
        <w:ind w:firstLine="480"/>
        <w:rPr>
          <w:rFonts w:ascii="宋体" w:hAnsi="宋体" w:eastAsia="宋体" w:cs="楷体"/>
          <w:bCs/>
          <w:color w:val="auto"/>
          <w:sz w:val="24"/>
          <w:szCs w:val="24"/>
          <w:highlight w:val="none"/>
          <w:lang w:eastAsia="zh-CN"/>
        </w:rPr>
      </w:pPr>
      <w:r>
        <w:rPr>
          <w:rFonts w:hint="eastAsia" w:ascii="宋体" w:hAnsi="宋体" w:eastAsia="宋体" w:cs="楷体"/>
          <w:bCs/>
          <w:color w:val="auto"/>
          <w:sz w:val="24"/>
          <w:szCs w:val="24"/>
          <w:highlight w:val="none"/>
          <w:lang w:eastAsia="zh-CN"/>
        </w:rPr>
        <w:t>1.提供中国移动九江分公司IDC机房托管设备、江西省赣北航道事务中心机房各项设备与15处外场设施的日常养护、维修更换、配置操作、系统升级、突发事件处理、7*24小时技术支持等运维服务；该部分主要设备设施见附件5；</w:t>
      </w:r>
    </w:p>
    <w:p w14:paraId="255AD7B5">
      <w:pPr>
        <w:spacing w:line="500" w:lineRule="exact"/>
        <w:ind w:firstLine="480"/>
        <w:rPr>
          <w:rFonts w:ascii="宋体" w:hAnsi="宋体" w:eastAsia="宋体" w:cs="楷体"/>
          <w:bCs/>
          <w:color w:val="auto"/>
          <w:sz w:val="24"/>
          <w:szCs w:val="24"/>
          <w:highlight w:val="none"/>
          <w:lang w:eastAsia="zh-CN"/>
        </w:rPr>
      </w:pPr>
      <w:r>
        <w:rPr>
          <w:rFonts w:hint="eastAsia" w:ascii="宋体" w:hAnsi="宋体" w:eastAsia="宋体" w:cs="楷体"/>
          <w:bCs/>
          <w:color w:val="auto"/>
          <w:sz w:val="24"/>
          <w:szCs w:val="24"/>
          <w:highlight w:val="none"/>
          <w:lang w:eastAsia="zh-CN"/>
        </w:rPr>
        <w:t>2.对中心所属航道段所提供技术支持服务，保障至少有一台终端设备可以正常使用和访问视频监控平台；</w:t>
      </w:r>
    </w:p>
    <w:p w14:paraId="06266441">
      <w:pPr>
        <w:spacing w:line="500" w:lineRule="exact"/>
        <w:ind w:firstLine="480"/>
        <w:rPr>
          <w:rFonts w:ascii="宋体" w:hAnsi="宋体" w:eastAsia="宋体" w:cs="楷体"/>
          <w:bCs/>
          <w:color w:val="auto"/>
          <w:sz w:val="24"/>
          <w:szCs w:val="24"/>
          <w:highlight w:val="none"/>
          <w:lang w:eastAsia="zh-CN"/>
        </w:rPr>
      </w:pPr>
      <w:r>
        <w:rPr>
          <w:rFonts w:hint="eastAsia" w:ascii="宋体" w:hAnsi="宋体" w:eastAsia="宋体" w:cs="楷体"/>
          <w:bCs/>
          <w:color w:val="auto"/>
          <w:sz w:val="24"/>
          <w:szCs w:val="24"/>
          <w:highlight w:val="none"/>
          <w:lang w:eastAsia="zh-CN"/>
        </w:rPr>
        <w:t>3.提供15处外场设施正常运行的供电及保障，电费与场地占用费等约9600元/年，以实际发生为准；</w:t>
      </w:r>
    </w:p>
    <w:p w14:paraId="6613438B">
      <w:pPr>
        <w:spacing w:line="500" w:lineRule="exact"/>
        <w:ind w:firstLine="480"/>
        <w:rPr>
          <w:rFonts w:ascii="宋体" w:hAnsi="宋体" w:eastAsia="宋体" w:cs="楷体"/>
          <w:bCs/>
          <w:color w:val="auto"/>
          <w:sz w:val="24"/>
          <w:szCs w:val="24"/>
          <w:highlight w:val="none"/>
          <w:lang w:eastAsia="zh-CN"/>
        </w:rPr>
      </w:pPr>
      <w:r>
        <w:rPr>
          <w:rFonts w:hint="eastAsia" w:ascii="宋体" w:hAnsi="宋体" w:eastAsia="宋体" w:cs="楷体"/>
          <w:bCs/>
          <w:color w:val="auto"/>
          <w:sz w:val="24"/>
          <w:szCs w:val="24"/>
          <w:highlight w:val="none"/>
          <w:lang w:eastAsia="zh-CN"/>
        </w:rPr>
        <w:t>4.设备备件：</w:t>
      </w:r>
      <w:r>
        <w:rPr>
          <w:rFonts w:hint="eastAsia" w:ascii="宋体" w:hAnsi="宋体" w:eastAsia="宋体" w:cs="楷体"/>
          <w:bCs/>
          <w:color w:val="auto"/>
          <w:sz w:val="24"/>
          <w:szCs w:val="24"/>
          <w:highlight w:val="none"/>
          <w:lang w:val="en-US" w:eastAsia="zh-CN"/>
        </w:rPr>
        <w:t>中标人</w:t>
      </w:r>
      <w:r>
        <w:rPr>
          <w:rFonts w:hint="eastAsia" w:ascii="宋体" w:hAnsi="宋体" w:eastAsia="宋体" w:cs="楷体"/>
          <w:bCs/>
          <w:color w:val="auto"/>
          <w:sz w:val="24"/>
          <w:szCs w:val="24"/>
          <w:highlight w:val="none"/>
          <w:lang w:eastAsia="zh-CN"/>
        </w:rPr>
        <w:t>应至少</w:t>
      </w:r>
      <w:r>
        <w:rPr>
          <w:rFonts w:hint="eastAsia" w:ascii="宋体" w:hAnsi="宋体" w:eastAsia="宋体" w:cs="楷体"/>
          <w:bCs/>
          <w:color w:val="auto"/>
          <w:sz w:val="24"/>
          <w:szCs w:val="24"/>
          <w:highlight w:val="none"/>
          <w:lang w:val="en-US" w:eastAsia="zh-CN"/>
        </w:rPr>
        <w:t>提供</w:t>
      </w:r>
      <w:r>
        <w:rPr>
          <w:rFonts w:hint="eastAsia" w:ascii="宋体" w:hAnsi="宋体" w:eastAsia="宋体" w:cs="楷体"/>
          <w:bCs/>
          <w:color w:val="auto"/>
          <w:sz w:val="24"/>
          <w:szCs w:val="24"/>
          <w:highlight w:val="none"/>
          <w:lang w:eastAsia="zh-CN"/>
        </w:rPr>
        <w:t>三套不低于原设备参数的监控设备备件，需要能支持所有主流监控视频协议并能与现有平台完成对接；</w:t>
      </w:r>
    </w:p>
    <w:p w14:paraId="4802DBBE">
      <w:pPr>
        <w:spacing w:line="500" w:lineRule="exact"/>
        <w:ind w:firstLine="480"/>
        <w:rPr>
          <w:rFonts w:ascii="宋体" w:hAnsi="宋体" w:eastAsia="宋体" w:cs="楷体"/>
          <w:bCs/>
          <w:color w:val="auto"/>
          <w:sz w:val="24"/>
          <w:szCs w:val="24"/>
          <w:highlight w:val="none"/>
          <w:lang w:eastAsia="zh-CN"/>
        </w:rPr>
      </w:pPr>
      <w:r>
        <w:rPr>
          <w:rFonts w:hint="eastAsia" w:ascii="宋体" w:hAnsi="宋体" w:eastAsia="宋体" w:cs="楷体"/>
          <w:bCs/>
          <w:color w:val="auto"/>
          <w:sz w:val="24"/>
          <w:szCs w:val="24"/>
          <w:highlight w:val="none"/>
          <w:lang w:eastAsia="zh-CN"/>
        </w:rPr>
        <w:t>5.培训服务：</w:t>
      </w:r>
      <w:r>
        <w:rPr>
          <w:rFonts w:hint="eastAsia" w:ascii="宋体" w:hAnsi="宋体" w:eastAsia="宋体" w:cs="楷体"/>
          <w:bCs/>
          <w:color w:val="auto"/>
          <w:sz w:val="24"/>
          <w:szCs w:val="24"/>
          <w:highlight w:val="none"/>
          <w:lang w:val="en-US" w:eastAsia="zh-CN"/>
        </w:rPr>
        <w:t>中标人</w:t>
      </w:r>
      <w:r>
        <w:rPr>
          <w:rFonts w:hint="eastAsia" w:ascii="宋体" w:hAnsi="宋体" w:eastAsia="宋体" w:cs="楷体"/>
          <w:bCs/>
          <w:color w:val="auto"/>
          <w:sz w:val="24"/>
          <w:szCs w:val="24"/>
          <w:highlight w:val="none"/>
          <w:lang w:eastAsia="zh-CN"/>
        </w:rPr>
        <w:t>根据采购人维护人员的实际需要，组织开展不低于10人·天的相应专题技术培训。</w:t>
      </w:r>
    </w:p>
    <w:p w14:paraId="7A1B1B7A">
      <w:pPr>
        <w:spacing w:line="500" w:lineRule="exact"/>
        <w:ind w:firstLine="480"/>
        <w:rPr>
          <w:rFonts w:ascii="宋体" w:hAnsi="宋体" w:eastAsia="宋体" w:cs="楷体"/>
          <w:color w:val="auto"/>
          <w:sz w:val="24"/>
          <w:szCs w:val="24"/>
          <w:highlight w:val="none"/>
          <w:lang w:eastAsia="zh-CN"/>
        </w:rPr>
      </w:pPr>
      <w:r>
        <w:rPr>
          <w:rFonts w:hint="eastAsia" w:ascii="宋体" w:hAnsi="宋体" w:eastAsia="宋体" w:cs="楷体"/>
          <w:bCs/>
          <w:color w:val="auto"/>
          <w:sz w:val="24"/>
          <w:szCs w:val="24"/>
          <w:highlight w:val="none"/>
          <w:lang w:eastAsia="zh-CN"/>
        </w:rPr>
        <w:t>（四）</w:t>
      </w:r>
      <w:r>
        <w:rPr>
          <w:rFonts w:hint="eastAsia" w:ascii="宋体" w:hAnsi="宋体" w:eastAsia="宋体" w:cs="楷体"/>
          <w:color w:val="auto"/>
          <w:sz w:val="24"/>
          <w:szCs w:val="24"/>
          <w:highlight w:val="none"/>
          <w:lang w:eastAsia="zh-CN"/>
        </w:rPr>
        <w:t>赣东航道事务中心视频监控系统运维服务</w:t>
      </w:r>
    </w:p>
    <w:p w14:paraId="3C598EDE">
      <w:pPr>
        <w:pStyle w:val="3"/>
        <w:spacing w:line="500" w:lineRule="exact"/>
        <w:ind w:firstLine="480"/>
        <w:rPr>
          <w:rFonts w:ascii="宋体" w:hAnsi="宋体" w:eastAsia="宋体" w:cs="楷体"/>
          <w:bCs/>
          <w:color w:val="auto"/>
          <w:sz w:val="24"/>
          <w:szCs w:val="24"/>
          <w:highlight w:val="none"/>
        </w:rPr>
      </w:pPr>
      <w:r>
        <w:rPr>
          <w:rFonts w:hint="eastAsia" w:ascii="宋体" w:hAnsi="宋体" w:eastAsia="宋体" w:cs="楷体"/>
          <w:bCs/>
          <w:color w:val="auto"/>
          <w:sz w:val="24"/>
          <w:szCs w:val="24"/>
          <w:highlight w:val="none"/>
        </w:rPr>
        <w:t>服务范围包括鄱阳航道所监控分中心机房与8处外场设施等。</w:t>
      </w:r>
    </w:p>
    <w:p w14:paraId="7E23A65D">
      <w:pPr>
        <w:pStyle w:val="3"/>
        <w:spacing w:line="500" w:lineRule="exact"/>
        <w:ind w:firstLine="480"/>
        <w:rPr>
          <w:rFonts w:ascii="宋体" w:hAnsi="宋体" w:eastAsia="宋体" w:cs="楷体"/>
          <w:bCs/>
          <w:color w:val="auto"/>
          <w:sz w:val="24"/>
          <w:szCs w:val="24"/>
          <w:highlight w:val="none"/>
        </w:rPr>
      </w:pPr>
      <w:r>
        <w:rPr>
          <w:rFonts w:hint="eastAsia" w:ascii="宋体" w:hAnsi="宋体" w:eastAsia="宋体" w:cs="楷体"/>
          <w:bCs/>
          <w:color w:val="auto"/>
          <w:sz w:val="24"/>
          <w:szCs w:val="24"/>
          <w:highlight w:val="none"/>
        </w:rPr>
        <w:t>1.提供鄱阳航道所监控分中心机房各项设备、鄱阳、双港两处趸船值班室各项设备、鄱阳移动IDC机房设备与8处外场设施的日常养护、维修更换、配置操作、系统升级、突发事件处理、7*24小时技术支持等运维服务；该部分主要设备设施见附件6；</w:t>
      </w:r>
    </w:p>
    <w:p w14:paraId="5C3E8936">
      <w:pPr>
        <w:pStyle w:val="3"/>
        <w:spacing w:line="500" w:lineRule="exact"/>
        <w:ind w:firstLine="480"/>
        <w:rPr>
          <w:rFonts w:ascii="宋体" w:hAnsi="宋体" w:eastAsia="宋体" w:cs="楷体"/>
          <w:bCs/>
          <w:color w:val="auto"/>
          <w:sz w:val="24"/>
          <w:szCs w:val="24"/>
        </w:rPr>
      </w:pPr>
      <w:r>
        <w:rPr>
          <w:rFonts w:hint="eastAsia" w:ascii="宋体" w:hAnsi="宋体" w:eastAsia="宋体" w:cs="楷体"/>
          <w:bCs/>
          <w:color w:val="auto"/>
          <w:sz w:val="24"/>
          <w:szCs w:val="24"/>
        </w:rPr>
        <w:t>2.对中心所属航道段所提供技术支持服务，保障至少有一台终端设备可以正常使用和访问视频监控平台；</w:t>
      </w:r>
    </w:p>
    <w:p w14:paraId="35742427">
      <w:pPr>
        <w:pStyle w:val="3"/>
        <w:spacing w:line="500" w:lineRule="exact"/>
        <w:ind w:firstLine="480"/>
        <w:rPr>
          <w:rFonts w:ascii="宋体" w:hAnsi="宋体" w:eastAsia="宋体" w:cs="楷体"/>
          <w:bCs/>
          <w:color w:val="auto"/>
          <w:sz w:val="24"/>
          <w:szCs w:val="24"/>
          <w:highlight w:val="none"/>
        </w:rPr>
      </w:pPr>
      <w:r>
        <w:rPr>
          <w:rFonts w:hint="eastAsia" w:ascii="宋体" w:hAnsi="宋体" w:eastAsia="宋体" w:cs="楷体"/>
          <w:bCs/>
          <w:color w:val="auto"/>
          <w:sz w:val="24"/>
          <w:szCs w:val="24"/>
          <w:highlight w:val="none"/>
        </w:rPr>
        <w:t>3.提供8处外场设施正常运行的供电及保障，电费与场地占用费等约23000元/年，以实际发生为准；</w:t>
      </w:r>
    </w:p>
    <w:p w14:paraId="61167C42">
      <w:pPr>
        <w:spacing w:line="500" w:lineRule="exact"/>
        <w:ind w:firstLine="480" w:firstLineChars="200"/>
        <w:rPr>
          <w:rFonts w:ascii="宋体" w:hAnsi="宋体" w:eastAsia="宋体" w:cs="楷体"/>
          <w:bCs/>
          <w:color w:val="auto"/>
          <w:sz w:val="24"/>
          <w:szCs w:val="24"/>
          <w:highlight w:val="none"/>
          <w:lang w:eastAsia="zh-CN"/>
        </w:rPr>
      </w:pPr>
      <w:r>
        <w:rPr>
          <w:rFonts w:hint="eastAsia" w:ascii="宋体" w:hAnsi="宋体" w:eastAsia="宋体" w:cs="楷体"/>
          <w:bCs/>
          <w:color w:val="auto"/>
          <w:sz w:val="24"/>
          <w:szCs w:val="24"/>
          <w:highlight w:val="none"/>
          <w:lang w:eastAsia="zh-CN"/>
        </w:rPr>
        <w:t>4.设备备件：</w:t>
      </w:r>
      <w:r>
        <w:rPr>
          <w:rFonts w:hint="eastAsia" w:ascii="宋体" w:hAnsi="宋体" w:eastAsia="宋体" w:cs="楷体"/>
          <w:bCs/>
          <w:color w:val="auto"/>
          <w:sz w:val="24"/>
          <w:szCs w:val="24"/>
          <w:highlight w:val="none"/>
          <w:lang w:val="en-US" w:eastAsia="zh-CN"/>
        </w:rPr>
        <w:t>中标人</w:t>
      </w:r>
      <w:r>
        <w:rPr>
          <w:rFonts w:hint="eastAsia" w:ascii="宋体" w:hAnsi="宋体" w:eastAsia="宋体" w:cs="楷体"/>
          <w:bCs/>
          <w:color w:val="auto"/>
          <w:sz w:val="24"/>
          <w:szCs w:val="24"/>
          <w:highlight w:val="none"/>
          <w:lang w:eastAsia="zh-CN"/>
        </w:rPr>
        <w:t>应至少</w:t>
      </w:r>
      <w:r>
        <w:rPr>
          <w:rFonts w:hint="eastAsia" w:ascii="宋体" w:hAnsi="宋体" w:eastAsia="宋体" w:cs="楷体"/>
          <w:bCs/>
          <w:color w:val="auto"/>
          <w:sz w:val="24"/>
          <w:szCs w:val="24"/>
          <w:highlight w:val="none"/>
          <w:lang w:val="en-US" w:eastAsia="zh-CN"/>
        </w:rPr>
        <w:t>提供</w:t>
      </w:r>
      <w:r>
        <w:rPr>
          <w:rFonts w:hint="eastAsia" w:ascii="宋体" w:hAnsi="宋体" w:eastAsia="宋体" w:cs="楷体"/>
          <w:bCs/>
          <w:color w:val="auto"/>
          <w:sz w:val="24"/>
          <w:szCs w:val="24"/>
          <w:highlight w:val="none"/>
          <w:lang w:eastAsia="zh-CN"/>
        </w:rPr>
        <w:t>三套不低于原设备参数的监控设备备件，需要能支持所有主流监控视频协议并能与现有平台完成对接；</w:t>
      </w:r>
    </w:p>
    <w:p w14:paraId="10947EE0">
      <w:pPr>
        <w:pStyle w:val="3"/>
        <w:spacing w:line="500" w:lineRule="exact"/>
        <w:ind w:firstLine="480"/>
        <w:rPr>
          <w:rFonts w:ascii="宋体" w:hAnsi="宋体" w:eastAsia="宋体" w:cs="楷体"/>
          <w:bCs/>
          <w:color w:val="auto"/>
          <w:sz w:val="24"/>
          <w:szCs w:val="24"/>
          <w:highlight w:val="none"/>
        </w:rPr>
      </w:pPr>
      <w:r>
        <w:rPr>
          <w:rFonts w:hint="eastAsia" w:ascii="宋体" w:hAnsi="宋体" w:eastAsia="宋体" w:cs="楷体"/>
          <w:bCs/>
          <w:color w:val="auto"/>
          <w:sz w:val="24"/>
          <w:szCs w:val="24"/>
          <w:highlight w:val="none"/>
        </w:rPr>
        <w:t>5.培训服务：</w:t>
      </w:r>
      <w:r>
        <w:rPr>
          <w:rFonts w:hint="eastAsia" w:ascii="宋体" w:hAnsi="宋体" w:eastAsia="宋体" w:cs="楷体"/>
          <w:bCs/>
          <w:color w:val="auto"/>
          <w:sz w:val="24"/>
          <w:szCs w:val="24"/>
          <w:highlight w:val="none"/>
          <w:lang w:val="en-US" w:eastAsia="zh-CN"/>
        </w:rPr>
        <w:t>中标</w:t>
      </w:r>
      <w:r>
        <w:rPr>
          <w:rFonts w:hint="eastAsia" w:ascii="宋体" w:hAnsi="宋体" w:eastAsia="宋体" w:cs="楷体"/>
          <w:bCs/>
          <w:color w:val="auto"/>
          <w:sz w:val="24"/>
          <w:szCs w:val="24"/>
          <w:highlight w:val="none"/>
        </w:rPr>
        <w:t>人根据采购人维护人员的实际需要，组织开展不低于10人·天的相应专题技术培训。</w:t>
      </w:r>
    </w:p>
    <w:p w14:paraId="720B7429">
      <w:pPr>
        <w:spacing w:line="500" w:lineRule="exact"/>
        <w:ind w:firstLine="480"/>
        <w:rPr>
          <w:rFonts w:ascii="宋体" w:hAnsi="宋体" w:eastAsia="宋体" w:cs="楷体"/>
          <w:color w:val="auto"/>
          <w:sz w:val="24"/>
          <w:szCs w:val="24"/>
          <w:highlight w:val="none"/>
          <w:lang w:eastAsia="zh-CN"/>
        </w:rPr>
      </w:pPr>
      <w:r>
        <w:rPr>
          <w:rFonts w:hint="eastAsia" w:ascii="宋体" w:hAnsi="宋体" w:eastAsia="宋体" w:cs="楷体"/>
          <w:bCs/>
          <w:color w:val="auto"/>
          <w:sz w:val="24"/>
          <w:szCs w:val="24"/>
          <w:highlight w:val="none"/>
          <w:lang w:eastAsia="zh-CN"/>
        </w:rPr>
        <w:t>（五）</w:t>
      </w:r>
      <w:r>
        <w:rPr>
          <w:rFonts w:hint="eastAsia" w:ascii="宋体" w:hAnsi="宋体" w:eastAsia="宋体" w:cs="楷体"/>
          <w:color w:val="auto"/>
          <w:sz w:val="24"/>
          <w:szCs w:val="24"/>
          <w:highlight w:val="none"/>
          <w:lang w:eastAsia="zh-CN"/>
        </w:rPr>
        <w:t>赣南航道事务中心视频监控系统运维服务</w:t>
      </w:r>
    </w:p>
    <w:p w14:paraId="05880519">
      <w:pPr>
        <w:pStyle w:val="3"/>
        <w:spacing w:line="500" w:lineRule="exact"/>
        <w:ind w:firstLine="480"/>
        <w:rPr>
          <w:rFonts w:ascii="宋体" w:hAnsi="宋体" w:eastAsia="宋体" w:cs="楷体"/>
          <w:bCs/>
          <w:color w:val="auto"/>
          <w:sz w:val="24"/>
          <w:szCs w:val="24"/>
          <w:highlight w:val="none"/>
        </w:rPr>
      </w:pPr>
      <w:r>
        <w:rPr>
          <w:rFonts w:hint="eastAsia" w:ascii="宋体" w:hAnsi="宋体" w:eastAsia="宋体" w:cs="楷体"/>
          <w:bCs/>
          <w:color w:val="auto"/>
          <w:sz w:val="24"/>
          <w:szCs w:val="24"/>
          <w:highlight w:val="none"/>
        </w:rPr>
        <w:t>服务范围包括江西省赣南航道事务中心机房与11处外场设施等。</w:t>
      </w:r>
    </w:p>
    <w:p w14:paraId="506C262B">
      <w:pPr>
        <w:spacing w:line="500" w:lineRule="exact"/>
        <w:ind w:firstLine="480"/>
        <w:rPr>
          <w:rFonts w:ascii="宋体" w:hAnsi="宋体" w:eastAsia="宋体" w:cs="楷体"/>
          <w:bCs/>
          <w:color w:val="auto"/>
          <w:sz w:val="24"/>
          <w:szCs w:val="24"/>
          <w:highlight w:val="none"/>
          <w:lang w:eastAsia="zh-CN"/>
        </w:rPr>
      </w:pPr>
      <w:r>
        <w:rPr>
          <w:rFonts w:hint="eastAsia" w:ascii="宋体" w:hAnsi="宋体" w:eastAsia="宋体" w:cs="楷体"/>
          <w:bCs/>
          <w:color w:val="auto"/>
          <w:sz w:val="24"/>
          <w:szCs w:val="24"/>
          <w:highlight w:val="none"/>
          <w:lang w:eastAsia="zh-CN"/>
        </w:rPr>
        <w:t>1.提供江西省赣南航道事务中心机房各项设备与11处外场设施的日常养护、维修更换、配置操作、系统升级、突发事件处理、7*24小时技术支持等运维服务；该部分主要设备设施见附件7；</w:t>
      </w:r>
    </w:p>
    <w:p w14:paraId="36E6B57B">
      <w:pPr>
        <w:spacing w:line="500" w:lineRule="exact"/>
        <w:ind w:firstLine="480"/>
        <w:rPr>
          <w:rFonts w:ascii="宋体" w:hAnsi="宋体" w:eastAsia="宋体" w:cs="楷体"/>
          <w:bCs/>
          <w:color w:val="auto"/>
          <w:sz w:val="24"/>
          <w:szCs w:val="24"/>
          <w:highlight w:val="none"/>
          <w:lang w:eastAsia="zh-CN"/>
        </w:rPr>
      </w:pPr>
      <w:r>
        <w:rPr>
          <w:rFonts w:hint="eastAsia" w:ascii="宋体" w:hAnsi="宋体" w:eastAsia="宋体" w:cs="楷体"/>
          <w:bCs/>
          <w:color w:val="auto"/>
          <w:sz w:val="24"/>
          <w:szCs w:val="24"/>
          <w:highlight w:val="none"/>
          <w:lang w:eastAsia="zh-CN"/>
        </w:rPr>
        <w:t>2.对中心所属航道段所提供技术支持服务，保障至少有一台终端设备可以正常使用和访问视频监控平台；</w:t>
      </w:r>
    </w:p>
    <w:p w14:paraId="0D13CFE5">
      <w:pPr>
        <w:spacing w:line="500" w:lineRule="exact"/>
        <w:ind w:firstLine="480"/>
        <w:rPr>
          <w:rFonts w:ascii="宋体" w:hAnsi="宋体" w:eastAsia="宋体" w:cs="楷体"/>
          <w:bCs/>
          <w:color w:val="auto"/>
          <w:sz w:val="24"/>
          <w:szCs w:val="24"/>
          <w:highlight w:val="none"/>
          <w:lang w:eastAsia="zh-CN"/>
        </w:rPr>
      </w:pPr>
      <w:r>
        <w:rPr>
          <w:rFonts w:hint="eastAsia" w:ascii="宋体" w:hAnsi="宋体" w:eastAsia="宋体" w:cs="楷体"/>
          <w:bCs/>
          <w:color w:val="auto"/>
          <w:sz w:val="24"/>
          <w:szCs w:val="24"/>
          <w:highlight w:val="none"/>
          <w:lang w:eastAsia="zh-CN"/>
        </w:rPr>
        <w:t>3.提供11处外场设施正常运行的供电及保障，电费与场地占用费等约33200元/年，以实际发生为准；</w:t>
      </w:r>
    </w:p>
    <w:p w14:paraId="7B5F3449">
      <w:pPr>
        <w:spacing w:line="500" w:lineRule="exact"/>
        <w:ind w:firstLine="480"/>
        <w:rPr>
          <w:rFonts w:ascii="宋体" w:hAnsi="宋体" w:eastAsia="宋体" w:cs="楷体"/>
          <w:bCs/>
          <w:color w:val="auto"/>
          <w:sz w:val="24"/>
          <w:szCs w:val="24"/>
          <w:highlight w:val="none"/>
          <w:lang w:eastAsia="zh-CN"/>
        </w:rPr>
      </w:pPr>
      <w:r>
        <w:rPr>
          <w:rFonts w:hint="eastAsia" w:ascii="宋体" w:hAnsi="宋体" w:eastAsia="宋体" w:cs="楷体"/>
          <w:bCs/>
          <w:color w:val="auto"/>
          <w:sz w:val="24"/>
          <w:szCs w:val="24"/>
          <w:highlight w:val="none"/>
          <w:lang w:eastAsia="zh-CN"/>
        </w:rPr>
        <w:t>4.设备备件：</w:t>
      </w:r>
      <w:r>
        <w:rPr>
          <w:rFonts w:hint="eastAsia" w:ascii="宋体" w:hAnsi="宋体" w:eastAsia="宋体" w:cs="楷体"/>
          <w:bCs/>
          <w:color w:val="auto"/>
          <w:sz w:val="24"/>
          <w:szCs w:val="24"/>
          <w:highlight w:val="none"/>
          <w:lang w:val="en-US" w:eastAsia="zh-CN"/>
        </w:rPr>
        <w:t>中标人</w:t>
      </w:r>
      <w:r>
        <w:rPr>
          <w:rFonts w:hint="eastAsia" w:ascii="宋体" w:hAnsi="宋体" w:eastAsia="宋体" w:cs="楷体"/>
          <w:bCs/>
          <w:color w:val="auto"/>
          <w:sz w:val="24"/>
          <w:szCs w:val="24"/>
          <w:highlight w:val="none"/>
          <w:lang w:eastAsia="zh-CN"/>
        </w:rPr>
        <w:t>应至少</w:t>
      </w:r>
      <w:r>
        <w:rPr>
          <w:rFonts w:hint="eastAsia" w:ascii="宋体" w:hAnsi="宋体" w:eastAsia="宋体" w:cs="楷体"/>
          <w:bCs/>
          <w:color w:val="auto"/>
          <w:sz w:val="24"/>
          <w:szCs w:val="24"/>
          <w:highlight w:val="none"/>
          <w:lang w:val="en-US" w:eastAsia="zh-CN"/>
        </w:rPr>
        <w:t>提供</w:t>
      </w:r>
      <w:r>
        <w:rPr>
          <w:rFonts w:hint="eastAsia" w:ascii="宋体" w:hAnsi="宋体" w:eastAsia="宋体" w:cs="楷体"/>
          <w:bCs/>
          <w:color w:val="auto"/>
          <w:sz w:val="24"/>
          <w:szCs w:val="24"/>
          <w:highlight w:val="none"/>
          <w:lang w:eastAsia="zh-CN"/>
        </w:rPr>
        <w:t>三套不低于原设备参数的监控设备备件，需要能支持所有主流监控视频协议并能与现有平台完成对接；</w:t>
      </w:r>
    </w:p>
    <w:p w14:paraId="2FA9900A">
      <w:pPr>
        <w:spacing w:line="500" w:lineRule="exact"/>
        <w:ind w:firstLine="480"/>
        <w:rPr>
          <w:rFonts w:ascii="宋体" w:hAnsi="宋体" w:eastAsia="宋体" w:cs="楷体"/>
          <w:bCs/>
          <w:color w:val="auto"/>
          <w:sz w:val="24"/>
          <w:szCs w:val="24"/>
          <w:highlight w:val="none"/>
          <w:lang w:eastAsia="zh-CN"/>
        </w:rPr>
      </w:pPr>
      <w:r>
        <w:rPr>
          <w:rFonts w:hint="eastAsia" w:ascii="宋体" w:hAnsi="宋体" w:eastAsia="宋体" w:cs="楷体"/>
          <w:bCs/>
          <w:color w:val="auto"/>
          <w:sz w:val="24"/>
          <w:szCs w:val="24"/>
          <w:highlight w:val="none"/>
          <w:lang w:eastAsia="zh-CN"/>
        </w:rPr>
        <w:t>5.培训服务：</w:t>
      </w:r>
      <w:r>
        <w:rPr>
          <w:rFonts w:hint="eastAsia" w:ascii="宋体" w:hAnsi="宋体" w:eastAsia="宋体" w:cs="楷体"/>
          <w:bCs/>
          <w:color w:val="auto"/>
          <w:sz w:val="24"/>
          <w:szCs w:val="24"/>
          <w:highlight w:val="none"/>
          <w:lang w:val="en-US" w:eastAsia="zh-CN"/>
        </w:rPr>
        <w:t>中标人</w:t>
      </w:r>
      <w:r>
        <w:rPr>
          <w:rFonts w:hint="eastAsia" w:ascii="宋体" w:hAnsi="宋体" w:eastAsia="宋体" w:cs="楷体"/>
          <w:bCs/>
          <w:color w:val="auto"/>
          <w:sz w:val="24"/>
          <w:szCs w:val="24"/>
          <w:highlight w:val="none"/>
          <w:lang w:eastAsia="zh-CN"/>
        </w:rPr>
        <w:t>根据采购人维护人员的实际需要，组织开展不低于10人·天的相应专题技术培训。</w:t>
      </w:r>
    </w:p>
    <w:p w14:paraId="12FD59AC">
      <w:pPr>
        <w:spacing w:line="500" w:lineRule="exact"/>
        <w:ind w:firstLine="480"/>
        <w:rPr>
          <w:rFonts w:ascii="宋体" w:hAnsi="宋体" w:eastAsia="宋体" w:cs="楷体"/>
          <w:color w:val="auto"/>
          <w:sz w:val="24"/>
          <w:szCs w:val="24"/>
          <w:highlight w:val="none"/>
          <w:lang w:eastAsia="zh-CN"/>
        </w:rPr>
      </w:pPr>
      <w:r>
        <w:rPr>
          <w:rFonts w:hint="eastAsia" w:ascii="宋体" w:hAnsi="宋体" w:eastAsia="宋体" w:cs="楷体"/>
          <w:bCs/>
          <w:color w:val="auto"/>
          <w:sz w:val="24"/>
          <w:szCs w:val="24"/>
          <w:highlight w:val="none"/>
          <w:lang w:eastAsia="zh-CN"/>
        </w:rPr>
        <w:t>（六）</w:t>
      </w:r>
      <w:r>
        <w:rPr>
          <w:rFonts w:hint="eastAsia" w:ascii="宋体" w:hAnsi="宋体" w:eastAsia="宋体" w:cs="楷体"/>
          <w:color w:val="auto"/>
          <w:sz w:val="24"/>
          <w:szCs w:val="24"/>
          <w:highlight w:val="none"/>
          <w:lang w:eastAsia="zh-CN"/>
        </w:rPr>
        <w:t>赣西航道事务中心视频监控系统运维服务</w:t>
      </w:r>
    </w:p>
    <w:p w14:paraId="40651771">
      <w:pPr>
        <w:pStyle w:val="3"/>
        <w:spacing w:line="500" w:lineRule="exact"/>
        <w:ind w:firstLine="480"/>
        <w:rPr>
          <w:rFonts w:ascii="宋体" w:hAnsi="宋体" w:eastAsia="宋体" w:cs="楷体"/>
          <w:bCs/>
          <w:color w:val="auto"/>
          <w:sz w:val="24"/>
          <w:szCs w:val="24"/>
          <w:highlight w:val="none"/>
        </w:rPr>
      </w:pPr>
      <w:r>
        <w:rPr>
          <w:rFonts w:hint="eastAsia" w:ascii="宋体" w:hAnsi="宋体" w:eastAsia="宋体" w:cs="楷体"/>
          <w:bCs/>
          <w:color w:val="auto"/>
          <w:sz w:val="24"/>
          <w:szCs w:val="24"/>
          <w:highlight w:val="none"/>
        </w:rPr>
        <w:t>服务范围包括IDC数据处理中心托管设备，新余航道所机房、仙女湖海事处监控中心机房与8处外场设施等。</w:t>
      </w:r>
    </w:p>
    <w:p w14:paraId="1387F1C3">
      <w:pPr>
        <w:spacing w:line="500" w:lineRule="exact"/>
        <w:ind w:firstLine="480"/>
        <w:rPr>
          <w:rFonts w:ascii="宋体" w:hAnsi="宋体" w:eastAsia="宋体" w:cs="楷体"/>
          <w:bCs/>
          <w:color w:val="auto"/>
          <w:sz w:val="24"/>
          <w:szCs w:val="24"/>
          <w:highlight w:val="none"/>
          <w:lang w:eastAsia="zh-CN"/>
        </w:rPr>
      </w:pPr>
      <w:r>
        <w:rPr>
          <w:rFonts w:hint="eastAsia" w:ascii="宋体" w:hAnsi="宋体" w:eastAsia="宋体" w:cs="楷体"/>
          <w:bCs/>
          <w:color w:val="auto"/>
          <w:sz w:val="24"/>
          <w:szCs w:val="24"/>
          <w:highlight w:val="none"/>
          <w:lang w:eastAsia="zh-CN"/>
        </w:rPr>
        <w:t>1.提供IDC数据处理中心托管设备，新余航道所机房、仙女湖海事处监控中心机房各项设备与8处外场设施的日常养护、维修更换、配置操作、系统升级、突发事件处理、7*24小时技术支持等运维服务；该部分主要设备设施见附件8；</w:t>
      </w:r>
    </w:p>
    <w:p w14:paraId="60A04125">
      <w:pPr>
        <w:spacing w:line="500" w:lineRule="exact"/>
        <w:ind w:firstLine="480"/>
        <w:rPr>
          <w:rFonts w:ascii="宋体" w:hAnsi="宋体" w:eastAsia="宋体" w:cs="楷体"/>
          <w:bCs/>
          <w:color w:val="auto"/>
          <w:sz w:val="24"/>
          <w:szCs w:val="24"/>
          <w:highlight w:val="none"/>
          <w:lang w:eastAsia="zh-CN"/>
        </w:rPr>
      </w:pPr>
      <w:r>
        <w:rPr>
          <w:rFonts w:hint="eastAsia" w:ascii="宋体" w:hAnsi="宋体" w:eastAsia="宋体" w:cs="楷体"/>
          <w:bCs/>
          <w:color w:val="auto"/>
          <w:sz w:val="24"/>
          <w:szCs w:val="24"/>
          <w:highlight w:val="none"/>
          <w:lang w:eastAsia="zh-CN"/>
        </w:rPr>
        <w:t>2.对中心所属航道段所提供技术支持服务，保障至少有一台终端设备可以正常使用和访问视频监控平台；</w:t>
      </w:r>
    </w:p>
    <w:p w14:paraId="20AD0323">
      <w:pPr>
        <w:spacing w:line="500" w:lineRule="exact"/>
        <w:ind w:firstLine="480"/>
        <w:rPr>
          <w:rFonts w:ascii="宋体" w:hAnsi="宋体" w:eastAsia="宋体" w:cs="楷体"/>
          <w:bCs/>
          <w:color w:val="auto"/>
          <w:sz w:val="24"/>
          <w:szCs w:val="24"/>
          <w:highlight w:val="none"/>
          <w:lang w:eastAsia="zh-CN"/>
        </w:rPr>
      </w:pPr>
      <w:r>
        <w:rPr>
          <w:rFonts w:hint="eastAsia" w:ascii="宋体" w:hAnsi="宋体" w:eastAsia="宋体" w:cs="楷体"/>
          <w:bCs/>
          <w:color w:val="auto"/>
          <w:sz w:val="24"/>
          <w:szCs w:val="24"/>
          <w:highlight w:val="none"/>
          <w:lang w:eastAsia="zh-CN"/>
        </w:rPr>
        <w:t>3.提供8处外场设施正常运行的供电及保障，电费与场地占用费等约5400元/年，以实际发生为准；</w:t>
      </w:r>
    </w:p>
    <w:p w14:paraId="2A7AF42A">
      <w:pPr>
        <w:spacing w:line="500" w:lineRule="exact"/>
        <w:ind w:firstLine="480"/>
        <w:rPr>
          <w:rFonts w:ascii="宋体" w:hAnsi="宋体" w:eastAsia="宋体" w:cs="楷体"/>
          <w:bCs/>
          <w:color w:val="auto"/>
          <w:sz w:val="24"/>
          <w:szCs w:val="24"/>
          <w:highlight w:val="none"/>
          <w:lang w:eastAsia="zh-CN"/>
        </w:rPr>
      </w:pPr>
      <w:r>
        <w:rPr>
          <w:rFonts w:hint="eastAsia" w:ascii="宋体" w:hAnsi="宋体" w:eastAsia="宋体" w:cs="楷体"/>
          <w:bCs/>
          <w:color w:val="auto"/>
          <w:sz w:val="24"/>
          <w:szCs w:val="24"/>
          <w:highlight w:val="none"/>
          <w:lang w:eastAsia="zh-CN"/>
        </w:rPr>
        <w:t>4.设备备件：</w:t>
      </w:r>
      <w:r>
        <w:rPr>
          <w:rFonts w:hint="eastAsia" w:ascii="宋体" w:hAnsi="宋体" w:eastAsia="宋体" w:cs="楷体"/>
          <w:bCs/>
          <w:color w:val="auto"/>
          <w:sz w:val="24"/>
          <w:szCs w:val="24"/>
          <w:highlight w:val="none"/>
          <w:lang w:val="en-US" w:eastAsia="zh-CN"/>
        </w:rPr>
        <w:t>中标人</w:t>
      </w:r>
      <w:r>
        <w:rPr>
          <w:rFonts w:hint="eastAsia" w:ascii="宋体" w:hAnsi="宋体" w:eastAsia="宋体" w:cs="楷体"/>
          <w:bCs/>
          <w:color w:val="auto"/>
          <w:sz w:val="24"/>
          <w:szCs w:val="24"/>
          <w:highlight w:val="none"/>
          <w:lang w:eastAsia="zh-CN"/>
        </w:rPr>
        <w:t>应至少</w:t>
      </w:r>
      <w:r>
        <w:rPr>
          <w:rFonts w:hint="eastAsia" w:ascii="宋体" w:hAnsi="宋体" w:eastAsia="宋体" w:cs="楷体"/>
          <w:bCs/>
          <w:color w:val="auto"/>
          <w:sz w:val="24"/>
          <w:szCs w:val="24"/>
          <w:highlight w:val="none"/>
          <w:lang w:val="en-US" w:eastAsia="zh-CN"/>
        </w:rPr>
        <w:t>提供</w:t>
      </w:r>
      <w:r>
        <w:rPr>
          <w:rFonts w:hint="eastAsia" w:ascii="宋体" w:hAnsi="宋体" w:eastAsia="宋体" w:cs="楷体"/>
          <w:bCs/>
          <w:color w:val="auto"/>
          <w:sz w:val="24"/>
          <w:szCs w:val="24"/>
          <w:highlight w:val="none"/>
          <w:lang w:eastAsia="zh-CN"/>
        </w:rPr>
        <w:t>三套不低于原设备参数的监控设备备件，需要能支持所有主流监控视频协议并能与现有平台完成对接；</w:t>
      </w:r>
    </w:p>
    <w:p w14:paraId="1BF38A8A">
      <w:pPr>
        <w:spacing w:line="500" w:lineRule="exact"/>
        <w:ind w:firstLine="480"/>
        <w:rPr>
          <w:rFonts w:ascii="宋体" w:hAnsi="宋体" w:eastAsia="宋体" w:cs="楷体"/>
          <w:color w:val="auto"/>
          <w:sz w:val="24"/>
          <w:szCs w:val="24"/>
          <w:highlight w:val="none"/>
          <w:lang w:eastAsia="zh-CN"/>
        </w:rPr>
      </w:pPr>
      <w:r>
        <w:rPr>
          <w:rFonts w:hint="eastAsia" w:ascii="宋体" w:hAnsi="宋体" w:eastAsia="宋体" w:cs="楷体"/>
          <w:bCs/>
          <w:color w:val="auto"/>
          <w:sz w:val="24"/>
          <w:szCs w:val="24"/>
          <w:highlight w:val="none"/>
          <w:lang w:eastAsia="zh-CN"/>
        </w:rPr>
        <w:t>5.培训服务：</w:t>
      </w:r>
      <w:r>
        <w:rPr>
          <w:rFonts w:hint="eastAsia" w:ascii="宋体" w:hAnsi="宋体" w:eastAsia="宋体" w:cs="楷体"/>
          <w:bCs/>
          <w:color w:val="auto"/>
          <w:sz w:val="24"/>
          <w:szCs w:val="24"/>
          <w:highlight w:val="none"/>
          <w:lang w:val="en-US" w:eastAsia="zh-CN"/>
        </w:rPr>
        <w:t>中标人</w:t>
      </w:r>
      <w:r>
        <w:rPr>
          <w:rFonts w:hint="eastAsia" w:ascii="宋体" w:hAnsi="宋体" w:eastAsia="宋体" w:cs="楷体"/>
          <w:bCs/>
          <w:color w:val="auto"/>
          <w:sz w:val="24"/>
          <w:szCs w:val="24"/>
          <w:highlight w:val="none"/>
          <w:lang w:eastAsia="zh-CN"/>
        </w:rPr>
        <w:t>根据采购人维护人员的实际需要，组织开展不低于10人·天的相应专题技术培训。</w:t>
      </w:r>
    </w:p>
    <w:p w14:paraId="1915622B">
      <w:pPr>
        <w:spacing w:line="500" w:lineRule="exact"/>
        <w:ind w:firstLine="480"/>
        <w:rPr>
          <w:rFonts w:ascii="宋体" w:hAnsi="宋体" w:eastAsia="宋体" w:cs="楷体"/>
          <w:color w:val="auto"/>
          <w:sz w:val="24"/>
          <w:szCs w:val="24"/>
          <w:highlight w:val="none"/>
          <w:lang w:eastAsia="zh-CN"/>
        </w:rPr>
      </w:pPr>
      <w:r>
        <w:rPr>
          <w:rFonts w:hint="eastAsia" w:ascii="宋体" w:hAnsi="宋体" w:eastAsia="宋体" w:cs="楷体"/>
          <w:bCs/>
          <w:color w:val="auto"/>
          <w:sz w:val="24"/>
          <w:szCs w:val="24"/>
          <w:highlight w:val="none"/>
          <w:lang w:eastAsia="zh-CN"/>
        </w:rPr>
        <w:t>（七）</w:t>
      </w:r>
      <w:r>
        <w:rPr>
          <w:rFonts w:hint="eastAsia" w:ascii="宋体" w:hAnsi="宋体" w:eastAsia="宋体" w:cs="楷体"/>
          <w:color w:val="auto"/>
          <w:sz w:val="24"/>
          <w:szCs w:val="24"/>
          <w:highlight w:val="none"/>
          <w:lang w:eastAsia="zh-CN"/>
        </w:rPr>
        <w:t>赣中航道事务中心视频监控系统运维服务</w:t>
      </w:r>
    </w:p>
    <w:p w14:paraId="1EEE34A9">
      <w:pPr>
        <w:pStyle w:val="3"/>
        <w:spacing w:line="500" w:lineRule="exact"/>
        <w:ind w:firstLine="480"/>
        <w:rPr>
          <w:rFonts w:ascii="宋体" w:hAnsi="宋体" w:eastAsia="宋体" w:cs="楷体"/>
          <w:bCs/>
          <w:color w:val="auto"/>
          <w:sz w:val="24"/>
          <w:szCs w:val="24"/>
          <w:highlight w:val="none"/>
        </w:rPr>
      </w:pPr>
      <w:bookmarkStart w:id="18" w:name="OLE_LINK1"/>
      <w:r>
        <w:rPr>
          <w:rFonts w:hint="eastAsia" w:ascii="宋体" w:hAnsi="宋体" w:eastAsia="宋体" w:cs="楷体"/>
          <w:bCs/>
          <w:color w:val="auto"/>
          <w:sz w:val="24"/>
          <w:szCs w:val="24"/>
          <w:highlight w:val="none"/>
        </w:rPr>
        <w:t>服务范围包括江西省赣中航道事务中心机房与15处外场设施</w:t>
      </w:r>
      <w:bookmarkEnd w:id="18"/>
      <w:r>
        <w:rPr>
          <w:rFonts w:hint="eastAsia" w:ascii="宋体" w:hAnsi="宋体" w:eastAsia="宋体" w:cs="楷体"/>
          <w:bCs/>
          <w:color w:val="auto"/>
          <w:sz w:val="24"/>
          <w:szCs w:val="24"/>
          <w:highlight w:val="none"/>
        </w:rPr>
        <w:t>等。</w:t>
      </w:r>
    </w:p>
    <w:p w14:paraId="00A5518E">
      <w:pPr>
        <w:spacing w:line="500" w:lineRule="exact"/>
        <w:ind w:firstLine="480"/>
        <w:rPr>
          <w:rFonts w:ascii="宋体" w:hAnsi="宋体" w:eastAsia="宋体" w:cs="楷体"/>
          <w:bCs/>
          <w:color w:val="auto"/>
          <w:sz w:val="24"/>
          <w:szCs w:val="24"/>
          <w:highlight w:val="none"/>
          <w:lang w:eastAsia="zh-CN"/>
        </w:rPr>
      </w:pPr>
      <w:r>
        <w:rPr>
          <w:rFonts w:hint="eastAsia" w:ascii="宋体" w:hAnsi="宋体" w:eastAsia="宋体" w:cs="楷体"/>
          <w:bCs/>
          <w:color w:val="auto"/>
          <w:sz w:val="24"/>
          <w:szCs w:val="24"/>
          <w:highlight w:val="none"/>
          <w:lang w:eastAsia="zh-CN"/>
        </w:rPr>
        <w:t>1.提供江西省赣中航道事务中心机房各项设备与15处外场设施的日常养护、维修更换、配置操作、系统升级、突发事件处理、7*24小时技术支持等运维服务；该部分主要设备设施见附件9；</w:t>
      </w:r>
    </w:p>
    <w:p w14:paraId="45EC565B">
      <w:pPr>
        <w:spacing w:line="500" w:lineRule="exact"/>
        <w:ind w:firstLine="480"/>
        <w:rPr>
          <w:rFonts w:ascii="宋体" w:hAnsi="宋体" w:eastAsia="宋体" w:cs="楷体"/>
          <w:bCs/>
          <w:color w:val="auto"/>
          <w:sz w:val="24"/>
          <w:szCs w:val="24"/>
          <w:highlight w:val="none"/>
          <w:lang w:eastAsia="zh-CN"/>
        </w:rPr>
      </w:pPr>
      <w:r>
        <w:rPr>
          <w:rFonts w:hint="eastAsia" w:ascii="宋体" w:hAnsi="宋体" w:eastAsia="宋体" w:cs="楷体"/>
          <w:bCs/>
          <w:color w:val="auto"/>
          <w:sz w:val="24"/>
          <w:szCs w:val="24"/>
          <w:highlight w:val="none"/>
          <w:lang w:eastAsia="zh-CN"/>
        </w:rPr>
        <w:t>2.对中心所属航道段所提供技术支持服务，保障至少有一台终端设备可以正常使用和访问视频监控平台；</w:t>
      </w:r>
    </w:p>
    <w:p w14:paraId="37858510">
      <w:pPr>
        <w:spacing w:line="500" w:lineRule="exact"/>
        <w:ind w:firstLine="480"/>
        <w:rPr>
          <w:rFonts w:ascii="宋体" w:hAnsi="宋体" w:eastAsia="宋体" w:cs="楷体"/>
          <w:bCs/>
          <w:color w:val="auto"/>
          <w:sz w:val="24"/>
          <w:szCs w:val="24"/>
          <w:highlight w:val="none"/>
          <w:lang w:eastAsia="zh-CN"/>
        </w:rPr>
      </w:pPr>
      <w:r>
        <w:rPr>
          <w:rFonts w:hint="eastAsia" w:ascii="宋体" w:hAnsi="宋体" w:eastAsia="宋体" w:cs="楷体"/>
          <w:bCs/>
          <w:color w:val="auto"/>
          <w:sz w:val="24"/>
          <w:szCs w:val="24"/>
          <w:highlight w:val="none"/>
          <w:lang w:eastAsia="zh-CN"/>
        </w:rPr>
        <w:t>3.提供15处外场设施正常运行的供电及保障，电费与场地占用费等约49000元/年，以实际发生为准；</w:t>
      </w:r>
    </w:p>
    <w:p w14:paraId="5F399E39">
      <w:pPr>
        <w:spacing w:line="500" w:lineRule="exact"/>
        <w:ind w:firstLine="480"/>
        <w:rPr>
          <w:rFonts w:ascii="宋体" w:hAnsi="宋体" w:eastAsia="宋体" w:cs="楷体"/>
          <w:bCs/>
          <w:color w:val="auto"/>
          <w:sz w:val="24"/>
          <w:szCs w:val="24"/>
          <w:highlight w:val="none"/>
          <w:lang w:eastAsia="zh-CN"/>
        </w:rPr>
      </w:pPr>
      <w:r>
        <w:rPr>
          <w:rFonts w:hint="eastAsia" w:ascii="宋体" w:hAnsi="宋体" w:eastAsia="宋体" w:cs="楷体"/>
          <w:bCs/>
          <w:color w:val="auto"/>
          <w:sz w:val="24"/>
          <w:szCs w:val="24"/>
          <w:highlight w:val="none"/>
          <w:lang w:eastAsia="zh-CN"/>
        </w:rPr>
        <w:t>4.设备备件：</w:t>
      </w:r>
      <w:r>
        <w:rPr>
          <w:rFonts w:hint="eastAsia" w:ascii="宋体" w:hAnsi="宋体" w:eastAsia="宋体" w:cs="楷体"/>
          <w:bCs/>
          <w:color w:val="auto"/>
          <w:sz w:val="24"/>
          <w:szCs w:val="24"/>
          <w:highlight w:val="none"/>
          <w:lang w:val="en-US" w:eastAsia="zh-CN"/>
        </w:rPr>
        <w:t>中标人</w:t>
      </w:r>
      <w:r>
        <w:rPr>
          <w:rFonts w:hint="eastAsia" w:ascii="宋体" w:hAnsi="宋体" w:eastAsia="宋体" w:cs="楷体"/>
          <w:bCs/>
          <w:color w:val="auto"/>
          <w:sz w:val="24"/>
          <w:szCs w:val="24"/>
          <w:highlight w:val="none"/>
          <w:lang w:eastAsia="zh-CN"/>
        </w:rPr>
        <w:t>应至少</w:t>
      </w:r>
      <w:r>
        <w:rPr>
          <w:rFonts w:hint="eastAsia" w:ascii="宋体" w:hAnsi="宋体" w:eastAsia="宋体" w:cs="楷体"/>
          <w:bCs/>
          <w:color w:val="auto"/>
          <w:sz w:val="24"/>
          <w:szCs w:val="24"/>
          <w:highlight w:val="none"/>
          <w:lang w:val="en-US" w:eastAsia="zh-CN"/>
        </w:rPr>
        <w:t>提供</w:t>
      </w:r>
      <w:r>
        <w:rPr>
          <w:rFonts w:hint="eastAsia" w:ascii="宋体" w:hAnsi="宋体" w:eastAsia="宋体" w:cs="楷体"/>
          <w:bCs/>
          <w:color w:val="auto"/>
          <w:sz w:val="24"/>
          <w:szCs w:val="24"/>
          <w:highlight w:val="none"/>
          <w:lang w:eastAsia="zh-CN"/>
        </w:rPr>
        <w:t>三套不低于原设备参数的监控设备备件，需要能支持所有主流监控视频协议并能与现有平台完成对接；</w:t>
      </w:r>
    </w:p>
    <w:p w14:paraId="2AE3730B">
      <w:pPr>
        <w:spacing w:line="500" w:lineRule="exact"/>
        <w:ind w:firstLine="480"/>
        <w:rPr>
          <w:rFonts w:ascii="宋体" w:hAnsi="宋体" w:eastAsia="宋体" w:cs="楷体"/>
          <w:color w:val="auto"/>
          <w:sz w:val="24"/>
          <w:szCs w:val="24"/>
          <w:highlight w:val="none"/>
          <w:lang w:eastAsia="zh-CN"/>
        </w:rPr>
      </w:pPr>
      <w:r>
        <w:rPr>
          <w:rFonts w:hint="eastAsia" w:ascii="宋体" w:hAnsi="宋体" w:eastAsia="宋体" w:cs="楷体"/>
          <w:bCs/>
          <w:color w:val="auto"/>
          <w:sz w:val="24"/>
          <w:szCs w:val="24"/>
          <w:highlight w:val="none"/>
          <w:lang w:eastAsia="zh-CN"/>
        </w:rPr>
        <w:t>5.培训服务：</w:t>
      </w:r>
      <w:r>
        <w:rPr>
          <w:rFonts w:hint="eastAsia" w:ascii="宋体" w:hAnsi="宋体" w:eastAsia="宋体" w:cs="楷体"/>
          <w:bCs/>
          <w:color w:val="auto"/>
          <w:sz w:val="24"/>
          <w:szCs w:val="24"/>
          <w:highlight w:val="none"/>
          <w:lang w:val="en-US" w:eastAsia="zh-CN"/>
        </w:rPr>
        <w:t>中标人</w:t>
      </w:r>
      <w:r>
        <w:rPr>
          <w:rFonts w:hint="eastAsia" w:ascii="宋体" w:hAnsi="宋体" w:eastAsia="宋体" w:cs="楷体"/>
          <w:bCs/>
          <w:color w:val="auto"/>
          <w:sz w:val="24"/>
          <w:szCs w:val="24"/>
          <w:highlight w:val="none"/>
          <w:lang w:eastAsia="zh-CN"/>
        </w:rPr>
        <w:t>根据采购人维护人员的实际需要，组织开展不低于10人·天的相应专题技术培训。</w:t>
      </w:r>
    </w:p>
    <w:p w14:paraId="295A388A">
      <w:pPr>
        <w:spacing w:line="500" w:lineRule="exact"/>
        <w:ind w:firstLine="480"/>
        <w:rPr>
          <w:rFonts w:ascii="宋体" w:hAnsi="宋体" w:eastAsia="宋体" w:cs="楷体"/>
          <w:bCs/>
          <w:sz w:val="24"/>
          <w:szCs w:val="24"/>
          <w:lang w:eastAsia="zh-CN"/>
        </w:rPr>
      </w:pPr>
      <w:r>
        <w:rPr>
          <w:rFonts w:hint="eastAsia" w:ascii="宋体" w:hAnsi="宋体" w:eastAsia="宋体" w:cs="楷体"/>
          <w:bCs/>
          <w:sz w:val="24"/>
          <w:szCs w:val="24"/>
          <w:lang w:eastAsia="zh-CN"/>
        </w:rPr>
        <w:t>（八）</w:t>
      </w:r>
      <w:bookmarkStart w:id="19" w:name="OLE_LINK2"/>
      <w:r>
        <w:rPr>
          <w:rFonts w:hint="eastAsia" w:ascii="宋体" w:hAnsi="宋体" w:eastAsia="宋体" w:cs="楷体"/>
          <w:bCs/>
          <w:sz w:val="24"/>
          <w:szCs w:val="24"/>
          <w:lang w:eastAsia="zh-CN"/>
        </w:rPr>
        <w:t>信江高等级航道整治工程信息化支撑保障系统</w:t>
      </w:r>
      <w:bookmarkEnd w:id="19"/>
      <w:r>
        <w:rPr>
          <w:rFonts w:hint="eastAsia" w:ascii="宋体" w:hAnsi="宋体" w:eastAsia="宋体" w:cs="楷体"/>
          <w:bCs/>
          <w:sz w:val="24"/>
          <w:szCs w:val="24"/>
          <w:lang w:eastAsia="zh-CN"/>
        </w:rPr>
        <w:t>运维服务</w:t>
      </w:r>
    </w:p>
    <w:p w14:paraId="01048BDD">
      <w:pPr>
        <w:spacing w:line="500" w:lineRule="exact"/>
        <w:ind w:firstLine="480"/>
        <w:rPr>
          <w:rFonts w:ascii="宋体" w:hAnsi="宋体" w:eastAsia="宋体" w:cs="楷体"/>
          <w:bCs/>
          <w:sz w:val="24"/>
          <w:szCs w:val="24"/>
          <w:lang w:eastAsia="zh-CN"/>
        </w:rPr>
      </w:pPr>
      <w:r>
        <w:rPr>
          <w:rFonts w:hint="eastAsia" w:ascii="宋体" w:hAnsi="宋体" w:eastAsia="宋体" w:cs="楷体"/>
          <w:bCs/>
          <w:sz w:val="24"/>
          <w:szCs w:val="24"/>
          <w:lang w:eastAsia="zh-CN"/>
        </w:rPr>
        <w:t>服务范围包括信江高等级航道整治工程信息化支撑保障系统相关机房与33处外场设施等。</w:t>
      </w:r>
    </w:p>
    <w:p w14:paraId="1596FFBF">
      <w:pPr>
        <w:spacing w:line="500" w:lineRule="exact"/>
        <w:ind w:firstLine="480"/>
        <w:rPr>
          <w:rFonts w:ascii="宋体" w:hAnsi="宋体" w:eastAsia="宋体" w:cs="楷体"/>
          <w:bCs/>
          <w:sz w:val="24"/>
          <w:szCs w:val="24"/>
          <w:lang w:eastAsia="zh-CN"/>
        </w:rPr>
      </w:pPr>
      <w:r>
        <w:rPr>
          <w:rFonts w:hint="eastAsia" w:ascii="宋体" w:hAnsi="宋体" w:eastAsia="宋体" w:cs="楷体"/>
          <w:bCs/>
          <w:sz w:val="24"/>
          <w:szCs w:val="24"/>
          <w:lang w:eastAsia="zh-CN"/>
        </w:rPr>
        <w:t>1.提供信江高等级航道整治工程信息化支撑保障系统机房各项设备与外场设施的日常养护、维修更换、配置操作、系统升级、突发事件处理、7*24小时技术支持等运维服务，该部分主要设备设施见附件10；</w:t>
      </w:r>
    </w:p>
    <w:p w14:paraId="17613C76">
      <w:pPr>
        <w:spacing w:line="500" w:lineRule="exact"/>
        <w:ind w:firstLine="480"/>
        <w:rPr>
          <w:rFonts w:ascii="宋体" w:hAnsi="宋体" w:eastAsia="宋体" w:cs="楷体"/>
          <w:bCs/>
          <w:sz w:val="24"/>
          <w:szCs w:val="24"/>
          <w:lang w:eastAsia="zh-CN"/>
        </w:rPr>
      </w:pPr>
      <w:r>
        <w:rPr>
          <w:rFonts w:hint="eastAsia" w:ascii="宋体" w:hAnsi="宋体" w:eastAsia="宋体" w:cs="楷体"/>
          <w:bCs/>
          <w:sz w:val="24"/>
          <w:szCs w:val="24"/>
          <w:lang w:eastAsia="zh-CN"/>
        </w:rPr>
        <w:t>2.</w:t>
      </w:r>
      <w:r>
        <w:rPr>
          <w:rFonts w:hint="eastAsia" w:ascii="宋体" w:hAnsi="宋体" w:eastAsia="宋体" w:cs="楷体"/>
          <w:bCs/>
          <w:color w:val="auto"/>
          <w:sz w:val="24"/>
          <w:szCs w:val="24"/>
          <w:lang w:eastAsia="zh-CN"/>
        </w:rPr>
        <w:t>对信江高等级航道整治工程信息化支撑保障系统使用单位提供技术支</w:t>
      </w:r>
      <w:r>
        <w:rPr>
          <w:rFonts w:hint="eastAsia" w:ascii="宋体" w:hAnsi="宋体" w:eastAsia="宋体" w:cs="楷体"/>
          <w:bCs/>
          <w:sz w:val="24"/>
          <w:szCs w:val="24"/>
          <w:lang w:eastAsia="zh-CN"/>
        </w:rPr>
        <w:t>持服务，保障至少有一台终端设备可以正常使用和访问视频监控平台；</w:t>
      </w:r>
    </w:p>
    <w:p w14:paraId="16EEE146">
      <w:pPr>
        <w:spacing w:line="500" w:lineRule="exact"/>
        <w:ind w:firstLine="480"/>
        <w:rPr>
          <w:rFonts w:ascii="宋体" w:hAnsi="宋体" w:eastAsia="宋体" w:cs="楷体"/>
          <w:bCs/>
          <w:color w:val="auto"/>
          <w:sz w:val="24"/>
          <w:szCs w:val="24"/>
          <w:highlight w:val="none"/>
          <w:lang w:eastAsia="zh-CN"/>
        </w:rPr>
      </w:pPr>
      <w:r>
        <w:rPr>
          <w:rFonts w:hint="eastAsia" w:ascii="宋体" w:hAnsi="宋体" w:eastAsia="宋体" w:cs="楷体"/>
          <w:bCs/>
          <w:color w:val="auto"/>
          <w:sz w:val="24"/>
          <w:szCs w:val="24"/>
          <w:highlight w:val="none"/>
          <w:lang w:eastAsia="zh-CN"/>
        </w:rPr>
        <w:t>3.提供外场设施正常运行的供电及保障，电费与场地占用费等约104000元/年，以实际发生为准；</w:t>
      </w:r>
    </w:p>
    <w:p w14:paraId="70FA76C8">
      <w:pPr>
        <w:spacing w:line="500" w:lineRule="exact"/>
        <w:ind w:firstLine="480"/>
        <w:rPr>
          <w:rFonts w:ascii="宋体" w:hAnsi="宋体" w:eastAsia="宋体" w:cs="楷体"/>
          <w:bCs/>
          <w:color w:val="auto"/>
          <w:sz w:val="24"/>
          <w:szCs w:val="24"/>
          <w:highlight w:val="none"/>
          <w:lang w:eastAsia="zh-CN"/>
        </w:rPr>
      </w:pPr>
      <w:r>
        <w:rPr>
          <w:rFonts w:hint="eastAsia" w:ascii="宋体" w:hAnsi="宋体" w:eastAsia="宋体" w:cs="楷体"/>
          <w:bCs/>
          <w:color w:val="auto"/>
          <w:sz w:val="24"/>
          <w:szCs w:val="24"/>
          <w:highlight w:val="none"/>
          <w:lang w:eastAsia="zh-CN"/>
        </w:rPr>
        <w:t>4.培训服务：</w:t>
      </w:r>
      <w:r>
        <w:rPr>
          <w:rFonts w:hint="eastAsia" w:ascii="宋体" w:hAnsi="宋体" w:eastAsia="宋体" w:cs="楷体"/>
          <w:bCs/>
          <w:color w:val="auto"/>
          <w:sz w:val="24"/>
          <w:szCs w:val="24"/>
          <w:highlight w:val="none"/>
          <w:lang w:val="en-US" w:eastAsia="zh-CN"/>
        </w:rPr>
        <w:t>中标人</w:t>
      </w:r>
      <w:r>
        <w:rPr>
          <w:rFonts w:hint="eastAsia" w:ascii="宋体" w:hAnsi="宋体" w:eastAsia="宋体" w:cs="楷体"/>
          <w:bCs/>
          <w:color w:val="auto"/>
          <w:sz w:val="24"/>
          <w:szCs w:val="24"/>
          <w:highlight w:val="none"/>
          <w:lang w:eastAsia="zh-CN"/>
        </w:rPr>
        <w:t>根据采购人维护人员的实际需要，组织开展不低于20人·天的相应专题技术培训。</w:t>
      </w:r>
    </w:p>
    <w:p w14:paraId="59434521">
      <w:pPr>
        <w:spacing w:line="500" w:lineRule="exact"/>
        <w:ind w:firstLine="480"/>
        <w:rPr>
          <w:rFonts w:ascii="宋体" w:hAnsi="宋体" w:eastAsia="宋体" w:cs="楷体"/>
          <w:bCs/>
          <w:color w:val="auto"/>
          <w:sz w:val="24"/>
          <w:szCs w:val="24"/>
          <w:highlight w:val="none"/>
          <w:lang w:eastAsia="zh-CN"/>
        </w:rPr>
      </w:pPr>
      <w:r>
        <w:rPr>
          <w:rFonts w:hint="eastAsia" w:ascii="宋体" w:hAnsi="宋体" w:eastAsia="宋体" w:cs="楷体"/>
          <w:bCs/>
          <w:color w:val="auto"/>
          <w:sz w:val="24"/>
          <w:szCs w:val="24"/>
          <w:highlight w:val="none"/>
          <w:lang w:eastAsia="zh-CN"/>
        </w:rPr>
        <w:t>（九）</w:t>
      </w:r>
      <w:r>
        <w:rPr>
          <w:rFonts w:hint="eastAsia" w:hAnsi="宋体" w:eastAsia="宋体"/>
          <w:color w:val="auto"/>
          <w:sz w:val="24"/>
          <w:szCs w:val="24"/>
          <w:highlight w:val="none"/>
          <w:lang w:eastAsia="zh-CN"/>
        </w:rPr>
        <w:t>执法记录仪及数据采集站运维服务</w:t>
      </w:r>
    </w:p>
    <w:p w14:paraId="765F0F38">
      <w:pPr>
        <w:spacing w:line="500" w:lineRule="exact"/>
        <w:ind w:firstLine="480"/>
        <w:rPr>
          <w:rFonts w:ascii="宋体" w:hAnsi="宋体" w:eastAsia="宋体" w:cs="楷体"/>
          <w:bCs/>
          <w:color w:val="auto"/>
          <w:sz w:val="24"/>
          <w:szCs w:val="24"/>
          <w:highlight w:val="none"/>
          <w:lang w:eastAsia="zh-CN"/>
        </w:rPr>
      </w:pPr>
      <w:r>
        <w:rPr>
          <w:rFonts w:hint="eastAsia" w:ascii="宋体" w:hAnsi="宋体" w:eastAsia="宋体" w:cs="楷体"/>
          <w:bCs/>
          <w:color w:val="auto"/>
          <w:sz w:val="24"/>
          <w:szCs w:val="24"/>
          <w:highlight w:val="none"/>
          <w:lang w:eastAsia="zh-CN"/>
        </w:rPr>
        <w:t>服务范围包括采购人指定的各处服务地点。</w:t>
      </w:r>
    </w:p>
    <w:p w14:paraId="02527B60">
      <w:pPr>
        <w:spacing w:line="500" w:lineRule="exact"/>
        <w:ind w:firstLine="480"/>
        <w:rPr>
          <w:rFonts w:ascii="宋体" w:hAnsi="宋体" w:eastAsia="宋体" w:cs="楷体"/>
          <w:bCs/>
          <w:color w:val="auto"/>
          <w:sz w:val="24"/>
          <w:szCs w:val="24"/>
          <w:highlight w:val="none"/>
          <w:lang w:eastAsia="zh-CN"/>
        </w:rPr>
      </w:pPr>
      <w:r>
        <w:rPr>
          <w:rFonts w:hint="eastAsia" w:ascii="宋体" w:hAnsi="宋体" w:eastAsia="宋体" w:cs="楷体"/>
          <w:bCs/>
          <w:color w:val="auto"/>
          <w:sz w:val="24"/>
          <w:szCs w:val="24"/>
          <w:highlight w:val="none"/>
          <w:lang w:val="zh-CN" w:eastAsia="zh-CN"/>
        </w:rPr>
        <w:t>1.</w:t>
      </w:r>
      <w:r>
        <w:rPr>
          <w:rFonts w:hint="eastAsia" w:ascii="宋体" w:hAnsi="宋体" w:eastAsia="宋体" w:cs="楷体"/>
          <w:bCs/>
          <w:color w:val="auto"/>
          <w:sz w:val="24"/>
          <w:szCs w:val="24"/>
          <w:highlight w:val="none"/>
          <w:lang w:val="en-US" w:eastAsia="zh-CN"/>
        </w:rPr>
        <w:t>中标人</w:t>
      </w:r>
      <w:r>
        <w:rPr>
          <w:rFonts w:hint="eastAsia" w:ascii="宋体" w:hAnsi="宋体" w:eastAsia="宋体" w:cs="楷体"/>
          <w:bCs/>
          <w:color w:val="auto"/>
          <w:sz w:val="24"/>
          <w:szCs w:val="24"/>
          <w:highlight w:val="none"/>
          <w:lang w:val="zh-CN" w:eastAsia="zh-CN"/>
        </w:rPr>
        <w:t>应具有专职运维团队，合同履行期间将提供7*24小时的使用及技术问题电话咨询服务，</w:t>
      </w:r>
      <w:r>
        <w:rPr>
          <w:rFonts w:hint="eastAsia" w:ascii="宋体" w:hAnsi="宋体" w:eastAsia="宋体" w:cs="楷体"/>
          <w:bCs/>
          <w:color w:val="auto"/>
          <w:sz w:val="24"/>
          <w:szCs w:val="24"/>
          <w:highlight w:val="none"/>
          <w:lang w:eastAsia="zh-CN"/>
        </w:rPr>
        <w:t>该部分主要设备设施见附件11；</w:t>
      </w:r>
    </w:p>
    <w:p w14:paraId="4EC433E1">
      <w:pPr>
        <w:spacing w:line="500" w:lineRule="exact"/>
        <w:ind w:firstLine="480"/>
        <w:rPr>
          <w:rFonts w:ascii="宋体" w:hAnsi="宋体" w:eastAsia="宋体" w:cs="楷体"/>
          <w:bCs/>
          <w:color w:val="auto"/>
          <w:sz w:val="24"/>
          <w:szCs w:val="24"/>
          <w:highlight w:val="none"/>
          <w:lang w:val="zh-CN" w:eastAsia="zh-CN"/>
        </w:rPr>
      </w:pPr>
      <w:r>
        <w:rPr>
          <w:rFonts w:hint="eastAsia" w:ascii="宋体" w:hAnsi="宋体" w:eastAsia="宋体" w:cs="楷体"/>
          <w:bCs/>
          <w:color w:val="auto"/>
          <w:sz w:val="24"/>
          <w:szCs w:val="24"/>
          <w:highlight w:val="none"/>
          <w:lang w:val="zh-CN" w:eastAsia="zh-CN"/>
        </w:rPr>
        <w:t>2.定期巡检：对维保范围内的系统软硬件，每年不低于4次巡检，并填写巡检记录，作为考核维保工作的依据；</w:t>
      </w:r>
    </w:p>
    <w:p w14:paraId="2E989647">
      <w:pPr>
        <w:spacing w:line="500" w:lineRule="exact"/>
        <w:ind w:firstLine="480"/>
        <w:rPr>
          <w:rFonts w:ascii="宋体" w:hAnsi="宋体" w:eastAsia="宋体" w:cs="楷体"/>
          <w:bCs/>
          <w:color w:val="auto"/>
          <w:sz w:val="24"/>
          <w:szCs w:val="24"/>
          <w:highlight w:val="none"/>
          <w:lang w:val="zh-CN" w:eastAsia="zh-CN"/>
        </w:rPr>
      </w:pPr>
      <w:r>
        <w:rPr>
          <w:rFonts w:hint="eastAsia" w:ascii="宋体" w:hAnsi="宋体" w:eastAsia="宋体" w:cs="楷体"/>
          <w:bCs/>
          <w:color w:val="auto"/>
          <w:sz w:val="24"/>
          <w:szCs w:val="24"/>
          <w:highlight w:val="none"/>
          <w:lang w:val="zh-CN" w:eastAsia="zh-CN"/>
        </w:rPr>
        <w:t>3.</w:t>
      </w:r>
      <w:r>
        <w:rPr>
          <w:rFonts w:hint="eastAsia" w:ascii="宋体" w:hAnsi="宋体" w:eastAsia="宋体" w:cs="楷体"/>
          <w:bCs/>
          <w:color w:val="auto"/>
          <w:sz w:val="24"/>
          <w:szCs w:val="24"/>
          <w:highlight w:val="none"/>
          <w:lang w:val="en-US" w:eastAsia="zh-CN"/>
        </w:rPr>
        <w:t>中标人</w:t>
      </w:r>
      <w:r>
        <w:rPr>
          <w:rFonts w:hint="eastAsia" w:ascii="宋体" w:hAnsi="宋体" w:eastAsia="宋体" w:cs="楷体"/>
          <w:bCs/>
          <w:color w:val="auto"/>
          <w:sz w:val="24"/>
          <w:szCs w:val="24"/>
          <w:highlight w:val="none"/>
          <w:lang w:val="zh-CN" w:eastAsia="zh-CN"/>
        </w:rPr>
        <w:t>应设立专门备件库，针对常用及易耗部件，备件储量不小于50套，定期补充，随时可为采购人替换，替换所使用的备品备件应是原厂提供；</w:t>
      </w:r>
    </w:p>
    <w:p w14:paraId="575C118D">
      <w:pPr>
        <w:spacing w:line="500" w:lineRule="exact"/>
        <w:ind w:firstLine="480"/>
        <w:rPr>
          <w:rFonts w:ascii="宋体" w:hAnsi="宋体" w:eastAsia="宋体" w:cs="楷体"/>
          <w:bCs/>
          <w:color w:val="auto"/>
          <w:sz w:val="24"/>
          <w:szCs w:val="24"/>
          <w:highlight w:val="none"/>
          <w:lang w:val="zh-CN" w:eastAsia="zh-CN"/>
        </w:rPr>
      </w:pPr>
      <w:r>
        <w:rPr>
          <w:rFonts w:hint="eastAsia" w:ascii="宋体" w:hAnsi="宋体" w:eastAsia="宋体" w:cs="楷体"/>
          <w:bCs/>
          <w:color w:val="auto"/>
          <w:sz w:val="24"/>
          <w:szCs w:val="24"/>
          <w:highlight w:val="none"/>
          <w:lang w:val="zh-CN" w:eastAsia="zh-CN"/>
        </w:rPr>
        <w:t>4.</w:t>
      </w:r>
      <w:r>
        <w:rPr>
          <w:rFonts w:hint="eastAsia" w:ascii="宋体" w:hAnsi="宋体" w:eastAsia="宋体" w:cs="楷体"/>
          <w:bCs/>
          <w:color w:val="auto"/>
          <w:sz w:val="24"/>
          <w:szCs w:val="24"/>
          <w:highlight w:val="none"/>
          <w:lang w:val="en-US" w:eastAsia="zh-CN"/>
        </w:rPr>
        <w:t>中标人</w:t>
      </w:r>
      <w:r>
        <w:rPr>
          <w:rFonts w:hint="eastAsia" w:ascii="宋体" w:hAnsi="宋体" w:eastAsia="宋体" w:cs="楷体"/>
          <w:bCs/>
          <w:color w:val="auto"/>
          <w:sz w:val="24"/>
          <w:szCs w:val="24"/>
          <w:highlight w:val="none"/>
          <w:lang w:val="zh-CN" w:eastAsia="zh-CN"/>
        </w:rPr>
        <w:t>应具有较强的专业维保能力，提供不限次数电话支持服务、电子邮件支持服务、原厂支持服务，负责执法记录仪、数据采集工作站、平台软件的全部维修、维护，配件更换等，全面保障设备和系统正常运行，相关维护记录应形成文档并提报采购人管理员备案存档；</w:t>
      </w:r>
    </w:p>
    <w:p w14:paraId="776A8EC0">
      <w:pPr>
        <w:spacing w:line="500" w:lineRule="exact"/>
        <w:ind w:firstLine="480"/>
        <w:rPr>
          <w:rFonts w:hint="eastAsia" w:ascii="宋体" w:hAnsi="宋体" w:eastAsia="宋体" w:cs="楷体"/>
          <w:bCs/>
          <w:color w:val="auto"/>
          <w:sz w:val="24"/>
          <w:szCs w:val="24"/>
          <w:highlight w:val="yellow"/>
          <w:lang w:val="zh-CN" w:eastAsia="zh-CN"/>
        </w:rPr>
      </w:pPr>
      <w:r>
        <w:rPr>
          <w:rFonts w:hint="eastAsia" w:ascii="宋体" w:hAnsi="宋体" w:eastAsia="宋体" w:cs="楷体"/>
          <w:bCs/>
          <w:color w:val="auto"/>
          <w:sz w:val="24"/>
          <w:szCs w:val="24"/>
          <w:highlight w:val="none"/>
          <w:lang w:val="zh-CN" w:eastAsia="zh-CN"/>
        </w:rPr>
        <w:t>5.组织开展相关业务系统培训，提供不少于50人</w:t>
      </w:r>
      <w:r>
        <w:rPr>
          <w:rFonts w:hint="eastAsia" w:ascii="宋体" w:hAnsi="宋体" w:eastAsia="宋体" w:cs="楷体"/>
          <w:bCs/>
          <w:color w:val="auto"/>
          <w:sz w:val="24"/>
          <w:szCs w:val="24"/>
          <w:highlight w:val="none"/>
          <w:lang w:eastAsia="zh-CN"/>
        </w:rPr>
        <w:t>·天</w:t>
      </w:r>
      <w:r>
        <w:rPr>
          <w:rFonts w:hint="eastAsia" w:ascii="宋体" w:hAnsi="宋体" w:eastAsia="宋体" w:cs="楷体"/>
          <w:bCs/>
          <w:color w:val="auto"/>
          <w:sz w:val="24"/>
          <w:szCs w:val="24"/>
          <w:highlight w:val="none"/>
          <w:lang w:val="zh-CN" w:eastAsia="zh-CN"/>
        </w:rPr>
        <w:t>的</w:t>
      </w:r>
      <w:r>
        <w:rPr>
          <w:rFonts w:hint="eastAsia" w:ascii="宋体" w:hAnsi="宋体" w:eastAsia="宋体" w:cs="楷体"/>
          <w:bCs/>
          <w:color w:val="auto"/>
          <w:sz w:val="24"/>
          <w:szCs w:val="24"/>
          <w:highlight w:val="none"/>
          <w:lang w:eastAsia="zh-CN"/>
        </w:rPr>
        <w:t>相应专题技术培训，</w:t>
      </w:r>
      <w:r>
        <w:rPr>
          <w:rFonts w:hint="eastAsia" w:ascii="宋体" w:hAnsi="宋体" w:eastAsia="宋体" w:cs="楷体"/>
          <w:bCs/>
          <w:sz w:val="24"/>
          <w:szCs w:val="24"/>
          <w:highlight w:val="none"/>
          <w:lang w:val="zh-CN" w:eastAsia="zh-CN"/>
        </w:rPr>
        <w:t>该培训完全按照用户本地系统环境与应用而设计系统地、有针对性的从多方面为客户提供完全的实际运行环境中的现场培训。</w:t>
      </w:r>
    </w:p>
    <w:p w14:paraId="4CFE5857">
      <w:pPr>
        <w:spacing w:line="500" w:lineRule="exact"/>
        <w:ind w:firstLine="480"/>
        <w:rPr>
          <w:rFonts w:hint="eastAsia" w:ascii="宋体" w:hAnsi="宋体" w:eastAsia="宋体" w:cs="楷体"/>
          <w:bCs/>
          <w:color w:val="auto"/>
          <w:sz w:val="24"/>
          <w:szCs w:val="24"/>
          <w:highlight w:val="none"/>
          <w:lang w:val="zh-CN" w:eastAsia="zh-CN"/>
        </w:rPr>
      </w:pPr>
      <w:r>
        <w:rPr>
          <w:rFonts w:hint="eastAsia" w:ascii="宋体" w:hAnsi="宋体" w:eastAsia="宋体" w:cs="楷体"/>
          <w:bCs/>
          <w:color w:val="auto"/>
          <w:sz w:val="24"/>
          <w:szCs w:val="24"/>
          <w:highlight w:val="none"/>
          <w:lang w:val="zh-CN" w:eastAsia="zh-CN"/>
        </w:rPr>
        <w:t>（十）路政智能指挥调度车载设备运维服务</w:t>
      </w:r>
    </w:p>
    <w:p w14:paraId="406C331B">
      <w:pPr>
        <w:spacing w:line="500" w:lineRule="exact"/>
        <w:ind w:firstLine="480"/>
        <w:rPr>
          <w:rFonts w:hint="eastAsia" w:ascii="宋体" w:hAnsi="宋体" w:eastAsia="宋体" w:cs="楷体"/>
          <w:bCs/>
          <w:color w:val="auto"/>
          <w:sz w:val="24"/>
          <w:szCs w:val="24"/>
          <w:highlight w:val="none"/>
          <w:lang w:eastAsia="zh-CN"/>
        </w:rPr>
      </w:pPr>
      <w:r>
        <w:rPr>
          <w:rFonts w:hint="eastAsia" w:ascii="宋体" w:hAnsi="宋体" w:eastAsia="宋体" w:cs="楷体"/>
          <w:bCs/>
          <w:color w:val="auto"/>
          <w:sz w:val="24"/>
          <w:szCs w:val="24"/>
          <w:highlight w:val="none"/>
          <w:lang w:eastAsia="zh-CN"/>
        </w:rPr>
        <w:t>服务范围包括采购人指定的各处服务地点。</w:t>
      </w:r>
    </w:p>
    <w:p w14:paraId="4F58C798">
      <w:pPr>
        <w:spacing w:line="500" w:lineRule="exact"/>
        <w:ind w:firstLine="480"/>
        <w:rPr>
          <w:rFonts w:hint="eastAsia" w:ascii="宋体" w:hAnsi="宋体" w:eastAsia="宋体" w:cs="楷体"/>
          <w:bCs/>
          <w:color w:val="auto"/>
          <w:sz w:val="24"/>
          <w:szCs w:val="24"/>
          <w:highlight w:val="none"/>
          <w:lang w:val="en-US" w:eastAsia="zh-CN"/>
        </w:rPr>
      </w:pPr>
      <w:r>
        <w:rPr>
          <w:rFonts w:hint="eastAsia" w:ascii="宋体" w:hAnsi="宋体" w:eastAsia="宋体" w:cs="楷体"/>
          <w:bCs/>
          <w:color w:val="auto"/>
          <w:sz w:val="24"/>
          <w:szCs w:val="24"/>
          <w:highlight w:val="none"/>
          <w:lang w:val="en-US" w:eastAsia="zh-CN"/>
        </w:rPr>
        <w:t>1.中标人</w:t>
      </w:r>
      <w:r>
        <w:rPr>
          <w:rFonts w:hint="eastAsia" w:ascii="宋体" w:hAnsi="宋体" w:eastAsia="宋体" w:cs="楷体"/>
          <w:bCs/>
          <w:color w:val="auto"/>
          <w:sz w:val="24"/>
          <w:szCs w:val="24"/>
          <w:highlight w:val="none"/>
          <w:lang w:val="zh-CN" w:eastAsia="zh-CN"/>
        </w:rPr>
        <w:t>应具有专职运维团队，合同履行期间将提供7*24小时的使用及技术问题电话咨询服务，</w:t>
      </w:r>
      <w:r>
        <w:rPr>
          <w:rFonts w:hint="eastAsia" w:ascii="宋体" w:hAnsi="宋体" w:eastAsia="宋体" w:cs="楷体"/>
          <w:bCs/>
          <w:color w:val="auto"/>
          <w:sz w:val="24"/>
          <w:szCs w:val="24"/>
          <w:highlight w:val="none"/>
          <w:lang w:eastAsia="zh-CN"/>
        </w:rPr>
        <w:t>该部分主要设备设施见附件1</w:t>
      </w:r>
      <w:r>
        <w:rPr>
          <w:rFonts w:hint="eastAsia" w:ascii="宋体" w:hAnsi="宋体" w:eastAsia="宋体" w:cs="楷体"/>
          <w:bCs/>
          <w:color w:val="auto"/>
          <w:sz w:val="24"/>
          <w:szCs w:val="24"/>
          <w:highlight w:val="none"/>
          <w:lang w:val="en-US" w:eastAsia="zh-CN"/>
        </w:rPr>
        <w:t>2</w:t>
      </w:r>
      <w:r>
        <w:rPr>
          <w:rFonts w:hint="eastAsia" w:ascii="宋体" w:hAnsi="宋体" w:eastAsia="宋体" w:cs="楷体"/>
          <w:bCs/>
          <w:color w:val="auto"/>
          <w:sz w:val="24"/>
          <w:szCs w:val="24"/>
          <w:highlight w:val="none"/>
          <w:lang w:val="zh-CN" w:eastAsia="zh-CN"/>
        </w:rPr>
        <w:t>；</w:t>
      </w:r>
    </w:p>
    <w:p w14:paraId="2D2F93C9">
      <w:pPr>
        <w:spacing w:line="500" w:lineRule="exact"/>
        <w:ind w:firstLine="480"/>
        <w:rPr>
          <w:rFonts w:hint="eastAsia" w:ascii="宋体" w:hAnsi="宋体" w:eastAsia="宋体" w:cs="楷体"/>
          <w:bCs/>
          <w:color w:val="auto"/>
          <w:sz w:val="24"/>
          <w:szCs w:val="24"/>
          <w:highlight w:val="none"/>
          <w:lang w:val="zh-CN" w:eastAsia="zh-CN"/>
        </w:rPr>
      </w:pPr>
      <w:r>
        <w:rPr>
          <w:rFonts w:hint="eastAsia" w:ascii="宋体" w:hAnsi="宋体" w:eastAsia="宋体" w:cs="楷体"/>
          <w:bCs/>
          <w:color w:val="auto"/>
          <w:sz w:val="24"/>
          <w:szCs w:val="24"/>
          <w:highlight w:val="none"/>
          <w:lang w:val="en-US" w:eastAsia="zh-CN"/>
        </w:rPr>
        <w:t>2.</w:t>
      </w:r>
      <w:r>
        <w:rPr>
          <w:rFonts w:hint="eastAsia" w:ascii="宋体" w:hAnsi="宋体" w:eastAsia="宋体" w:cs="楷体"/>
          <w:bCs/>
          <w:color w:val="auto"/>
          <w:sz w:val="24"/>
          <w:szCs w:val="24"/>
          <w:highlight w:val="none"/>
          <w:lang w:val="zh-CN" w:eastAsia="zh-CN"/>
        </w:rPr>
        <w:t>定期巡检：对维保范围内的硬件，每年不低于</w:t>
      </w:r>
      <w:r>
        <w:rPr>
          <w:rFonts w:hint="eastAsia" w:ascii="宋体" w:hAnsi="宋体" w:eastAsia="宋体" w:cs="楷体"/>
          <w:bCs/>
          <w:color w:val="auto"/>
          <w:sz w:val="24"/>
          <w:szCs w:val="24"/>
          <w:highlight w:val="none"/>
          <w:lang w:val="en-US" w:eastAsia="zh-CN"/>
        </w:rPr>
        <w:t>4</w:t>
      </w:r>
      <w:r>
        <w:rPr>
          <w:rFonts w:hint="eastAsia" w:ascii="宋体" w:hAnsi="宋体" w:eastAsia="宋体" w:cs="楷体"/>
          <w:bCs/>
          <w:color w:val="auto"/>
          <w:sz w:val="24"/>
          <w:szCs w:val="24"/>
          <w:highlight w:val="none"/>
          <w:lang w:val="zh-CN" w:eastAsia="zh-CN"/>
        </w:rPr>
        <w:t>次巡检，并填写巡检记录，作为考核维保工作的依据；</w:t>
      </w:r>
    </w:p>
    <w:p w14:paraId="30BC0151">
      <w:pPr>
        <w:spacing w:line="500" w:lineRule="exact"/>
        <w:ind w:firstLine="480"/>
        <w:rPr>
          <w:rFonts w:hint="eastAsia" w:ascii="宋体" w:hAnsi="宋体" w:eastAsia="宋体" w:cs="楷体"/>
          <w:bCs/>
          <w:color w:val="auto"/>
          <w:sz w:val="24"/>
          <w:szCs w:val="24"/>
          <w:highlight w:val="none"/>
          <w:lang w:val="zh-CN" w:eastAsia="zh-CN"/>
        </w:rPr>
      </w:pPr>
      <w:r>
        <w:rPr>
          <w:rFonts w:hint="eastAsia" w:ascii="宋体" w:hAnsi="宋体" w:eastAsia="宋体" w:cs="楷体"/>
          <w:bCs/>
          <w:color w:val="auto"/>
          <w:sz w:val="24"/>
          <w:szCs w:val="24"/>
          <w:highlight w:val="none"/>
          <w:lang w:val="zh-CN" w:eastAsia="zh-CN"/>
        </w:rPr>
        <w:t>3.</w:t>
      </w:r>
      <w:r>
        <w:rPr>
          <w:rFonts w:hint="eastAsia" w:ascii="宋体" w:hAnsi="宋体" w:eastAsia="宋体" w:cs="楷体"/>
          <w:bCs/>
          <w:color w:val="auto"/>
          <w:sz w:val="24"/>
          <w:szCs w:val="24"/>
          <w:highlight w:val="none"/>
          <w:lang w:val="en-US" w:eastAsia="zh-CN"/>
        </w:rPr>
        <w:t>中标人</w:t>
      </w:r>
      <w:r>
        <w:rPr>
          <w:rFonts w:hint="eastAsia" w:ascii="宋体" w:hAnsi="宋体" w:eastAsia="宋体" w:cs="楷体"/>
          <w:bCs/>
          <w:color w:val="auto"/>
          <w:sz w:val="24"/>
          <w:szCs w:val="24"/>
          <w:highlight w:val="none"/>
          <w:lang w:val="zh-CN" w:eastAsia="zh-CN"/>
        </w:rPr>
        <w:t>应设立专门备件库，针对常用及易耗部件，备件储量不小于</w:t>
      </w:r>
      <w:r>
        <w:rPr>
          <w:rFonts w:hint="eastAsia" w:ascii="宋体" w:hAnsi="宋体" w:eastAsia="宋体" w:cs="楷体"/>
          <w:bCs/>
          <w:color w:val="auto"/>
          <w:sz w:val="24"/>
          <w:szCs w:val="24"/>
          <w:highlight w:val="none"/>
          <w:lang w:val="en-US" w:eastAsia="zh-CN"/>
        </w:rPr>
        <w:t>10</w:t>
      </w:r>
      <w:r>
        <w:rPr>
          <w:rFonts w:hint="eastAsia" w:ascii="宋体" w:hAnsi="宋体" w:eastAsia="宋体" w:cs="楷体"/>
          <w:bCs/>
          <w:color w:val="auto"/>
          <w:sz w:val="24"/>
          <w:szCs w:val="24"/>
          <w:highlight w:val="none"/>
          <w:lang w:val="zh-CN" w:eastAsia="zh-CN"/>
        </w:rPr>
        <w:t>套，定期补充，随时可为采购人替换，替换所使用的备品备件应是原厂提供；</w:t>
      </w:r>
    </w:p>
    <w:p w14:paraId="60A9619D">
      <w:pPr>
        <w:spacing w:line="500" w:lineRule="exact"/>
        <w:ind w:firstLine="480"/>
        <w:rPr>
          <w:rFonts w:hint="eastAsia" w:ascii="宋体" w:hAnsi="宋体" w:eastAsia="宋体" w:cs="楷体"/>
          <w:bCs/>
          <w:color w:val="auto"/>
          <w:sz w:val="24"/>
          <w:szCs w:val="24"/>
          <w:lang w:val="en-US" w:eastAsia="zh-CN"/>
        </w:rPr>
      </w:pPr>
      <w:r>
        <w:rPr>
          <w:rFonts w:hint="eastAsia" w:ascii="宋体" w:hAnsi="宋体" w:eastAsia="宋体" w:cs="楷体"/>
          <w:bCs/>
          <w:color w:val="auto"/>
          <w:sz w:val="24"/>
          <w:szCs w:val="24"/>
          <w:lang w:val="en-US" w:eastAsia="zh-CN"/>
        </w:rPr>
        <w:t>4.路政智能指挥调度车载设备出现故障时，必须提供现场维修服务，设备车载分布在全省各高速路政大队，设备维修要到各大队现场维修并保证设备的正常运行。</w:t>
      </w:r>
      <w:r>
        <w:rPr>
          <w:rFonts w:hint="eastAsia" w:ascii="宋体" w:hAnsi="宋体" w:eastAsia="宋体" w:cs="楷体"/>
          <w:bCs/>
          <w:color w:val="auto"/>
          <w:sz w:val="24"/>
          <w:szCs w:val="24"/>
          <w:lang w:val="zh-CN" w:eastAsia="zh-CN"/>
        </w:rPr>
        <w:t>相关维护记录应形成文档并提报采购人管理员备案存档；</w:t>
      </w:r>
    </w:p>
    <w:p w14:paraId="76136F28">
      <w:pPr>
        <w:spacing w:line="500" w:lineRule="exact"/>
        <w:ind w:firstLine="480"/>
        <w:rPr>
          <w:rFonts w:hint="default" w:ascii="宋体" w:hAnsi="宋体" w:eastAsia="宋体" w:cs="楷体"/>
          <w:bCs/>
          <w:color w:val="auto"/>
          <w:sz w:val="24"/>
          <w:szCs w:val="24"/>
          <w:highlight w:val="yellow"/>
          <w:lang w:val="en-US" w:eastAsia="zh-CN"/>
        </w:rPr>
      </w:pPr>
      <w:r>
        <w:rPr>
          <w:rFonts w:hint="eastAsia" w:ascii="宋体" w:hAnsi="宋体" w:eastAsia="宋体" w:cs="楷体"/>
          <w:bCs/>
          <w:color w:val="auto"/>
          <w:sz w:val="24"/>
          <w:szCs w:val="24"/>
          <w:lang w:val="en-US" w:eastAsia="zh-CN"/>
        </w:rPr>
        <w:t>5.</w:t>
      </w:r>
      <w:r>
        <w:rPr>
          <w:rFonts w:hint="eastAsia" w:ascii="宋体" w:hAnsi="宋体" w:eastAsia="宋体" w:cs="楷体"/>
          <w:bCs/>
          <w:color w:val="auto"/>
          <w:sz w:val="24"/>
          <w:szCs w:val="24"/>
          <w:lang w:val="zh-CN" w:eastAsia="zh-CN"/>
        </w:rPr>
        <w:t>组织开展相关业务系统培训，提供不少于</w:t>
      </w:r>
      <w:r>
        <w:rPr>
          <w:rFonts w:hint="eastAsia" w:ascii="宋体" w:hAnsi="宋体" w:eastAsia="宋体" w:cs="楷体"/>
          <w:bCs/>
          <w:color w:val="auto"/>
          <w:sz w:val="24"/>
          <w:szCs w:val="24"/>
          <w:lang w:val="en-US" w:eastAsia="zh-CN"/>
        </w:rPr>
        <w:t>50</w:t>
      </w:r>
      <w:r>
        <w:rPr>
          <w:rFonts w:hint="eastAsia" w:ascii="宋体" w:hAnsi="宋体" w:eastAsia="宋体" w:cs="楷体"/>
          <w:bCs/>
          <w:color w:val="auto"/>
          <w:sz w:val="24"/>
          <w:szCs w:val="24"/>
          <w:lang w:val="zh-CN" w:eastAsia="zh-CN"/>
        </w:rPr>
        <w:t>人</w:t>
      </w:r>
      <w:r>
        <w:rPr>
          <w:rFonts w:hint="eastAsia" w:ascii="宋体" w:hAnsi="宋体" w:eastAsia="宋体" w:cs="楷体"/>
          <w:bCs/>
          <w:color w:val="auto"/>
          <w:sz w:val="24"/>
          <w:szCs w:val="24"/>
          <w:lang w:val="en-US" w:eastAsia="zh-CN"/>
        </w:rPr>
        <w:t>·天</w:t>
      </w:r>
      <w:r>
        <w:rPr>
          <w:rFonts w:hint="eastAsia" w:ascii="宋体" w:hAnsi="宋体" w:eastAsia="宋体" w:cs="楷体"/>
          <w:bCs/>
          <w:color w:val="auto"/>
          <w:sz w:val="24"/>
          <w:szCs w:val="24"/>
          <w:lang w:val="zh-CN" w:eastAsia="zh-CN"/>
        </w:rPr>
        <w:t>的</w:t>
      </w:r>
      <w:r>
        <w:rPr>
          <w:rFonts w:hint="eastAsia" w:ascii="宋体" w:hAnsi="宋体" w:eastAsia="宋体" w:cs="楷体"/>
          <w:bCs/>
          <w:color w:val="auto"/>
          <w:sz w:val="24"/>
          <w:szCs w:val="24"/>
          <w:lang w:val="en-US" w:eastAsia="zh-CN"/>
        </w:rPr>
        <w:t>相应专题技术培训，</w:t>
      </w:r>
      <w:r>
        <w:rPr>
          <w:rFonts w:hint="eastAsia" w:ascii="宋体" w:hAnsi="宋体" w:eastAsia="宋体" w:cs="楷体"/>
          <w:bCs/>
          <w:sz w:val="24"/>
          <w:szCs w:val="24"/>
          <w:highlight w:val="none"/>
          <w:lang w:val="zh-CN" w:eastAsia="zh-CN"/>
        </w:rPr>
        <w:t>该培训完全按照用户本地系统环境与应用而设计系统地、有针对性的从多方面为客户提供完全的实际运行环境中的现场培训。</w:t>
      </w:r>
    </w:p>
    <w:p w14:paraId="19524459">
      <w:pPr>
        <w:spacing w:line="500" w:lineRule="exact"/>
        <w:ind w:firstLine="480"/>
        <w:rPr>
          <w:rFonts w:ascii="宋体" w:hAnsi="宋体" w:eastAsia="宋体" w:cs="楷体"/>
          <w:bCs/>
          <w:sz w:val="24"/>
          <w:szCs w:val="24"/>
        </w:rPr>
      </w:pPr>
      <w:r>
        <w:rPr>
          <w:rFonts w:hint="eastAsia" w:ascii="宋体" w:hAnsi="宋体" w:eastAsia="宋体" w:cs="楷体"/>
          <w:bCs/>
          <w:sz w:val="24"/>
          <w:szCs w:val="24"/>
        </w:rPr>
        <w:t>（十</w:t>
      </w:r>
      <w:r>
        <w:rPr>
          <w:rFonts w:hint="eastAsia" w:ascii="宋体" w:hAnsi="宋体" w:eastAsia="宋体" w:cs="楷体"/>
          <w:bCs/>
          <w:sz w:val="24"/>
          <w:szCs w:val="24"/>
          <w:lang w:eastAsia="zh-CN"/>
        </w:rPr>
        <w:t>一</w:t>
      </w:r>
      <w:r>
        <w:rPr>
          <w:rFonts w:hint="eastAsia" w:ascii="宋体" w:hAnsi="宋体" w:eastAsia="宋体" w:cs="楷体"/>
          <w:bCs/>
          <w:sz w:val="24"/>
          <w:szCs w:val="24"/>
          <w:lang w:val="en-US" w:eastAsia="zh-CN"/>
        </w:rPr>
        <w:t xml:space="preserve"> </w:t>
      </w:r>
      <w:r>
        <w:rPr>
          <w:rFonts w:hint="eastAsia" w:ascii="宋体" w:hAnsi="宋体" w:eastAsia="宋体" w:cs="楷体"/>
          <w:bCs/>
          <w:sz w:val="24"/>
          <w:szCs w:val="24"/>
        </w:rPr>
        <w:t>）项目</w:t>
      </w:r>
      <w:r>
        <w:rPr>
          <w:rFonts w:hint="eastAsia" w:ascii="宋体" w:hAnsi="宋体" w:eastAsia="宋体" w:cs="楷体"/>
          <w:bCs/>
          <w:sz w:val="24"/>
          <w:szCs w:val="24"/>
          <w:lang w:eastAsia="zh-CN"/>
        </w:rPr>
        <w:t>服务</w:t>
      </w:r>
      <w:r>
        <w:rPr>
          <w:rFonts w:hint="eastAsia" w:ascii="宋体" w:hAnsi="宋体" w:eastAsia="宋体" w:cs="楷体"/>
          <w:bCs/>
          <w:sz w:val="24"/>
          <w:szCs w:val="24"/>
        </w:rPr>
        <w:t>清单</w:t>
      </w:r>
    </w:p>
    <w:tbl>
      <w:tblPr>
        <w:tblStyle w:val="6"/>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56"/>
        <w:gridCol w:w="3170"/>
        <w:gridCol w:w="1059"/>
        <w:gridCol w:w="816"/>
        <w:gridCol w:w="2255"/>
      </w:tblGrid>
      <w:tr w14:paraId="075209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56" w:type="dxa"/>
            <w:gridSpan w:val="5"/>
            <w:tcBorders>
              <w:top w:val="single" w:color="auto" w:sz="4" w:space="0"/>
              <w:left w:val="single" w:color="auto" w:sz="4" w:space="0"/>
              <w:bottom w:val="single" w:color="auto" w:sz="4" w:space="0"/>
              <w:right w:val="single" w:color="auto" w:sz="4" w:space="0"/>
            </w:tcBorders>
            <w:vAlign w:val="center"/>
          </w:tcPr>
          <w:p w14:paraId="365EE086">
            <w:pPr>
              <w:spacing w:line="500" w:lineRule="exact"/>
              <w:ind w:firstLine="482"/>
              <w:jc w:val="center"/>
              <w:rPr>
                <w:rFonts w:ascii="宋体" w:hAnsi="宋体" w:eastAsia="宋体" w:cs="楷体"/>
                <w:b/>
                <w:kern w:val="2"/>
                <w:sz w:val="24"/>
                <w:szCs w:val="24"/>
              </w:rPr>
            </w:pPr>
            <w:r>
              <w:rPr>
                <w:rFonts w:hint="eastAsia" w:ascii="宋体" w:hAnsi="宋体" w:eastAsia="宋体" w:cs="楷体"/>
                <w:b/>
                <w:kern w:val="2"/>
                <w:sz w:val="24"/>
                <w:szCs w:val="24"/>
              </w:rPr>
              <w:t>项目</w:t>
            </w:r>
            <w:r>
              <w:rPr>
                <w:rFonts w:hint="eastAsia" w:ascii="宋体" w:hAnsi="宋体" w:eastAsia="宋体" w:cs="楷体"/>
                <w:b/>
                <w:kern w:val="2"/>
                <w:sz w:val="24"/>
                <w:szCs w:val="24"/>
                <w:lang w:eastAsia="zh-CN"/>
              </w:rPr>
              <w:t>服务</w:t>
            </w:r>
            <w:r>
              <w:rPr>
                <w:rFonts w:hint="eastAsia" w:ascii="宋体" w:hAnsi="宋体" w:eastAsia="宋体" w:cs="楷体"/>
                <w:b/>
                <w:kern w:val="2"/>
                <w:sz w:val="24"/>
                <w:szCs w:val="24"/>
              </w:rPr>
              <w:t>清单</w:t>
            </w:r>
          </w:p>
        </w:tc>
      </w:tr>
      <w:tr w14:paraId="3EDBFE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56" w:type="dxa"/>
            <w:tcBorders>
              <w:top w:val="single" w:color="auto" w:sz="4" w:space="0"/>
              <w:left w:val="single" w:color="auto" w:sz="4" w:space="0"/>
              <w:bottom w:val="single" w:color="auto" w:sz="4" w:space="0"/>
              <w:right w:val="single" w:color="auto" w:sz="4" w:space="0"/>
            </w:tcBorders>
            <w:vAlign w:val="center"/>
          </w:tcPr>
          <w:p w14:paraId="65A1F3E4">
            <w:pPr>
              <w:spacing w:line="500" w:lineRule="exact"/>
              <w:rPr>
                <w:rFonts w:ascii="宋体" w:hAnsi="宋体" w:eastAsia="宋体" w:cs="楷体"/>
                <w:b/>
                <w:kern w:val="2"/>
                <w:sz w:val="24"/>
                <w:szCs w:val="24"/>
              </w:rPr>
            </w:pPr>
            <w:r>
              <w:rPr>
                <w:rFonts w:hint="eastAsia" w:ascii="宋体" w:hAnsi="宋体" w:eastAsia="宋体" w:cs="楷体"/>
                <w:b/>
                <w:kern w:val="2"/>
                <w:sz w:val="24"/>
                <w:szCs w:val="24"/>
              </w:rPr>
              <w:t>序号</w:t>
            </w:r>
          </w:p>
        </w:tc>
        <w:tc>
          <w:tcPr>
            <w:tcW w:w="3170" w:type="dxa"/>
            <w:tcBorders>
              <w:top w:val="single" w:color="auto" w:sz="4" w:space="0"/>
              <w:left w:val="single" w:color="auto" w:sz="4" w:space="0"/>
              <w:bottom w:val="single" w:color="auto" w:sz="4" w:space="0"/>
              <w:right w:val="single" w:color="auto" w:sz="4" w:space="0"/>
            </w:tcBorders>
            <w:vAlign w:val="center"/>
          </w:tcPr>
          <w:p w14:paraId="55F69F1D">
            <w:pPr>
              <w:spacing w:line="500" w:lineRule="exact"/>
              <w:ind w:firstLine="482"/>
              <w:jc w:val="center"/>
              <w:rPr>
                <w:rFonts w:ascii="宋体" w:hAnsi="宋体" w:eastAsia="宋体" w:cs="楷体"/>
                <w:b/>
                <w:kern w:val="2"/>
                <w:sz w:val="24"/>
                <w:szCs w:val="24"/>
              </w:rPr>
            </w:pPr>
            <w:r>
              <w:rPr>
                <w:rFonts w:hint="eastAsia" w:ascii="宋体" w:hAnsi="宋体" w:eastAsia="宋体" w:cs="楷体"/>
                <w:b/>
                <w:kern w:val="2"/>
                <w:sz w:val="24"/>
                <w:szCs w:val="24"/>
              </w:rPr>
              <w:t>项目名称</w:t>
            </w:r>
          </w:p>
        </w:tc>
        <w:tc>
          <w:tcPr>
            <w:tcW w:w="1059" w:type="dxa"/>
            <w:tcBorders>
              <w:top w:val="single" w:color="auto" w:sz="4" w:space="0"/>
              <w:left w:val="single" w:color="auto" w:sz="4" w:space="0"/>
              <w:bottom w:val="single" w:color="auto" w:sz="4" w:space="0"/>
              <w:right w:val="single" w:color="auto" w:sz="4" w:space="0"/>
            </w:tcBorders>
            <w:vAlign w:val="center"/>
          </w:tcPr>
          <w:p w14:paraId="22016A79">
            <w:pPr>
              <w:spacing w:line="500" w:lineRule="exact"/>
              <w:rPr>
                <w:rFonts w:ascii="宋体" w:hAnsi="宋体" w:eastAsia="宋体" w:cs="楷体"/>
                <w:b/>
                <w:kern w:val="2"/>
                <w:sz w:val="24"/>
                <w:szCs w:val="24"/>
              </w:rPr>
            </w:pPr>
            <w:r>
              <w:rPr>
                <w:rFonts w:hint="eastAsia" w:ascii="宋体" w:hAnsi="宋体" w:eastAsia="宋体" w:cs="楷体"/>
                <w:b/>
                <w:kern w:val="2"/>
                <w:sz w:val="24"/>
                <w:szCs w:val="24"/>
              </w:rPr>
              <w:t>单位</w:t>
            </w:r>
          </w:p>
        </w:tc>
        <w:tc>
          <w:tcPr>
            <w:tcW w:w="816" w:type="dxa"/>
            <w:tcBorders>
              <w:top w:val="single" w:color="auto" w:sz="4" w:space="0"/>
              <w:left w:val="single" w:color="auto" w:sz="4" w:space="0"/>
              <w:bottom w:val="single" w:color="auto" w:sz="4" w:space="0"/>
              <w:right w:val="single" w:color="auto" w:sz="4" w:space="0"/>
            </w:tcBorders>
            <w:vAlign w:val="center"/>
          </w:tcPr>
          <w:p w14:paraId="05315A78">
            <w:pPr>
              <w:spacing w:line="500" w:lineRule="exact"/>
              <w:rPr>
                <w:rFonts w:ascii="宋体" w:hAnsi="宋体" w:eastAsia="宋体" w:cs="楷体"/>
                <w:b/>
                <w:kern w:val="2"/>
                <w:sz w:val="24"/>
                <w:szCs w:val="24"/>
              </w:rPr>
            </w:pPr>
            <w:r>
              <w:rPr>
                <w:rFonts w:hint="eastAsia" w:ascii="宋体" w:hAnsi="宋体" w:eastAsia="宋体" w:cs="楷体"/>
                <w:b/>
                <w:kern w:val="2"/>
                <w:sz w:val="24"/>
                <w:szCs w:val="24"/>
              </w:rPr>
              <w:t>数量</w:t>
            </w:r>
          </w:p>
        </w:tc>
        <w:tc>
          <w:tcPr>
            <w:tcW w:w="2255" w:type="dxa"/>
            <w:tcBorders>
              <w:top w:val="single" w:color="auto" w:sz="4" w:space="0"/>
              <w:left w:val="single" w:color="auto" w:sz="4" w:space="0"/>
              <w:bottom w:val="single" w:color="auto" w:sz="4" w:space="0"/>
              <w:right w:val="single" w:color="auto" w:sz="4" w:space="0"/>
            </w:tcBorders>
            <w:vAlign w:val="center"/>
          </w:tcPr>
          <w:p w14:paraId="301B3F6A">
            <w:pPr>
              <w:spacing w:line="500" w:lineRule="exact"/>
              <w:ind w:firstLine="482"/>
              <w:jc w:val="center"/>
              <w:rPr>
                <w:rFonts w:ascii="宋体" w:hAnsi="宋体" w:eastAsia="宋体" w:cs="楷体"/>
                <w:b/>
                <w:kern w:val="2"/>
                <w:sz w:val="24"/>
                <w:szCs w:val="24"/>
              </w:rPr>
            </w:pPr>
            <w:r>
              <w:rPr>
                <w:rFonts w:hint="eastAsia" w:ascii="宋体" w:hAnsi="宋体" w:eastAsia="宋体" w:cs="楷体"/>
                <w:b/>
                <w:kern w:val="2"/>
                <w:sz w:val="24"/>
                <w:szCs w:val="24"/>
              </w:rPr>
              <w:t>备注</w:t>
            </w:r>
          </w:p>
        </w:tc>
      </w:tr>
      <w:tr w14:paraId="40B291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56" w:type="dxa"/>
            <w:gridSpan w:val="5"/>
            <w:tcBorders>
              <w:top w:val="single" w:color="auto" w:sz="4" w:space="0"/>
              <w:left w:val="single" w:color="auto" w:sz="4" w:space="0"/>
              <w:bottom w:val="single" w:color="auto" w:sz="4" w:space="0"/>
              <w:right w:val="single" w:color="auto" w:sz="4" w:space="0"/>
            </w:tcBorders>
            <w:vAlign w:val="center"/>
          </w:tcPr>
          <w:p w14:paraId="3366A95A">
            <w:pPr>
              <w:spacing w:line="500" w:lineRule="exact"/>
              <w:rPr>
                <w:rFonts w:ascii="宋体" w:hAnsi="宋体" w:eastAsia="宋体" w:cs="楷体"/>
                <w:bCs/>
                <w:kern w:val="2"/>
                <w:sz w:val="24"/>
                <w:szCs w:val="24"/>
                <w:lang w:eastAsia="zh-CN"/>
              </w:rPr>
            </w:pPr>
            <w:r>
              <w:rPr>
                <w:rFonts w:hint="eastAsia" w:ascii="宋体" w:hAnsi="宋体" w:eastAsia="宋体" w:cs="楷体"/>
                <w:bCs/>
                <w:kern w:val="2"/>
                <w:sz w:val="24"/>
                <w:szCs w:val="24"/>
                <w:lang w:eastAsia="zh-CN"/>
              </w:rPr>
              <w:t>一、</w:t>
            </w:r>
            <w:r>
              <w:rPr>
                <w:rFonts w:hint="eastAsia" w:ascii="宋体" w:hAnsi="宋体" w:eastAsia="宋体" w:cs="楷体"/>
                <w:kern w:val="2"/>
                <w:sz w:val="24"/>
                <w:szCs w:val="24"/>
                <w:lang w:eastAsia="zh-CN"/>
              </w:rPr>
              <w:t>国省道交通情况调查数据采集与服务系统工程（一期）</w:t>
            </w:r>
            <w:r>
              <w:rPr>
                <w:rFonts w:hint="eastAsia" w:ascii="宋体" w:hAnsi="宋体" w:eastAsia="宋体" w:cs="楷体"/>
                <w:sz w:val="24"/>
                <w:szCs w:val="24"/>
                <w:lang w:eastAsia="zh-CN"/>
              </w:rPr>
              <w:t>外场</w:t>
            </w:r>
            <w:r>
              <w:rPr>
                <w:rFonts w:ascii="宋体" w:hAnsi="宋体" w:eastAsia="宋体" w:cs="楷体"/>
                <w:sz w:val="24"/>
                <w:szCs w:val="24"/>
                <w:lang w:eastAsia="zh-CN"/>
              </w:rPr>
              <w:t>硬件</w:t>
            </w:r>
            <w:r>
              <w:rPr>
                <w:rFonts w:hint="eastAsia" w:ascii="宋体" w:hAnsi="宋体" w:eastAsia="宋体" w:cs="楷体"/>
                <w:kern w:val="2"/>
                <w:sz w:val="24"/>
                <w:szCs w:val="24"/>
                <w:lang w:eastAsia="zh-CN"/>
              </w:rPr>
              <w:t>运维服务</w:t>
            </w:r>
          </w:p>
        </w:tc>
      </w:tr>
      <w:tr w14:paraId="57A804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56" w:type="dxa"/>
            <w:tcBorders>
              <w:top w:val="single" w:color="auto" w:sz="4" w:space="0"/>
              <w:left w:val="single" w:color="auto" w:sz="4" w:space="0"/>
              <w:bottom w:val="single" w:color="auto" w:sz="4" w:space="0"/>
              <w:right w:val="single" w:color="auto" w:sz="4" w:space="0"/>
            </w:tcBorders>
            <w:vAlign w:val="center"/>
          </w:tcPr>
          <w:p w14:paraId="1F9B5BD4">
            <w:pPr>
              <w:spacing w:line="500" w:lineRule="exact"/>
              <w:jc w:val="center"/>
              <w:rPr>
                <w:rFonts w:ascii="宋体" w:hAnsi="宋体" w:eastAsia="宋体" w:cs="楷体"/>
                <w:bCs/>
                <w:kern w:val="2"/>
                <w:sz w:val="24"/>
                <w:szCs w:val="24"/>
                <w:lang w:eastAsia="zh-CN"/>
              </w:rPr>
            </w:pPr>
            <w:r>
              <w:rPr>
                <w:rFonts w:hint="eastAsia" w:ascii="宋体" w:hAnsi="宋体" w:eastAsia="宋体" w:cs="楷体"/>
                <w:bCs/>
                <w:kern w:val="2"/>
                <w:sz w:val="24"/>
                <w:szCs w:val="24"/>
                <w:lang w:eastAsia="zh-CN"/>
              </w:rPr>
              <w:t>1</w:t>
            </w:r>
          </w:p>
        </w:tc>
        <w:tc>
          <w:tcPr>
            <w:tcW w:w="3170" w:type="dxa"/>
            <w:tcBorders>
              <w:top w:val="single" w:color="auto" w:sz="4" w:space="0"/>
              <w:left w:val="single" w:color="auto" w:sz="4" w:space="0"/>
              <w:bottom w:val="single" w:color="auto" w:sz="4" w:space="0"/>
              <w:right w:val="single" w:color="auto" w:sz="4" w:space="0"/>
            </w:tcBorders>
            <w:vAlign w:val="center"/>
          </w:tcPr>
          <w:p w14:paraId="37FB79EE">
            <w:pPr>
              <w:spacing w:line="500" w:lineRule="exact"/>
              <w:jc w:val="center"/>
              <w:rPr>
                <w:rFonts w:ascii="宋体" w:hAnsi="宋体" w:eastAsia="宋体" w:cs="楷体"/>
                <w:bCs/>
                <w:kern w:val="2"/>
                <w:sz w:val="24"/>
                <w:szCs w:val="24"/>
              </w:rPr>
            </w:pPr>
            <w:r>
              <w:rPr>
                <w:rFonts w:hint="eastAsia" w:ascii="宋体" w:hAnsi="宋体" w:eastAsia="宋体" w:cs="楷体"/>
                <w:bCs/>
                <w:kern w:val="2"/>
                <w:sz w:val="24"/>
                <w:szCs w:val="24"/>
              </w:rPr>
              <w:t>70处外场设施运维服务</w:t>
            </w:r>
          </w:p>
        </w:tc>
        <w:tc>
          <w:tcPr>
            <w:tcW w:w="1059" w:type="dxa"/>
            <w:tcBorders>
              <w:top w:val="single" w:color="auto" w:sz="4" w:space="0"/>
              <w:left w:val="single" w:color="auto" w:sz="4" w:space="0"/>
              <w:bottom w:val="single" w:color="auto" w:sz="4" w:space="0"/>
              <w:right w:val="single" w:color="auto" w:sz="4" w:space="0"/>
            </w:tcBorders>
            <w:vAlign w:val="center"/>
          </w:tcPr>
          <w:p w14:paraId="1FA3AF3A">
            <w:pPr>
              <w:spacing w:line="500" w:lineRule="exact"/>
              <w:jc w:val="center"/>
              <w:rPr>
                <w:rFonts w:ascii="宋体" w:hAnsi="宋体" w:eastAsia="宋体" w:cs="楷体"/>
                <w:bCs/>
                <w:kern w:val="2"/>
                <w:sz w:val="24"/>
                <w:szCs w:val="24"/>
              </w:rPr>
            </w:pPr>
            <w:r>
              <w:rPr>
                <w:rFonts w:hint="eastAsia" w:ascii="宋体" w:hAnsi="宋体" w:eastAsia="宋体" w:cs="楷体"/>
                <w:bCs/>
                <w:kern w:val="2"/>
                <w:sz w:val="24"/>
                <w:szCs w:val="24"/>
              </w:rPr>
              <w:t>项</w:t>
            </w:r>
          </w:p>
        </w:tc>
        <w:tc>
          <w:tcPr>
            <w:tcW w:w="816" w:type="dxa"/>
            <w:tcBorders>
              <w:top w:val="single" w:color="auto" w:sz="4" w:space="0"/>
              <w:left w:val="single" w:color="auto" w:sz="4" w:space="0"/>
              <w:bottom w:val="single" w:color="auto" w:sz="4" w:space="0"/>
              <w:right w:val="single" w:color="auto" w:sz="4" w:space="0"/>
            </w:tcBorders>
            <w:vAlign w:val="center"/>
          </w:tcPr>
          <w:p w14:paraId="565A485C">
            <w:pPr>
              <w:spacing w:line="500" w:lineRule="exact"/>
              <w:jc w:val="center"/>
              <w:rPr>
                <w:rFonts w:ascii="宋体" w:hAnsi="宋体" w:eastAsia="宋体" w:cs="楷体"/>
                <w:bCs/>
                <w:kern w:val="2"/>
                <w:sz w:val="24"/>
                <w:szCs w:val="24"/>
              </w:rPr>
            </w:pPr>
            <w:r>
              <w:rPr>
                <w:rFonts w:hint="eastAsia" w:ascii="宋体" w:hAnsi="宋体" w:eastAsia="宋体" w:cs="楷体"/>
                <w:bCs/>
                <w:kern w:val="2"/>
                <w:sz w:val="24"/>
                <w:szCs w:val="24"/>
              </w:rPr>
              <w:t>1</w:t>
            </w:r>
          </w:p>
        </w:tc>
        <w:tc>
          <w:tcPr>
            <w:tcW w:w="2255" w:type="dxa"/>
            <w:tcBorders>
              <w:top w:val="single" w:color="auto" w:sz="4" w:space="0"/>
              <w:left w:val="single" w:color="auto" w:sz="4" w:space="0"/>
              <w:bottom w:val="single" w:color="auto" w:sz="4" w:space="0"/>
              <w:right w:val="single" w:color="auto" w:sz="4" w:space="0"/>
            </w:tcBorders>
            <w:vAlign w:val="center"/>
          </w:tcPr>
          <w:p w14:paraId="48BAEC36">
            <w:pPr>
              <w:spacing w:line="500" w:lineRule="exact"/>
              <w:ind w:firstLine="480"/>
              <w:jc w:val="center"/>
              <w:rPr>
                <w:rFonts w:ascii="宋体" w:hAnsi="宋体" w:eastAsia="宋体" w:cs="楷体"/>
                <w:bCs/>
                <w:kern w:val="2"/>
                <w:sz w:val="24"/>
                <w:szCs w:val="24"/>
              </w:rPr>
            </w:pPr>
          </w:p>
        </w:tc>
      </w:tr>
      <w:tr w14:paraId="4F445B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56" w:type="dxa"/>
            <w:tcBorders>
              <w:top w:val="single" w:color="auto" w:sz="4" w:space="0"/>
              <w:left w:val="single" w:color="auto" w:sz="4" w:space="0"/>
              <w:bottom w:val="single" w:color="auto" w:sz="4" w:space="0"/>
              <w:right w:val="single" w:color="auto" w:sz="4" w:space="0"/>
            </w:tcBorders>
            <w:vAlign w:val="center"/>
          </w:tcPr>
          <w:p w14:paraId="18EDD1AA">
            <w:pPr>
              <w:spacing w:line="500" w:lineRule="exact"/>
              <w:jc w:val="center"/>
              <w:rPr>
                <w:rFonts w:ascii="宋体" w:hAnsi="宋体" w:eastAsia="宋体" w:cs="楷体"/>
                <w:bCs/>
                <w:kern w:val="2"/>
                <w:sz w:val="24"/>
                <w:szCs w:val="24"/>
                <w:lang w:eastAsia="zh-CN"/>
              </w:rPr>
            </w:pPr>
            <w:r>
              <w:rPr>
                <w:rFonts w:hint="eastAsia" w:ascii="宋体" w:hAnsi="宋体" w:eastAsia="宋体" w:cs="楷体"/>
                <w:bCs/>
                <w:kern w:val="2"/>
                <w:sz w:val="24"/>
                <w:szCs w:val="24"/>
                <w:lang w:eastAsia="zh-CN"/>
              </w:rPr>
              <w:t>2</w:t>
            </w:r>
          </w:p>
        </w:tc>
        <w:tc>
          <w:tcPr>
            <w:tcW w:w="3170" w:type="dxa"/>
            <w:tcBorders>
              <w:top w:val="single" w:color="auto" w:sz="4" w:space="0"/>
              <w:left w:val="single" w:color="auto" w:sz="4" w:space="0"/>
              <w:bottom w:val="single" w:color="auto" w:sz="4" w:space="0"/>
              <w:right w:val="single" w:color="auto" w:sz="4" w:space="0"/>
            </w:tcBorders>
            <w:vAlign w:val="center"/>
          </w:tcPr>
          <w:p w14:paraId="762DA3F2">
            <w:pPr>
              <w:spacing w:line="500" w:lineRule="exact"/>
              <w:jc w:val="center"/>
              <w:rPr>
                <w:rFonts w:ascii="宋体" w:hAnsi="宋体" w:eastAsia="宋体" w:cs="楷体"/>
                <w:bCs/>
                <w:kern w:val="2"/>
                <w:sz w:val="24"/>
                <w:szCs w:val="24"/>
                <w:lang w:eastAsia="zh-CN"/>
              </w:rPr>
            </w:pPr>
            <w:r>
              <w:rPr>
                <w:rFonts w:hint="eastAsia" w:ascii="宋体" w:hAnsi="宋体" w:eastAsia="宋体" w:cs="楷体"/>
                <w:bCs/>
                <w:kern w:val="2"/>
                <w:sz w:val="24"/>
                <w:szCs w:val="24"/>
                <w:lang w:eastAsia="zh-CN"/>
              </w:rPr>
              <w:t>70处外场设施正常运行供电及保障</w:t>
            </w:r>
          </w:p>
        </w:tc>
        <w:tc>
          <w:tcPr>
            <w:tcW w:w="1059" w:type="dxa"/>
            <w:tcBorders>
              <w:top w:val="single" w:color="auto" w:sz="4" w:space="0"/>
              <w:left w:val="single" w:color="auto" w:sz="4" w:space="0"/>
              <w:bottom w:val="single" w:color="auto" w:sz="4" w:space="0"/>
              <w:right w:val="single" w:color="auto" w:sz="4" w:space="0"/>
            </w:tcBorders>
            <w:vAlign w:val="center"/>
          </w:tcPr>
          <w:p w14:paraId="30819B51">
            <w:pPr>
              <w:spacing w:line="500" w:lineRule="exact"/>
              <w:jc w:val="center"/>
              <w:rPr>
                <w:rFonts w:ascii="宋体" w:hAnsi="宋体" w:eastAsia="宋体" w:cs="楷体"/>
                <w:bCs/>
                <w:kern w:val="2"/>
                <w:sz w:val="24"/>
                <w:szCs w:val="24"/>
              </w:rPr>
            </w:pPr>
            <w:r>
              <w:rPr>
                <w:rFonts w:hint="eastAsia" w:ascii="宋体" w:hAnsi="宋体" w:eastAsia="宋体" w:cs="楷体"/>
                <w:bCs/>
                <w:kern w:val="2"/>
                <w:sz w:val="24"/>
                <w:szCs w:val="24"/>
              </w:rPr>
              <w:t>项</w:t>
            </w:r>
          </w:p>
        </w:tc>
        <w:tc>
          <w:tcPr>
            <w:tcW w:w="816" w:type="dxa"/>
            <w:tcBorders>
              <w:top w:val="single" w:color="auto" w:sz="4" w:space="0"/>
              <w:left w:val="single" w:color="auto" w:sz="4" w:space="0"/>
              <w:bottom w:val="single" w:color="auto" w:sz="4" w:space="0"/>
              <w:right w:val="single" w:color="auto" w:sz="4" w:space="0"/>
            </w:tcBorders>
            <w:vAlign w:val="center"/>
          </w:tcPr>
          <w:p w14:paraId="0B5E7B55">
            <w:pPr>
              <w:spacing w:line="500" w:lineRule="exact"/>
              <w:jc w:val="center"/>
              <w:rPr>
                <w:rFonts w:ascii="宋体" w:hAnsi="宋体" w:eastAsia="宋体" w:cs="楷体"/>
                <w:bCs/>
                <w:kern w:val="2"/>
                <w:sz w:val="24"/>
                <w:szCs w:val="24"/>
              </w:rPr>
            </w:pPr>
            <w:r>
              <w:rPr>
                <w:rFonts w:hint="eastAsia" w:ascii="宋体" w:hAnsi="宋体" w:eastAsia="宋体" w:cs="楷体"/>
                <w:bCs/>
                <w:kern w:val="2"/>
                <w:sz w:val="24"/>
                <w:szCs w:val="24"/>
              </w:rPr>
              <w:t>1</w:t>
            </w:r>
          </w:p>
        </w:tc>
        <w:tc>
          <w:tcPr>
            <w:tcW w:w="2255" w:type="dxa"/>
            <w:tcBorders>
              <w:top w:val="single" w:color="auto" w:sz="4" w:space="0"/>
              <w:left w:val="single" w:color="auto" w:sz="4" w:space="0"/>
              <w:bottom w:val="single" w:color="auto" w:sz="4" w:space="0"/>
              <w:right w:val="single" w:color="auto" w:sz="4" w:space="0"/>
            </w:tcBorders>
            <w:vAlign w:val="center"/>
          </w:tcPr>
          <w:p w14:paraId="6E7FF168">
            <w:pPr>
              <w:spacing w:line="500" w:lineRule="exact"/>
              <w:ind w:firstLine="480"/>
              <w:jc w:val="center"/>
              <w:rPr>
                <w:rFonts w:ascii="宋体" w:hAnsi="宋体" w:eastAsia="宋体" w:cs="楷体"/>
                <w:bCs/>
                <w:kern w:val="2"/>
                <w:sz w:val="24"/>
                <w:szCs w:val="24"/>
              </w:rPr>
            </w:pPr>
          </w:p>
        </w:tc>
      </w:tr>
      <w:tr w14:paraId="2B3739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56" w:type="dxa"/>
            <w:tcBorders>
              <w:top w:val="single" w:color="auto" w:sz="4" w:space="0"/>
              <w:left w:val="single" w:color="auto" w:sz="4" w:space="0"/>
              <w:bottom w:val="single" w:color="auto" w:sz="4" w:space="0"/>
              <w:right w:val="single" w:color="auto" w:sz="4" w:space="0"/>
            </w:tcBorders>
            <w:vAlign w:val="center"/>
          </w:tcPr>
          <w:p w14:paraId="40C24DDA">
            <w:pPr>
              <w:spacing w:line="500" w:lineRule="exact"/>
              <w:jc w:val="center"/>
              <w:rPr>
                <w:rFonts w:ascii="宋体" w:hAnsi="宋体" w:eastAsia="宋体" w:cs="楷体"/>
                <w:bCs/>
                <w:kern w:val="2"/>
                <w:sz w:val="24"/>
                <w:szCs w:val="24"/>
                <w:lang w:eastAsia="zh-CN"/>
              </w:rPr>
            </w:pPr>
            <w:r>
              <w:rPr>
                <w:rFonts w:hint="eastAsia" w:ascii="宋体" w:hAnsi="宋体" w:eastAsia="宋体" w:cs="楷体"/>
                <w:bCs/>
                <w:kern w:val="2"/>
                <w:sz w:val="24"/>
                <w:szCs w:val="24"/>
                <w:lang w:eastAsia="zh-CN"/>
              </w:rPr>
              <w:t>3</w:t>
            </w:r>
          </w:p>
        </w:tc>
        <w:tc>
          <w:tcPr>
            <w:tcW w:w="3170" w:type="dxa"/>
            <w:tcBorders>
              <w:top w:val="single" w:color="auto" w:sz="4" w:space="0"/>
              <w:left w:val="single" w:color="auto" w:sz="4" w:space="0"/>
              <w:bottom w:val="single" w:color="auto" w:sz="4" w:space="0"/>
              <w:right w:val="single" w:color="auto" w:sz="4" w:space="0"/>
            </w:tcBorders>
            <w:vAlign w:val="center"/>
          </w:tcPr>
          <w:p w14:paraId="1EDCDA54">
            <w:pPr>
              <w:spacing w:line="500" w:lineRule="exact"/>
              <w:jc w:val="center"/>
              <w:rPr>
                <w:rFonts w:ascii="宋体" w:hAnsi="宋体" w:eastAsia="宋体" w:cs="楷体"/>
                <w:bCs/>
                <w:kern w:val="2"/>
                <w:sz w:val="24"/>
                <w:szCs w:val="24"/>
                <w:lang w:eastAsia="zh-CN"/>
              </w:rPr>
            </w:pPr>
            <w:r>
              <w:rPr>
                <w:rFonts w:hint="eastAsia" w:ascii="宋体" w:hAnsi="宋体" w:eastAsia="宋体" w:cs="楷体"/>
                <w:bCs/>
                <w:kern w:val="2"/>
                <w:sz w:val="24"/>
                <w:szCs w:val="24"/>
                <w:lang w:eastAsia="zh-CN"/>
              </w:rPr>
              <w:t>70条外场设施10M通信链路的租赁及保障</w:t>
            </w:r>
          </w:p>
        </w:tc>
        <w:tc>
          <w:tcPr>
            <w:tcW w:w="1059" w:type="dxa"/>
            <w:tcBorders>
              <w:top w:val="single" w:color="auto" w:sz="4" w:space="0"/>
              <w:left w:val="single" w:color="auto" w:sz="4" w:space="0"/>
              <w:bottom w:val="single" w:color="auto" w:sz="4" w:space="0"/>
              <w:right w:val="single" w:color="auto" w:sz="4" w:space="0"/>
            </w:tcBorders>
            <w:vAlign w:val="center"/>
          </w:tcPr>
          <w:p w14:paraId="30E82493">
            <w:pPr>
              <w:spacing w:line="500" w:lineRule="exact"/>
              <w:jc w:val="center"/>
              <w:rPr>
                <w:rFonts w:ascii="宋体" w:hAnsi="宋体" w:eastAsia="宋体" w:cs="楷体"/>
                <w:bCs/>
                <w:kern w:val="2"/>
                <w:sz w:val="24"/>
                <w:szCs w:val="24"/>
              </w:rPr>
            </w:pPr>
            <w:r>
              <w:rPr>
                <w:rFonts w:hint="eastAsia" w:ascii="宋体" w:hAnsi="宋体" w:eastAsia="宋体" w:cs="楷体"/>
                <w:bCs/>
                <w:kern w:val="2"/>
                <w:sz w:val="24"/>
                <w:szCs w:val="24"/>
              </w:rPr>
              <w:t>项</w:t>
            </w:r>
          </w:p>
        </w:tc>
        <w:tc>
          <w:tcPr>
            <w:tcW w:w="816" w:type="dxa"/>
            <w:tcBorders>
              <w:top w:val="single" w:color="auto" w:sz="4" w:space="0"/>
              <w:left w:val="single" w:color="auto" w:sz="4" w:space="0"/>
              <w:bottom w:val="single" w:color="auto" w:sz="4" w:space="0"/>
              <w:right w:val="single" w:color="auto" w:sz="4" w:space="0"/>
            </w:tcBorders>
            <w:vAlign w:val="center"/>
          </w:tcPr>
          <w:p w14:paraId="785CE4C0">
            <w:pPr>
              <w:spacing w:line="500" w:lineRule="exact"/>
              <w:jc w:val="center"/>
              <w:rPr>
                <w:rFonts w:ascii="宋体" w:hAnsi="宋体" w:eastAsia="宋体" w:cs="楷体"/>
                <w:bCs/>
                <w:kern w:val="2"/>
                <w:sz w:val="24"/>
                <w:szCs w:val="24"/>
              </w:rPr>
            </w:pPr>
            <w:r>
              <w:rPr>
                <w:rFonts w:hint="eastAsia" w:ascii="宋体" w:hAnsi="宋体" w:eastAsia="宋体" w:cs="楷体"/>
                <w:bCs/>
                <w:kern w:val="2"/>
                <w:sz w:val="24"/>
                <w:szCs w:val="24"/>
              </w:rPr>
              <w:t>1</w:t>
            </w:r>
          </w:p>
        </w:tc>
        <w:tc>
          <w:tcPr>
            <w:tcW w:w="2255" w:type="dxa"/>
            <w:tcBorders>
              <w:top w:val="single" w:color="auto" w:sz="4" w:space="0"/>
              <w:left w:val="single" w:color="auto" w:sz="4" w:space="0"/>
              <w:bottom w:val="single" w:color="auto" w:sz="4" w:space="0"/>
              <w:right w:val="single" w:color="auto" w:sz="4" w:space="0"/>
            </w:tcBorders>
            <w:vAlign w:val="center"/>
          </w:tcPr>
          <w:p w14:paraId="60D14893">
            <w:pPr>
              <w:spacing w:line="500" w:lineRule="exact"/>
              <w:ind w:firstLine="480"/>
              <w:jc w:val="center"/>
              <w:rPr>
                <w:rFonts w:ascii="宋体" w:hAnsi="宋体" w:eastAsia="宋体" w:cs="楷体"/>
                <w:bCs/>
                <w:kern w:val="2"/>
                <w:sz w:val="24"/>
                <w:szCs w:val="24"/>
              </w:rPr>
            </w:pPr>
          </w:p>
        </w:tc>
      </w:tr>
      <w:tr w14:paraId="4FF4A2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56" w:type="dxa"/>
            <w:tcBorders>
              <w:top w:val="single" w:color="auto" w:sz="4" w:space="0"/>
              <w:left w:val="single" w:color="auto" w:sz="4" w:space="0"/>
              <w:bottom w:val="single" w:color="auto" w:sz="4" w:space="0"/>
              <w:right w:val="single" w:color="auto" w:sz="4" w:space="0"/>
            </w:tcBorders>
            <w:vAlign w:val="center"/>
          </w:tcPr>
          <w:p w14:paraId="1E22743C">
            <w:pPr>
              <w:spacing w:line="500" w:lineRule="exact"/>
              <w:jc w:val="center"/>
              <w:rPr>
                <w:rFonts w:ascii="宋体" w:hAnsi="宋体" w:eastAsia="宋体" w:cs="楷体"/>
                <w:bCs/>
                <w:kern w:val="2"/>
                <w:sz w:val="24"/>
                <w:szCs w:val="24"/>
                <w:lang w:eastAsia="zh-CN"/>
              </w:rPr>
            </w:pPr>
            <w:r>
              <w:rPr>
                <w:rFonts w:hint="eastAsia" w:ascii="宋体" w:hAnsi="宋体" w:eastAsia="宋体" w:cs="楷体"/>
                <w:bCs/>
                <w:kern w:val="2"/>
                <w:sz w:val="24"/>
                <w:szCs w:val="24"/>
                <w:lang w:eastAsia="zh-CN"/>
              </w:rPr>
              <w:t>4</w:t>
            </w:r>
          </w:p>
        </w:tc>
        <w:tc>
          <w:tcPr>
            <w:tcW w:w="3170" w:type="dxa"/>
            <w:tcBorders>
              <w:top w:val="single" w:color="auto" w:sz="4" w:space="0"/>
              <w:left w:val="single" w:color="auto" w:sz="4" w:space="0"/>
              <w:bottom w:val="single" w:color="auto" w:sz="4" w:space="0"/>
              <w:right w:val="single" w:color="auto" w:sz="4" w:space="0"/>
            </w:tcBorders>
            <w:vAlign w:val="center"/>
          </w:tcPr>
          <w:p w14:paraId="45D7B721">
            <w:pPr>
              <w:spacing w:line="500" w:lineRule="exact"/>
              <w:jc w:val="center"/>
              <w:rPr>
                <w:rFonts w:ascii="宋体" w:hAnsi="宋体" w:eastAsia="宋体" w:cs="楷体"/>
                <w:bCs/>
                <w:color w:val="auto"/>
                <w:kern w:val="2"/>
                <w:sz w:val="24"/>
                <w:szCs w:val="24"/>
                <w:lang w:eastAsia="zh-CN"/>
              </w:rPr>
            </w:pPr>
            <w:r>
              <w:rPr>
                <w:rFonts w:hint="eastAsia" w:ascii="宋体" w:hAnsi="宋体" w:eastAsia="宋体" w:cs="楷体"/>
                <w:bCs/>
                <w:color w:val="auto"/>
                <w:kern w:val="2"/>
                <w:sz w:val="24"/>
                <w:szCs w:val="24"/>
                <w:lang w:eastAsia="zh-CN"/>
              </w:rPr>
              <w:t>23处交调监测站点精度测试</w:t>
            </w:r>
          </w:p>
        </w:tc>
        <w:tc>
          <w:tcPr>
            <w:tcW w:w="1059" w:type="dxa"/>
            <w:tcBorders>
              <w:top w:val="single" w:color="auto" w:sz="4" w:space="0"/>
              <w:left w:val="single" w:color="auto" w:sz="4" w:space="0"/>
              <w:bottom w:val="single" w:color="auto" w:sz="4" w:space="0"/>
              <w:right w:val="single" w:color="auto" w:sz="4" w:space="0"/>
            </w:tcBorders>
            <w:vAlign w:val="center"/>
          </w:tcPr>
          <w:p w14:paraId="5A9072FA">
            <w:pPr>
              <w:spacing w:line="500" w:lineRule="exact"/>
              <w:jc w:val="center"/>
              <w:rPr>
                <w:rFonts w:ascii="宋体" w:hAnsi="宋体" w:eastAsia="宋体" w:cs="楷体"/>
                <w:bCs/>
                <w:color w:val="auto"/>
                <w:kern w:val="2"/>
                <w:sz w:val="24"/>
                <w:szCs w:val="24"/>
              </w:rPr>
            </w:pPr>
            <w:r>
              <w:rPr>
                <w:rFonts w:hint="eastAsia" w:ascii="宋体" w:hAnsi="宋体" w:eastAsia="宋体" w:cs="楷体"/>
                <w:bCs/>
                <w:color w:val="auto"/>
                <w:kern w:val="2"/>
                <w:sz w:val="24"/>
                <w:szCs w:val="24"/>
              </w:rPr>
              <w:t>项</w:t>
            </w:r>
          </w:p>
        </w:tc>
        <w:tc>
          <w:tcPr>
            <w:tcW w:w="816" w:type="dxa"/>
            <w:tcBorders>
              <w:top w:val="single" w:color="auto" w:sz="4" w:space="0"/>
              <w:left w:val="single" w:color="auto" w:sz="4" w:space="0"/>
              <w:bottom w:val="single" w:color="auto" w:sz="4" w:space="0"/>
              <w:right w:val="single" w:color="auto" w:sz="4" w:space="0"/>
            </w:tcBorders>
            <w:vAlign w:val="center"/>
          </w:tcPr>
          <w:p w14:paraId="4747B9E8">
            <w:pPr>
              <w:spacing w:line="500" w:lineRule="exact"/>
              <w:jc w:val="center"/>
              <w:rPr>
                <w:rFonts w:ascii="宋体" w:hAnsi="宋体" w:eastAsia="宋体" w:cs="楷体"/>
                <w:bCs/>
                <w:color w:val="auto"/>
                <w:kern w:val="2"/>
                <w:sz w:val="24"/>
                <w:szCs w:val="24"/>
              </w:rPr>
            </w:pPr>
            <w:r>
              <w:rPr>
                <w:rFonts w:hint="eastAsia" w:ascii="宋体" w:hAnsi="宋体" w:eastAsia="宋体" w:cs="楷体"/>
                <w:bCs/>
                <w:color w:val="auto"/>
                <w:kern w:val="2"/>
                <w:sz w:val="24"/>
                <w:szCs w:val="24"/>
              </w:rPr>
              <w:t>1</w:t>
            </w:r>
          </w:p>
        </w:tc>
        <w:tc>
          <w:tcPr>
            <w:tcW w:w="2255" w:type="dxa"/>
            <w:tcBorders>
              <w:top w:val="single" w:color="auto" w:sz="4" w:space="0"/>
              <w:left w:val="single" w:color="auto" w:sz="4" w:space="0"/>
              <w:bottom w:val="single" w:color="auto" w:sz="4" w:space="0"/>
              <w:right w:val="single" w:color="auto" w:sz="4" w:space="0"/>
            </w:tcBorders>
            <w:vAlign w:val="center"/>
          </w:tcPr>
          <w:p w14:paraId="4276D7E8">
            <w:pPr>
              <w:spacing w:line="500" w:lineRule="exact"/>
              <w:ind w:firstLine="480"/>
              <w:jc w:val="center"/>
              <w:rPr>
                <w:rFonts w:ascii="宋体" w:hAnsi="宋体" w:eastAsia="宋体" w:cs="楷体"/>
                <w:bCs/>
                <w:kern w:val="2"/>
                <w:sz w:val="24"/>
                <w:szCs w:val="24"/>
              </w:rPr>
            </w:pPr>
          </w:p>
        </w:tc>
      </w:tr>
      <w:tr w14:paraId="668A79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56" w:type="dxa"/>
            <w:tcBorders>
              <w:top w:val="single" w:color="auto" w:sz="4" w:space="0"/>
              <w:left w:val="single" w:color="auto" w:sz="4" w:space="0"/>
              <w:bottom w:val="single" w:color="auto" w:sz="4" w:space="0"/>
              <w:right w:val="single" w:color="auto" w:sz="4" w:space="0"/>
            </w:tcBorders>
            <w:vAlign w:val="center"/>
          </w:tcPr>
          <w:p w14:paraId="64988E7B">
            <w:pPr>
              <w:spacing w:line="500" w:lineRule="exact"/>
              <w:jc w:val="center"/>
              <w:rPr>
                <w:rFonts w:ascii="宋体" w:hAnsi="宋体" w:eastAsia="宋体" w:cs="楷体"/>
                <w:bCs/>
                <w:kern w:val="2"/>
                <w:sz w:val="24"/>
                <w:szCs w:val="24"/>
                <w:lang w:eastAsia="zh-CN"/>
              </w:rPr>
            </w:pPr>
            <w:r>
              <w:rPr>
                <w:rFonts w:hint="eastAsia" w:ascii="宋体" w:hAnsi="宋体" w:eastAsia="宋体" w:cs="楷体"/>
                <w:bCs/>
                <w:kern w:val="2"/>
                <w:sz w:val="24"/>
                <w:szCs w:val="24"/>
                <w:lang w:eastAsia="zh-CN"/>
              </w:rPr>
              <w:t>5</w:t>
            </w:r>
          </w:p>
        </w:tc>
        <w:tc>
          <w:tcPr>
            <w:tcW w:w="3170" w:type="dxa"/>
            <w:tcBorders>
              <w:top w:val="single" w:color="auto" w:sz="4" w:space="0"/>
              <w:left w:val="single" w:color="auto" w:sz="4" w:space="0"/>
              <w:bottom w:val="single" w:color="auto" w:sz="4" w:space="0"/>
              <w:right w:val="single" w:color="auto" w:sz="4" w:space="0"/>
            </w:tcBorders>
            <w:vAlign w:val="center"/>
          </w:tcPr>
          <w:p w14:paraId="16E90BCA">
            <w:pPr>
              <w:spacing w:line="500" w:lineRule="exact"/>
              <w:jc w:val="center"/>
              <w:rPr>
                <w:rFonts w:ascii="宋体" w:hAnsi="宋体" w:eastAsia="宋体" w:cs="楷体"/>
                <w:bCs/>
                <w:color w:val="auto"/>
                <w:kern w:val="2"/>
                <w:sz w:val="24"/>
                <w:szCs w:val="24"/>
                <w:lang w:eastAsia="zh-CN"/>
              </w:rPr>
            </w:pPr>
            <w:r>
              <w:rPr>
                <w:rFonts w:hint="eastAsia" w:ascii="宋体" w:hAnsi="宋体" w:eastAsia="宋体" w:cs="楷体"/>
                <w:bCs/>
                <w:color w:val="auto"/>
                <w:kern w:val="2"/>
                <w:sz w:val="24"/>
                <w:szCs w:val="24"/>
                <w:lang w:eastAsia="zh-CN"/>
              </w:rPr>
              <w:t>3处接触式交调站点改造</w:t>
            </w:r>
          </w:p>
        </w:tc>
        <w:tc>
          <w:tcPr>
            <w:tcW w:w="1059" w:type="dxa"/>
            <w:tcBorders>
              <w:top w:val="single" w:color="auto" w:sz="4" w:space="0"/>
              <w:left w:val="single" w:color="auto" w:sz="4" w:space="0"/>
              <w:bottom w:val="single" w:color="auto" w:sz="4" w:space="0"/>
              <w:right w:val="single" w:color="auto" w:sz="4" w:space="0"/>
            </w:tcBorders>
            <w:vAlign w:val="center"/>
          </w:tcPr>
          <w:p w14:paraId="798E1709">
            <w:pPr>
              <w:spacing w:line="500" w:lineRule="exact"/>
              <w:jc w:val="center"/>
              <w:rPr>
                <w:rFonts w:ascii="宋体" w:hAnsi="宋体" w:eastAsia="宋体" w:cs="楷体"/>
                <w:bCs/>
                <w:color w:val="auto"/>
                <w:kern w:val="2"/>
                <w:sz w:val="24"/>
                <w:szCs w:val="24"/>
              </w:rPr>
            </w:pPr>
            <w:r>
              <w:rPr>
                <w:rFonts w:hint="eastAsia" w:ascii="宋体" w:hAnsi="宋体" w:eastAsia="宋体" w:cs="楷体"/>
                <w:bCs/>
                <w:color w:val="auto"/>
                <w:kern w:val="2"/>
                <w:sz w:val="24"/>
                <w:szCs w:val="24"/>
              </w:rPr>
              <w:t>项</w:t>
            </w:r>
          </w:p>
        </w:tc>
        <w:tc>
          <w:tcPr>
            <w:tcW w:w="816" w:type="dxa"/>
            <w:tcBorders>
              <w:top w:val="single" w:color="auto" w:sz="4" w:space="0"/>
              <w:left w:val="single" w:color="auto" w:sz="4" w:space="0"/>
              <w:bottom w:val="single" w:color="auto" w:sz="4" w:space="0"/>
              <w:right w:val="single" w:color="auto" w:sz="4" w:space="0"/>
            </w:tcBorders>
            <w:vAlign w:val="center"/>
          </w:tcPr>
          <w:p w14:paraId="7AF00F84">
            <w:pPr>
              <w:spacing w:line="500" w:lineRule="exact"/>
              <w:jc w:val="center"/>
              <w:rPr>
                <w:rFonts w:ascii="宋体" w:hAnsi="宋体" w:eastAsia="宋体" w:cs="楷体"/>
                <w:bCs/>
                <w:color w:val="auto"/>
                <w:kern w:val="2"/>
                <w:sz w:val="24"/>
                <w:szCs w:val="24"/>
              </w:rPr>
            </w:pPr>
            <w:r>
              <w:rPr>
                <w:rFonts w:hint="eastAsia" w:ascii="宋体" w:hAnsi="宋体" w:eastAsia="宋体" w:cs="楷体"/>
                <w:bCs/>
                <w:color w:val="auto"/>
                <w:kern w:val="2"/>
                <w:sz w:val="24"/>
                <w:szCs w:val="24"/>
              </w:rPr>
              <w:t>1</w:t>
            </w:r>
          </w:p>
        </w:tc>
        <w:tc>
          <w:tcPr>
            <w:tcW w:w="2255" w:type="dxa"/>
            <w:tcBorders>
              <w:top w:val="single" w:color="auto" w:sz="4" w:space="0"/>
              <w:left w:val="single" w:color="auto" w:sz="4" w:space="0"/>
              <w:bottom w:val="single" w:color="auto" w:sz="4" w:space="0"/>
              <w:right w:val="single" w:color="auto" w:sz="4" w:space="0"/>
            </w:tcBorders>
            <w:vAlign w:val="center"/>
          </w:tcPr>
          <w:p w14:paraId="11270E4A">
            <w:pPr>
              <w:spacing w:line="500" w:lineRule="exact"/>
              <w:ind w:firstLine="480"/>
              <w:jc w:val="center"/>
              <w:rPr>
                <w:rFonts w:ascii="宋体" w:hAnsi="宋体" w:eastAsia="宋体" w:cs="楷体"/>
                <w:bCs/>
                <w:kern w:val="2"/>
                <w:sz w:val="24"/>
                <w:szCs w:val="24"/>
              </w:rPr>
            </w:pPr>
          </w:p>
        </w:tc>
      </w:tr>
      <w:tr w14:paraId="18A576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56" w:type="dxa"/>
            <w:tcBorders>
              <w:top w:val="single" w:color="auto" w:sz="4" w:space="0"/>
              <w:left w:val="single" w:color="auto" w:sz="4" w:space="0"/>
              <w:bottom w:val="single" w:color="auto" w:sz="4" w:space="0"/>
              <w:right w:val="single" w:color="auto" w:sz="4" w:space="0"/>
            </w:tcBorders>
            <w:vAlign w:val="center"/>
          </w:tcPr>
          <w:p w14:paraId="6FC82108">
            <w:pPr>
              <w:spacing w:line="500" w:lineRule="exact"/>
              <w:jc w:val="center"/>
              <w:rPr>
                <w:rFonts w:ascii="宋体" w:hAnsi="宋体" w:eastAsia="宋体" w:cs="楷体"/>
                <w:bCs/>
                <w:kern w:val="2"/>
                <w:sz w:val="24"/>
                <w:szCs w:val="24"/>
                <w:lang w:eastAsia="zh-CN"/>
              </w:rPr>
            </w:pPr>
            <w:r>
              <w:rPr>
                <w:rFonts w:hint="eastAsia" w:ascii="宋体" w:hAnsi="宋体" w:eastAsia="宋体" w:cs="楷体"/>
                <w:bCs/>
                <w:kern w:val="2"/>
                <w:sz w:val="24"/>
                <w:szCs w:val="24"/>
                <w:lang w:eastAsia="zh-CN"/>
              </w:rPr>
              <w:t>6</w:t>
            </w:r>
          </w:p>
        </w:tc>
        <w:tc>
          <w:tcPr>
            <w:tcW w:w="3170" w:type="dxa"/>
            <w:tcBorders>
              <w:top w:val="single" w:color="auto" w:sz="4" w:space="0"/>
              <w:left w:val="single" w:color="auto" w:sz="4" w:space="0"/>
              <w:bottom w:val="single" w:color="auto" w:sz="4" w:space="0"/>
              <w:right w:val="single" w:color="auto" w:sz="4" w:space="0"/>
            </w:tcBorders>
            <w:vAlign w:val="center"/>
          </w:tcPr>
          <w:p w14:paraId="39D47079">
            <w:pPr>
              <w:spacing w:line="500" w:lineRule="exact"/>
              <w:jc w:val="center"/>
              <w:rPr>
                <w:rFonts w:ascii="宋体" w:hAnsi="宋体" w:eastAsia="宋体" w:cs="楷体"/>
                <w:bCs/>
                <w:color w:val="auto"/>
                <w:kern w:val="2"/>
                <w:sz w:val="24"/>
                <w:szCs w:val="24"/>
                <w:lang w:eastAsia="zh-CN"/>
              </w:rPr>
            </w:pPr>
            <w:r>
              <w:rPr>
                <w:rFonts w:hint="eastAsia" w:ascii="宋体" w:hAnsi="宋体" w:eastAsia="宋体" w:cs="楷体"/>
                <w:bCs/>
                <w:color w:val="auto"/>
                <w:kern w:val="2"/>
                <w:sz w:val="24"/>
                <w:szCs w:val="24"/>
                <w:lang w:eastAsia="zh-CN"/>
              </w:rPr>
              <w:t>50人·天相应专题技术培训</w:t>
            </w:r>
          </w:p>
        </w:tc>
        <w:tc>
          <w:tcPr>
            <w:tcW w:w="1059" w:type="dxa"/>
            <w:tcBorders>
              <w:top w:val="single" w:color="auto" w:sz="4" w:space="0"/>
              <w:left w:val="single" w:color="auto" w:sz="4" w:space="0"/>
              <w:bottom w:val="single" w:color="auto" w:sz="4" w:space="0"/>
              <w:right w:val="single" w:color="auto" w:sz="4" w:space="0"/>
            </w:tcBorders>
            <w:vAlign w:val="center"/>
          </w:tcPr>
          <w:p w14:paraId="79442B96">
            <w:pPr>
              <w:spacing w:line="500" w:lineRule="exact"/>
              <w:jc w:val="center"/>
              <w:rPr>
                <w:rFonts w:ascii="宋体" w:hAnsi="宋体" w:eastAsia="宋体" w:cs="楷体"/>
                <w:bCs/>
                <w:color w:val="auto"/>
                <w:kern w:val="2"/>
                <w:sz w:val="24"/>
                <w:szCs w:val="24"/>
              </w:rPr>
            </w:pPr>
            <w:r>
              <w:rPr>
                <w:rFonts w:hint="eastAsia" w:ascii="宋体" w:hAnsi="宋体" w:eastAsia="宋体" w:cs="楷体"/>
                <w:bCs/>
                <w:color w:val="auto"/>
                <w:kern w:val="2"/>
                <w:sz w:val="24"/>
                <w:szCs w:val="24"/>
              </w:rPr>
              <w:t>项</w:t>
            </w:r>
          </w:p>
        </w:tc>
        <w:tc>
          <w:tcPr>
            <w:tcW w:w="816" w:type="dxa"/>
            <w:tcBorders>
              <w:top w:val="single" w:color="auto" w:sz="4" w:space="0"/>
              <w:left w:val="single" w:color="auto" w:sz="4" w:space="0"/>
              <w:bottom w:val="single" w:color="auto" w:sz="4" w:space="0"/>
              <w:right w:val="single" w:color="auto" w:sz="4" w:space="0"/>
            </w:tcBorders>
            <w:vAlign w:val="center"/>
          </w:tcPr>
          <w:p w14:paraId="07C29912">
            <w:pPr>
              <w:spacing w:line="500" w:lineRule="exact"/>
              <w:jc w:val="center"/>
              <w:rPr>
                <w:rFonts w:ascii="宋体" w:hAnsi="宋体" w:eastAsia="宋体" w:cs="楷体"/>
                <w:bCs/>
                <w:color w:val="auto"/>
                <w:kern w:val="2"/>
                <w:sz w:val="24"/>
                <w:szCs w:val="24"/>
              </w:rPr>
            </w:pPr>
            <w:r>
              <w:rPr>
                <w:rFonts w:hint="eastAsia" w:ascii="宋体" w:hAnsi="宋体" w:eastAsia="宋体" w:cs="楷体"/>
                <w:bCs/>
                <w:color w:val="auto"/>
                <w:kern w:val="2"/>
                <w:sz w:val="24"/>
                <w:szCs w:val="24"/>
              </w:rPr>
              <w:t>1</w:t>
            </w:r>
          </w:p>
        </w:tc>
        <w:tc>
          <w:tcPr>
            <w:tcW w:w="2255" w:type="dxa"/>
            <w:tcBorders>
              <w:top w:val="single" w:color="auto" w:sz="4" w:space="0"/>
              <w:left w:val="single" w:color="auto" w:sz="4" w:space="0"/>
              <w:bottom w:val="single" w:color="auto" w:sz="4" w:space="0"/>
              <w:right w:val="single" w:color="auto" w:sz="4" w:space="0"/>
            </w:tcBorders>
            <w:vAlign w:val="center"/>
          </w:tcPr>
          <w:p w14:paraId="748724F9">
            <w:pPr>
              <w:spacing w:line="500" w:lineRule="exact"/>
              <w:ind w:firstLine="480"/>
              <w:jc w:val="center"/>
              <w:rPr>
                <w:rFonts w:ascii="宋体" w:hAnsi="宋体" w:eastAsia="宋体" w:cs="楷体"/>
                <w:bCs/>
                <w:kern w:val="2"/>
                <w:sz w:val="24"/>
                <w:szCs w:val="24"/>
                <w:lang w:eastAsia="zh-CN"/>
              </w:rPr>
            </w:pPr>
          </w:p>
        </w:tc>
      </w:tr>
      <w:tr w14:paraId="19A15A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56" w:type="dxa"/>
            <w:gridSpan w:val="5"/>
            <w:tcBorders>
              <w:top w:val="single" w:color="auto" w:sz="4" w:space="0"/>
              <w:left w:val="single" w:color="auto" w:sz="4" w:space="0"/>
              <w:bottom w:val="single" w:color="auto" w:sz="4" w:space="0"/>
              <w:right w:val="single" w:color="auto" w:sz="4" w:space="0"/>
            </w:tcBorders>
            <w:vAlign w:val="center"/>
          </w:tcPr>
          <w:p w14:paraId="5BAD85FB">
            <w:pPr>
              <w:spacing w:line="500" w:lineRule="exact"/>
              <w:rPr>
                <w:rFonts w:ascii="宋体" w:hAnsi="宋体" w:eastAsia="宋体" w:cs="楷体"/>
                <w:bCs/>
                <w:color w:val="auto"/>
                <w:kern w:val="2"/>
                <w:sz w:val="24"/>
                <w:szCs w:val="24"/>
                <w:lang w:eastAsia="zh-CN"/>
              </w:rPr>
            </w:pPr>
            <w:r>
              <w:rPr>
                <w:rFonts w:hint="eastAsia" w:ascii="宋体" w:hAnsi="宋体" w:eastAsia="宋体" w:cs="楷体"/>
                <w:bCs/>
                <w:color w:val="auto"/>
                <w:kern w:val="2"/>
                <w:sz w:val="24"/>
                <w:szCs w:val="24"/>
                <w:lang w:eastAsia="zh-CN"/>
              </w:rPr>
              <w:t>二、</w:t>
            </w:r>
            <w:r>
              <w:rPr>
                <w:rFonts w:hint="eastAsia" w:ascii="宋体" w:hAnsi="宋体" w:eastAsia="宋体" w:cs="楷体"/>
                <w:color w:val="auto"/>
                <w:kern w:val="2"/>
                <w:sz w:val="24"/>
                <w:szCs w:val="24"/>
                <w:lang w:eastAsia="zh-CN"/>
              </w:rPr>
              <w:t>普通干线路网运行监测与应急处置平台（二期）</w:t>
            </w:r>
            <w:r>
              <w:rPr>
                <w:rFonts w:hint="eastAsia" w:ascii="宋体" w:hAnsi="宋体" w:eastAsia="宋体" w:cs="楷体"/>
                <w:color w:val="auto"/>
                <w:sz w:val="24"/>
                <w:szCs w:val="24"/>
                <w:lang w:eastAsia="zh-CN"/>
              </w:rPr>
              <w:t>外场</w:t>
            </w:r>
            <w:r>
              <w:rPr>
                <w:rFonts w:ascii="宋体" w:hAnsi="宋体" w:eastAsia="宋体" w:cs="楷体"/>
                <w:color w:val="auto"/>
                <w:sz w:val="24"/>
                <w:szCs w:val="24"/>
                <w:lang w:eastAsia="zh-CN"/>
              </w:rPr>
              <w:t>硬件</w:t>
            </w:r>
            <w:r>
              <w:rPr>
                <w:rFonts w:hint="eastAsia" w:ascii="宋体" w:hAnsi="宋体" w:eastAsia="宋体" w:cs="楷体"/>
                <w:color w:val="auto"/>
                <w:kern w:val="2"/>
                <w:sz w:val="24"/>
                <w:szCs w:val="24"/>
                <w:lang w:eastAsia="zh-CN"/>
              </w:rPr>
              <w:t>运维服务</w:t>
            </w:r>
          </w:p>
        </w:tc>
      </w:tr>
      <w:tr w14:paraId="7A9D2C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56" w:type="dxa"/>
            <w:tcBorders>
              <w:top w:val="single" w:color="auto" w:sz="4" w:space="0"/>
              <w:left w:val="single" w:color="auto" w:sz="4" w:space="0"/>
              <w:bottom w:val="single" w:color="auto" w:sz="4" w:space="0"/>
              <w:right w:val="single" w:color="auto" w:sz="4" w:space="0"/>
            </w:tcBorders>
            <w:vAlign w:val="center"/>
          </w:tcPr>
          <w:p w14:paraId="1E3E2C29">
            <w:pPr>
              <w:spacing w:line="500" w:lineRule="exact"/>
              <w:jc w:val="center"/>
              <w:rPr>
                <w:rFonts w:ascii="宋体" w:hAnsi="宋体" w:eastAsia="宋体" w:cs="楷体"/>
                <w:bCs/>
                <w:kern w:val="2"/>
                <w:sz w:val="24"/>
                <w:szCs w:val="24"/>
                <w:lang w:eastAsia="zh-CN"/>
              </w:rPr>
            </w:pPr>
            <w:r>
              <w:rPr>
                <w:rFonts w:hint="eastAsia" w:ascii="宋体" w:hAnsi="宋体" w:eastAsia="宋体" w:cs="楷体"/>
                <w:bCs/>
                <w:kern w:val="2"/>
                <w:sz w:val="24"/>
                <w:szCs w:val="24"/>
                <w:lang w:eastAsia="zh-CN"/>
              </w:rPr>
              <w:t>1</w:t>
            </w:r>
          </w:p>
        </w:tc>
        <w:tc>
          <w:tcPr>
            <w:tcW w:w="3170" w:type="dxa"/>
            <w:tcBorders>
              <w:top w:val="single" w:color="auto" w:sz="4" w:space="0"/>
              <w:left w:val="single" w:color="auto" w:sz="4" w:space="0"/>
              <w:bottom w:val="single" w:color="auto" w:sz="4" w:space="0"/>
              <w:right w:val="single" w:color="auto" w:sz="4" w:space="0"/>
            </w:tcBorders>
            <w:vAlign w:val="center"/>
          </w:tcPr>
          <w:p w14:paraId="069ECDDF">
            <w:pPr>
              <w:spacing w:line="500" w:lineRule="exact"/>
              <w:jc w:val="center"/>
              <w:rPr>
                <w:rFonts w:ascii="宋体" w:hAnsi="宋体" w:eastAsia="宋体" w:cs="楷体"/>
                <w:bCs/>
                <w:color w:val="auto"/>
                <w:kern w:val="2"/>
                <w:sz w:val="24"/>
                <w:szCs w:val="24"/>
              </w:rPr>
            </w:pPr>
            <w:r>
              <w:rPr>
                <w:rFonts w:hint="eastAsia" w:ascii="宋体" w:hAnsi="宋体" w:eastAsia="宋体" w:cs="楷体"/>
                <w:bCs/>
                <w:color w:val="auto"/>
                <w:kern w:val="2"/>
                <w:sz w:val="24"/>
                <w:szCs w:val="24"/>
              </w:rPr>
              <w:t>501处外场设施运维服务</w:t>
            </w:r>
          </w:p>
        </w:tc>
        <w:tc>
          <w:tcPr>
            <w:tcW w:w="1059" w:type="dxa"/>
            <w:tcBorders>
              <w:top w:val="single" w:color="auto" w:sz="4" w:space="0"/>
              <w:left w:val="single" w:color="auto" w:sz="4" w:space="0"/>
              <w:bottom w:val="single" w:color="auto" w:sz="4" w:space="0"/>
              <w:right w:val="single" w:color="auto" w:sz="4" w:space="0"/>
            </w:tcBorders>
            <w:vAlign w:val="center"/>
          </w:tcPr>
          <w:p w14:paraId="4ABE0007">
            <w:pPr>
              <w:spacing w:line="500" w:lineRule="exact"/>
              <w:jc w:val="center"/>
              <w:rPr>
                <w:rFonts w:ascii="宋体" w:hAnsi="宋体" w:eastAsia="宋体" w:cs="楷体"/>
                <w:bCs/>
                <w:kern w:val="2"/>
                <w:sz w:val="24"/>
                <w:szCs w:val="24"/>
              </w:rPr>
            </w:pPr>
            <w:r>
              <w:rPr>
                <w:rFonts w:hint="eastAsia" w:ascii="宋体" w:hAnsi="宋体" w:eastAsia="宋体" w:cs="楷体"/>
                <w:bCs/>
                <w:kern w:val="2"/>
                <w:sz w:val="24"/>
                <w:szCs w:val="24"/>
              </w:rPr>
              <w:t>项</w:t>
            </w:r>
          </w:p>
        </w:tc>
        <w:tc>
          <w:tcPr>
            <w:tcW w:w="816" w:type="dxa"/>
            <w:tcBorders>
              <w:top w:val="single" w:color="auto" w:sz="4" w:space="0"/>
              <w:left w:val="single" w:color="auto" w:sz="4" w:space="0"/>
              <w:bottom w:val="single" w:color="auto" w:sz="4" w:space="0"/>
              <w:right w:val="single" w:color="auto" w:sz="4" w:space="0"/>
            </w:tcBorders>
            <w:vAlign w:val="center"/>
          </w:tcPr>
          <w:p w14:paraId="5A8DAF6F">
            <w:pPr>
              <w:spacing w:line="500" w:lineRule="exact"/>
              <w:jc w:val="center"/>
              <w:rPr>
                <w:rFonts w:ascii="宋体" w:hAnsi="宋体" w:eastAsia="宋体" w:cs="楷体"/>
                <w:bCs/>
                <w:kern w:val="2"/>
                <w:sz w:val="24"/>
                <w:szCs w:val="24"/>
              </w:rPr>
            </w:pPr>
            <w:r>
              <w:rPr>
                <w:rFonts w:hint="eastAsia" w:ascii="宋体" w:hAnsi="宋体" w:eastAsia="宋体" w:cs="楷体"/>
                <w:bCs/>
                <w:kern w:val="2"/>
                <w:sz w:val="24"/>
                <w:szCs w:val="24"/>
              </w:rPr>
              <w:t>1</w:t>
            </w:r>
          </w:p>
        </w:tc>
        <w:tc>
          <w:tcPr>
            <w:tcW w:w="2255" w:type="dxa"/>
            <w:tcBorders>
              <w:top w:val="single" w:color="auto" w:sz="4" w:space="0"/>
              <w:left w:val="single" w:color="auto" w:sz="4" w:space="0"/>
              <w:bottom w:val="single" w:color="auto" w:sz="4" w:space="0"/>
              <w:right w:val="single" w:color="auto" w:sz="4" w:space="0"/>
            </w:tcBorders>
            <w:vAlign w:val="center"/>
          </w:tcPr>
          <w:p w14:paraId="1737780D">
            <w:pPr>
              <w:spacing w:line="500" w:lineRule="exact"/>
              <w:ind w:firstLine="480"/>
              <w:jc w:val="center"/>
              <w:rPr>
                <w:rFonts w:ascii="宋体" w:hAnsi="宋体" w:eastAsia="宋体" w:cs="楷体"/>
                <w:bCs/>
                <w:kern w:val="2"/>
                <w:sz w:val="24"/>
                <w:szCs w:val="24"/>
              </w:rPr>
            </w:pPr>
          </w:p>
        </w:tc>
      </w:tr>
      <w:tr w14:paraId="799B8F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56" w:type="dxa"/>
            <w:tcBorders>
              <w:top w:val="single" w:color="auto" w:sz="4" w:space="0"/>
              <w:left w:val="single" w:color="auto" w:sz="4" w:space="0"/>
              <w:bottom w:val="single" w:color="auto" w:sz="4" w:space="0"/>
              <w:right w:val="single" w:color="auto" w:sz="4" w:space="0"/>
            </w:tcBorders>
            <w:vAlign w:val="center"/>
          </w:tcPr>
          <w:p w14:paraId="6B60339F">
            <w:pPr>
              <w:spacing w:line="500" w:lineRule="exact"/>
              <w:jc w:val="center"/>
              <w:rPr>
                <w:rFonts w:ascii="宋体" w:hAnsi="宋体" w:eastAsia="宋体" w:cs="楷体"/>
                <w:bCs/>
                <w:kern w:val="2"/>
                <w:sz w:val="24"/>
                <w:szCs w:val="24"/>
                <w:lang w:eastAsia="zh-CN"/>
              </w:rPr>
            </w:pPr>
            <w:r>
              <w:rPr>
                <w:rFonts w:hint="eastAsia" w:ascii="宋体" w:hAnsi="宋体" w:eastAsia="宋体" w:cs="楷体"/>
                <w:bCs/>
                <w:kern w:val="2"/>
                <w:sz w:val="24"/>
                <w:szCs w:val="24"/>
                <w:lang w:eastAsia="zh-CN"/>
              </w:rPr>
              <w:t>2</w:t>
            </w:r>
          </w:p>
        </w:tc>
        <w:tc>
          <w:tcPr>
            <w:tcW w:w="3170" w:type="dxa"/>
            <w:tcBorders>
              <w:top w:val="single" w:color="auto" w:sz="4" w:space="0"/>
              <w:left w:val="single" w:color="auto" w:sz="4" w:space="0"/>
              <w:bottom w:val="single" w:color="auto" w:sz="4" w:space="0"/>
              <w:right w:val="single" w:color="auto" w:sz="4" w:space="0"/>
            </w:tcBorders>
            <w:vAlign w:val="center"/>
          </w:tcPr>
          <w:p w14:paraId="1E1D8717">
            <w:pPr>
              <w:spacing w:line="500" w:lineRule="exact"/>
              <w:jc w:val="center"/>
              <w:rPr>
                <w:rFonts w:ascii="宋体" w:hAnsi="宋体" w:eastAsia="宋体" w:cs="楷体"/>
                <w:bCs/>
                <w:color w:val="auto"/>
                <w:kern w:val="2"/>
                <w:sz w:val="24"/>
                <w:szCs w:val="24"/>
                <w:lang w:eastAsia="zh-CN"/>
              </w:rPr>
            </w:pPr>
            <w:r>
              <w:rPr>
                <w:rFonts w:hint="eastAsia" w:ascii="宋体" w:hAnsi="宋体" w:eastAsia="宋体" w:cs="楷体"/>
                <w:bCs/>
                <w:color w:val="auto"/>
                <w:kern w:val="2"/>
                <w:sz w:val="24"/>
                <w:szCs w:val="24"/>
                <w:lang w:eastAsia="zh-CN"/>
              </w:rPr>
              <w:t>497处外场设施正常运行的供电及保障</w:t>
            </w:r>
          </w:p>
        </w:tc>
        <w:tc>
          <w:tcPr>
            <w:tcW w:w="1059" w:type="dxa"/>
            <w:tcBorders>
              <w:top w:val="single" w:color="auto" w:sz="4" w:space="0"/>
              <w:left w:val="single" w:color="auto" w:sz="4" w:space="0"/>
              <w:bottom w:val="single" w:color="auto" w:sz="4" w:space="0"/>
              <w:right w:val="single" w:color="auto" w:sz="4" w:space="0"/>
            </w:tcBorders>
            <w:vAlign w:val="center"/>
          </w:tcPr>
          <w:p w14:paraId="3E9D7692">
            <w:pPr>
              <w:spacing w:line="500" w:lineRule="exact"/>
              <w:jc w:val="center"/>
              <w:rPr>
                <w:rFonts w:ascii="宋体" w:hAnsi="宋体" w:eastAsia="宋体" w:cs="楷体"/>
                <w:bCs/>
                <w:kern w:val="2"/>
                <w:sz w:val="24"/>
                <w:szCs w:val="24"/>
              </w:rPr>
            </w:pPr>
            <w:r>
              <w:rPr>
                <w:rFonts w:hint="eastAsia" w:ascii="宋体" w:hAnsi="宋体" w:eastAsia="宋体" w:cs="楷体"/>
                <w:bCs/>
                <w:kern w:val="2"/>
                <w:sz w:val="24"/>
                <w:szCs w:val="24"/>
              </w:rPr>
              <w:t>项</w:t>
            </w:r>
          </w:p>
        </w:tc>
        <w:tc>
          <w:tcPr>
            <w:tcW w:w="816" w:type="dxa"/>
            <w:tcBorders>
              <w:top w:val="single" w:color="auto" w:sz="4" w:space="0"/>
              <w:left w:val="single" w:color="auto" w:sz="4" w:space="0"/>
              <w:bottom w:val="single" w:color="auto" w:sz="4" w:space="0"/>
              <w:right w:val="single" w:color="auto" w:sz="4" w:space="0"/>
            </w:tcBorders>
            <w:vAlign w:val="center"/>
          </w:tcPr>
          <w:p w14:paraId="015AD2A1">
            <w:pPr>
              <w:spacing w:line="500" w:lineRule="exact"/>
              <w:jc w:val="center"/>
              <w:rPr>
                <w:rFonts w:ascii="宋体" w:hAnsi="宋体" w:eastAsia="宋体" w:cs="楷体"/>
                <w:bCs/>
                <w:kern w:val="2"/>
                <w:sz w:val="24"/>
                <w:szCs w:val="24"/>
              </w:rPr>
            </w:pPr>
            <w:r>
              <w:rPr>
                <w:rFonts w:hint="eastAsia" w:ascii="宋体" w:hAnsi="宋体" w:eastAsia="宋体" w:cs="楷体"/>
                <w:bCs/>
                <w:kern w:val="2"/>
                <w:sz w:val="24"/>
                <w:szCs w:val="24"/>
              </w:rPr>
              <w:t>1</w:t>
            </w:r>
          </w:p>
        </w:tc>
        <w:tc>
          <w:tcPr>
            <w:tcW w:w="2255" w:type="dxa"/>
            <w:tcBorders>
              <w:top w:val="single" w:color="auto" w:sz="4" w:space="0"/>
              <w:left w:val="single" w:color="auto" w:sz="4" w:space="0"/>
              <w:bottom w:val="single" w:color="auto" w:sz="4" w:space="0"/>
              <w:right w:val="single" w:color="auto" w:sz="4" w:space="0"/>
            </w:tcBorders>
            <w:vAlign w:val="center"/>
          </w:tcPr>
          <w:p w14:paraId="2CD18730">
            <w:pPr>
              <w:spacing w:line="500" w:lineRule="exact"/>
              <w:ind w:firstLine="480"/>
              <w:jc w:val="center"/>
              <w:rPr>
                <w:rFonts w:ascii="宋体" w:hAnsi="宋体" w:eastAsia="宋体" w:cs="楷体"/>
                <w:bCs/>
                <w:kern w:val="2"/>
                <w:sz w:val="24"/>
                <w:szCs w:val="24"/>
              </w:rPr>
            </w:pPr>
          </w:p>
        </w:tc>
      </w:tr>
      <w:tr w14:paraId="1DC99F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56" w:type="dxa"/>
            <w:tcBorders>
              <w:top w:val="single" w:color="auto" w:sz="4" w:space="0"/>
              <w:left w:val="single" w:color="auto" w:sz="4" w:space="0"/>
              <w:bottom w:val="single" w:color="auto" w:sz="4" w:space="0"/>
              <w:right w:val="single" w:color="auto" w:sz="4" w:space="0"/>
            </w:tcBorders>
            <w:vAlign w:val="center"/>
          </w:tcPr>
          <w:p w14:paraId="5E8B4445">
            <w:pPr>
              <w:spacing w:line="500" w:lineRule="exact"/>
              <w:jc w:val="center"/>
              <w:rPr>
                <w:rFonts w:ascii="宋体" w:hAnsi="宋体" w:eastAsia="宋体" w:cs="楷体"/>
                <w:bCs/>
                <w:kern w:val="2"/>
                <w:sz w:val="24"/>
                <w:szCs w:val="24"/>
                <w:lang w:eastAsia="zh-CN"/>
              </w:rPr>
            </w:pPr>
            <w:r>
              <w:rPr>
                <w:rFonts w:hint="eastAsia" w:ascii="宋体" w:hAnsi="宋体" w:eastAsia="宋体" w:cs="楷体"/>
                <w:bCs/>
                <w:kern w:val="2"/>
                <w:sz w:val="24"/>
                <w:szCs w:val="24"/>
                <w:lang w:eastAsia="zh-CN"/>
              </w:rPr>
              <w:t>3</w:t>
            </w:r>
          </w:p>
        </w:tc>
        <w:tc>
          <w:tcPr>
            <w:tcW w:w="3170" w:type="dxa"/>
            <w:tcBorders>
              <w:top w:val="single" w:color="auto" w:sz="4" w:space="0"/>
              <w:left w:val="single" w:color="auto" w:sz="4" w:space="0"/>
              <w:bottom w:val="single" w:color="auto" w:sz="4" w:space="0"/>
              <w:right w:val="single" w:color="auto" w:sz="4" w:space="0"/>
            </w:tcBorders>
            <w:vAlign w:val="center"/>
          </w:tcPr>
          <w:p w14:paraId="6BB94450">
            <w:pPr>
              <w:spacing w:line="500" w:lineRule="exact"/>
              <w:jc w:val="center"/>
              <w:rPr>
                <w:rFonts w:ascii="宋体" w:hAnsi="宋体" w:eastAsia="宋体" w:cs="楷体"/>
                <w:bCs/>
                <w:color w:val="auto"/>
                <w:kern w:val="2"/>
                <w:sz w:val="24"/>
                <w:szCs w:val="24"/>
                <w:lang w:eastAsia="zh-CN"/>
              </w:rPr>
            </w:pPr>
            <w:r>
              <w:rPr>
                <w:rFonts w:hint="eastAsia" w:ascii="宋体" w:hAnsi="宋体" w:eastAsia="宋体" w:cs="楷体"/>
                <w:bCs/>
                <w:color w:val="auto"/>
                <w:kern w:val="2"/>
                <w:sz w:val="24"/>
                <w:szCs w:val="24"/>
                <w:lang w:eastAsia="zh-CN"/>
              </w:rPr>
              <w:t>482条外场设施10M通信链路的租赁及保障</w:t>
            </w:r>
          </w:p>
        </w:tc>
        <w:tc>
          <w:tcPr>
            <w:tcW w:w="1059" w:type="dxa"/>
            <w:tcBorders>
              <w:top w:val="single" w:color="auto" w:sz="4" w:space="0"/>
              <w:left w:val="single" w:color="auto" w:sz="4" w:space="0"/>
              <w:bottom w:val="single" w:color="auto" w:sz="4" w:space="0"/>
              <w:right w:val="single" w:color="auto" w:sz="4" w:space="0"/>
            </w:tcBorders>
            <w:vAlign w:val="center"/>
          </w:tcPr>
          <w:p w14:paraId="71245902">
            <w:pPr>
              <w:spacing w:line="500" w:lineRule="exact"/>
              <w:jc w:val="center"/>
              <w:rPr>
                <w:rFonts w:ascii="宋体" w:hAnsi="宋体" w:eastAsia="宋体" w:cs="楷体"/>
                <w:bCs/>
                <w:kern w:val="2"/>
                <w:sz w:val="24"/>
                <w:szCs w:val="24"/>
              </w:rPr>
            </w:pPr>
            <w:r>
              <w:rPr>
                <w:rFonts w:hint="eastAsia" w:ascii="宋体" w:hAnsi="宋体" w:eastAsia="宋体" w:cs="楷体"/>
                <w:bCs/>
                <w:kern w:val="2"/>
                <w:sz w:val="24"/>
                <w:szCs w:val="24"/>
              </w:rPr>
              <w:t>项</w:t>
            </w:r>
          </w:p>
        </w:tc>
        <w:tc>
          <w:tcPr>
            <w:tcW w:w="816" w:type="dxa"/>
            <w:tcBorders>
              <w:top w:val="single" w:color="auto" w:sz="4" w:space="0"/>
              <w:left w:val="single" w:color="auto" w:sz="4" w:space="0"/>
              <w:bottom w:val="single" w:color="auto" w:sz="4" w:space="0"/>
              <w:right w:val="single" w:color="auto" w:sz="4" w:space="0"/>
            </w:tcBorders>
            <w:vAlign w:val="center"/>
          </w:tcPr>
          <w:p w14:paraId="7893F6D3">
            <w:pPr>
              <w:spacing w:line="500" w:lineRule="exact"/>
              <w:jc w:val="center"/>
              <w:rPr>
                <w:rFonts w:ascii="宋体" w:hAnsi="宋体" w:eastAsia="宋体" w:cs="楷体"/>
                <w:bCs/>
                <w:kern w:val="2"/>
                <w:sz w:val="24"/>
                <w:szCs w:val="24"/>
              </w:rPr>
            </w:pPr>
            <w:r>
              <w:rPr>
                <w:rFonts w:hint="eastAsia" w:ascii="宋体" w:hAnsi="宋体" w:eastAsia="宋体" w:cs="楷体"/>
                <w:bCs/>
                <w:kern w:val="2"/>
                <w:sz w:val="24"/>
                <w:szCs w:val="24"/>
              </w:rPr>
              <w:t>1</w:t>
            </w:r>
          </w:p>
        </w:tc>
        <w:tc>
          <w:tcPr>
            <w:tcW w:w="2255" w:type="dxa"/>
            <w:tcBorders>
              <w:top w:val="single" w:color="auto" w:sz="4" w:space="0"/>
              <w:left w:val="single" w:color="auto" w:sz="4" w:space="0"/>
              <w:bottom w:val="single" w:color="auto" w:sz="4" w:space="0"/>
              <w:right w:val="single" w:color="auto" w:sz="4" w:space="0"/>
            </w:tcBorders>
            <w:vAlign w:val="center"/>
          </w:tcPr>
          <w:p w14:paraId="4BFE5C9A">
            <w:pPr>
              <w:spacing w:line="500" w:lineRule="exact"/>
              <w:ind w:firstLine="480"/>
              <w:jc w:val="center"/>
              <w:rPr>
                <w:rFonts w:ascii="宋体" w:hAnsi="宋体" w:eastAsia="宋体" w:cs="楷体"/>
                <w:bCs/>
                <w:kern w:val="2"/>
                <w:sz w:val="24"/>
                <w:szCs w:val="24"/>
              </w:rPr>
            </w:pPr>
          </w:p>
        </w:tc>
      </w:tr>
      <w:tr w14:paraId="2F309D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56" w:type="dxa"/>
            <w:tcBorders>
              <w:top w:val="single" w:color="auto" w:sz="4" w:space="0"/>
              <w:left w:val="single" w:color="auto" w:sz="4" w:space="0"/>
              <w:bottom w:val="single" w:color="auto" w:sz="4" w:space="0"/>
              <w:right w:val="single" w:color="auto" w:sz="4" w:space="0"/>
            </w:tcBorders>
            <w:vAlign w:val="center"/>
          </w:tcPr>
          <w:p w14:paraId="6D6F56A0">
            <w:pPr>
              <w:spacing w:line="500" w:lineRule="exact"/>
              <w:jc w:val="center"/>
              <w:rPr>
                <w:rFonts w:ascii="宋体" w:hAnsi="宋体" w:eastAsia="宋体" w:cs="楷体"/>
                <w:bCs/>
                <w:kern w:val="2"/>
                <w:sz w:val="24"/>
                <w:szCs w:val="24"/>
                <w:lang w:eastAsia="zh-CN"/>
              </w:rPr>
            </w:pPr>
            <w:r>
              <w:rPr>
                <w:rFonts w:hint="eastAsia" w:ascii="宋体" w:hAnsi="宋体" w:eastAsia="宋体" w:cs="楷体"/>
                <w:bCs/>
                <w:kern w:val="2"/>
                <w:sz w:val="24"/>
                <w:szCs w:val="24"/>
                <w:lang w:eastAsia="zh-CN"/>
              </w:rPr>
              <w:t>4</w:t>
            </w:r>
          </w:p>
        </w:tc>
        <w:tc>
          <w:tcPr>
            <w:tcW w:w="3170" w:type="dxa"/>
            <w:tcBorders>
              <w:top w:val="single" w:color="auto" w:sz="4" w:space="0"/>
              <w:left w:val="single" w:color="auto" w:sz="4" w:space="0"/>
              <w:bottom w:val="single" w:color="auto" w:sz="4" w:space="0"/>
              <w:right w:val="single" w:color="auto" w:sz="4" w:space="0"/>
            </w:tcBorders>
            <w:vAlign w:val="center"/>
          </w:tcPr>
          <w:p w14:paraId="2AD62B6C">
            <w:pPr>
              <w:spacing w:line="500" w:lineRule="exact"/>
              <w:jc w:val="center"/>
              <w:rPr>
                <w:rFonts w:ascii="宋体" w:hAnsi="宋体" w:eastAsia="宋体" w:cs="楷体"/>
                <w:bCs/>
                <w:color w:val="auto"/>
                <w:kern w:val="2"/>
                <w:sz w:val="24"/>
                <w:szCs w:val="24"/>
                <w:lang w:eastAsia="zh-CN"/>
              </w:rPr>
            </w:pPr>
            <w:r>
              <w:rPr>
                <w:rFonts w:hint="eastAsia" w:ascii="宋体" w:hAnsi="宋体" w:eastAsia="宋体" w:cs="楷体"/>
                <w:bCs/>
                <w:color w:val="auto"/>
                <w:kern w:val="2"/>
                <w:sz w:val="24"/>
                <w:szCs w:val="24"/>
                <w:lang w:eastAsia="zh-CN"/>
              </w:rPr>
              <w:t>120处交调监测站点</w:t>
            </w:r>
          </w:p>
          <w:p w14:paraId="72C244E0">
            <w:pPr>
              <w:spacing w:line="500" w:lineRule="exact"/>
              <w:jc w:val="center"/>
              <w:rPr>
                <w:rFonts w:ascii="宋体" w:hAnsi="宋体" w:eastAsia="宋体" w:cs="楷体"/>
                <w:bCs/>
                <w:color w:val="auto"/>
                <w:kern w:val="2"/>
                <w:sz w:val="24"/>
                <w:szCs w:val="24"/>
                <w:lang w:eastAsia="zh-CN"/>
              </w:rPr>
            </w:pPr>
            <w:r>
              <w:rPr>
                <w:rFonts w:hint="eastAsia" w:ascii="宋体" w:hAnsi="宋体" w:eastAsia="宋体" w:cs="楷体"/>
                <w:bCs/>
                <w:color w:val="auto"/>
                <w:kern w:val="2"/>
                <w:sz w:val="24"/>
                <w:szCs w:val="24"/>
                <w:lang w:eastAsia="zh-CN"/>
              </w:rPr>
              <w:t>精度测试</w:t>
            </w:r>
          </w:p>
        </w:tc>
        <w:tc>
          <w:tcPr>
            <w:tcW w:w="1059" w:type="dxa"/>
            <w:tcBorders>
              <w:top w:val="single" w:color="auto" w:sz="4" w:space="0"/>
              <w:left w:val="single" w:color="auto" w:sz="4" w:space="0"/>
              <w:bottom w:val="single" w:color="auto" w:sz="4" w:space="0"/>
              <w:right w:val="single" w:color="auto" w:sz="4" w:space="0"/>
            </w:tcBorders>
            <w:vAlign w:val="center"/>
          </w:tcPr>
          <w:p w14:paraId="2D56D3DE">
            <w:pPr>
              <w:spacing w:line="500" w:lineRule="exact"/>
              <w:jc w:val="center"/>
              <w:rPr>
                <w:rFonts w:ascii="宋体" w:hAnsi="宋体" w:eastAsia="宋体" w:cs="楷体"/>
                <w:bCs/>
                <w:color w:val="auto"/>
                <w:kern w:val="2"/>
                <w:sz w:val="24"/>
                <w:szCs w:val="24"/>
              </w:rPr>
            </w:pPr>
            <w:r>
              <w:rPr>
                <w:rFonts w:hint="eastAsia" w:ascii="宋体" w:hAnsi="宋体" w:eastAsia="宋体" w:cs="楷体"/>
                <w:bCs/>
                <w:color w:val="auto"/>
                <w:kern w:val="2"/>
                <w:sz w:val="24"/>
                <w:szCs w:val="24"/>
              </w:rPr>
              <w:t>项</w:t>
            </w:r>
          </w:p>
        </w:tc>
        <w:tc>
          <w:tcPr>
            <w:tcW w:w="816" w:type="dxa"/>
            <w:tcBorders>
              <w:top w:val="single" w:color="auto" w:sz="4" w:space="0"/>
              <w:left w:val="single" w:color="auto" w:sz="4" w:space="0"/>
              <w:bottom w:val="single" w:color="auto" w:sz="4" w:space="0"/>
              <w:right w:val="single" w:color="auto" w:sz="4" w:space="0"/>
            </w:tcBorders>
            <w:vAlign w:val="center"/>
          </w:tcPr>
          <w:p w14:paraId="2A7B272C">
            <w:pPr>
              <w:spacing w:line="500" w:lineRule="exact"/>
              <w:jc w:val="center"/>
              <w:rPr>
                <w:rFonts w:ascii="宋体" w:hAnsi="宋体" w:eastAsia="宋体" w:cs="楷体"/>
                <w:bCs/>
                <w:color w:val="auto"/>
                <w:kern w:val="2"/>
                <w:sz w:val="24"/>
                <w:szCs w:val="24"/>
              </w:rPr>
            </w:pPr>
            <w:r>
              <w:rPr>
                <w:rFonts w:hint="eastAsia" w:ascii="宋体" w:hAnsi="宋体" w:eastAsia="宋体" w:cs="楷体"/>
                <w:bCs/>
                <w:color w:val="auto"/>
                <w:kern w:val="2"/>
                <w:sz w:val="24"/>
                <w:szCs w:val="24"/>
              </w:rPr>
              <w:t>1</w:t>
            </w:r>
          </w:p>
        </w:tc>
        <w:tc>
          <w:tcPr>
            <w:tcW w:w="2255" w:type="dxa"/>
            <w:tcBorders>
              <w:top w:val="single" w:color="auto" w:sz="4" w:space="0"/>
              <w:left w:val="single" w:color="auto" w:sz="4" w:space="0"/>
              <w:bottom w:val="single" w:color="auto" w:sz="4" w:space="0"/>
              <w:right w:val="single" w:color="auto" w:sz="4" w:space="0"/>
            </w:tcBorders>
            <w:vAlign w:val="center"/>
          </w:tcPr>
          <w:p w14:paraId="2CA16EC6">
            <w:pPr>
              <w:spacing w:line="500" w:lineRule="exact"/>
              <w:ind w:firstLine="480"/>
              <w:jc w:val="center"/>
              <w:rPr>
                <w:rFonts w:ascii="宋体" w:hAnsi="宋体" w:eastAsia="宋体" w:cs="楷体"/>
                <w:bCs/>
                <w:kern w:val="2"/>
                <w:sz w:val="24"/>
                <w:szCs w:val="24"/>
              </w:rPr>
            </w:pPr>
          </w:p>
        </w:tc>
      </w:tr>
      <w:tr w14:paraId="558F89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56" w:type="dxa"/>
            <w:tcBorders>
              <w:top w:val="single" w:color="auto" w:sz="4" w:space="0"/>
              <w:left w:val="single" w:color="auto" w:sz="4" w:space="0"/>
              <w:bottom w:val="single" w:color="auto" w:sz="4" w:space="0"/>
              <w:right w:val="single" w:color="auto" w:sz="4" w:space="0"/>
            </w:tcBorders>
            <w:vAlign w:val="center"/>
          </w:tcPr>
          <w:p w14:paraId="4E51B77F">
            <w:pPr>
              <w:spacing w:line="500" w:lineRule="exact"/>
              <w:jc w:val="center"/>
              <w:rPr>
                <w:rFonts w:ascii="宋体" w:hAnsi="宋体" w:eastAsia="宋体" w:cs="楷体"/>
                <w:bCs/>
                <w:kern w:val="2"/>
                <w:sz w:val="24"/>
                <w:szCs w:val="24"/>
                <w:lang w:eastAsia="zh-CN"/>
              </w:rPr>
            </w:pPr>
            <w:r>
              <w:rPr>
                <w:rFonts w:hint="eastAsia" w:ascii="宋体" w:hAnsi="宋体" w:eastAsia="宋体" w:cs="楷体"/>
                <w:bCs/>
                <w:kern w:val="2"/>
                <w:sz w:val="24"/>
                <w:szCs w:val="24"/>
                <w:lang w:eastAsia="zh-CN"/>
              </w:rPr>
              <w:t>5</w:t>
            </w:r>
          </w:p>
        </w:tc>
        <w:tc>
          <w:tcPr>
            <w:tcW w:w="3170" w:type="dxa"/>
            <w:tcBorders>
              <w:top w:val="single" w:color="auto" w:sz="4" w:space="0"/>
              <w:left w:val="single" w:color="auto" w:sz="4" w:space="0"/>
              <w:bottom w:val="single" w:color="auto" w:sz="4" w:space="0"/>
              <w:right w:val="single" w:color="auto" w:sz="4" w:space="0"/>
            </w:tcBorders>
            <w:vAlign w:val="center"/>
          </w:tcPr>
          <w:p w14:paraId="3400B24D">
            <w:pPr>
              <w:spacing w:line="500" w:lineRule="exact"/>
              <w:jc w:val="center"/>
              <w:rPr>
                <w:rFonts w:ascii="宋体" w:hAnsi="宋体" w:eastAsia="宋体" w:cs="楷体"/>
                <w:bCs/>
                <w:kern w:val="2"/>
                <w:sz w:val="24"/>
                <w:szCs w:val="24"/>
                <w:lang w:eastAsia="zh-CN"/>
              </w:rPr>
            </w:pPr>
            <w:r>
              <w:rPr>
                <w:rFonts w:hint="eastAsia" w:ascii="宋体" w:hAnsi="宋体" w:eastAsia="宋体" w:cs="楷体"/>
                <w:bCs/>
                <w:kern w:val="2"/>
                <w:sz w:val="24"/>
                <w:szCs w:val="24"/>
                <w:lang w:eastAsia="zh-CN"/>
              </w:rPr>
              <w:t>150人·天相应专题</w:t>
            </w:r>
          </w:p>
          <w:p w14:paraId="41A3CD08">
            <w:pPr>
              <w:spacing w:line="500" w:lineRule="exact"/>
              <w:jc w:val="center"/>
              <w:rPr>
                <w:rFonts w:ascii="宋体" w:hAnsi="宋体" w:eastAsia="宋体" w:cs="楷体"/>
                <w:bCs/>
                <w:kern w:val="2"/>
                <w:sz w:val="24"/>
                <w:szCs w:val="24"/>
                <w:lang w:eastAsia="zh-CN"/>
              </w:rPr>
            </w:pPr>
            <w:r>
              <w:rPr>
                <w:rFonts w:hint="eastAsia" w:ascii="宋体" w:hAnsi="宋体" w:eastAsia="宋体" w:cs="楷体"/>
                <w:bCs/>
                <w:kern w:val="2"/>
                <w:sz w:val="24"/>
                <w:szCs w:val="24"/>
                <w:lang w:eastAsia="zh-CN"/>
              </w:rPr>
              <w:t>技术培训</w:t>
            </w:r>
          </w:p>
        </w:tc>
        <w:tc>
          <w:tcPr>
            <w:tcW w:w="1059" w:type="dxa"/>
            <w:tcBorders>
              <w:top w:val="single" w:color="auto" w:sz="4" w:space="0"/>
              <w:left w:val="single" w:color="auto" w:sz="4" w:space="0"/>
              <w:bottom w:val="single" w:color="auto" w:sz="4" w:space="0"/>
              <w:right w:val="single" w:color="auto" w:sz="4" w:space="0"/>
            </w:tcBorders>
            <w:vAlign w:val="center"/>
          </w:tcPr>
          <w:p w14:paraId="4466ED02">
            <w:pPr>
              <w:spacing w:line="500" w:lineRule="exact"/>
              <w:jc w:val="center"/>
              <w:rPr>
                <w:rFonts w:ascii="宋体" w:hAnsi="宋体" w:eastAsia="宋体" w:cs="楷体"/>
                <w:bCs/>
                <w:kern w:val="2"/>
                <w:sz w:val="24"/>
                <w:szCs w:val="24"/>
              </w:rPr>
            </w:pPr>
            <w:r>
              <w:rPr>
                <w:rFonts w:hint="eastAsia" w:ascii="宋体" w:hAnsi="宋体" w:eastAsia="宋体" w:cs="楷体"/>
                <w:bCs/>
                <w:kern w:val="2"/>
                <w:sz w:val="24"/>
                <w:szCs w:val="24"/>
              </w:rPr>
              <w:t>项</w:t>
            </w:r>
          </w:p>
        </w:tc>
        <w:tc>
          <w:tcPr>
            <w:tcW w:w="816" w:type="dxa"/>
            <w:tcBorders>
              <w:top w:val="single" w:color="auto" w:sz="4" w:space="0"/>
              <w:left w:val="single" w:color="auto" w:sz="4" w:space="0"/>
              <w:bottom w:val="single" w:color="auto" w:sz="4" w:space="0"/>
              <w:right w:val="single" w:color="auto" w:sz="4" w:space="0"/>
            </w:tcBorders>
            <w:vAlign w:val="center"/>
          </w:tcPr>
          <w:p w14:paraId="5F24AD73">
            <w:pPr>
              <w:spacing w:line="500" w:lineRule="exact"/>
              <w:jc w:val="center"/>
              <w:rPr>
                <w:rFonts w:ascii="宋体" w:hAnsi="宋体" w:eastAsia="宋体" w:cs="楷体"/>
                <w:bCs/>
                <w:kern w:val="2"/>
                <w:sz w:val="24"/>
                <w:szCs w:val="24"/>
              </w:rPr>
            </w:pPr>
            <w:r>
              <w:rPr>
                <w:rFonts w:hint="eastAsia" w:ascii="宋体" w:hAnsi="宋体" w:eastAsia="宋体" w:cs="楷体"/>
                <w:bCs/>
                <w:kern w:val="2"/>
                <w:sz w:val="24"/>
                <w:szCs w:val="24"/>
              </w:rPr>
              <w:t>1</w:t>
            </w:r>
          </w:p>
        </w:tc>
        <w:tc>
          <w:tcPr>
            <w:tcW w:w="2255" w:type="dxa"/>
            <w:tcBorders>
              <w:top w:val="single" w:color="auto" w:sz="4" w:space="0"/>
              <w:left w:val="single" w:color="auto" w:sz="4" w:space="0"/>
              <w:bottom w:val="single" w:color="auto" w:sz="4" w:space="0"/>
              <w:right w:val="single" w:color="auto" w:sz="4" w:space="0"/>
            </w:tcBorders>
            <w:vAlign w:val="center"/>
          </w:tcPr>
          <w:p w14:paraId="0CDD7188">
            <w:pPr>
              <w:spacing w:line="500" w:lineRule="exact"/>
              <w:ind w:firstLine="480"/>
              <w:jc w:val="center"/>
              <w:rPr>
                <w:rFonts w:ascii="宋体" w:hAnsi="宋体" w:eastAsia="宋体" w:cs="楷体"/>
                <w:bCs/>
                <w:kern w:val="2"/>
                <w:sz w:val="24"/>
                <w:szCs w:val="24"/>
              </w:rPr>
            </w:pPr>
          </w:p>
        </w:tc>
      </w:tr>
      <w:tr w14:paraId="1DFE1F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56" w:type="dxa"/>
            <w:gridSpan w:val="5"/>
            <w:tcBorders>
              <w:top w:val="single" w:color="auto" w:sz="4" w:space="0"/>
              <w:left w:val="single" w:color="auto" w:sz="4" w:space="0"/>
              <w:bottom w:val="single" w:color="auto" w:sz="4" w:space="0"/>
              <w:right w:val="single" w:color="auto" w:sz="4" w:space="0"/>
            </w:tcBorders>
            <w:vAlign w:val="center"/>
          </w:tcPr>
          <w:p w14:paraId="0B435940">
            <w:pPr>
              <w:spacing w:line="500" w:lineRule="exact"/>
              <w:rPr>
                <w:rFonts w:ascii="宋体" w:hAnsi="宋体" w:eastAsia="宋体" w:cs="楷体"/>
                <w:bCs/>
                <w:kern w:val="2"/>
                <w:sz w:val="24"/>
                <w:szCs w:val="24"/>
                <w:lang w:eastAsia="zh-CN"/>
              </w:rPr>
            </w:pPr>
            <w:r>
              <w:rPr>
                <w:rFonts w:hint="eastAsia" w:ascii="宋体" w:hAnsi="宋体" w:eastAsia="宋体" w:cs="楷体"/>
                <w:bCs/>
                <w:kern w:val="2"/>
                <w:sz w:val="24"/>
                <w:szCs w:val="24"/>
                <w:lang w:eastAsia="zh-CN"/>
              </w:rPr>
              <w:t>三、赣北航道事务中心视频监控系统运维服务</w:t>
            </w:r>
          </w:p>
        </w:tc>
      </w:tr>
      <w:tr w14:paraId="67F95A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56" w:type="dxa"/>
            <w:tcBorders>
              <w:top w:val="single" w:color="auto" w:sz="4" w:space="0"/>
              <w:left w:val="single" w:color="auto" w:sz="4" w:space="0"/>
              <w:bottom w:val="single" w:color="auto" w:sz="4" w:space="0"/>
              <w:right w:val="single" w:color="auto" w:sz="4" w:space="0"/>
            </w:tcBorders>
            <w:vAlign w:val="center"/>
          </w:tcPr>
          <w:p w14:paraId="57ECB1D6">
            <w:pPr>
              <w:spacing w:line="500" w:lineRule="exact"/>
              <w:jc w:val="center"/>
              <w:rPr>
                <w:rFonts w:ascii="宋体" w:hAnsi="宋体" w:eastAsia="宋体" w:cs="楷体"/>
                <w:bCs/>
                <w:kern w:val="2"/>
                <w:sz w:val="24"/>
                <w:szCs w:val="24"/>
              </w:rPr>
            </w:pPr>
            <w:r>
              <w:rPr>
                <w:rFonts w:hint="eastAsia" w:ascii="宋体" w:hAnsi="宋体" w:eastAsia="宋体" w:cs="楷体"/>
                <w:bCs/>
                <w:kern w:val="2"/>
                <w:sz w:val="24"/>
                <w:szCs w:val="24"/>
              </w:rPr>
              <w:t>1</w:t>
            </w:r>
          </w:p>
        </w:tc>
        <w:tc>
          <w:tcPr>
            <w:tcW w:w="3170" w:type="dxa"/>
            <w:tcBorders>
              <w:top w:val="single" w:color="auto" w:sz="4" w:space="0"/>
              <w:left w:val="single" w:color="auto" w:sz="4" w:space="0"/>
              <w:bottom w:val="single" w:color="auto" w:sz="4" w:space="0"/>
              <w:right w:val="single" w:color="auto" w:sz="4" w:space="0"/>
            </w:tcBorders>
            <w:vAlign w:val="center"/>
          </w:tcPr>
          <w:p w14:paraId="391D183C">
            <w:pPr>
              <w:spacing w:line="500" w:lineRule="exact"/>
              <w:jc w:val="center"/>
              <w:rPr>
                <w:rFonts w:ascii="宋体" w:hAnsi="宋体" w:eastAsia="宋体" w:cs="楷体"/>
                <w:bCs/>
                <w:kern w:val="2"/>
                <w:sz w:val="24"/>
                <w:szCs w:val="24"/>
              </w:rPr>
            </w:pPr>
            <w:r>
              <w:rPr>
                <w:rFonts w:hint="eastAsia" w:ascii="宋体" w:hAnsi="宋体" w:eastAsia="宋体" w:cs="楷体"/>
                <w:bCs/>
                <w:kern w:val="2"/>
                <w:sz w:val="24"/>
                <w:szCs w:val="24"/>
              </w:rPr>
              <w:t>机房设备运维</w:t>
            </w:r>
          </w:p>
        </w:tc>
        <w:tc>
          <w:tcPr>
            <w:tcW w:w="1059" w:type="dxa"/>
            <w:tcBorders>
              <w:top w:val="single" w:color="auto" w:sz="4" w:space="0"/>
              <w:left w:val="single" w:color="auto" w:sz="4" w:space="0"/>
              <w:bottom w:val="single" w:color="auto" w:sz="4" w:space="0"/>
              <w:right w:val="single" w:color="auto" w:sz="4" w:space="0"/>
            </w:tcBorders>
            <w:vAlign w:val="center"/>
          </w:tcPr>
          <w:p w14:paraId="097143ED">
            <w:pPr>
              <w:spacing w:line="500" w:lineRule="exact"/>
              <w:jc w:val="center"/>
              <w:rPr>
                <w:rFonts w:ascii="宋体" w:hAnsi="宋体" w:eastAsia="宋体" w:cs="楷体"/>
                <w:bCs/>
                <w:kern w:val="2"/>
                <w:sz w:val="24"/>
                <w:szCs w:val="24"/>
              </w:rPr>
            </w:pPr>
            <w:r>
              <w:rPr>
                <w:rFonts w:hint="eastAsia" w:ascii="宋体" w:hAnsi="宋体" w:eastAsia="宋体" w:cs="楷体"/>
                <w:bCs/>
                <w:kern w:val="2"/>
                <w:sz w:val="24"/>
                <w:szCs w:val="24"/>
              </w:rPr>
              <w:t>项</w:t>
            </w:r>
          </w:p>
        </w:tc>
        <w:tc>
          <w:tcPr>
            <w:tcW w:w="816" w:type="dxa"/>
            <w:tcBorders>
              <w:top w:val="single" w:color="auto" w:sz="4" w:space="0"/>
              <w:left w:val="single" w:color="auto" w:sz="4" w:space="0"/>
              <w:bottom w:val="single" w:color="auto" w:sz="4" w:space="0"/>
              <w:right w:val="single" w:color="auto" w:sz="4" w:space="0"/>
            </w:tcBorders>
            <w:vAlign w:val="center"/>
          </w:tcPr>
          <w:p w14:paraId="7F377E37">
            <w:pPr>
              <w:spacing w:line="500" w:lineRule="exact"/>
              <w:jc w:val="center"/>
              <w:rPr>
                <w:rFonts w:ascii="宋体" w:hAnsi="宋体" w:eastAsia="宋体" w:cs="楷体"/>
                <w:bCs/>
                <w:kern w:val="2"/>
                <w:sz w:val="24"/>
                <w:szCs w:val="24"/>
              </w:rPr>
            </w:pPr>
            <w:r>
              <w:rPr>
                <w:rFonts w:hint="eastAsia" w:ascii="宋体" w:hAnsi="宋体" w:eastAsia="宋体" w:cs="楷体"/>
                <w:bCs/>
                <w:kern w:val="2"/>
                <w:sz w:val="24"/>
                <w:szCs w:val="24"/>
              </w:rPr>
              <w:t>1</w:t>
            </w:r>
          </w:p>
        </w:tc>
        <w:tc>
          <w:tcPr>
            <w:tcW w:w="2255" w:type="dxa"/>
            <w:tcBorders>
              <w:top w:val="single" w:color="auto" w:sz="4" w:space="0"/>
              <w:left w:val="single" w:color="auto" w:sz="4" w:space="0"/>
              <w:bottom w:val="single" w:color="auto" w:sz="4" w:space="0"/>
              <w:right w:val="single" w:color="auto" w:sz="4" w:space="0"/>
            </w:tcBorders>
            <w:vAlign w:val="center"/>
          </w:tcPr>
          <w:p w14:paraId="062C46A6">
            <w:pPr>
              <w:spacing w:line="500" w:lineRule="exact"/>
              <w:rPr>
                <w:rFonts w:ascii="宋体" w:hAnsi="宋体" w:eastAsia="宋体" w:cs="楷体"/>
                <w:bCs/>
                <w:kern w:val="2"/>
                <w:sz w:val="24"/>
                <w:szCs w:val="24"/>
                <w:lang w:eastAsia="zh-CN"/>
              </w:rPr>
            </w:pPr>
          </w:p>
        </w:tc>
      </w:tr>
      <w:tr w14:paraId="20A213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56" w:type="dxa"/>
            <w:tcBorders>
              <w:top w:val="single" w:color="auto" w:sz="4" w:space="0"/>
              <w:left w:val="single" w:color="auto" w:sz="4" w:space="0"/>
              <w:bottom w:val="single" w:color="auto" w:sz="4" w:space="0"/>
              <w:right w:val="single" w:color="auto" w:sz="4" w:space="0"/>
            </w:tcBorders>
            <w:vAlign w:val="center"/>
          </w:tcPr>
          <w:p w14:paraId="700DB453">
            <w:pPr>
              <w:spacing w:line="500" w:lineRule="exact"/>
              <w:jc w:val="center"/>
              <w:rPr>
                <w:rFonts w:ascii="宋体" w:hAnsi="宋体" w:eastAsia="宋体" w:cs="楷体"/>
                <w:bCs/>
                <w:kern w:val="2"/>
                <w:sz w:val="24"/>
                <w:szCs w:val="24"/>
              </w:rPr>
            </w:pPr>
            <w:r>
              <w:rPr>
                <w:rFonts w:hint="eastAsia" w:ascii="宋体" w:hAnsi="宋体" w:eastAsia="宋体" w:cs="楷体"/>
                <w:bCs/>
                <w:kern w:val="2"/>
                <w:sz w:val="24"/>
                <w:szCs w:val="24"/>
              </w:rPr>
              <w:t>2</w:t>
            </w:r>
          </w:p>
        </w:tc>
        <w:tc>
          <w:tcPr>
            <w:tcW w:w="3170" w:type="dxa"/>
            <w:tcBorders>
              <w:top w:val="single" w:color="auto" w:sz="4" w:space="0"/>
              <w:left w:val="single" w:color="auto" w:sz="4" w:space="0"/>
              <w:bottom w:val="single" w:color="auto" w:sz="4" w:space="0"/>
              <w:right w:val="single" w:color="auto" w:sz="4" w:space="0"/>
            </w:tcBorders>
            <w:vAlign w:val="center"/>
          </w:tcPr>
          <w:p w14:paraId="11A8DC1B">
            <w:pPr>
              <w:spacing w:line="500" w:lineRule="exact"/>
              <w:jc w:val="center"/>
              <w:rPr>
                <w:rFonts w:ascii="宋体" w:hAnsi="宋体" w:eastAsia="宋体" w:cs="楷体"/>
                <w:bCs/>
                <w:kern w:val="2"/>
                <w:sz w:val="24"/>
                <w:szCs w:val="24"/>
              </w:rPr>
            </w:pPr>
            <w:r>
              <w:rPr>
                <w:rFonts w:hint="eastAsia" w:ascii="宋体" w:hAnsi="宋体" w:eastAsia="宋体" w:cs="楷体"/>
                <w:bCs/>
                <w:kern w:val="2"/>
                <w:sz w:val="24"/>
                <w:szCs w:val="24"/>
              </w:rPr>
              <w:t>15处外场设施运维服务</w:t>
            </w:r>
          </w:p>
        </w:tc>
        <w:tc>
          <w:tcPr>
            <w:tcW w:w="1059" w:type="dxa"/>
            <w:tcBorders>
              <w:top w:val="single" w:color="auto" w:sz="4" w:space="0"/>
              <w:left w:val="single" w:color="auto" w:sz="4" w:space="0"/>
              <w:bottom w:val="single" w:color="auto" w:sz="4" w:space="0"/>
              <w:right w:val="single" w:color="auto" w:sz="4" w:space="0"/>
            </w:tcBorders>
            <w:vAlign w:val="center"/>
          </w:tcPr>
          <w:p w14:paraId="7892B02C">
            <w:pPr>
              <w:spacing w:line="500" w:lineRule="exact"/>
              <w:jc w:val="center"/>
              <w:rPr>
                <w:rFonts w:ascii="宋体" w:hAnsi="宋体" w:eastAsia="宋体" w:cs="楷体"/>
                <w:bCs/>
                <w:kern w:val="2"/>
                <w:sz w:val="24"/>
                <w:szCs w:val="24"/>
              </w:rPr>
            </w:pPr>
            <w:r>
              <w:rPr>
                <w:rFonts w:hint="eastAsia" w:ascii="宋体" w:hAnsi="宋体" w:eastAsia="宋体" w:cs="楷体"/>
                <w:bCs/>
                <w:kern w:val="2"/>
                <w:sz w:val="24"/>
                <w:szCs w:val="24"/>
              </w:rPr>
              <w:t>项</w:t>
            </w:r>
          </w:p>
        </w:tc>
        <w:tc>
          <w:tcPr>
            <w:tcW w:w="816" w:type="dxa"/>
            <w:tcBorders>
              <w:top w:val="single" w:color="auto" w:sz="4" w:space="0"/>
              <w:left w:val="single" w:color="auto" w:sz="4" w:space="0"/>
              <w:bottom w:val="single" w:color="auto" w:sz="4" w:space="0"/>
              <w:right w:val="single" w:color="auto" w:sz="4" w:space="0"/>
            </w:tcBorders>
            <w:vAlign w:val="center"/>
          </w:tcPr>
          <w:p w14:paraId="7E165CCB">
            <w:pPr>
              <w:spacing w:line="500" w:lineRule="exact"/>
              <w:jc w:val="center"/>
              <w:rPr>
                <w:rFonts w:ascii="宋体" w:hAnsi="宋体" w:eastAsia="宋体" w:cs="楷体"/>
                <w:bCs/>
                <w:kern w:val="2"/>
                <w:sz w:val="24"/>
                <w:szCs w:val="24"/>
              </w:rPr>
            </w:pPr>
            <w:r>
              <w:rPr>
                <w:rFonts w:hint="eastAsia" w:ascii="宋体" w:hAnsi="宋体" w:eastAsia="宋体" w:cs="楷体"/>
                <w:bCs/>
                <w:kern w:val="2"/>
                <w:sz w:val="24"/>
                <w:szCs w:val="24"/>
              </w:rPr>
              <w:t>1</w:t>
            </w:r>
          </w:p>
        </w:tc>
        <w:tc>
          <w:tcPr>
            <w:tcW w:w="2255" w:type="dxa"/>
            <w:tcBorders>
              <w:top w:val="single" w:color="auto" w:sz="4" w:space="0"/>
              <w:left w:val="single" w:color="auto" w:sz="4" w:space="0"/>
              <w:bottom w:val="single" w:color="auto" w:sz="4" w:space="0"/>
              <w:right w:val="single" w:color="auto" w:sz="4" w:space="0"/>
            </w:tcBorders>
            <w:vAlign w:val="center"/>
          </w:tcPr>
          <w:p w14:paraId="68E2D065">
            <w:pPr>
              <w:spacing w:line="500" w:lineRule="exact"/>
              <w:jc w:val="center"/>
              <w:rPr>
                <w:rFonts w:ascii="宋体" w:hAnsi="宋体" w:eastAsia="宋体" w:cs="楷体"/>
                <w:bCs/>
                <w:kern w:val="2"/>
                <w:sz w:val="24"/>
                <w:szCs w:val="24"/>
              </w:rPr>
            </w:pPr>
          </w:p>
        </w:tc>
      </w:tr>
      <w:tr w14:paraId="134878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56" w:type="dxa"/>
            <w:tcBorders>
              <w:top w:val="single" w:color="auto" w:sz="4" w:space="0"/>
              <w:left w:val="single" w:color="auto" w:sz="4" w:space="0"/>
              <w:bottom w:val="single" w:color="auto" w:sz="4" w:space="0"/>
              <w:right w:val="single" w:color="auto" w:sz="4" w:space="0"/>
            </w:tcBorders>
            <w:vAlign w:val="center"/>
          </w:tcPr>
          <w:p w14:paraId="637108F3">
            <w:pPr>
              <w:spacing w:line="500" w:lineRule="exact"/>
              <w:jc w:val="center"/>
              <w:rPr>
                <w:rFonts w:ascii="宋体" w:hAnsi="宋体" w:eastAsia="宋体" w:cs="楷体"/>
                <w:bCs/>
                <w:kern w:val="2"/>
                <w:sz w:val="24"/>
                <w:szCs w:val="24"/>
              </w:rPr>
            </w:pPr>
            <w:r>
              <w:rPr>
                <w:rFonts w:hint="eastAsia" w:ascii="宋体" w:hAnsi="宋体" w:eastAsia="宋体" w:cs="楷体"/>
                <w:bCs/>
                <w:kern w:val="2"/>
                <w:sz w:val="24"/>
                <w:szCs w:val="24"/>
              </w:rPr>
              <w:t>3</w:t>
            </w:r>
          </w:p>
        </w:tc>
        <w:tc>
          <w:tcPr>
            <w:tcW w:w="3170" w:type="dxa"/>
            <w:tcBorders>
              <w:top w:val="single" w:color="auto" w:sz="4" w:space="0"/>
              <w:left w:val="single" w:color="auto" w:sz="4" w:space="0"/>
              <w:bottom w:val="single" w:color="auto" w:sz="4" w:space="0"/>
              <w:right w:val="single" w:color="auto" w:sz="4" w:space="0"/>
            </w:tcBorders>
            <w:vAlign w:val="center"/>
          </w:tcPr>
          <w:p w14:paraId="48B80D59">
            <w:pPr>
              <w:spacing w:line="500" w:lineRule="exact"/>
              <w:jc w:val="center"/>
              <w:rPr>
                <w:rFonts w:ascii="宋体" w:hAnsi="宋体" w:eastAsia="宋体" w:cs="楷体"/>
                <w:bCs/>
                <w:kern w:val="2"/>
                <w:sz w:val="24"/>
                <w:szCs w:val="24"/>
                <w:lang w:eastAsia="zh-CN"/>
              </w:rPr>
            </w:pPr>
            <w:r>
              <w:rPr>
                <w:rFonts w:hint="eastAsia" w:ascii="宋体" w:hAnsi="宋体" w:eastAsia="宋体" w:cs="楷体"/>
                <w:bCs/>
                <w:kern w:val="2"/>
                <w:sz w:val="24"/>
                <w:szCs w:val="24"/>
                <w:lang w:eastAsia="zh-CN"/>
              </w:rPr>
              <w:t>15处外场设施正常运行供电及运维服务</w:t>
            </w:r>
          </w:p>
        </w:tc>
        <w:tc>
          <w:tcPr>
            <w:tcW w:w="1059" w:type="dxa"/>
            <w:tcBorders>
              <w:top w:val="single" w:color="auto" w:sz="4" w:space="0"/>
              <w:left w:val="single" w:color="auto" w:sz="4" w:space="0"/>
              <w:bottom w:val="single" w:color="auto" w:sz="4" w:space="0"/>
              <w:right w:val="single" w:color="auto" w:sz="4" w:space="0"/>
            </w:tcBorders>
            <w:vAlign w:val="center"/>
          </w:tcPr>
          <w:p w14:paraId="7FE87351">
            <w:pPr>
              <w:spacing w:line="500" w:lineRule="exact"/>
              <w:jc w:val="center"/>
              <w:rPr>
                <w:rFonts w:ascii="宋体" w:hAnsi="宋体" w:eastAsia="宋体" w:cs="楷体"/>
                <w:bCs/>
                <w:kern w:val="2"/>
                <w:sz w:val="24"/>
                <w:szCs w:val="24"/>
              </w:rPr>
            </w:pPr>
            <w:r>
              <w:rPr>
                <w:rFonts w:hint="eastAsia" w:ascii="宋体" w:hAnsi="宋体" w:eastAsia="宋体" w:cs="楷体"/>
                <w:bCs/>
                <w:kern w:val="2"/>
                <w:sz w:val="24"/>
                <w:szCs w:val="24"/>
              </w:rPr>
              <w:t>项</w:t>
            </w:r>
          </w:p>
        </w:tc>
        <w:tc>
          <w:tcPr>
            <w:tcW w:w="816" w:type="dxa"/>
            <w:tcBorders>
              <w:top w:val="single" w:color="auto" w:sz="4" w:space="0"/>
              <w:left w:val="single" w:color="auto" w:sz="4" w:space="0"/>
              <w:bottom w:val="single" w:color="auto" w:sz="4" w:space="0"/>
              <w:right w:val="single" w:color="auto" w:sz="4" w:space="0"/>
            </w:tcBorders>
            <w:vAlign w:val="center"/>
          </w:tcPr>
          <w:p w14:paraId="1E9C9FDE">
            <w:pPr>
              <w:spacing w:line="500" w:lineRule="exact"/>
              <w:jc w:val="center"/>
              <w:rPr>
                <w:rFonts w:ascii="宋体" w:hAnsi="宋体" w:eastAsia="宋体" w:cs="楷体"/>
                <w:bCs/>
                <w:kern w:val="2"/>
                <w:sz w:val="24"/>
                <w:szCs w:val="24"/>
              </w:rPr>
            </w:pPr>
            <w:r>
              <w:rPr>
                <w:rFonts w:hint="eastAsia" w:ascii="宋体" w:hAnsi="宋体" w:eastAsia="宋体" w:cs="楷体"/>
                <w:bCs/>
                <w:kern w:val="2"/>
                <w:sz w:val="24"/>
                <w:szCs w:val="24"/>
              </w:rPr>
              <w:t>1</w:t>
            </w:r>
          </w:p>
        </w:tc>
        <w:tc>
          <w:tcPr>
            <w:tcW w:w="2255" w:type="dxa"/>
            <w:tcBorders>
              <w:top w:val="single" w:color="auto" w:sz="4" w:space="0"/>
              <w:left w:val="single" w:color="auto" w:sz="4" w:space="0"/>
              <w:bottom w:val="single" w:color="auto" w:sz="4" w:space="0"/>
              <w:right w:val="single" w:color="auto" w:sz="4" w:space="0"/>
            </w:tcBorders>
            <w:vAlign w:val="center"/>
          </w:tcPr>
          <w:p w14:paraId="522F421C">
            <w:pPr>
              <w:spacing w:line="500" w:lineRule="exact"/>
              <w:jc w:val="center"/>
              <w:rPr>
                <w:rFonts w:ascii="宋体" w:hAnsi="宋体" w:eastAsia="宋体" w:cs="楷体"/>
                <w:bCs/>
                <w:kern w:val="2"/>
                <w:sz w:val="24"/>
                <w:szCs w:val="24"/>
                <w:lang w:eastAsia="zh-CN"/>
              </w:rPr>
            </w:pPr>
          </w:p>
        </w:tc>
      </w:tr>
      <w:tr w14:paraId="7A7F4D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56" w:type="dxa"/>
            <w:tcBorders>
              <w:top w:val="single" w:color="auto" w:sz="4" w:space="0"/>
              <w:left w:val="single" w:color="auto" w:sz="4" w:space="0"/>
              <w:bottom w:val="single" w:color="auto" w:sz="4" w:space="0"/>
              <w:right w:val="single" w:color="auto" w:sz="4" w:space="0"/>
            </w:tcBorders>
            <w:vAlign w:val="center"/>
          </w:tcPr>
          <w:p w14:paraId="331DF6BB">
            <w:pPr>
              <w:spacing w:line="500" w:lineRule="exact"/>
              <w:jc w:val="center"/>
              <w:rPr>
                <w:rFonts w:ascii="宋体" w:hAnsi="宋体" w:eastAsia="宋体" w:cs="楷体"/>
                <w:bCs/>
                <w:kern w:val="2"/>
                <w:sz w:val="24"/>
                <w:szCs w:val="24"/>
              </w:rPr>
            </w:pPr>
            <w:r>
              <w:rPr>
                <w:rFonts w:hint="eastAsia" w:ascii="宋体" w:hAnsi="宋体" w:eastAsia="宋体" w:cs="楷体"/>
                <w:bCs/>
                <w:kern w:val="2"/>
                <w:sz w:val="24"/>
                <w:szCs w:val="24"/>
              </w:rPr>
              <w:t>4</w:t>
            </w:r>
          </w:p>
        </w:tc>
        <w:tc>
          <w:tcPr>
            <w:tcW w:w="3170" w:type="dxa"/>
            <w:tcBorders>
              <w:top w:val="single" w:color="auto" w:sz="4" w:space="0"/>
              <w:left w:val="single" w:color="auto" w:sz="4" w:space="0"/>
              <w:bottom w:val="single" w:color="auto" w:sz="4" w:space="0"/>
              <w:right w:val="single" w:color="auto" w:sz="4" w:space="0"/>
            </w:tcBorders>
            <w:vAlign w:val="center"/>
          </w:tcPr>
          <w:p w14:paraId="53AAFC94">
            <w:pPr>
              <w:spacing w:line="500" w:lineRule="exact"/>
              <w:jc w:val="center"/>
              <w:rPr>
                <w:rFonts w:hint="eastAsia" w:ascii="宋体" w:hAnsi="宋体" w:eastAsia="宋体" w:cs="楷体"/>
                <w:bCs/>
                <w:kern w:val="2"/>
                <w:sz w:val="24"/>
                <w:szCs w:val="24"/>
                <w:lang w:eastAsia="zh-CN"/>
              </w:rPr>
            </w:pPr>
            <w:r>
              <w:rPr>
                <w:rFonts w:hint="eastAsia" w:ascii="宋体" w:hAnsi="宋体" w:eastAsia="宋体" w:cs="楷体"/>
                <w:bCs/>
                <w:kern w:val="2"/>
                <w:sz w:val="24"/>
                <w:szCs w:val="24"/>
              </w:rPr>
              <w:t>设备</w:t>
            </w:r>
            <w:r>
              <w:rPr>
                <w:rFonts w:hint="eastAsia" w:ascii="宋体" w:hAnsi="宋体" w:eastAsia="宋体" w:cs="楷体"/>
                <w:bCs/>
                <w:kern w:val="2"/>
                <w:sz w:val="24"/>
                <w:szCs w:val="24"/>
                <w:lang w:val="en-US" w:eastAsia="zh-CN"/>
              </w:rPr>
              <w:t>备件</w:t>
            </w:r>
          </w:p>
        </w:tc>
        <w:tc>
          <w:tcPr>
            <w:tcW w:w="1059" w:type="dxa"/>
            <w:tcBorders>
              <w:top w:val="single" w:color="auto" w:sz="4" w:space="0"/>
              <w:left w:val="single" w:color="auto" w:sz="4" w:space="0"/>
              <w:bottom w:val="single" w:color="auto" w:sz="4" w:space="0"/>
              <w:right w:val="single" w:color="auto" w:sz="4" w:space="0"/>
            </w:tcBorders>
            <w:vAlign w:val="center"/>
          </w:tcPr>
          <w:p w14:paraId="0993321D">
            <w:pPr>
              <w:spacing w:line="500" w:lineRule="exact"/>
              <w:jc w:val="center"/>
              <w:rPr>
                <w:rFonts w:ascii="宋体" w:hAnsi="宋体" w:eastAsia="宋体" w:cs="楷体"/>
                <w:bCs/>
                <w:kern w:val="2"/>
                <w:sz w:val="24"/>
                <w:szCs w:val="24"/>
              </w:rPr>
            </w:pPr>
            <w:r>
              <w:rPr>
                <w:rFonts w:hint="eastAsia" w:ascii="宋体" w:hAnsi="宋体" w:eastAsia="宋体" w:cs="楷体"/>
                <w:bCs/>
                <w:kern w:val="2"/>
                <w:sz w:val="24"/>
                <w:szCs w:val="24"/>
              </w:rPr>
              <w:t>项</w:t>
            </w:r>
          </w:p>
        </w:tc>
        <w:tc>
          <w:tcPr>
            <w:tcW w:w="816" w:type="dxa"/>
            <w:tcBorders>
              <w:top w:val="single" w:color="auto" w:sz="4" w:space="0"/>
              <w:left w:val="single" w:color="auto" w:sz="4" w:space="0"/>
              <w:bottom w:val="single" w:color="auto" w:sz="4" w:space="0"/>
              <w:right w:val="single" w:color="auto" w:sz="4" w:space="0"/>
            </w:tcBorders>
            <w:vAlign w:val="center"/>
          </w:tcPr>
          <w:p w14:paraId="61222210">
            <w:pPr>
              <w:spacing w:line="500" w:lineRule="exact"/>
              <w:jc w:val="center"/>
              <w:rPr>
                <w:rFonts w:ascii="宋体" w:hAnsi="宋体" w:eastAsia="宋体" w:cs="楷体"/>
                <w:bCs/>
                <w:kern w:val="2"/>
                <w:sz w:val="24"/>
                <w:szCs w:val="24"/>
              </w:rPr>
            </w:pPr>
            <w:r>
              <w:rPr>
                <w:rFonts w:hint="eastAsia" w:ascii="宋体" w:hAnsi="宋体" w:eastAsia="宋体" w:cs="楷体"/>
                <w:bCs/>
                <w:kern w:val="2"/>
                <w:sz w:val="24"/>
                <w:szCs w:val="24"/>
              </w:rPr>
              <w:t>1</w:t>
            </w:r>
          </w:p>
        </w:tc>
        <w:tc>
          <w:tcPr>
            <w:tcW w:w="2255" w:type="dxa"/>
            <w:tcBorders>
              <w:top w:val="single" w:color="auto" w:sz="4" w:space="0"/>
              <w:left w:val="single" w:color="auto" w:sz="4" w:space="0"/>
              <w:bottom w:val="single" w:color="auto" w:sz="4" w:space="0"/>
              <w:right w:val="single" w:color="auto" w:sz="4" w:space="0"/>
            </w:tcBorders>
            <w:vAlign w:val="center"/>
          </w:tcPr>
          <w:p w14:paraId="4A83E54E">
            <w:pPr>
              <w:spacing w:line="500" w:lineRule="exact"/>
              <w:jc w:val="center"/>
              <w:rPr>
                <w:rFonts w:ascii="宋体" w:hAnsi="宋体" w:eastAsia="宋体" w:cs="楷体"/>
                <w:bCs/>
                <w:kern w:val="2"/>
                <w:sz w:val="24"/>
                <w:szCs w:val="24"/>
                <w:lang w:eastAsia="zh-CN"/>
              </w:rPr>
            </w:pPr>
          </w:p>
        </w:tc>
      </w:tr>
      <w:tr w14:paraId="07792D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56" w:type="dxa"/>
            <w:tcBorders>
              <w:top w:val="single" w:color="auto" w:sz="4" w:space="0"/>
              <w:left w:val="single" w:color="auto" w:sz="4" w:space="0"/>
              <w:bottom w:val="single" w:color="auto" w:sz="4" w:space="0"/>
              <w:right w:val="single" w:color="auto" w:sz="4" w:space="0"/>
            </w:tcBorders>
            <w:vAlign w:val="center"/>
          </w:tcPr>
          <w:p w14:paraId="4D75280B">
            <w:pPr>
              <w:spacing w:line="500" w:lineRule="exact"/>
              <w:jc w:val="center"/>
              <w:rPr>
                <w:rFonts w:ascii="宋体" w:hAnsi="宋体" w:eastAsia="宋体" w:cs="楷体"/>
                <w:bCs/>
                <w:kern w:val="2"/>
                <w:sz w:val="24"/>
                <w:szCs w:val="24"/>
              </w:rPr>
            </w:pPr>
            <w:r>
              <w:rPr>
                <w:rFonts w:hint="eastAsia" w:ascii="宋体" w:hAnsi="宋体" w:eastAsia="宋体" w:cs="楷体"/>
                <w:bCs/>
                <w:kern w:val="2"/>
                <w:sz w:val="24"/>
                <w:szCs w:val="24"/>
              </w:rPr>
              <w:t>5</w:t>
            </w:r>
          </w:p>
        </w:tc>
        <w:tc>
          <w:tcPr>
            <w:tcW w:w="3170" w:type="dxa"/>
            <w:tcBorders>
              <w:top w:val="single" w:color="auto" w:sz="4" w:space="0"/>
              <w:left w:val="single" w:color="auto" w:sz="4" w:space="0"/>
              <w:bottom w:val="single" w:color="auto" w:sz="4" w:space="0"/>
              <w:right w:val="single" w:color="auto" w:sz="4" w:space="0"/>
            </w:tcBorders>
            <w:vAlign w:val="center"/>
          </w:tcPr>
          <w:p w14:paraId="488DEFBC">
            <w:pPr>
              <w:spacing w:line="500" w:lineRule="exact"/>
              <w:jc w:val="center"/>
              <w:rPr>
                <w:rFonts w:ascii="宋体" w:hAnsi="宋体" w:eastAsia="宋体" w:cs="楷体"/>
                <w:bCs/>
                <w:kern w:val="2"/>
                <w:sz w:val="24"/>
                <w:szCs w:val="24"/>
                <w:lang w:eastAsia="zh-CN"/>
              </w:rPr>
            </w:pPr>
            <w:r>
              <w:rPr>
                <w:rFonts w:hint="eastAsia" w:ascii="宋体" w:hAnsi="宋体" w:eastAsia="宋体" w:cs="楷体"/>
                <w:bCs/>
                <w:kern w:val="2"/>
                <w:sz w:val="24"/>
                <w:szCs w:val="24"/>
                <w:lang w:eastAsia="zh-CN"/>
              </w:rPr>
              <w:t>10人·天相应专题技术培训</w:t>
            </w:r>
          </w:p>
        </w:tc>
        <w:tc>
          <w:tcPr>
            <w:tcW w:w="1059" w:type="dxa"/>
            <w:tcBorders>
              <w:top w:val="single" w:color="auto" w:sz="4" w:space="0"/>
              <w:left w:val="single" w:color="auto" w:sz="4" w:space="0"/>
              <w:bottom w:val="single" w:color="auto" w:sz="4" w:space="0"/>
              <w:right w:val="single" w:color="auto" w:sz="4" w:space="0"/>
            </w:tcBorders>
            <w:vAlign w:val="center"/>
          </w:tcPr>
          <w:p w14:paraId="73A02A28">
            <w:pPr>
              <w:spacing w:line="500" w:lineRule="exact"/>
              <w:jc w:val="center"/>
              <w:rPr>
                <w:rFonts w:ascii="宋体" w:hAnsi="宋体" w:eastAsia="宋体" w:cs="楷体"/>
                <w:bCs/>
                <w:kern w:val="2"/>
                <w:sz w:val="24"/>
                <w:szCs w:val="24"/>
              </w:rPr>
            </w:pPr>
            <w:r>
              <w:rPr>
                <w:rFonts w:hint="eastAsia" w:ascii="宋体" w:hAnsi="宋体" w:eastAsia="宋体" w:cs="楷体"/>
                <w:bCs/>
                <w:kern w:val="2"/>
                <w:sz w:val="24"/>
                <w:szCs w:val="24"/>
              </w:rPr>
              <w:t>项</w:t>
            </w:r>
          </w:p>
        </w:tc>
        <w:tc>
          <w:tcPr>
            <w:tcW w:w="816" w:type="dxa"/>
            <w:tcBorders>
              <w:top w:val="single" w:color="auto" w:sz="4" w:space="0"/>
              <w:left w:val="single" w:color="auto" w:sz="4" w:space="0"/>
              <w:bottom w:val="single" w:color="auto" w:sz="4" w:space="0"/>
              <w:right w:val="single" w:color="auto" w:sz="4" w:space="0"/>
            </w:tcBorders>
            <w:vAlign w:val="center"/>
          </w:tcPr>
          <w:p w14:paraId="3D89ADB1">
            <w:pPr>
              <w:spacing w:line="500" w:lineRule="exact"/>
              <w:jc w:val="center"/>
              <w:rPr>
                <w:rFonts w:ascii="宋体" w:hAnsi="宋体" w:eastAsia="宋体" w:cs="楷体"/>
                <w:bCs/>
                <w:kern w:val="2"/>
                <w:sz w:val="24"/>
                <w:szCs w:val="24"/>
              </w:rPr>
            </w:pPr>
            <w:r>
              <w:rPr>
                <w:rFonts w:hint="eastAsia" w:ascii="宋体" w:hAnsi="宋体" w:eastAsia="宋体" w:cs="楷体"/>
                <w:bCs/>
                <w:kern w:val="2"/>
                <w:sz w:val="24"/>
                <w:szCs w:val="24"/>
              </w:rPr>
              <w:t>1</w:t>
            </w:r>
          </w:p>
        </w:tc>
        <w:tc>
          <w:tcPr>
            <w:tcW w:w="2255" w:type="dxa"/>
            <w:tcBorders>
              <w:top w:val="single" w:color="auto" w:sz="4" w:space="0"/>
              <w:left w:val="single" w:color="auto" w:sz="4" w:space="0"/>
              <w:bottom w:val="single" w:color="auto" w:sz="4" w:space="0"/>
              <w:right w:val="single" w:color="auto" w:sz="4" w:space="0"/>
            </w:tcBorders>
            <w:vAlign w:val="center"/>
          </w:tcPr>
          <w:p w14:paraId="673B7310">
            <w:pPr>
              <w:spacing w:line="500" w:lineRule="exact"/>
              <w:ind w:firstLine="480"/>
              <w:jc w:val="center"/>
              <w:rPr>
                <w:rFonts w:ascii="宋体" w:hAnsi="宋体" w:eastAsia="宋体" w:cs="楷体"/>
                <w:bCs/>
                <w:kern w:val="2"/>
                <w:sz w:val="24"/>
                <w:szCs w:val="24"/>
              </w:rPr>
            </w:pPr>
          </w:p>
        </w:tc>
      </w:tr>
      <w:tr w14:paraId="09F980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56" w:type="dxa"/>
            <w:gridSpan w:val="5"/>
            <w:tcBorders>
              <w:top w:val="single" w:color="auto" w:sz="4" w:space="0"/>
              <w:left w:val="single" w:color="auto" w:sz="4" w:space="0"/>
              <w:bottom w:val="single" w:color="auto" w:sz="4" w:space="0"/>
              <w:right w:val="single" w:color="auto" w:sz="4" w:space="0"/>
            </w:tcBorders>
            <w:vAlign w:val="center"/>
          </w:tcPr>
          <w:p w14:paraId="3616F7F9">
            <w:pPr>
              <w:spacing w:line="500" w:lineRule="exact"/>
              <w:rPr>
                <w:rFonts w:ascii="宋体" w:hAnsi="宋体" w:eastAsia="宋体" w:cs="楷体"/>
                <w:bCs/>
                <w:kern w:val="2"/>
                <w:sz w:val="24"/>
                <w:szCs w:val="24"/>
                <w:lang w:eastAsia="zh-CN"/>
              </w:rPr>
            </w:pPr>
            <w:r>
              <w:rPr>
                <w:rFonts w:hint="eastAsia" w:ascii="宋体" w:hAnsi="宋体" w:eastAsia="宋体"/>
                <w:kern w:val="2"/>
                <w:sz w:val="24"/>
                <w:szCs w:val="24"/>
                <w:lang w:eastAsia="zh-CN"/>
              </w:rPr>
              <w:t>四、赣东航道事务中心视频监控系统运维服务</w:t>
            </w:r>
          </w:p>
        </w:tc>
      </w:tr>
      <w:tr w14:paraId="29DDE8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56" w:type="dxa"/>
            <w:tcBorders>
              <w:top w:val="single" w:color="auto" w:sz="4" w:space="0"/>
              <w:left w:val="single" w:color="auto" w:sz="4" w:space="0"/>
              <w:bottom w:val="single" w:color="auto" w:sz="4" w:space="0"/>
              <w:right w:val="single" w:color="auto" w:sz="4" w:space="0"/>
            </w:tcBorders>
            <w:vAlign w:val="center"/>
          </w:tcPr>
          <w:p w14:paraId="691E0A9E">
            <w:pPr>
              <w:spacing w:line="500" w:lineRule="exact"/>
              <w:jc w:val="center"/>
              <w:rPr>
                <w:rFonts w:ascii="宋体" w:hAnsi="宋体" w:eastAsia="宋体" w:cs="楷体"/>
                <w:bCs/>
                <w:kern w:val="2"/>
                <w:sz w:val="24"/>
                <w:szCs w:val="24"/>
              </w:rPr>
            </w:pPr>
            <w:r>
              <w:rPr>
                <w:rFonts w:hint="eastAsia" w:ascii="宋体" w:hAnsi="宋体" w:eastAsia="宋体" w:cs="楷体"/>
                <w:bCs/>
                <w:kern w:val="2"/>
                <w:sz w:val="24"/>
                <w:szCs w:val="24"/>
              </w:rPr>
              <w:t>1</w:t>
            </w:r>
          </w:p>
        </w:tc>
        <w:tc>
          <w:tcPr>
            <w:tcW w:w="3170" w:type="dxa"/>
            <w:tcBorders>
              <w:top w:val="single" w:color="auto" w:sz="4" w:space="0"/>
              <w:left w:val="single" w:color="auto" w:sz="4" w:space="0"/>
              <w:bottom w:val="single" w:color="auto" w:sz="4" w:space="0"/>
              <w:right w:val="single" w:color="auto" w:sz="4" w:space="0"/>
            </w:tcBorders>
            <w:vAlign w:val="center"/>
          </w:tcPr>
          <w:p w14:paraId="4EBB404C">
            <w:pPr>
              <w:spacing w:line="500" w:lineRule="exact"/>
              <w:jc w:val="center"/>
              <w:rPr>
                <w:rFonts w:ascii="宋体" w:hAnsi="宋体" w:eastAsia="宋体" w:cs="楷体"/>
                <w:bCs/>
                <w:kern w:val="2"/>
                <w:sz w:val="24"/>
                <w:szCs w:val="24"/>
              </w:rPr>
            </w:pPr>
            <w:r>
              <w:rPr>
                <w:rFonts w:hint="eastAsia" w:ascii="宋体" w:hAnsi="宋体" w:eastAsia="宋体" w:cs="楷体"/>
                <w:bCs/>
                <w:kern w:val="2"/>
                <w:sz w:val="24"/>
                <w:szCs w:val="24"/>
              </w:rPr>
              <w:t>机房设备运维</w:t>
            </w:r>
          </w:p>
        </w:tc>
        <w:tc>
          <w:tcPr>
            <w:tcW w:w="1059" w:type="dxa"/>
            <w:tcBorders>
              <w:top w:val="single" w:color="auto" w:sz="4" w:space="0"/>
              <w:left w:val="single" w:color="auto" w:sz="4" w:space="0"/>
              <w:bottom w:val="single" w:color="auto" w:sz="4" w:space="0"/>
              <w:right w:val="single" w:color="auto" w:sz="4" w:space="0"/>
            </w:tcBorders>
            <w:vAlign w:val="center"/>
          </w:tcPr>
          <w:p w14:paraId="7E4A5B6A">
            <w:pPr>
              <w:spacing w:line="500" w:lineRule="exact"/>
              <w:jc w:val="center"/>
              <w:rPr>
                <w:rFonts w:ascii="宋体" w:hAnsi="宋体" w:eastAsia="宋体" w:cs="楷体"/>
                <w:bCs/>
                <w:kern w:val="2"/>
                <w:sz w:val="24"/>
                <w:szCs w:val="24"/>
              </w:rPr>
            </w:pPr>
            <w:r>
              <w:rPr>
                <w:rFonts w:hint="eastAsia" w:ascii="宋体" w:hAnsi="宋体" w:eastAsia="宋体" w:cs="楷体"/>
                <w:bCs/>
                <w:kern w:val="2"/>
                <w:sz w:val="24"/>
                <w:szCs w:val="24"/>
              </w:rPr>
              <w:t>项</w:t>
            </w:r>
          </w:p>
        </w:tc>
        <w:tc>
          <w:tcPr>
            <w:tcW w:w="816" w:type="dxa"/>
            <w:tcBorders>
              <w:top w:val="single" w:color="auto" w:sz="4" w:space="0"/>
              <w:left w:val="single" w:color="auto" w:sz="4" w:space="0"/>
              <w:bottom w:val="single" w:color="auto" w:sz="4" w:space="0"/>
              <w:right w:val="single" w:color="auto" w:sz="4" w:space="0"/>
            </w:tcBorders>
            <w:vAlign w:val="center"/>
          </w:tcPr>
          <w:p w14:paraId="3921F087">
            <w:pPr>
              <w:spacing w:line="500" w:lineRule="exact"/>
              <w:jc w:val="center"/>
              <w:rPr>
                <w:rFonts w:ascii="宋体" w:hAnsi="宋体" w:eastAsia="宋体" w:cs="楷体"/>
                <w:bCs/>
                <w:kern w:val="2"/>
                <w:sz w:val="24"/>
                <w:szCs w:val="24"/>
              </w:rPr>
            </w:pPr>
            <w:r>
              <w:rPr>
                <w:rFonts w:hint="eastAsia" w:ascii="宋体" w:hAnsi="宋体" w:eastAsia="宋体" w:cs="楷体"/>
                <w:bCs/>
                <w:kern w:val="2"/>
                <w:sz w:val="24"/>
                <w:szCs w:val="24"/>
              </w:rPr>
              <w:t>1</w:t>
            </w:r>
          </w:p>
        </w:tc>
        <w:tc>
          <w:tcPr>
            <w:tcW w:w="2255" w:type="dxa"/>
            <w:tcBorders>
              <w:top w:val="single" w:color="auto" w:sz="4" w:space="0"/>
              <w:left w:val="single" w:color="auto" w:sz="4" w:space="0"/>
              <w:bottom w:val="single" w:color="auto" w:sz="4" w:space="0"/>
              <w:right w:val="single" w:color="auto" w:sz="4" w:space="0"/>
            </w:tcBorders>
            <w:vAlign w:val="center"/>
          </w:tcPr>
          <w:p w14:paraId="35F94C73">
            <w:pPr>
              <w:spacing w:line="500" w:lineRule="exact"/>
              <w:jc w:val="center"/>
              <w:rPr>
                <w:rFonts w:ascii="宋体" w:hAnsi="宋体" w:eastAsia="宋体" w:cs="楷体"/>
                <w:bCs/>
                <w:kern w:val="2"/>
                <w:sz w:val="24"/>
                <w:szCs w:val="24"/>
                <w:lang w:eastAsia="zh-CN"/>
              </w:rPr>
            </w:pPr>
          </w:p>
        </w:tc>
      </w:tr>
      <w:tr w14:paraId="74661F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56" w:type="dxa"/>
            <w:tcBorders>
              <w:top w:val="single" w:color="auto" w:sz="4" w:space="0"/>
              <w:left w:val="single" w:color="auto" w:sz="4" w:space="0"/>
              <w:bottom w:val="single" w:color="auto" w:sz="4" w:space="0"/>
              <w:right w:val="single" w:color="auto" w:sz="4" w:space="0"/>
            </w:tcBorders>
            <w:vAlign w:val="center"/>
          </w:tcPr>
          <w:p w14:paraId="155E6842">
            <w:pPr>
              <w:spacing w:line="500" w:lineRule="exact"/>
              <w:jc w:val="center"/>
              <w:rPr>
                <w:rFonts w:ascii="宋体" w:hAnsi="宋体" w:eastAsia="宋体" w:cs="楷体"/>
                <w:bCs/>
                <w:kern w:val="2"/>
                <w:sz w:val="24"/>
                <w:szCs w:val="24"/>
              </w:rPr>
            </w:pPr>
            <w:r>
              <w:rPr>
                <w:rFonts w:hint="eastAsia" w:ascii="宋体" w:hAnsi="宋体" w:eastAsia="宋体" w:cs="楷体"/>
                <w:bCs/>
                <w:kern w:val="2"/>
                <w:sz w:val="24"/>
                <w:szCs w:val="24"/>
              </w:rPr>
              <w:t>2</w:t>
            </w:r>
          </w:p>
        </w:tc>
        <w:tc>
          <w:tcPr>
            <w:tcW w:w="3170" w:type="dxa"/>
            <w:tcBorders>
              <w:top w:val="single" w:color="auto" w:sz="4" w:space="0"/>
              <w:left w:val="single" w:color="auto" w:sz="4" w:space="0"/>
              <w:bottom w:val="single" w:color="auto" w:sz="4" w:space="0"/>
              <w:right w:val="single" w:color="auto" w:sz="4" w:space="0"/>
            </w:tcBorders>
            <w:vAlign w:val="center"/>
          </w:tcPr>
          <w:p w14:paraId="1E95F00B">
            <w:pPr>
              <w:spacing w:line="500" w:lineRule="exact"/>
              <w:jc w:val="center"/>
              <w:rPr>
                <w:rFonts w:ascii="宋体" w:hAnsi="宋体" w:eastAsia="宋体" w:cs="楷体"/>
                <w:bCs/>
                <w:kern w:val="2"/>
                <w:sz w:val="24"/>
                <w:szCs w:val="24"/>
              </w:rPr>
            </w:pPr>
            <w:r>
              <w:rPr>
                <w:rFonts w:hint="eastAsia" w:ascii="宋体" w:hAnsi="宋体" w:eastAsia="宋体" w:cs="楷体"/>
                <w:bCs/>
                <w:kern w:val="2"/>
                <w:sz w:val="24"/>
                <w:szCs w:val="24"/>
              </w:rPr>
              <w:t>8处外场设施运维服务</w:t>
            </w:r>
          </w:p>
        </w:tc>
        <w:tc>
          <w:tcPr>
            <w:tcW w:w="1059" w:type="dxa"/>
            <w:tcBorders>
              <w:top w:val="single" w:color="auto" w:sz="4" w:space="0"/>
              <w:left w:val="single" w:color="auto" w:sz="4" w:space="0"/>
              <w:bottom w:val="single" w:color="auto" w:sz="4" w:space="0"/>
              <w:right w:val="single" w:color="auto" w:sz="4" w:space="0"/>
            </w:tcBorders>
            <w:vAlign w:val="center"/>
          </w:tcPr>
          <w:p w14:paraId="4D7E4F3B">
            <w:pPr>
              <w:spacing w:line="500" w:lineRule="exact"/>
              <w:jc w:val="center"/>
              <w:rPr>
                <w:rFonts w:ascii="宋体" w:hAnsi="宋体" w:eastAsia="宋体" w:cs="楷体"/>
                <w:bCs/>
                <w:kern w:val="2"/>
                <w:sz w:val="24"/>
                <w:szCs w:val="24"/>
              </w:rPr>
            </w:pPr>
            <w:r>
              <w:rPr>
                <w:rFonts w:hint="eastAsia" w:ascii="宋体" w:hAnsi="宋体" w:eastAsia="宋体" w:cs="楷体"/>
                <w:bCs/>
                <w:kern w:val="2"/>
                <w:sz w:val="24"/>
                <w:szCs w:val="24"/>
              </w:rPr>
              <w:t>项</w:t>
            </w:r>
          </w:p>
        </w:tc>
        <w:tc>
          <w:tcPr>
            <w:tcW w:w="816" w:type="dxa"/>
            <w:tcBorders>
              <w:top w:val="single" w:color="auto" w:sz="4" w:space="0"/>
              <w:left w:val="single" w:color="auto" w:sz="4" w:space="0"/>
              <w:bottom w:val="single" w:color="auto" w:sz="4" w:space="0"/>
              <w:right w:val="single" w:color="auto" w:sz="4" w:space="0"/>
            </w:tcBorders>
            <w:vAlign w:val="center"/>
          </w:tcPr>
          <w:p w14:paraId="7D1AB39E">
            <w:pPr>
              <w:spacing w:line="500" w:lineRule="exact"/>
              <w:jc w:val="center"/>
              <w:rPr>
                <w:rFonts w:ascii="宋体" w:hAnsi="宋体" w:eastAsia="宋体" w:cs="楷体"/>
                <w:bCs/>
                <w:kern w:val="2"/>
                <w:sz w:val="24"/>
                <w:szCs w:val="24"/>
              </w:rPr>
            </w:pPr>
            <w:r>
              <w:rPr>
                <w:rFonts w:hint="eastAsia" w:ascii="宋体" w:hAnsi="宋体" w:eastAsia="宋体" w:cs="楷体"/>
                <w:bCs/>
                <w:kern w:val="2"/>
                <w:sz w:val="24"/>
                <w:szCs w:val="24"/>
              </w:rPr>
              <w:t>1</w:t>
            </w:r>
          </w:p>
        </w:tc>
        <w:tc>
          <w:tcPr>
            <w:tcW w:w="2255" w:type="dxa"/>
            <w:tcBorders>
              <w:top w:val="single" w:color="auto" w:sz="4" w:space="0"/>
              <w:left w:val="single" w:color="auto" w:sz="4" w:space="0"/>
              <w:bottom w:val="single" w:color="auto" w:sz="4" w:space="0"/>
              <w:right w:val="single" w:color="auto" w:sz="4" w:space="0"/>
            </w:tcBorders>
            <w:vAlign w:val="center"/>
          </w:tcPr>
          <w:p w14:paraId="50322E27">
            <w:pPr>
              <w:spacing w:line="500" w:lineRule="exact"/>
              <w:jc w:val="center"/>
              <w:rPr>
                <w:rFonts w:ascii="宋体" w:hAnsi="宋体" w:eastAsia="宋体" w:cs="楷体"/>
                <w:bCs/>
                <w:kern w:val="2"/>
                <w:sz w:val="24"/>
                <w:szCs w:val="24"/>
              </w:rPr>
            </w:pPr>
          </w:p>
        </w:tc>
      </w:tr>
      <w:tr w14:paraId="37DE56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56" w:type="dxa"/>
            <w:tcBorders>
              <w:top w:val="single" w:color="auto" w:sz="4" w:space="0"/>
              <w:left w:val="single" w:color="auto" w:sz="4" w:space="0"/>
              <w:bottom w:val="single" w:color="auto" w:sz="4" w:space="0"/>
              <w:right w:val="single" w:color="auto" w:sz="4" w:space="0"/>
            </w:tcBorders>
            <w:vAlign w:val="center"/>
          </w:tcPr>
          <w:p w14:paraId="2C251267">
            <w:pPr>
              <w:spacing w:line="500" w:lineRule="exact"/>
              <w:jc w:val="center"/>
              <w:rPr>
                <w:rFonts w:ascii="宋体" w:hAnsi="宋体" w:eastAsia="宋体" w:cs="楷体"/>
                <w:bCs/>
                <w:kern w:val="2"/>
                <w:sz w:val="24"/>
                <w:szCs w:val="24"/>
              </w:rPr>
            </w:pPr>
            <w:r>
              <w:rPr>
                <w:rFonts w:hint="eastAsia" w:ascii="宋体" w:hAnsi="宋体" w:eastAsia="宋体" w:cs="楷体"/>
                <w:bCs/>
                <w:kern w:val="2"/>
                <w:sz w:val="24"/>
                <w:szCs w:val="24"/>
              </w:rPr>
              <w:t>3</w:t>
            </w:r>
          </w:p>
        </w:tc>
        <w:tc>
          <w:tcPr>
            <w:tcW w:w="3170" w:type="dxa"/>
            <w:tcBorders>
              <w:top w:val="single" w:color="auto" w:sz="4" w:space="0"/>
              <w:left w:val="single" w:color="auto" w:sz="4" w:space="0"/>
              <w:bottom w:val="single" w:color="auto" w:sz="4" w:space="0"/>
              <w:right w:val="single" w:color="auto" w:sz="4" w:space="0"/>
            </w:tcBorders>
            <w:vAlign w:val="center"/>
          </w:tcPr>
          <w:p w14:paraId="3510B5A5">
            <w:pPr>
              <w:spacing w:line="500" w:lineRule="exact"/>
              <w:jc w:val="center"/>
              <w:rPr>
                <w:rFonts w:ascii="宋体" w:hAnsi="宋体" w:eastAsia="宋体" w:cs="楷体"/>
                <w:bCs/>
                <w:kern w:val="2"/>
                <w:sz w:val="24"/>
                <w:szCs w:val="24"/>
                <w:lang w:eastAsia="zh-CN"/>
              </w:rPr>
            </w:pPr>
            <w:r>
              <w:rPr>
                <w:rFonts w:hint="eastAsia" w:ascii="宋体" w:hAnsi="宋体" w:eastAsia="宋体" w:cs="楷体"/>
                <w:bCs/>
                <w:kern w:val="2"/>
                <w:sz w:val="24"/>
                <w:szCs w:val="24"/>
                <w:lang w:eastAsia="zh-CN"/>
              </w:rPr>
              <w:t>8处外场设施正常运行供电及运维服务</w:t>
            </w:r>
          </w:p>
        </w:tc>
        <w:tc>
          <w:tcPr>
            <w:tcW w:w="1059" w:type="dxa"/>
            <w:tcBorders>
              <w:top w:val="single" w:color="auto" w:sz="4" w:space="0"/>
              <w:left w:val="single" w:color="auto" w:sz="4" w:space="0"/>
              <w:bottom w:val="single" w:color="auto" w:sz="4" w:space="0"/>
              <w:right w:val="single" w:color="auto" w:sz="4" w:space="0"/>
            </w:tcBorders>
            <w:vAlign w:val="center"/>
          </w:tcPr>
          <w:p w14:paraId="6C4965AF">
            <w:pPr>
              <w:spacing w:line="500" w:lineRule="exact"/>
              <w:jc w:val="center"/>
              <w:rPr>
                <w:rFonts w:ascii="宋体" w:hAnsi="宋体" w:eastAsia="宋体" w:cs="楷体"/>
                <w:bCs/>
                <w:kern w:val="2"/>
                <w:sz w:val="24"/>
                <w:szCs w:val="24"/>
              </w:rPr>
            </w:pPr>
            <w:r>
              <w:rPr>
                <w:rFonts w:hint="eastAsia" w:ascii="宋体" w:hAnsi="宋体" w:eastAsia="宋体" w:cs="楷体"/>
                <w:bCs/>
                <w:kern w:val="2"/>
                <w:sz w:val="24"/>
                <w:szCs w:val="24"/>
              </w:rPr>
              <w:t>项</w:t>
            </w:r>
          </w:p>
        </w:tc>
        <w:tc>
          <w:tcPr>
            <w:tcW w:w="816" w:type="dxa"/>
            <w:tcBorders>
              <w:top w:val="single" w:color="auto" w:sz="4" w:space="0"/>
              <w:left w:val="single" w:color="auto" w:sz="4" w:space="0"/>
              <w:bottom w:val="single" w:color="auto" w:sz="4" w:space="0"/>
              <w:right w:val="single" w:color="auto" w:sz="4" w:space="0"/>
            </w:tcBorders>
            <w:vAlign w:val="center"/>
          </w:tcPr>
          <w:p w14:paraId="323F4110">
            <w:pPr>
              <w:spacing w:line="500" w:lineRule="exact"/>
              <w:jc w:val="center"/>
              <w:rPr>
                <w:rFonts w:ascii="宋体" w:hAnsi="宋体" w:eastAsia="宋体" w:cs="楷体"/>
                <w:bCs/>
                <w:kern w:val="2"/>
                <w:sz w:val="24"/>
                <w:szCs w:val="24"/>
              </w:rPr>
            </w:pPr>
            <w:r>
              <w:rPr>
                <w:rFonts w:hint="eastAsia" w:ascii="宋体" w:hAnsi="宋体" w:eastAsia="宋体" w:cs="楷体"/>
                <w:bCs/>
                <w:kern w:val="2"/>
                <w:sz w:val="24"/>
                <w:szCs w:val="24"/>
              </w:rPr>
              <w:t>1</w:t>
            </w:r>
          </w:p>
        </w:tc>
        <w:tc>
          <w:tcPr>
            <w:tcW w:w="2255" w:type="dxa"/>
            <w:tcBorders>
              <w:top w:val="single" w:color="auto" w:sz="4" w:space="0"/>
              <w:left w:val="single" w:color="auto" w:sz="4" w:space="0"/>
              <w:bottom w:val="single" w:color="auto" w:sz="4" w:space="0"/>
              <w:right w:val="single" w:color="auto" w:sz="4" w:space="0"/>
            </w:tcBorders>
            <w:vAlign w:val="center"/>
          </w:tcPr>
          <w:p w14:paraId="23AAFC4A">
            <w:pPr>
              <w:spacing w:line="500" w:lineRule="exact"/>
              <w:jc w:val="center"/>
              <w:rPr>
                <w:rFonts w:ascii="宋体" w:hAnsi="宋体" w:eastAsia="宋体" w:cs="楷体"/>
                <w:bCs/>
                <w:kern w:val="2"/>
                <w:sz w:val="24"/>
                <w:szCs w:val="24"/>
                <w:lang w:eastAsia="zh-CN"/>
              </w:rPr>
            </w:pPr>
          </w:p>
        </w:tc>
      </w:tr>
      <w:tr w14:paraId="561E12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56" w:type="dxa"/>
            <w:tcBorders>
              <w:top w:val="single" w:color="auto" w:sz="4" w:space="0"/>
              <w:left w:val="single" w:color="auto" w:sz="4" w:space="0"/>
              <w:bottom w:val="single" w:color="auto" w:sz="4" w:space="0"/>
              <w:right w:val="single" w:color="auto" w:sz="4" w:space="0"/>
            </w:tcBorders>
            <w:vAlign w:val="center"/>
          </w:tcPr>
          <w:p w14:paraId="21ACC621">
            <w:pPr>
              <w:spacing w:line="500" w:lineRule="exact"/>
              <w:jc w:val="center"/>
              <w:rPr>
                <w:rFonts w:ascii="宋体" w:hAnsi="宋体" w:eastAsia="宋体" w:cs="楷体"/>
                <w:bCs/>
                <w:kern w:val="2"/>
                <w:sz w:val="24"/>
                <w:szCs w:val="24"/>
              </w:rPr>
            </w:pPr>
            <w:r>
              <w:rPr>
                <w:rFonts w:hint="eastAsia" w:ascii="宋体" w:hAnsi="宋体" w:eastAsia="宋体" w:cs="楷体"/>
                <w:bCs/>
                <w:kern w:val="2"/>
                <w:sz w:val="24"/>
                <w:szCs w:val="24"/>
              </w:rPr>
              <w:t>4</w:t>
            </w:r>
          </w:p>
        </w:tc>
        <w:tc>
          <w:tcPr>
            <w:tcW w:w="3170" w:type="dxa"/>
            <w:tcBorders>
              <w:top w:val="single" w:color="auto" w:sz="4" w:space="0"/>
              <w:left w:val="single" w:color="auto" w:sz="4" w:space="0"/>
              <w:bottom w:val="single" w:color="auto" w:sz="4" w:space="0"/>
              <w:right w:val="single" w:color="auto" w:sz="4" w:space="0"/>
            </w:tcBorders>
            <w:vAlign w:val="center"/>
          </w:tcPr>
          <w:p w14:paraId="4056050D">
            <w:pPr>
              <w:spacing w:line="500" w:lineRule="exact"/>
              <w:jc w:val="center"/>
              <w:rPr>
                <w:rFonts w:ascii="宋体" w:hAnsi="宋体" w:eastAsia="宋体" w:cs="楷体"/>
                <w:bCs/>
                <w:kern w:val="2"/>
                <w:sz w:val="24"/>
                <w:szCs w:val="24"/>
              </w:rPr>
            </w:pPr>
            <w:r>
              <w:rPr>
                <w:rFonts w:hint="eastAsia" w:ascii="宋体" w:hAnsi="宋体" w:eastAsia="宋体" w:cs="楷体"/>
                <w:bCs/>
                <w:kern w:val="2"/>
                <w:sz w:val="24"/>
                <w:szCs w:val="24"/>
              </w:rPr>
              <w:t>设备</w:t>
            </w:r>
            <w:r>
              <w:rPr>
                <w:rFonts w:hint="eastAsia" w:ascii="宋体" w:hAnsi="宋体" w:eastAsia="宋体" w:cs="楷体"/>
                <w:bCs/>
                <w:kern w:val="2"/>
                <w:sz w:val="24"/>
                <w:szCs w:val="24"/>
                <w:lang w:val="en-US" w:eastAsia="zh-CN"/>
              </w:rPr>
              <w:t>备件</w:t>
            </w:r>
          </w:p>
        </w:tc>
        <w:tc>
          <w:tcPr>
            <w:tcW w:w="1059" w:type="dxa"/>
            <w:tcBorders>
              <w:top w:val="single" w:color="auto" w:sz="4" w:space="0"/>
              <w:left w:val="single" w:color="auto" w:sz="4" w:space="0"/>
              <w:bottom w:val="single" w:color="auto" w:sz="4" w:space="0"/>
              <w:right w:val="single" w:color="auto" w:sz="4" w:space="0"/>
            </w:tcBorders>
            <w:vAlign w:val="center"/>
          </w:tcPr>
          <w:p w14:paraId="299E3E5F">
            <w:pPr>
              <w:spacing w:line="500" w:lineRule="exact"/>
              <w:jc w:val="center"/>
              <w:rPr>
                <w:rFonts w:ascii="宋体" w:hAnsi="宋体" w:eastAsia="宋体" w:cs="楷体"/>
                <w:bCs/>
                <w:kern w:val="2"/>
                <w:sz w:val="24"/>
                <w:szCs w:val="24"/>
              </w:rPr>
            </w:pPr>
            <w:r>
              <w:rPr>
                <w:rFonts w:hint="eastAsia" w:ascii="宋体" w:hAnsi="宋体" w:eastAsia="宋体" w:cs="楷体"/>
                <w:bCs/>
                <w:kern w:val="2"/>
                <w:sz w:val="24"/>
                <w:szCs w:val="24"/>
              </w:rPr>
              <w:t>项</w:t>
            </w:r>
          </w:p>
        </w:tc>
        <w:tc>
          <w:tcPr>
            <w:tcW w:w="816" w:type="dxa"/>
            <w:tcBorders>
              <w:top w:val="single" w:color="auto" w:sz="4" w:space="0"/>
              <w:left w:val="single" w:color="auto" w:sz="4" w:space="0"/>
              <w:bottom w:val="single" w:color="auto" w:sz="4" w:space="0"/>
              <w:right w:val="single" w:color="auto" w:sz="4" w:space="0"/>
            </w:tcBorders>
            <w:vAlign w:val="center"/>
          </w:tcPr>
          <w:p w14:paraId="39E62642">
            <w:pPr>
              <w:spacing w:line="500" w:lineRule="exact"/>
              <w:jc w:val="center"/>
              <w:rPr>
                <w:rFonts w:ascii="宋体" w:hAnsi="宋体" w:eastAsia="宋体" w:cs="楷体"/>
                <w:bCs/>
                <w:kern w:val="2"/>
                <w:sz w:val="24"/>
                <w:szCs w:val="24"/>
              </w:rPr>
            </w:pPr>
            <w:r>
              <w:rPr>
                <w:rFonts w:hint="eastAsia" w:ascii="宋体" w:hAnsi="宋体" w:eastAsia="宋体" w:cs="楷体"/>
                <w:bCs/>
                <w:kern w:val="2"/>
                <w:sz w:val="24"/>
                <w:szCs w:val="24"/>
              </w:rPr>
              <w:t>1</w:t>
            </w:r>
          </w:p>
        </w:tc>
        <w:tc>
          <w:tcPr>
            <w:tcW w:w="2255" w:type="dxa"/>
            <w:tcBorders>
              <w:top w:val="single" w:color="auto" w:sz="4" w:space="0"/>
              <w:left w:val="single" w:color="auto" w:sz="4" w:space="0"/>
              <w:bottom w:val="single" w:color="auto" w:sz="4" w:space="0"/>
              <w:right w:val="single" w:color="auto" w:sz="4" w:space="0"/>
            </w:tcBorders>
            <w:vAlign w:val="center"/>
          </w:tcPr>
          <w:p w14:paraId="2C50D816">
            <w:pPr>
              <w:spacing w:line="500" w:lineRule="exact"/>
              <w:jc w:val="center"/>
              <w:rPr>
                <w:rFonts w:ascii="宋体" w:hAnsi="宋体" w:eastAsia="宋体" w:cs="楷体"/>
                <w:bCs/>
                <w:kern w:val="2"/>
                <w:sz w:val="24"/>
                <w:szCs w:val="24"/>
                <w:lang w:eastAsia="zh-CN"/>
              </w:rPr>
            </w:pPr>
          </w:p>
        </w:tc>
      </w:tr>
      <w:tr w14:paraId="779C7F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56" w:type="dxa"/>
            <w:tcBorders>
              <w:top w:val="single" w:color="auto" w:sz="4" w:space="0"/>
              <w:left w:val="single" w:color="auto" w:sz="4" w:space="0"/>
              <w:bottom w:val="single" w:color="auto" w:sz="4" w:space="0"/>
              <w:right w:val="single" w:color="auto" w:sz="4" w:space="0"/>
            </w:tcBorders>
            <w:vAlign w:val="center"/>
          </w:tcPr>
          <w:p w14:paraId="0F3B90D3">
            <w:pPr>
              <w:spacing w:line="500" w:lineRule="exact"/>
              <w:jc w:val="center"/>
              <w:rPr>
                <w:rFonts w:ascii="宋体" w:hAnsi="宋体" w:eastAsia="宋体" w:cs="楷体"/>
                <w:bCs/>
                <w:kern w:val="2"/>
                <w:sz w:val="24"/>
                <w:szCs w:val="24"/>
              </w:rPr>
            </w:pPr>
            <w:r>
              <w:rPr>
                <w:rFonts w:hint="eastAsia" w:ascii="宋体" w:hAnsi="宋体" w:eastAsia="宋体" w:cs="楷体"/>
                <w:bCs/>
                <w:kern w:val="2"/>
                <w:sz w:val="24"/>
                <w:szCs w:val="24"/>
              </w:rPr>
              <w:t>5</w:t>
            </w:r>
          </w:p>
        </w:tc>
        <w:tc>
          <w:tcPr>
            <w:tcW w:w="3170" w:type="dxa"/>
            <w:tcBorders>
              <w:top w:val="single" w:color="auto" w:sz="4" w:space="0"/>
              <w:left w:val="single" w:color="auto" w:sz="4" w:space="0"/>
              <w:bottom w:val="single" w:color="auto" w:sz="4" w:space="0"/>
              <w:right w:val="single" w:color="auto" w:sz="4" w:space="0"/>
            </w:tcBorders>
            <w:vAlign w:val="center"/>
          </w:tcPr>
          <w:p w14:paraId="033C4855">
            <w:pPr>
              <w:spacing w:line="500" w:lineRule="exact"/>
              <w:jc w:val="center"/>
              <w:rPr>
                <w:rFonts w:ascii="宋体" w:hAnsi="宋体" w:eastAsia="宋体" w:cs="楷体"/>
                <w:bCs/>
                <w:kern w:val="2"/>
                <w:sz w:val="24"/>
                <w:szCs w:val="24"/>
                <w:lang w:eastAsia="zh-CN"/>
              </w:rPr>
            </w:pPr>
            <w:r>
              <w:rPr>
                <w:rFonts w:hint="eastAsia" w:ascii="宋体" w:hAnsi="宋体" w:eastAsia="宋体" w:cs="楷体"/>
                <w:bCs/>
                <w:kern w:val="2"/>
                <w:sz w:val="24"/>
                <w:szCs w:val="24"/>
                <w:lang w:eastAsia="zh-CN"/>
              </w:rPr>
              <w:t>10人·天相应专题技术培训</w:t>
            </w:r>
          </w:p>
        </w:tc>
        <w:tc>
          <w:tcPr>
            <w:tcW w:w="1059" w:type="dxa"/>
            <w:tcBorders>
              <w:top w:val="single" w:color="auto" w:sz="4" w:space="0"/>
              <w:left w:val="single" w:color="auto" w:sz="4" w:space="0"/>
              <w:bottom w:val="single" w:color="auto" w:sz="4" w:space="0"/>
              <w:right w:val="single" w:color="auto" w:sz="4" w:space="0"/>
            </w:tcBorders>
            <w:vAlign w:val="center"/>
          </w:tcPr>
          <w:p w14:paraId="46FD308A">
            <w:pPr>
              <w:spacing w:line="500" w:lineRule="exact"/>
              <w:jc w:val="center"/>
              <w:rPr>
                <w:rFonts w:ascii="宋体" w:hAnsi="宋体" w:eastAsia="宋体" w:cs="楷体"/>
                <w:bCs/>
                <w:kern w:val="2"/>
                <w:sz w:val="24"/>
                <w:szCs w:val="24"/>
              </w:rPr>
            </w:pPr>
            <w:r>
              <w:rPr>
                <w:rFonts w:hint="eastAsia" w:ascii="宋体" w:hAnsi="宋体" w:eastAsia="宋体" w:cs="楷体"/>
                <w:bCs/>
                <w:kern w:val="2"/>
                <w:sz w:val="24"/>
                <w:szCs w:val="24"/>
              </w:rPr>
              <w:t>项</w:t>
            </w:r>
          </w:p>
        </w:tc>
        <w:tc>
          <w:tcPr>
            <w:tcW w:w="816" w:type="dxa"/>
            <w:tcBorders>
              <w:top w:val="single" w:color="auto" w:sz="4" w:space="0"/>
              <w:left w:val="single" w:color="auto" w:sz="4" w:space="0"/>
              <w:bottom w:val="single" w:color="auto" w:sz="4" w:space="0"/>
              <w:right w:val="single" w:color="auto" w:sz="4" w:space="0"/>
            </w:tcBorders>
            <w:vAlign w:val="center"/>
          </w:tcPr>
          <w:p w14:paraId="571E035A">
            <w:pPr>
              <w:spacing w:line="500" w:lineRule="exact"/>
              <w:jc w:val="center"/>
              <w:rPr>
                <w:rFonts w:ascii="宋体" w:hAnsi="宋体" w:eastAsia="宋体" w:cs="楷体"/>
                <w:bCs/>
                <w:kern w:val="2"/>
                <w:sz w:val="24"/>
                <w:szCs w:val="24"/>
              </w:rPr>
            </w:pPr>
            <w:r>
              <w:rPr>
                <w:rFonts w:hint="eastAsia" w:ascii="宋体" w:hAnsi="宋体" w:eastAsia="宋体" w:cs="楷体"/>
                <w:bCs/>
                <w:kern w:val="2"/>
                <w:sz w:val="24"/>
                <w:szCs w:val="24"/>
              </w:rPr>
              <w:t>1</w:t>
            </w:r>
          </w:p>
        </w:tc>
        <w:tc>
          <w:tcPr>
            <w:tcW w:w="2255" w:type="dxa"/>
            <w:tcBorders>
              <w:top w:val="single" w:color="auto" w:sz="4" w:space="0"/>
              <w:left w:val="single" w:color="auto" w:sz="4" w:space="0"/>
              <w:bottom w:val="single" w:color="auto" w:sz="4" w:space="0"/>
              <w:right w:val="single" w:color="auto" w:sz="4" w:space="0"/>
            </w:tcBorders>
            <w:vAlign w:val="center"/>
          </w:tcPr>
          <w:p w14:paraId="53B22454">
            <w:pPr>
              <w:spacing w:line="500" w:lineRule="exact"/>
              <w:ind w:firstLine="480"/>
              <w:jc w:val="center"/>
              <w:rPr>
                <w:rFonts w:ascii="宋体" w:hAnsi="宋体" w:eastAsia="宋体" w:cs="楷体"/>
                <w:bCs/>
                <w:kern w:val="2"/>
                <w:sz w:val="24"/>
                <w:szCs w:val="24"/>
              </w:rPr>
            </w:pPr>
          </w:p>
        </w:tc>
      </w:tr>
      <w:tr w14:paraId="5E6824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56" w:type="dxa"/>
            <w:gridSpan w:val="5"/>
            <w:tcBorders>
              <w:top w:val="single" w:color="auto" w:sz="4" w:space="0"/>
              <w:left w:val="single" w:color="auto" w:sz="4" w:space="0"/>
              <w:bottom w:val="single" w:color="auto" w:sz="4" w:space="0"/>
              <w:right w:val="single" w:color="auto" w:sz="4" w:space="0"/>
            </w:tcBorders>
            <w:vAlign w:val="center"/>
          </w:tcPr>
          <w:p w14:paraId="0DA39DBA">
            <w:pPr>
              <w:spacing w:line="500" w:lineRule="exact"/>
              <w:rPr>
                <w:rFonts w:ascii="宋体" w:hAnsi="宋体" w:eastAsia="宋体" w:cs="楷体"/>
                <w:bCs/>
                <w:kern w:val="2"/>
                <w:sz w:val="24"/>
                <w:szCs w:val="24"/>
                <w:lang w:eastAsia="zh-CN"/>
              </w:rPr>
            </w:pPr>
            <w:r>
              <w:rPr>
                <w:rFonts w:hint="eastAsia" w:ascii="宋体" w:hAnsi="宋体" w:eastAsia="宋体"/>
                <w:kern w:val="2"/>
                <w:sz w:val="24"/>
                <w:szCs w:val="24"/>
                <w:lang w:eastAsia="zh-CN"/>
              </w:rPr>
              <w:t>五、赣南航道事务中心视频监控系统运维服务</w:t>
            </w:r>
          </w:p>
        </w:tc>
      </w:tr>
      <w:tr w14:paraId="0C8067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56" w:type="dxa"/>
            <w:tcBorders>
              <w:top w:val="single" w:color="auto" w:sz="4" w:space="0"/>
              <w:left w:val="single" w:color="auto" w:sz="4" w:space="0"/>
              <w:bottom w:val="single" w:color="auto" w:sz="4" w:space="0"/>
              <w:right w:val="single" w:color="auto" w:sz="4" w:space="0"/>
            </w:tcBorders>
            <w:vAlign w:val="center"/>
          </w:tcPr>
          <w:p w14:paraId="02426C9A">
            <w:pPr>
              <w:spacing w:line="500" w:lineRule="exact"/>
              <w:jc w:val="center"/>
              <w:rPr>
                <w:rFonts w:ascii="宋体" w:hAnsi="宋体" w:eastAsia="宋体" w:cs="楷体"/>
                <w:bCs/>
                <w:kern w:val="2"/>
                <w:sz w:val="24"/>
                <w:szCs w:val="24"/>
              </w:rPr>
            </w:pPr>
            <w:r>
              <w:rPr>
                <w:rFonts w:hint="eastAsia" w:ascii="宋体" w:hAnsi="宋体" w:eastAsia="宋体" w:cs="楷体"/>
                <w:bCs/>
                <w:kern w:val="2"/>
                <w:sz w:val="24"/>
                <w:szCs w:val="24"/>
              </w:rPr>
              <w:t>1</w:t>
            </w:r>
          </w:p>
        </w:tc>
        <w:tc>
          <w:tcPr>
            <w:tcW w:w="3170" w:type="dxa"/>
            <w:tcBorders>
              <w:top w:val="single" w:color="auto" w:sz="4" w:space="0"/>
              <w:left w:val="single" w:color="auto" w:sz="4" w:space="0"/>
              <w:bottom w:val="single" w:color="auto" w:sz="4" w:space="0"/>
              <w:right w:val="single" w:color="auto" w:sz="4" w:space="0"/>
            </w:tcBorders>
            <w:vAlign w:val="center"/>
          </w:tcPr>
          <w:p w14:paraId="31785B8E">
            <w:pPr>
              <w:spacing w:line="500" w:lineRule="exact"/>
              <w:jc w:val="center"/>
              <w:rPr>
                <w:rFonts w:ascii="宋体" w:hAnsi="宋体" w:eastAsia="宋体" w:cs="楷体"/>
                <w:bCs/>
                <w:kern w:val="2"/>
                <w:sz w:val="24"/>
                <w:szCs w:val="24"/>
              </w:rPr>
            </w:pPr>
            <w:r>
              <w:rPr>
                <w:rFonts w:hint="eastAsia" w:ascii="宋体" w:hAnsi="宋体" w:eastAsia="宋体" w:cs="楷体"/>
                <w:bCs/>
                <w:kern w:val="2"/>
                <w:sz w:val="24"/>
                <w:szCs w:val="24"/>
              </w:rPr>
              <w:t>机房设备运维</w:t>
            </w:r>
          </w:p>
        </w:tc>
        <w:tc>
          <w:tcPr>
            <w:tcW w:w="1059" w:type="dxa"/>
            <w:tcBorders>
              <w:top w:val="single" w:color="auto" w:sz="4" w:space="0"/>
              <w:left w:val="single" w:color="auto" w:sz="4" w:space="0"/>
              <w:bottom w:val="single" w:color="auto" w:sz="4" w:space="0"/>
              <w:right w:val="single" w:color="auto" w:sz="4" w:space="0"/>
            </w:tcBorders>
            <w:vAlign w:val="center"/>
          </w:tcPr>
          <w:p w14:paraId="490B79A3">
            <w:pPr>
              <w:spacing w:line="500" w:lineRule="exact"/>
              <w:jc w:val="center"/>
              <w:rPr>
                <w:rFonts w:ascii="宋体" w:hAnsi="宋体" w:eastAsia="宋体" w:cs="楷体"/>
                <w:bCs/>
                <w:kern w:val="2"/>
                <w:sz w:val="24"/>
                <w:szCs w:val="24"/>
              </w:rPr>
            </w:pPr>
            <w:r>
              <w:rPr>
                <w:rFonts w:hint="eastAsia" w:ascii="宋体" w:hAnsi="宋体" w:eastAsia="宋体" w:cs="楷体"/>
                <w:bCs/>
                <w:kern w:val="2"/>
                <w:sz w:val="24"/>
                <w:szCs w:val="24"/>
              </w:rPr>
              <w:t>项</w:t>
            </w:r>
          </w:p>
        </w:tc>
        <w:tc>
          <w:tcPr>
            <w:tcW w:w="816" w:type="dxa"/>
            <w:tcBorders>
              <w:top w:val="single" w:color="auto" w:sz="4" w:space="0"/>
              <w:left w:val="single" w:color="auto" w:sz="4" w:space="0"/>
              <w:bottom w:val="single" w:color="auto" w:sz="4" w:space="0"/>
              <w:right w:val="single" w:color="auto" w:sz="4" w:space="0"/>
            </w:tcBorders>
            <w:vAlign w:val="center"/>
          </w:tcPr>
          <w:p w14:paraId="4D653717">
            <w:pPr>
              <w:spacing w:line="500" w:lineRule="exact"/>
              <w:jc w:val="center"/>
              <w:rPr>
                <w:rFonts w:ascii="宋体" w:hAnsi="宋体" w:eastAsia="宋体" w:cs="楷体"/>
                <w:bCs/>
                <w:kern w:val="2"/>
                <w:sz w:val="24"/>
                <w:szCs w:val="24"/>
              </w:rPr>
            </w:pPr>
            <w:r>
              <w:rPr>
                <w:rFonts w:hint="eastAsia" w:ascii="宋体" w:hAnsi="宋体" w:eastAsia="宋体" w:cs="楷体"/>
                <w:bCs/>
                <w:kern w:val="2"/>
                <w:sz w:val="24"/>
                <w:szCs w:val="24"/>
              </w:rPr>
              <w:t>1</w:t>
            </w:r>
          </w:p>
        </w:tc>
        <w:tc>
          <w:tcPr>
            <w:tcW w:w="2255" w:type="dxa"/>
            <w:tcBorders>
              <w:top w:val="single" w:color="auto" w:sz="4" w:space="0"/>
              <w:left w:val="single" w:color="auto" w:sz="4" w:space="0"/>
              <w:bottom w:val="single" w:color="auto" w:sz="4" w:space="0"/>
              <w:right w:val="single" w:color="auto" w:sz="4" w:space="0"/>
            </w:tcBorders>
            <w:vAlign w:val="center"/>
          </w:tcPr>
          <w:p w14:paraId="3E0E6078">
            <w:pPr>
              <w:spacing w:line="500" w:lineRule="exact"/>
              <w:jc w:val="center"/>
              <w:rPr>
                <w:rFonts w:ascii="宋体" w:hAnsi="宋体" w:eastAsia="宋体" w:cs="楷体"/>
                <w:bCs/>
                <w:kern w:val="2"/>
                <w:sz w:val="24"/>
                <w:szCs w:val="24"/>
                <w:lang w:eastAsia="zh-CN"/>
              </w:rPr>
            </w:pPr>
          </w:p>
        </w:tc>
      </w:tr>
      <w:tr w14:paraId="389029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56" w:type="dxa"/>
            <w:tcBorders>
              <w:top w:val="single" w:color="auto" w:sz="4" w:space="0"/>
              <w:left w:val="single" w:color="auto" w:sz="4" w:space="0"/>
              <w:bottom w:val="single" w:color="auto" w:sz="4" w:space="0"/>
              <w:right w:val="single" w:color="auto" w:sz="4" w:space="0"/>
            </w:tcBorders>
            <w:vAlign w:val="center"/>
          </w:tcPr>
          <w:p w14:paraId="77943273">
            <w:pPr>
              <w:spacing w:line="500" w:lineRule="exact"/>
              <w:jc w:val="center"/>
              <w:rPr>
                <w:rFonts w:ascii="宋体" w:hAnsi="宋体" w:eastAsia="宋体" w:cs="楷体"/>
                <w:bCs/>
                <w:kern w:val="2"/>
                <w:sz w:val="24"/>
                <w:szCs w:val="24"/>
              </w:rPr>
            </w:pPr>
            <w:r>
              <w:rPr>
                <w:rFonts w:hint="eastAsia" w:ascii="宋体" w:hAnsi="宋体" w:eastAsia="宋体" w:cs="楷体"/>
                <w:bCs/>
                <w:kern w:val="2"/>
                <w:sz w:val="24"/>
                <w:szCs w:val="24"/>
              </w:rPr>
              <w:t>2</w:t>
            </w:r>
          </w:p>
        </w:tc>
        <w:tc>
          <w:tcPr>
            <w:tcW w:w="3170" w:type="dxa"/>
            <w:tcBorders>
              <w:top w:val="single" w:color="auto" w:sz="4" w:space="0"/>
              <w:left w:val="single" w:color="auto" w:sz="4" w:space="0"/>
              <w:bottom w:val="single" w:color="auto" w:sz="4" w:space="0"/>
              <w:right w:val="single" w:color="auto" w:sz="4" w:space="0"/>
            </w:tcBorders>
            <w:vAlign w:val="center"/>
          </w:tcPr>
          <w:p w14:paraId="5A226B1A">
            <w:pPr>
              <w:spacing w:line="500" w:lineRule="exact"/>
              <w:jc w:val="center"/>
              <w:rPr>
                <w:rFonts w:ascii="宋体" w:hAnsi="宋体" w:eastAsia="宋体" w:cs="楷体"/>
                <w:bCs/>
                <w:kern w:val="2"/>
                <w:sz w:val="24"/>
                <w:szCs w:val="24"/>
              </w:rPr>
            </w:pPr>
            <w:r>
              <w:rPr>
                <w:rFonts w:hint="eastAsia" w:ascii="宋体" w:hAnsi="宋体" w:eastAsia="宋体" w:cs="楷体"/>
                <w:bCs/>
                <w:kern w:val="2"/>
                <w:sz w:val="24"/>
                <w:szCs w:val="24"/>
              </w:rPr>
              <w:t>11处外场设施运维服务</w:t>
            </w:r>
          </w:p>
        </w:tc>
        <w:tc>
          <w:tcPr>
            <w:tcW w:w="1059" w:type="dxa"/>
            <w:tcBorders>
              <w:top w:val="single" w:color="auto" w:sz="4" w:space="0"/>
              <w:left w:val="single" w:color="auto" w:sz="4" w:space="0"/>
              <w:bottom w:val="single" w:color="auto" w:sz="4" w:space="0"/>
              <w:right w:val="single" w:color="auto" w:sz="4" w:space="0"/>
            </w:tcBorders>
            <w:vAlign w:val="center"/>
          </w:tcPr>
          <w:p w14:paraId="6942AF59">
            <w:pPr>
              <w:spacing w:line="500" w:lineRule="exact"/>
              <w:jc w:val="center"/>
              <w:rPr>
                <w:rFonts w:ascii="宋体" w:hAnsi="宋体" w:eastAsia="宋体" w:cs="楷体"/>
                <w:bCs/>
                <w:kern w:val="2"/>
                <w:sz w:val="24"/>
                <w:szCs w:val="24"/>
              </w:rPr>
            </w:pPr>
            <w:r>
              <w:rPr>
                <w:rFonts w:hint="eastAsia" w:ascii="宋体" w:hAnsi="宋体" w:eastAsia="宋体" w:cs="楷体"/>
                <w:bCs/>
                <w:kern w:val="2"/>
                <w:sz w:val="24"/>
                <w:szCs w:val="24"/>
              </w:rPr>
              <w:t>项</w:t>
            </w:r>
          </w:p>
        </w:tc>
        <w:tc>
          <w:tcPr>
            <w:tcW w:w="816" w:type="dxa"/>
            <w:tcBorders>
              <w:top w:val="single" w:color="auto" w:sz="4" w:space="0"/>
              <w:left w:val="single" w:color="auto" w:sz="4" w:space="0"/>
              <w:bottom w:val="single" w:color="auto" w:sz="4" w:space="0"/>
              <w:right w:val="single" w:color="auto" w:sz="4" w:space="0"/>
            </w:tcBorders>
            <w:vAlign w:val="center"/>
          </w:tcPr>
          <w:p w14:paraId="2E505407">
            <w:pPr>
              <w:spacing w:line="500" w:lineRule="exact"/>
              <w:jc w:val="center"/>
              <w:rPr>
                <w:rFonts w:ascii="宋体" w:hAnsi="宋体" w:eastAsia="宋体" w:cs="楷体"/>
                <w:bCs/>
                <w:kern w:val="2"/>
                <w:sz w:val="24"/>
                <w:szCs w:val="24"/>
              </w:rPr>
            </w:pPr>
            <w:r>
              <w:rPr>
                <w:rFonts w:hint="eastAsia" w:ascii="宋体" w:hAnsi="宋体" w:eastAsia="宋体" w:cs="楷体"/>
                <w:bCs/>
                <w:kern w:val="2"/>
                <w:sz w:val="24"/>
                <w:szCs w:val="24"/>
              </w:rPr>
              <w:t>1</w:t>
            </w:r>
          </w:p>
        </w:tc>
        <w:tc>
          <w:tcPr>
            <w:tcW w:w="2255" w:type="dxa"/>
            <w:tcBorders>
              <w:top w:val="single" w:color="auto" w:sz="4" w:space="0"/>
              <w:left w:val="single" w:color="auto" w:sz="4" w:space="0"/>
              <w:bottom w:val="single" w:color="auto" w:sz="4" w:space="0"/>
              <w:right w:val="single" w:color="auto" w:sz="4" w:space="0"/>
            </w:tcBorders>
            <w:vAlign w:val="center"/>
          </w:tcPr>
          <w:p w14:paraId="36157EDB">
            <w:pPr>
              <w:spacing w:line="500" w:lineRule="exact"/>
              <w:jc w:val="center"/>
              <w:rPr>
                <w:rFonts w:ascii="宋体" w:hAnsi="宋体" w:eastAsia="宋体" w:cs="楷体"/>
                <w:bCs/>
                <w:kern w:val="2"/>
                <w:sz w:val="24"/>
                <w:szCs w:val="24"/>
              </w:rPr>
            </w:pPr>
          </w:p>
        </w:tc>
      </w:tr>
      <w:tr w14:paraId="4BF391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56" w:type="dxa"/>
            <w:tcBorders>
              <w:top w:val="single" w:color="auto" w:sz="4" w:space="0"/>
              <w:left w:val="single" w:color="auto" w:sz="4" w:space="0"/>
              <w:bottom w:val="single" w:color="auto" w:sz="4" w:space="0"/>
              <w:right w:val="single" w:color="auto" w:sz="4" w:space="0"/>
            </w:tcBorders>
            <w:vAlign w:val="center"/>
          </w:tcPr>
          <w:p w14:paraId="505ED2B0">
            <w:pPr>
              <w:spacing w:line="500" w:lineRule="exact"/>
              <w:jc w:val="center"/>
              <w:rPr>
                <w:rFonts w:ascii="宋体" w:hAnsi="宋体" w:eastAsia="宋体" w:cs="楷体"/>
                <w:bCs/>
                <w:kern w:val="2"/>
                <w:sz w:val="24"/>
                <w:szCs w:val="24"/>
              </w:rPr>
            </w:pPr>
            <w:r>
              <w:rPr>
                <w:rFonts w:hint="eastAsia" w:ascii="宋体" w:hAnsi="宋体" w:eastAsia="宋体" w:cs="楷体"/>
                <w:bCs/>
                <w:kern w:val="2"/>
                <w:sz w:val="24"/>
                <w:szCs w:val="24"/>
              </w:rPr>
              <w:t>3</w:t>
            </w:r>
          </w:p>
        </w:tc>
        <w:tc>
          <w:tcPr>
            <w:tcW w:w="3170" w:type="dxa"/>
            <w:tcBorders>
              <w:top w:val="single" w:color="auto" w:sz="4" w:space="0"/>
              <w:left w:val="single" w:color="auto" w:sz="4" w:space="0"/>
              <w:bottom w:val="single" w:color="auto" w:sz="4" w:space="0"/>
              <w:right w:val="single" w:color="auto" w:sz="4" w:space="0"/>
            </w:tcBorders>
            <w:vAlign w:val="center"/>
          </w:tcPr>
          <w:p w14:paraId="3997C71F">
            <w:pPr>
              <w:spacing w:line="500" w:lineRule="exact"/>
              <w:jc w:val="center"/>
              <w:rPr>
                <w:rFonts w:ascii="宋体" w:hAnsi="宋体" w:eastAsia="宋体" w:cs="楷体"/>
                <w:bCs/>
                <w:kern w:val="2"/>
                <w:sz w:val="24"/>
                <w:szCs w:val="24"/>
                <w:lang w:eastAsia="zh-CN"/>
              </w:rPr>
            </w:pPr>
            <w:r>
              <w:rPr>
                <w:rFonts w:hint="eastAsia" w:ascii="宋体" w:hAnsi="宋体" w:eastAsia="宋体" w:cs="楷体"/>
                <w:bCs/>
                <w:kern w:val="2"/>
                <w:sz w:val="24"/>
                <w:szCs w:val="24"/>
                <w:lang w:eastAsia="zh-CN"/>
              </w:rPr>
              <w:t>11处外场设施正常运行供电及运维服务</w:t>
            </w:r>
          </w:p>
        </w:tc>
        <w:tc>
          <w:tcPr>
            <w:tcW w:w="1059" w:type="dxa"/>
            <w:tcBorders>
              <w:top w:val="single" w:color="auto" w:sz="4" w:space="0"/>
              <w:left w:val="single" w:color="auto" w:sz="4" w:space="0"/>
              <w:bottom w:val="single" w:color="auto" w:sz="4" w:space="0"/>
              <w:right w:val="single" w:color="auto" w:sz="4" w:space="0"/>
            </w:tcBorders>
            <w:vAlign w:val="center"/>
          </w:tcPr>
          <w:p w14:paraId="174EFF85">
            <w:pPr>
              <w:spacing w:line="500" w:lineRule="exact"/>
              <w:jc w:val="center"/>
              <w:rPr>
                <w:rFonts w:ascii="宋体" w:hAnsi="宋体" w:eastAsia="宋体" w:cs="楷体"/>
                <w:bCs/>
                <w:kern w:val="2"/>
                <w:sz w:val="24"/>
                <w:szCs w:val="24"/>
              </w:rPr>
            </w:pPr>
            <w:r>
              <w:rPr>
                <w:rFonts w:hint="eastAsia" w:ascii="宋体" w:hAnsi="宋体" w:eastAsia="宋体" w:cs="楷体"/>
                <w:bCs/>
                <w:kern w:val="2"/>
                <w:sz w:val="24"/>
                <w:szCs w:val="24"/>
              </w:rPr>
              <w:t>项</w:t>
            </w:r>
          </w:p>
        </w:tc>
        <w:tc>
          <w:tcPr>
            <w:tcW w:w="816" w:type="dxa"/>
            <w:tcBorders>
              <w:top w:val="single" w:color="auto" w:sz="4" w:space="0"/>
              <w:left w:val="single" w:color="auto" w:sz="4" w:space="0"/>
              <w:bottom w:val="single" w:color="auto" w:sz="4" w:space="0"/>
              <w:right w:val="single" w:color="auto" w:sz="4" w:space="0"/>
            </w:tcBorders>
            <w:vAlign w:val="center"/>
          </w:tcPr>
          <w:p w14:paraId="2DB3C59C">
            <w:pPr>
              <w:spacing w:line="500" w:lineRule="exact"/>
              <w:jc w:val="center"/>
              <w:rPr>
                <w:rFonts w:ascii="宋体" w:hAnsi="宋体" w:eastAsia="宋体" w:cs="楷体"/>
                <w:bCs/>
                <w:kern w:val="2"/>
                <w:sz w:val="24"/>
                <w:szCs w:val="24"/>
              </w:rPr>
            </w:pPr>
            <w:r>
              <w:rPr>
                <w:rFonts w:hint="eastAsia" w:ascii="宋体" w:hAnsi="宋体" w:eastAsia="宋体" w:cs="楷体"/>
                <w:bCs/>
                <w:kern w:val="2"/>
                <w:sz w:val="24"/>
                <w:szCs w:val="24"/>
              </w:rPr>
              <w:t>1</w:t>
            </w:r>
          </w:p>
        </w:tc>
        <w:tc>
          <w:tcPr>
            <w:tcW w:w="2255" w:type="dxa"/>
            <w:tcBorders>
              <w:top w:val="single" w:color="auto" w:sz="4" w:space="0"/>
              <w:left w:val="single" w:color="auto" w:sz="4" w:space="0"/>
              <w:bottom w:val="single" w:color="auto" w:sz="4" w:space="0"/>
              <w:right w:val="single" w:color="auto" w:sz="4" w:space="0"/>
            </w:tcBorders>
            <w:vAlign w:val="center"/>
          </w:tcPr>
          <w:p w14:paraId="12750442">
            <w:pPr>
              <w:spacing w:line="500" w:lineRule="exact"/>
              <w:jc w:val="center"/>
              <w:rPr>
                <w:rFonts w:ascii="宋体" w:hAnsi="宋体" w:eastAsia="宋体" w:cs="楷体"/>
                <w:bCs/>
                <w:kern w:val="2"/>
                <w:sz w:val="24"/>
                <w:szCs w:val="24"/>
                <w:lang w:eastAsia="zh-CN"/>
              </w:rPr>
            </w:pPr>
          </w:p>
        </w:tc>
      </w:tr>
      <w:tr w14:paraId="1AC4C5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56" w:type="dxa"/>
            <w:tcBorders>
              <w:top w:val="single" w:color="auto" w:sz="4" w:space="0"/>
              <w:left w:val="single" w:color="auto" w:sz="4" w:space="0"/>
              <w:bottom w:val="single" w:color="auto" w:sz="4" w:space="0"/>
              <w:right w:val="single" w:color="auto" w:sz="4" w:space="0"/>
            </w:tcBorders>
            <w:vAlign w:val="center"/>
          </w:tcPr>
          <w:p w14:paraId="2F95E39A">
            <w:pPr>
              <w:spacing w:line="500" w:lineRule="exact"/>
              <w:jc w:val="center"/>
              <w:rPr>
                <w:rFonts w:ascii="宋体" w:hAnsi="宋体" w:eastAsia="宋体" w:cs="楷体"/>
                <w:bCs/>
                <w:kern w:val="2"/>
                <w:sz w:val="24"/>
                <w:szCs w:val="24"/>
              </w:rPr>
            </w:pPr>
            <w:r>
              <w:rPr>
                <w:rFonts w:hint="eastAsia" w:ascii="宋体" w:hAnsi="宋体" w:eastAsia="宋体" w:cs="楷体"/>
                <w:bCs/>
                <w:kern w:val="2"/>
                <w:sz w:val="24"/>
                <w:szCs w:val="24"/>
              </w:rPr>
              <w:t>4</w:t>
            </w:r>
          </w:p>
        </w:tc>
        <w:tc>
          <w:tcPr>
            <w:tcW w:w="3170" w:type="dxa"/>
            <w:tcBorders>
              <w:top w:val="single" w:color="auto" w:sz="4" w:space="0"/>
              <w:left w:val="single" w:color="auto" w:sz="4" w:space="0"/>
              <w:bottom w:val="single" w:color="auto" w:sz="4" w:space="0"/>
              <w:right w:val="single" w:color="auto" w:sz="4" w:space="0"/>
            </w:tcBorders>
            <w:vAlign w:val="center"/>
          </w:tcPr>
          <w:p w14:paraId="51CE9FE7">
            <w:pPr>
              <w:spacing w:line="500" w:lineRule="exact"/>
              <w:jc w:val="center"/>
              <w:rPr>
                <w:rFonts w:ascii="宋体" w:hAnsi="宋体" w:eastAsia="宋体" w:cs="楷体"/>
                <w:bCs/>
                <w:kern w:val="2"/>
                <w:sz w:val="24"/>
                <w:szCs w:val="24"/>
              </w:rPr>
            </w:pPr>
            <w:r>
              <w:rPr>
                <w:rFonts w:hint="eastAsia" w:ascii="宋体" w:hAnsi="宋体" w:eastAsia="宋体" w:cs="楷体"/>
                <w:bCs/>
                <w:kern w:val="2"/>
                <w:sz w:val="24"/>
                <w:szCs w:val="24"/>
              </w:rPr>
              <w:t>设备</w:t>
            </w:r>
            <w:r>
              <w:rPr>
                <w:rFonts w:hint="eastAsia" w:ascii="宋体" w:hAnsi="宋体" w:eastAsia="宋体" w:cs="楷体"/>
                <w:bCs/>
                <w:kern w:val="2"/>
                <w:sz w:val="24"/>
                <w:szCs w:val="24"/>
                <w:lang w:val="en-US" w:eastAsia="zh-CN"/>
              </w:rPr>
              <w:t>备件</w:t>
            </w:r>
          </w:p>
        </w:tc>
        <w:tc>
          <w:tcPr>
            <w:tcW w:w="1059" w:type="dxa"/>
            <w:tcBorders>
              <w:top w:val="single" w:color="auto" w:sz="4" w:space="0"/>
              <w:left w:val="single" w:color="auto" w:sz="4" w:space="0"/>
              <w:bottom w:val="single" w:color="auto" w:sz="4" w:space="0"/>
              <w:right w:val="single" w:color="auto" w:sz="4" w:space="0"/>
            </w:tcBorders>
            <w:vAlign w:val="center"/>
          </w:tcPr>
          <w:p w14:paraId="464BDC6C">
            <w:pPr>
              <w:spacing w:line="500" w:lineRule="exact"/>
              <w:jc w:val="center"/>
              <w:rPr>
                <w:rFonts w:ascii="宋体" w:hAnsi="宋体" w:eastAsia="宋体" w:cs="楷体"/>
                <w:bCs/>
                <w:kern w:val="2"/>
                <w:sz w:val="24"/>
                <w:szCs w:val="24"/>
              </w:rPr>
            </w:pPr>
            <w:r>
              <w:rPr>
                <w:rFonts w:hint="eastAsia" w:ascii="宋体" w:hAnsi="宋体" w:eastAsia="宋体" w:cs="楷体"/>
                <w:bCs/>
                <w:kern w:val="2"/>
                <w:sz w:val="24"/>
                <w:szCs w:val="24"/>
              </w:rPr>
              <w:t>项</w:t>
            </w:r>
          </w:p>
        </w:tc>
        <w:tc>
          <w:tcPr>
            <w:tcW w:w="816" w:type="dxa"/>
            <w:tcBorders>
              <w:top w:val="single" w:color="auto" w:sz="4" w:space="0"/>
              <w:left w:val="single" w:color="auto" w:sz="4" w:space="0"/>
              <w:bottom w:val="single" w:color="auto" w:sz="4" w:space="0"/>
              <w:right w:val="single" w:color="auto" w:sz="4" w:space="0"/>
            </w:tcBorders>
            <w:vAlign w:val="center"/>
          </w:tcPr>
          <w:p w14:paraId="45C15E81">
            <w:pPr>
              <w:spacing w:line="500" w:lineRule="exact"/>
              <w:jc w:val="center"/>
              <w:rPr>
                <w:rFonts w:ascii="宋体" w:hAnsi="宋体" w:eastAsia="宋体" w:cs="楷体"/>
                <w:bCs/>
                <w:kern w:val="2"/>
                <w:sz w:val="24"/>
                <w:szCs w:val="24"/>
              </w:rPr>
            </w:pPr>
            <w:r>
              <w:rPr>
                <w:rFonts w:hint="eastAsia" w:ascii="宋体" w:hAnsi="宋体" w:eastAsia="宋体" w:cs="楷体"/>
                <w:bCs/>
                <w:kern w:val="2"/>
                <w:sz w:val="24"/>
                <w:szCs w:val="24"/>
              </w:rPr>
              <w:t>1</w:t>
            </w:r>
          </w:p>
        </w:tc>
        <w:tc>
          <w:tcPr>
            <w:tcW w:w="2255" w:type="dxa"/>
            <w:tcBorders>
              <w:top w:val="single" w:color="auto" w:sz="4" w:space="0"/>
              <w:left w:val="single" w:color="auto" w:sz="4" w:space="0"/>
              <w:bottom w:val="single" w:color="auto" w:sz="4" w:space="0"/>
              <w:right w:val="single" w:color="auto" w:sz="4" w:space="0"/>
            </w:tcBorders>
            <w:vAlign w:val="center"/>
          </w:tcPr>
          <w:p w14:paraId="6F01C3E2">
            <w:pPr>
              <w:spacing w:line="500" w:lineRule="exact"/>
              <w:jc w:val="center"/>
              <w:rPr>
                <w:rFonts w:ascii="宋体" w:hAnsi="宋体" w:eastAsia="宋体" w:cs="楷体"/>
                <w:bCs/>
                <w:kern w:val="2"/>
                <w:sz w:val="24"/>
                <w:szCs w:val="24"/>
                <w:lang w:eastAsia="zh-CN"/>
              </w:rPr>
            </w:pPr>
          </w:p>
        </w:tc>
      </w:tr>
      <w:tr w14:paraId="63D1D7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56" w:type="dxa"/>
            <w:tcBorders>
              <w:top w:val="single" w:color="auto" w:sz="4" w:space="0"/>
              <w:left w:val="single" w:color="auto" w:sz="4" w:space="0"/>
              <w:bottom w:val="single" w:color="auto" w:sz="4" w:space="0"/>
              <w:right w:val="single" w:color="auto" w:sz="4" w:space="0"/>
            </w:tcBorders>
            <w:vAlign w:val="center"/>
          </w:tcPr>
          <w:p w14:paraId="4C36FB45">
            <w:pPr>
              <w:spacing w:line="500" w:lineRule="exact"/>
              <w:jc w:val="center"/>
              <w:rPr>
                <w:rFonts w:ascii="宋体" w:hAnsi="宋体" w:eastAsia="宋体" w:cs="楷体"/>
                <w:bCs/>
                <w:kern w:val="2"/>
                <w:sz w:val="24"/>
                <w:szCs w:val="24"/>
              </w:rPr>
            </w:pPr>
            <w:r>
              <w:rPr>
                <w:rFonts w:hint="eastAsia" w:ascii="宋体" w:hAnsi="宋体" w:eastAsia="宋体" w:cs="楷体"/>
                <w:bCs/>
                <w:kern w:val="2"/>
                <w:sz w:val="24"/>
                <w:szCs w:val="24"/>
              </w:rPr>
              <w:t>5</w:t>
            </w:r>
          </w:p>
        </w:tc>
        <w:tc>
          <w:tcPr>
            <w:tcW w:w="3170" w:type="dxa"/>
            <w:tcBorders>
              <w:top w:val="single" w:color="auto" w:sz="4" w:space="0"/>
              <w:left w:val="single" w:color="auto" w:sz="4" w:space="0"/>
              <w:bottom w:val="single" w:color="auto" w:sz="4" w:space="0"/>
              <w:right w:val="single" w:color="auto" w:sz="4" w:space="0"/>
            </w:tcBorders>
            <w:vAlign w:val="center"/>
          </w:tcPr>
          <w:p w14:paraId="7ED33296">
            <w:pPr>
              <w:spacing w:line="500" w:lineRule="exact"/>
              <w:jc w:val="center"/>
              <w:rPr>
                <w:rFonts w:ascii="宋体" w:hAnsi="宋体" w:eastAsia="宋体" w:cs="楷体"/>
                <w:bCs/>
                <w:kern w:val="2"/>
                <w:sz w:val="24"/>
                <w:szCs w:val="24"/>
                <w:lang w:eastAsia="zh-CN"/>
              </w:rPr>
            </w:pPr>
            <w:r>
              <w:rPr>
                <w:rFonts w:hint="eastAsia" w:ascii="宋体" w:hAnsi="宋体" w:eastAsia="宋体" w:cs="楷体"/>
                <w:bCs/>
                <w:kern w:val="2"/>
                <w:sz w:val="24"/>
                <w:szCs w:val="24"/>
                <w:lang w:eastAsia="zh-CN"/>
              </w:rPr>
              <w:t>10人·天相应专题技术培训</w:t>
            </w:r>
          </w:p>
        </w:tc>
        <w:tc>
          <w:tcPr>
            <w:tcW w:w="1059" w:type="dxa"/>
            <w:tcBorders>
              <w:top w:val="single" w:color="auto" w:sz="4" w:space="0"/>
              <w:left w:val="single" w:color="auto" w:sz="4" w:space="0"/>
              <w:bottom w:val="single" w:color="auto" w:sz="4" w:space="0"/>
              <w:right w:val="single" w:color="auto" w:sz="4" w:space="0"/>
            </w:tcBorders>
            <w:vAlign w:val="center"/>
          </w:tcPr>
          <w:p w14:paraId="250F2B67">
            <w:pPr>
              <w:spacing w:line="500" w:lineRule="exact"/>
              <w:jc w:val="center"/>
              <w:rPr>
                <w:rFonts w:ascii="宋体" w:hAnsi="宋体" w:eastAsia="宋体" w:cs="楷体"/>
                <w:bCs/>
                <w:kern w:val="2"/>
                <w:sz w:val="24"/>
                <w:szCs w:val="24"/>
              </w:rPr>
            </w:pPr>
            <w:r>
              <w:rPr>
                <w:rFonts w:hint="eastAsia" w:ascii="宋体" w:hAnsi="宋体" w:eastAsia="宋体" w:cs="楷体"/>
                <w:bCs/>
                <w:kern w:val="2"/>
                <w:sz w:val="24"/>
                <w:szCs w:val="24"/>
              </w:rPr>
              <w:t>项</w:t>
            </w:r>
          </w:p>
        </w:tc>
        <w:tc>
          <w:tcPr>
            <w:tcW w:w="816" w:type="dxa"/>
            <w:tcBorders>
              <w:top w:val="single" w:color="auto" w:sz="4" w:space="0"/>
              <w:left w:val="single" w:color="auto" w:sz="4" w:space="0"/>
              <w:bottom w:val="single" w:color="auto" w:sz="4" w:space="0"/>
              <w:right w:val="single" w:color="auto" w:sz="4" w:space="0"/>
            </w:tcBorders>
            <w:vAlign w:val="center"/>
          </w:tcPr>
          <w:p w14:paraId="25913B4E">
            <w:pPr>
              <w:spacing w:line="500" w:lineRule="exact"/>
              <w:jc w:val="center"/>
              <w:rPr>
                <w:rFonts w:ascii="宋体" w:hAnsi="宋体" w:eastAsia="宋体" w:cs="楷体"/>
                <w:bCs/>
                <w:kern w:val="2"/>
                <w:sz w:val="24"/>
                <w:szCs w:val="24"/>
              </w:rPr>
            </w:pPr>
            <w:r>
              <w:rPr>
                <w:rFonts w:hint="eastAsia" w:ascii="宋体" w:hAnsi="宋体" w:eastAsia="宋体" w:cs="楷体"/>
                <w:bCs/>
                <w:kern w:val="2"/>
                <w:sz w:val="24"/>
                <w:szCs w:val="24"/>
              </w:rPr>
              <w:t>1</w:t>
            </w:r>
          </w:p>
        </w:tc>
        <w:tc>
          <w:tcPr>
            <w:tcW w:w="2255" w:type="dxa"/>
            <w:tcBorders>
              <w:top w:val="single" w:color="auto" w:sz="4" w:space="0"/>
              <w:left w:val="single" w:color="auto" w:sz="4" w:space="0"/>
              <w:bottom w:val="single" w:color="auto" w:sz="4" w:space="0"/>
              <w:right w:val="single" w:color="auto" w:sz="4" w:space="0"/>
            </w:tcBorders>
            <w:vAlign w:val="center"/>
          </w:tcPr>
          <w:p w14:paraId="0502C54A">
            <w:pPr>
              <w:spacing w:line="500" w:lineRule="exact"/>
              <w:ind w:firstLine="480"/>
              <w:jc w:val="center"/>
              <w:rPr>
                <w:rFonts w:ascii="宋体" w:hAnsi="宋体" w:eastAsia="宋体" w:cs="楷体"/>
                <w:bCs/>
                <w:kern w:val="2"/>
                <w:sz w:val="24"/>
                <w:szCs w:val="24"/>
              </w:rPr>
            </w:pPr>
          </w:p>
        </w:tc>
      </w:tr>
      <w:tr w14:paraId="6D17CC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56" w:type="dxa"/>
            <w:gridSpan w:val="5"/>
            <w:tcBorders>
              <w:top w:val="single" w:color="auto" w:sz="4" w:space="0"/>
              <w:left w:val="single" w:color="auto" w:sz="4" w:space="0"/>
              <w:bottom w:val="single" w:color="auto" w:sz="4" w:space="0"/>
              <w:right w:val="single" w:color="auto" w:sz="4" w:space="0"/>
            </w:tcBorders>
            <w:vAlign w:val="center"/>
          </w:tcPr>
          <w:p w14:paraId="584C77DF">
            <w:pPr>
              <w:spacing w:line="500" w:lineRule="exact"/>
              <w:rPr>
                <w:rFonts w:ascii="宋体" w:hAnsi="宋体" w:eastAsia="宋体" w:cs="楷体"/>
                <w:bCs/>
                <w:kern w:val="2"/>
                <w:sz w:val="24"/>
                <w:szCs w:val="24"/>
                <w:lang w:eastAsia="zh-CN"/>
              </w:rPr>
            </w:pPr>
            <w:r>
              <w:rPr>
                <w:rFonts w:hint="eastAsia" w:ascii="宋体" w:hAnsi="宋体" w:eastAsia="宋体"/>
                <w:kern w:val="2"/>
                <w:sz w:val="24"/>
                <w:szCs w:val="24"/>
                <w:lang w:eastAsia="zh-CN"/>
              </w:rPr>
              <w:t>六、赣西航道事务中心视频监控系统运维服务</w:t>
            </w:r>
          </w:p>
        </w:tc>
      </w:tr>
      <w:tr w14:paraId="004DDCA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56" w:type="dxa"/>
            <w:tcBorders>
              <w:top w:val="single" w:color="auto" w:sz="4" w:space="0"/>
              <w:left w:val="single" w:color="auto" w:sz="4" w:space="0"/>
              <w:bottom w:val="single" w:color="auto" w:sz="4" w:space="0"/>
              <w:right w:val="single" w:color="auto" w:sz="4" w:space="0"/>
            </w:tcBorders>
            <w:vAlign w:val="center"/>
          </w:tcPr>
          <w:p w14:paraId="53557B7E">
            <w:pPr>
              <w:spacing w:line="500" w:lineRule="exact"/>
              <w:jc w:val="center"/>
              <w:rPr>
                <w:rFonts w:ascii="宋体" w:hAnsi="宋体" w:eastAsia="宋体" w:cs="楷体"/>
                <w:bCs/>
                <w:kern w:val="2"/>
                <w:sz w:val="24"/>
                <w:szCs w:val="24"/>
              </w:rPr>
            </w:pPr>
            <w:r>
              <w:rPr>
                <w:rFonts w:hint="eastAsia" w:ascii="宋体" w:hAnsi="宋体" w:eastAsia="宋体" w:cs="楷体"/>
                <w:bCs/>
                <w:kern w:val="2"/>
                <w:sz w:val="24"/>
                <w:szCs w:val="24"/>
              </w:rPr>
              <w:t>1</w:t>
            </w:r>
          </w:p>
        </w:tc>
        <w:tc>
          <w:tcPr>
            <w:tcW w:w="3170" w:type="dxa"/>
            <w:tcBorders>
              <w:top w:val="single" w:color="auto" w:sz="4" w:space="0"/>
              <w:left w:val="single" w:color="auto" w:sz="4" w:space="0"/>
              <w:bottom w:val="single" w:color="auto" w:sz="4" w:space="0"/>
              <w:right w:val="single" w:color="auto" w:sz="4" w:space="0"/>
            </w:tcBorders>
            <w:vAlign w:val="center"/>
          </w:tcPr>
          <w:p w14:paraId="59CD2E30">
            <w:pPr>
              <w:spacing w:line="500" w:lineRule="exact"/>
              <w:jc w:val="center"/>
              <w:rPr>
                <w:rFonts w:ascii="宋体" w:hAnsi="宋体" w:eastAsia="宋体" w:cs="楷体"/>
                <w:bCs/>
                <w:kern w:val="2"/>
                <w:sz w:val="24"/>
                <w:szCs w:val="24"/>
              </w:rPr>
            </w:pPr>
            <w:r>
              <w:rPr>
                <w:rFonts w:hint="eastAsia" w:ascii="宋体" w:hAnsi="宋体" w:eastAsia="宋体" w:cs="楷体"/>
                <w:bCs/>
                <w:kern w:val="2"/>
                <w:sz w:val="24"/>
                <w:szCs w:val="24"/>
              </w:rPr>
              <w:t>机房设备运维</w:t>
            </w:r>
          </w:p>
        </w:tc>
        <w:tc>
          <w:tcPr>
            <w:tcW w:w="1059" w:type="dxa"/>
            <w:tcBorders>
              <w:top w:val="single" w:color="auto" w:sz="4" w:space="0"/>
              <w:left w:val="single" w:color="auto" w:sz="4" w:space="0"/>
              <w:bottom w:val="single" w:color="auto" w:sz="4" w:space="0"/>
              <w:right w:val="single" w:color="auto" w:sz="4" w:space="0"/>
            </w:tcBorders>
            <w:vAlign w:val="center"/>
          </w:tcPr>
          <w:p w14:paraId="48D080D5">
            <w:pPr>
              <w:spacing w:line="500" w:lineRule="exact"/>
              <w:jc w:val="center"/>
              <w:rPr>
                <w:rFonts w:ascii="宋体" w:hAnsi="宋体" w:eastAsia="宋体" w:cs="楷体"/>
                <w:bCs/>
                <w:kern w:val="2"/>
                <w:sz w:val="24"/>
                <w:szCs w:val="24"/>
              </w:rPr>
            </w:pPr>
            <w:r>
              <w:rPr>
                <w:rFonts w:hint="eastAsia" w:ascii="宋体" w:hAnsi="宋体" w:eastAsia="宋体" w:cs="楷体"/>
                <w:bCs/>
                <w:kern w:val="2"/>
                <w:sz w:val="24"/>
                <w:szCs w:val="24"/>
              </w:rPr>
              <w:t>项</w:t>
            </w:r>
          </w:p>
        </w:tc>
        <w:tc>
          <w:tcPr>
            <w:tcW w:w="816" w:type="dxa"/>
            <w:tcBorders>
              <w:top w:val="single" w:color="auto" w:sz="4" w:space="0"/>
              <w:left w:val="single" w:color="auto" w:sz="4" w:space="0"/>
              <w:bottom w:val="single" w:color="auto" w:sz="4" w:space="0"/>
              <w:right w:val="single" w:color="auto" w:sz="4" w:space="0"/>
            </w:tcBorders>
            <w:vAlign w:val="center"/>
          </w:tcPr>
          <w:p w14:paraId="5A613B3B">
            <w:pPr>
              <w:spacing w:line="500" w:lineRule="exact"/>
              <w:jc w:val="center"/>
              <w:rPr>
                <w:rFonts w:ascii="宋体" w:hAnsi="宋体" w:eastAsia="宋体" w:cs="楷体"/>
                <w:bCs/>
                <w:kern w:val="2"/>
                <w:sz w:val="24"/>
                <w:szCs w:val="24"/>
              </w:rPr>
            </w:pPr>
            <w:r>
              <w:rPr>
                <w:rFonts w:hint="eastAsia" w:ascii="宋体" w:hAnsi="宋体" w:eastAsia="宋体" w:cs="楷体"/>
                <w:bCs/>
                <w:kern w:val="2"/>
                <w:sz w:val="24"/>
                <w:szCs w:val="24"/>
              </w:rPr>
              <w:t>1</w:t>
            </w:r>
          </w:p>
        </w:tc>
        <w:tc>
          <w:tcPr>
            <w:tcW w:w="2255" w:type="dxa"/>
            <w:tcBorders>
              <w:top w:val="single" w:color="auto" w:sz="4" w:space="0"/>
              <w:left w:val="single" w:color="auto" w:sz="4" w:space="0"/>
              <w:bottom w:val="single" w:color="auto" w:sz="4" w:space="0"/>
              <w:right w:val="single" w:color="auto" w:sz="4" w:space="0"/>
            </w:tcBorders>
            <w:vAlign w:val="center"/>
          </w:tcPr>
          <w:p w14:paraId="265FBF40">
            <w:pPr>
              <w:spacing w:line="500" w:lineRule="exact"/>
              <w:jc w:val="center"/>
              <w:rPr>
                <w:rFonts w:ascii="宋体" w:hAnsi="宋体" w:eastAsia="宋体" w:cs="楷体"/>
                <w:bCs/>
                <w:kern w:val="2"/>
                <w:sz w:val="24"/>
                <w:szCs w:val="24"/>
                <w:lang w:eastAsia="zh-CN"/>
              </w:rPr>
            </w:pPr>
          </w:p>
        </w:tc>
      </w:tr>
      <w:tr w14:paraId="0CA977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56" w:type="dxa"/>
            <w:tcBorders>
              <w:top w:val="single" w:color="auto" w:sz="4" w:space="0"/>
              <w:left w:val="single" w:color="auto" w:sz="4" w:space="0"/>
              <w:bottom w:val="single" w:color="auto" w:sz="4" w:space="0"/>
              <w:right w:val="single" w:color="auto" w:sz="4" w:space="0"/>
            </w:tcBorders>
            <w:vAlign w:val="center"/>
          </w:tcPr>
          <w:p w14:paraId="62304FFC">
            <w:pPr>
              <w:spacing w:line="500" w:lineRule="exact"/>
              <w:jc w:val="center"/>
              <w:rPr>
                <w:rFonts w:ascii="宋体" w:hAnsi="宋体" w:eastAsia="宋体" w:cs="楷体"/>
                <w:bCs/>
                <w:kern w:val="2"/>
                <w:sz w:val="24"/>
                <w:szCs w:val="24"/>
              </w:rPr>
            </w:pPr>
            <w:r>
              <w:rPr>
                <w:rFonts w:hint="eastAsia" w:ascii="宋体" w:hAnsi="宋体" w:eastAsia="宋体" w:cs="楷体"/>
                <w:bCs/>
                <w:kern w:val="2"/>
                <w:sz w:val="24"/>
                <w:szCs w:val="24"/>
              </w:rPr>
              <w:t>2</w:t>
            </w:r>
          </w:p>
        </w:tc>
        <w:tc>
          <w:tcPr>
            <w:tcW w:w="3170" w:type="dxa"/>
            <w:tcBorders>
              <w:top w:val="single" w:color="auto" w:sz="4" w:space="0"/>
              <w:left w:val="single" w:color="auto" w:sz="4" w:space="0"/>
              <w:bottom w:val="single" w:color="auto" w:sz="4" w:space="0"/>
              <w:right w:val="single" w:color="auto" w:sz="4" w:space="0"/>
            </w:tcBorders>
            <w:vAlign w:val="center"/>
          </w:tcPr>
          <w:p w14:paraId="0CAD9CAA">
            <w:pPr>
              <w:spacing w:line="500" w:lineRule="exact"/>
              <w:jc w:val="center"/>
              <w:rPr>
                <w:rFonts w:ascii="宋体" w:hAnsi="宋体" w:eastAsia="宋体" w:cs="楷体"/>
                <w:bCs/>
                <w:kern w:val="2"/>
                <w:sz w:val="24"/>
                <w:szCs w:val="24"/>
              </w:rPr>
            </w:pPr>
            <w:r>
              <w:rPr>
                <w:rFonts w:hint="eastAsia" w:ascii="宋体" w:hAnsi="宋体" w:eastAsia="宋体" w:cs="楷体"/>
                <w:bCs/>
                <w:kern w:val="2"/>
                <w:sz w:val="24"/>
                <w:szCs w:val="24"/>
              </w:rPr>
              <w:t>8处外场设施运维服务</w:t>
            </w:r>
          </w:p>
        </w:tc>
        <w:tc>
          <w:tcPr>
            <w:tcW w:w="1059" w:type="dxa"/>
            <w:tcBorders>
              <w:top w:val="single" w:color="auto" w:sz="4" w:space="0"/>
              <w:left w:val="single" w:color="auto" w:sz="4" w:space="0"/>
              <w:bottom w:val="single" w:color="auto" w:sz="4" w:space="0"/>
              <w:right w:val="single" w:color="auto" w:sz="4" w:space="0"/>
            </w:tcBorders>
            <w:vAlign w:val="center"/>
          </w:tcPr>
          <w:p w14:paraId="4AAD7F30">
            <w:pPr>
              <w:spacing w:line="500" w:lineRule="exact"/>
              <w:jc w:val="center"/>
              <w:rPr>
                <w:rFonts w:ascii="宋体" w:hAnsi="宋体" w:eastAsia="宋体" w:cs="楷体"/>
                <w:bCs/>
                <w:kern w:val="2"/>
                <w:sz w:val="24"/>
                <w:szCs w:val="24"/>
              </w:rPr>
            </w:pPr>
            <w:r>
              <w:rPr>
                <w:rFonts w:hint="eastAsia" w:ascii="宋体" w:hAnsi="宋体" w:eastAsia="宋体" w:cs="楷体"/>
                <w:bCs/>
                <w:kern w:val="2"/>
                <w:sz w:val="24"/>
                <w:szCs w:val="24"/>
              </w:rPr>
              <w:t>项</w:t>
            </w:r>
          </w:p>
        </w:tc>
        <w:tc>
          <w:tcPr>
            <w:tcW w:w="816" w:type="dxa"/>
            <w:tcBorders>
              <w:top w:val="single" w:color="auto" w:sz="4" w:space="0"/>
              <w:left w:val="single" w:color="auto" w:sz="4" w:space="0"/>
              <w:bottom w:val="single" w:color="auto" w:sz="4" w:space="0"/>
              <w:right w:val="single" w:color="auto" w:sz="4" w:space="0"/>
            </w:tcBorders>
            <w:vAlign w:val="center"/>
          </w:tcPr>
          <w:p w14:paraId="64C3132D">
            <w:pPr>
              <w:spacing w:line="500" w:lineRule="exact"/>
              <w:jc w:val="center"/>
              <w:rPr>
                <w:rFonts w:ascii="宋体" w:hAnsi="宋体" w:eastAsia="宋体" w:cs="楷体"/>
                <w:bCs/>
                <w:kern w:val="2"/>
                <w:sz w:val="24"/>
                <w:szCs w:val="24"/>
              </w:rPr>
            </w:pPr>
            <w:r>
              <w:rPr>
                <w:rFonts w:hint="eastAsia" w:ascii="宋体" w:hAnsi="宋体" w:eastAsia="宋体" w:cs="楷体"/>
                <w:bCs/>
                <w:kern w:val="2"/>
                <w:sz w:val="24"/>
                <w:szCs w:val="24"/>
              </w:rPr>
              <w:t>1</w:t>
            </w:r>
          </w:p>
        </w:tc>
        <w:tc>
          <w:tcPr>
            <w:tcW w:w="2255" w:type="dxa"/>
            <w:tcBorders>
              <w:top w:val="single" w:color="auto" w:sz="4" w:space="0"/>
              <w:left w:val="single" w:color="auto" w:sz="4" w:space="0"/>
              <w:bottom w:val="single" w:color="auto" w:sz="4" w:space="0"/>
              <w:right w:val="single" w:color="auto" w:sz="4" w:space="0"/>
            </w:tcBorders>
            <w:vAlign w:val="center"/>
          </w:tcPr>
          <w:p w14:paraId="6A6FFB2D">
            <w:pPr>
              <w:spacing w:line="500" w:lineRule="exact"/>
              <w:jc w:val="center"/>
              <w:rPr>
                <w:rFonts w:ascii="宋体" w:hAnsi="宋体" w:eastAsia="宋体" w:cs="楷体"/>
                <w:bCs/>
                <w:kern w:val="2"/>
                <w:sz w:val="24"/>
                <w:szCs w:val="24"/>
              </w:rPr>
            </w:pPr>
          </w:p>
        </w:tc>
      </w:tr>
      <w:tr w14:paraId="4AFBECA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56" w:type="dxa"/>
            <w:tcBorders>
              <w:top w:val="single" w:color="auto" w:sz="4" w:space="0"/>
              <w:left w:val="single" w:color="auto" w:sz="4" w:space="0"/>
              <w:bottom w:val="single" w:color="auto" w:sz="4" w:space="0"/>
              <w:right w:val="single" w:color="auto" w:sz="4" w:space="0"/>
            </w:tcBorders>
            <w:vAlign w:val="center"/>
          </w:tcPr>
          <w:p w14:paraId="5D237937">
            <w:pPr>
              <w:spacing w:line="500" w:lineRule="exact"/>
              <w:jc w:val="center"/>
              <w:rPr>
                <w:rFonts w:ascii="宋体" w:hAnsi="宋体" w:eastAsia="宋体" w:cs="楷体"/>
                <w:bCs/>
                <w:kern w:val="2"/>
                <w:sz w:val="24"/>
                <w:szCs w:val="24"/>
              </w:rPr>
            </w:pPr>
            <w:r>
              <w:rPr>
                <w:rFonts w:hint="eastAsia" w:ascii="宋体" w:hAnsi="宋体" w:eastAsia="宋体" w:cs="楷体"/>
                <w:bCs/>
                <w:kern w:val="2"/>
                <w:sz w:val="24"/>
                <w:szCs w:val="24"/>
              </w:rPr>
              <w:t>3</w:t>
            </w:r>
          </w:p>
        </w:tc>
        <w:tc>
          <w:tcPr>
            <w:tcW w:w="3170" w:type="dxa"/>
            <w:tcBorders>
              <w:top w:val="single" w:color="auto" w:sz="4" w:space="0"/>
              <w:left w:val="single" w:color="auto" w:sz="4" w:space="0"/>
              <w:bottom w:val="single" w:color="auto" w:sz="4" w:space="0"/>
              <w:right w:val="single" w:color="auto" w:sz="4" w:space="0"/>
            </w:tcBorders>
            <w:vAlign w:val="center"/>
          </w:tcPr>
          <w:p w14:paraId="16A2F726">
            <w:pPr>
              <w:spacing w:line="500" w:lineRule="exact"/>
              <w:jc w:val="center"/>
              <w:rPr>
                <w:rFonts w:ascii="宋体" w:hAnsi="宋体" w:eastAsia="宋体" w:cs="楷体"/>
                <w:bCs/>
                <w:kern w:val="2"/>
                <w:sz w:val="24"/>
                <w:szCs w:val="24"/>
                <w:lang w:eastAsia="zh-CN"/>
              </w:rPr>
            </w:pPr>
            <w:r>
              <w:rPr>
                <w:rFonts w:hint="eastAsia" w:ascii="宋体" w:hAnsi="宋体" w:eastAsia="宋体" w:cs="楷体"/>
                <w:bCs/>
                <w:kern w:val="2"/>
                <w:sz w:val="24"/>
                <w:szCs w:val="24"/>
                <w:lang w:eastAsia="zh-CN"/>
              </w:rPr>
              <w:t>8处外场设施正常运行供电及运维服务</w:t>
            </w:r>
          </w:p>
        </w:tc>
        <w:tc>
          <w:tcPr>
            <w:tcW w:w="1059" w:type="dxa"/>
            <w:tcBorders>
              <w:top w:val="single" w:color="auto" w:sz="4" w:space="0"/>
              <w:left w:val="single" w:color="auto" w:sz="4" w:space="0"/>
              <w:bottom w:val="single" w:color="auto" w:sz="4" w:space="0"/>
              <w:right w:val="single" w:color="auto" w:sz="4" w:space="0"/>
            </w:tcBorders>
            <w:vAlign w:val="center"/>
          </w:tcPr>
          <w:p w14:paraId="1BBEBFDA">
            <w:pPr>
              <w:spacing w:line="500" w:lineRule="exact"/>
              <w:jc w:val="center"/>
              <w:rPr>
                <w:rFonts w:ascii="宋体" w:hAnsi="宋体" w:eastAsia="宋体" w:cs="楷体"/>
                <w:bCs/>
                <w:kern w:val="2"/>
                <w:sz w:val="24"/>
                <w:szCs w:val="24"/>
              </w:rPr>
            </w:pPr>
            <w:r>
              <w:rPr>
                <w:rFonts w:hint="eastAsia" w:ascii="宋体" w:hAnsi="宋体" w:eastAsia="宋体" w:cs="楷体"/>
                <w:bCs/>
                <w:kern w:val="2"/>
                <w:sz w:val="24"/>
                <w:szCs w:val="24"/>
              </w:rPr>
              <w:t>项</w:t>
            </w:r>
          </w:p>
        </w:tc>
        <w:tc>
          <w:tcPr>
            <w:tcW w:w="816" w:type="dxa"/>
            <w:tcBorders>
              <w:top w:val="single" w:color="auto" w:sz="4" w:space="0"/>
              <w:left w:val="single" w:color="auto" w:sz="4" w:space="0"/>
              <w:bottom w:val="single" w:color="auto" w:sz="4" w:space="0"/>
              <w:right w:val="single" w:color="auto" w:sz="4" w:space="0"/>
            </w:tcBorders>
            <w:vAlign w:val="center"/>
          </w:tcPr>
          <w:p w14:paraId="6C292550">
            <w:pPr>
              <w:spacing w:line="500" w:lineRule="exact"/>
              <w:jc w:val="center"/>
              <w:rPr>
                <w:rFonts w:ascii="宋体" w:hAnsi="宋体" w:eastAsia="宋体" w:cs="楷体"/>
                <w:bCs/>
                <w:kern w:val="2"/>
                <w:sz w:val="24"/>
                <w:szCs w:val="24"/>
              </w:rPr>
            </w:pPr>
            <w:r>
              <w:rPr>
                <w:rFonts w:hint="eastAsia" w:ascii="宋体" w:hAnsi="宋体" w:eastAsia="宋体" w:cs="楷体"/>
                <w:bCs/>
                <w:kern w:val="2"/>
                <w:sz w:val="24"/>
                <w:szCs w:val="24"/>
              </w:rPr>
              <w:t>1</w:t>
            </w:r>
          </w:p>
        </w:tc>
        <w:tc>
          <w:tcPr>
            <w:tcW w:w="2255" w:type="dxa"/>
            <w:tcBorders>
              <w:top w:val="single" w:color="auto" w:sz="4" w:space="0"/>
              <w:left w:val="single" w:color="auto" w:sz="4" w:space="0"/>
              <w:bottom w:val="single" w:color="auto" w:sz="4" w:space="0"/>
              <w:right w:val="single" w:color="auto" w:sz="4" w:space="0"/>
            </w:tcBorders>
            <w:vAlign w:val="center"/>
          </w:tcPr>
          <w:p w14:paraId="0C3A936E">
            <w:pPr>
              <w:spacing w:line="500" w:lineRule="exact"/>
              <w:jc w:val="center"/>
              <w:rPr>
                <w:rFonts w:ascii="宋体" w:hAnsi="宋体" w:eastAsia="宋体" w:cs="楷体"/>
                <w:bCs/>
                <w:kern w:val="2"/>
                <w:sz w:val="24"/>
                <w:szCs w:val="24"/>
                <w:lang w:eastAsia="zh-CN"/>
              </w:rPr>
            </w:pPr>
          </w:p>
        </w:tc>
      </w:tr>
      <w:tr w14:paraId="047BB5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56" w:type="dxa"/>
            <w:tcBorders>
              <w:top w:val="single" w:color="auto" w:sz="4" w:space="0"/>
              <w:left w:val="single" w:color="auto" w:sz="4" w:space="0"/>
              <w:bottom w:val="single" w:color="auto" w:sz="4" w:space="0"/>
              <w:right w:val="single" w:color="auto" w:sz="4" w:space="0"/>
            </w:tcBorders>
            <w:vAlign w:val="center"/>
          </w:tcPr>
          <w:p w14:paraId="466A6F02">
            <w:pPr>
              <w:spacing w:line="500" w:lineRule="exact"/>
              <w:jc w:val="center"/>
              <w:rPr>
                <w:rFonts w:ascii="宋体" w:hAnsi="宋体" w:eastAsia="宋体" w:cs="楷体"/>
                <w:bCs/>
                <w:kern w:val="2"/>
                <w:sz w:val="24"/>
                <w:szCs w:val="24"/>
              </w:rPr>
            </w:pPr>
            <w:r>
              <w:rPr>
                <w:rFonts w:hint="eastAsia" w:ascii="宋体" w:hAnsi="宋体" w:eastAsia="宋体" w:cs="楷体"/>
                <w:bCs/>
                <w:kern w:val="2"/>
                <w:sz w:val="24"/>
                <w:szCs w:val="24"/>
              </w:rPr>
              <w:t>4</w:t>
            </w:r>
          </w:p>
        </w:tc>
        <w:tc>
          <w:tcPr>
            <w:tcW w:w="3170" w:type="dxa"/>
            <w:tcBorders>
              <w:top w:val="single" w:color="auto" w:sz="4" w:space="0"/>
              <w:left w:val="single" w:color="auto" w:sz="4" w:space="0"/>
              <w:bottom w:val="single" w:color="auto" w:sz="4" w:space="0"/>
              <w:right w:val="single" w:color="auto" w:sz="4" w:space="0"/>
            </w:tcBorders>
            <w:vAlign w:val="center"/>
          </w:tcPr>
          <w:p w14:paraId="19033CCE">
            <w:pPr>
              <w:spacing w:line="500" w:lineRule="exact"/>
              <w:jc w:val="center"/>
              <w:rPr>
                <w:rFonts w:ascii="宋体" w:hAnsi="宋体" w:eastAsia="宋体" w:cs="楷体"/>
                <w:bCs/>
                <w:kern w:val="2"/>
                <w:sz w:val="24"/>
                <w:szCs w:val="24"/>
              </w:rPr>
            </w:pPr>
            <w:r>
              <w:rPr>
                <w:rFonts w:hint="eastAsia" w:ascii="宋体" w:hAnsi="宋体" w:eastAsia="宋体" w:cs="楷体"/>
                <w:bCs/>
                <w:kern w:val="2"/>
                <w:sz w:val="24"/>
                <w:szCs w:val="24"/>
              </w:rPr>
              <w:t>设备</w:t>
            </w:r>
            <w:r>
              <w:rPr>
                <w:rFonts w:hint="eastAsia" w:ascii="宋体" w:hAnsi="宋体" w:eastAsia="宋体" w:cs="楷体"/>
                <w:bCs/>
                <w:kern w:val="2"/>
                <w:sz w:val="24"/>
                <w:szCs w:val="24"/>
                <w:lang w:val="en-US" w:eastAsia="zh-CN"/>
              </w:rPr>
              <w:t>备件</w:t>
            </w:r>
          </w:p>
        </w:tc>
        <w:tc>
          <w:tcPr>
            <w:tcW w:w="1059" w:type="dxa"/>
            <w:tcBorders>
              <w:top w:val="single" w:color="auto" w:sz="4" w:space="0"/>
              <w:left w:val="single" w:color="auto" w:sz="4" w:space="0"/>
              <w:bottom w:val="single" w:color="auto" w:sz="4" w:space="0"/>
              <w:right w:val="single" w:color="auto" w:sz="4" w:space="0"/>
            </w:tcBorders>
            <w:vAlign w:val="center"/>
          </w:tcPr>
          <w:p w14:paraId="4E293F1B">
            <w:pPr>
              <w:spacing w:line="500" w:lineRule="exact"/>
              <w:jc w:val="center"/>
              <w:rPr>
                <w:rFonts w:ascii="宋体" w:hAnsi="宋体" w:eastAsia="宋体" w:cs="楷体"/>
                <w:bCs/>
                <w:kern w:val="2"/>
                <w:sz w:val="24"/>
                <w:szCs w:val="24"/>
              </w:rPr>
            </w:pPr>
            <w:r>
              <w:rPr>
                <w:rFonts w:hint="eastAsia" w:ascii="宋体" w:hAnsi="宋体" w:eastAsia="宋体" w:cs="楷体"/>
                <w:bCs/>
                <w:kern w:val="2"/>
                <w:sz w:val="24"/>
                <w:szCs w:val="24"/>
              </w:rPr>
              <w:t>项</w:t>
            </w:r>
          </w:p>
        </w:tc>
        <w:tc>
          <w:tcPr>
            <w:tcW w:w="816" w:type="dxa"/>
            <w:tcBorders>
              <w:top w:val="single" w:color="auto" w:sz="4" w:space="0"/>
              <w:left w:val="single" w:color="auto" w:sz="4" w:space="0"/>
              <w:bottom w:val="single" w:color="auto" w:sz="4" w:space="0"/>
              <w:right w:val="single" w:color="auto" w:sz="4" w:space="0"/>
            </w:tcBorders>
            <w:vAlign w:val="center"/>
          </w:tcPr>
          <w:p w14:paraId="4CDF148A">
            <w:pPr>
              <w:spacing w:line="500" w:lineRule="exact"/>
              <w:jc w:val="center"/>
              <w:rPr>
                <w:rFonts w:ascii="宋体" w:hAnsi="宋体" w:eastAsia="宋体" w:cs="楷体"/>
                <w:bCs/>
                <w:kern w:val="2"/>
                <w:sz w:val="24"/>
                <w:szCs w:val="24"/>
              </w:rPr>
            </w:pPr>
            <w:r>
              <w:rPr>
                <w:rFonts w:hint="eastAsia" w:ascii="宋体" w:hAnsi="宋体" w:eastAsia="宋体" w:cs="楷体"/>
                <w:bCs/>
                <w:kern w:val="2"/>
                <w:sz w:val="24"/>
                <w:szCs w:val="24"/>
              </w:rPr>
              <w:t>1</w:t>
            </w:r>
          </w:p>
        </w:tc>
        <w:tc>
          <w:tcPr>
            <w:tcW w:w="2255" w:type="dxa"/>
            <w:tcBorders>
              <w:top w:val="single" w:color="auto" w:sz="4" w:space="0"/>
              <w:left w:val="single" w:color="auto" w:sz="4" w:space="0"/>
              <w:bottom w:val="single" w:color="auto" w:sz="4" w:space="0"/>
              <w:right w:val="single" w:color="auto" w:sz="4" w:space="0"/>
            </w:tcBorders>
            <w:vAlign w:val="center"/>
          </w:tcPr>
          <w:p w14:paraId="7C5BEC54">
            <w:pPr>
              <w:spacing w:line="500" w:lineRule="exact"/>
              <w:jc w:val="center"/>
              <w:rPr>
                <w:rFonts w:ascii="宋体" w:hAnsi="宋体" w:eastAsia="宋体" w:cs="楷体"/>
                <w:bCs/>
                <w:kern w:val="2"/>
                <w:sz w:val="24"/>
                <w:szCs w:val="24"/>
                <w:lang w:eastAsia="zh-CN"/>
              </w:rPr>
            </w:pPr>
          </w:p>
        </w:tc>
      </w:tr>
      <w:tr w14:paraId="4F6E03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56" w:type="dxa"/>
            <w:tcBorders>
              <w:top w:val="single" w:color="auto" w:sz="4" w:space="0"/>
              <w:left w:val="single" w:color="auto" w:sz="4" w:space="0"/>
              <w:bottom w:val="single" w:color="auto" w:sz="4" w:space="0"/>
              <w:right w:val="single" w:color="auto" w:sz="4" w:space="0"/>
            </w:tcBorders>
            <w:vAlign w:val="center"/>
          </w:tcPr>
          <w:p w14:paraId="25F5A667">
            <w:pPr>
              <w:spacing w:line="500" w:lineRule="exact"/>
              <w:jc w:val="center"/>
              <w:rPr>
                <w:rFonts w:ascii="宋体" w:hAnsi="宋体" w:eastAsia="宋体" w:cs="楷体"/>
                <w:bCs/>
                <w:kern w:val="2"/>
                <w:sz w:val="24"/>
                <w:szCs w:val="24"/>
              </w:rPr>
            </w:pPr>
            <w:r>
              <w:rPr>
                <w:rFonts w:hint="eastAsia" w:ascii="宋体" w:hAnsi="宋体" w:eastAsia="宋体" w:cs="楷体"/>
                <w:bCs/>
                <w:kern w:val="2"/>
                <w:sz w:val="24"/>
                <w:szCs w:val="24"/>
              </w:rPr>
              <w:t>5</w:t>
            </w:r>
          </w:p>
        </w:tc>
        <w:tc>
          <w:tcPr>
            <w:tcW w:w="3170" w:type="dxa"/>
            <w:tcBorders>
              <w:top w:val="single" w:color="auto" w:sz="4" w:space="0"/>
              <w:left w:val="single" w:color="auto" w:sz="4" w:space="0"/>
              <w:bottom w:val="single" w:color="auto" w:sz="4" w:space="0"/>
              <w:right w:val="single" w:color="auto" w:sz="4" w:space="0"/>
            </w:tcBorders>
            <w:vAlign w:val="center"/>
          </w:tcPr>
          <w:p w14:paraId="3156B02E">
            <w:pPr>
              <w:spacing w:line="500" w:lineRule="exact"/>
              <w:jc w:val="center"/>
              <w:rPr>
                <w:rFonts w:ascii="宋体" w:hAnsi="宋体" w:eastAsia="宋体" w:cs="楷体"/>
                <w:bCs/>
                <w:kern w:val="2"/>
                <w:sz w:val="24"/>
                <w:szCs w:val="24"/>
                <w:lang w:eastAsia="zh-CN"/>
              </w:rPr>
            </w:pPr>
            <w:r>
              <w:rPr>
                <w:rFonts w:hint="eastAsia" w:ascii="宋体" w:hAnsi="宋体" w:eastAsia="宋体" w:cs="楷体"/>
                <w:bCs/>
                <w:kern w:val="2"/>
                <w:sz w:val="24"/>
                <w:szCs w:val="24"/>
                <w:lang w:eastAsia="zh-CN"/>
              </w:rPr>
              <w:t>10人·天相应专题技术培训</w:t>
            </w:r>
          </w:p>
        </w:tc>
        <w:tc>
          <w:tcPr>
            <w:tcW w:w="1059" w:type="dxa"/>
            <w:tcBorders>
              <w:top w:val="single" w:color="auto" w:sz="4" w:space="0"/>
              <w:left w:val="single" w:color="auto" w:sz="4" w:space="0"/>
              <w:bottom w:val="single" w:color="auto" w:sz="4" w:space="0"/>
              <w:right w:val="single" w:color="auto" w:sz="4" w:space="0"/>
            </w:tcBorders>
            <w:vAlign w:val="center"/>
          </w:tcPr>
          <w:p w14:paraId="244D8E54">
            <w:pPr>
              <w:spacing w:line="500" w:lineRule="exact"/>
              <w:jc w:val="center"/>
              <w:rPr>
                <w:rFonts w:ascii="宋体" w:hAnsi="宋体" w:eastAsia="宋体" w:cs="楷体"/>
                <w:bCs/>
                <w:kern w:val="2"/>
                <w:sz w:val="24"/>
                <w:szCs w:val="24"/>
              </w:rPr>
            </w:pPr>
            <w:r>
              <w:rPr>
                <w:rFonts w:hint="eastAsia" w:ascii="宋体" w:hAnsi="宋体" w:eastAsia="宋体" w:cs="楷体"/>
                <w:bCs/>
                <w:kern w:val="2"/>
                <w:sz w:val="24"/>
                <w:szCs w:val="24"/>
              </w:rPr>
              <w:t>项</w:t>
            </w:r>
          </w:p>
        </w:tc>
        <w:tc>
          <w:tcPr>
            <w:tcW w:w="816" w:type="dxa"/>
            <w:tcBorders>
              <w:top w:val="single" w:color="auto" w:sz="4" w:space="0"/>
              <w:left w:val="single" w:color="auto" w:sz="4" w:space="0"/>
              <w:bottom w:val="single" w:color="auto" w:sz="4" w:space="0"/>
              <w:right w:val="single" w:color="auto" w:sz="4" w:space="0"/>
            </w:tcBorders>
            <w:vAlign w:val="center"/>
          </w:tcPr>
          <w:p w14:paraId="76CEECD4">
            <w:pPr>
              <w:spacing w:line="500" w:lineRule="exact"/>
              <w:jc w:val="center"/>
              <w:rPr>
                <w:rFonts w:ascii="宋体" w:hAnsi="宋体" w:eastAsia="宋体" w:cs="楷体"/>
                <w:bCs/>
                <w:kern w:val="2"/>
                <w:sz w:val="24"/>
                <w:szCs w:val="24"/>
              </w:rPr>
            </w:pPr>
            <w:r>
              <w:rPr>
                <w:rFonts w:hint="eastAsia" w:ascii="宋体" w:hAnsi="宋体" w:eastAsia="宋体" w:cs="楷体"/>
                <w:bCs/>
                <w:kern w:val="2"/>
                <w:sz w:val="24"/>
                <w:szCs w:val="24"/>
              </w:rPr>
              <w:t>1</w:t>
            </w:r>
          </w:p>
        </w:tc>
        <w:tc>
          <w:tcPr>
            <w:tcW w:w="2255" w:type="dxa"/>
            <w:tcBorders>
              <w:top w:val="single" w:color="auto" w:sz="4" w:space="0"/>
              <w:left w:val="single" w:color="auto" w:sz="4" w:space="0"/>
              <w:bottom w:val="single" w:color="auto" w:sz="4" w:space="0"/>
              <w:right w:val="single" w:color="auto" w:sz="4" w:space="0"/>
            </w:tcBorders>
            <w:vAlign w:val="center"/>
          </w:tcPr>
          <w:p w14:paraId="598C8D68">
            <w:pPr>
              <w:spacing w:line="500" w:lineRule="exact"/>
              <w:ind w:firstLine="480"/>
              <w:jc w:val="center"/>
              <w:rPr>
                <w:rFonts w:ascii="宋体" w:hAnsi="宋体" w:eastAsia="宋体" w:cs="楷体"/>
                <w:bCs/>
                <w:kern w:val="2"/>
                <w:sz w:val="24"/>
                <w:szCs w:val="24"/>
              </w:rPr>
            </w:pPr>
          </w:p>
        </w:tc>
      </w:tr>
      <w:tr w14:paraId="68C1E8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56" w:type="dxa"/>
            <w:gridSpan w:val="5"/>
            <w:tcBorders>
              <w:top w:val="single" w:color="auto" w:sz="4" w:space="0"/>
              <w:left w:val="single" w:color="auto" w:sz="4" w:space="0"/>
              <w:bottom w:val="single" w:color="auto" w:sz="4" w:space="0"/>
              <w:right w:val="single" w:color="auto" w:sz="4" w:space="0"/>
            </w:tcBorders>
            <w:vAlign w:val="center"/>
          </w:tcPr>
          <w:p w14:paraId="07A9E7D5">
            <w:pPr>
              <w:spacing w:line="500" w:lineRule="exact"/>
              <w:jc w:val="both"/>
              <w:rPr>
                <w:rFonts w:ascii="宋体" w:hAnsi="宋体" w:eastAsia="宋体" w:cs="楷体"/>
                <w:bCs/>
                <w:kern w:val="2"/>
                <w:sz w:val="24"/>
                <w:szCs w:val="24"/>
                <w:lang w:eastAsia="zh-CN"/>
              </w:rPr>
            </w:pPr>
            <w:r>
              <w:rPr>
                <w:rFonts w:hint="eastAsia" w:ascii="宋体" w:hAnsi="宋体" w:eastAsia="宋体"/>
                <w:kern w:val="2"/>
                <w:sz w:val="24"/>
                <w:szCs w:val="24"/>
                <w:lang w:eastAsia="zh-CN"/>
              </w:rPr>
              <w:t>七、赣中航道事务中心视频监控系统运维服务</w:t>
            </w:r>
          </w:p>
        </w:tc>
      </w:tr>
      <w:tr w14:paraId="0ADF1D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56" w:type="dxa"/>
            <w:tcBorders>
              <w:top w:val="single" w:color="auto" w:sz="4" w:space="0"/>
              <w:left w:val="single" w:color="auto" w:sz="4" w:space="0"/>
              <w:bottom w:val="single" w:color="auto" w:sz="4" w:space="0"/>
              <w:right w:val="single" w:color="auto" w:sz="4" w:space="0"/>
            </w:tcBorders>
            <w:vAlign w:val="center"/>
          </w:tcPr>
          <w:p w14:paraId="25F7AB8A">
            <w:pPr>
              <w:spacing w:line="500" w:lineRule="exact"/>
              <w:jc w:val="center"/>
              <w:rPr>
                <w:rFonts w:ascii="宋体" w:hAnsi="宋体" w:eastAsia="宋体" w:cs="楷体"/>
                <w:bCs/>
                <w:kern w:val="2"/>
                <w:sz w:val="24"/>
                <w:szCs w:val="24"/>
              </w:rPr>
            </w:pPr>
            <w:r>
              <w:rPr>
                <w:rFonts w:hint="eastAsia" w:ascii="宋体" w:hAnsi="宋体" w:eastAsia="宋体" w:cs="楷体"/>
                <w:bCs/>
                <w:kern w:val="2"/>
                <w:sz w:val="24"/>
                <w:szCs w:val="24"/>
              </w:rPr>
              <w:t>1</w:t>
            </w:r>
          </w:p>
        </w:tc>
        <w:tc>
          <w:tcPr>
            <w:tcW w:w="3170" w:type="dxa"/>
            <w:tcBorders>
              <w:top w:val="single" w:color="auto" w:sz="4" w:space="0"/>
              <w:left w:val="single" w:color="auto" w:sz="4" w:space="0"/>
              <w:bottom w:val="single" w:color="auto" w:sz="4" w:space="0"/>
              <w:right w:val="single" w:color="auto" w:sz="4" w:space="0"/>
            </w:tcBorders>
            <w:vAlign w:val="center"/>
          </w:tcPr>
          <w:p w14:paraId="054DEF91">
            <w:pPr>
              <w:spacing w:line="500" w:lineRule="exact"/>
              <w:jc w:val="center"/>
              <w:rPr>
                <w:rFonts w:ascii="宋体" w:hAnsi="宋体" w:eastAsia="宋体" w:cs="楷体"/>
                <w:bCs/>
                <w:kern w:val="2"/>
                <w:sz w:val="24"/>
                <w:szCs w:val="24"/>
              </w:rPr>
            </w:pPr>
            <w:r>
              <w:rPr>
                <w:rFonts w:hint="eastAsia" w:ascii="宋体" w:hAnsi="宋体" w:eastAsia="宋体" w:cs="楷体"/>
                <w:bCs/>
                <w:kern w:val="2"/>
                <w:sz w:val="24"/>
                <w:szCs w:val="24"/>
              </w:rPr>
              <w:t>机房设备运维</w:t>
            </w:r>
          </w:p>
        </w:tc>
        <w:tc>
          <w:tcPr>
            <w:tcW w:w="1059" w:type="dxa"/>
            <w:tcBorders>
              <w:top w:val="single" w:color="auto" w:sz="4" w:space="0"/>
              <w:left w:val="single" w:color="auto" w:sz="4" w:space="0"/>
              <w:bottom w:val="single" w:color="auto" w:sz="4" w:space="0"/>
              <w:right w:val="single" w:color="auto" w:sz="4" w:space="0"/>
            </w:tcBorders>
            <w:vAlign w:val="center"/>
          </w:tcPr>
          <w:p w14:paraId="35E3E5EF">
            <w:pPr>
              <w:spacing w:line="500" w:lineRule="exact"/>
              <w:jc w:val="center"/>
              <w:rPr>
                <w:rFonts w:ascii="宋体" w:hAnsi="宋体" w:eastAsia="宋体" w:cs="楷体"/>
                <w:bCs/>
                <w:kern w:val="2"/>
                <w:sz w:val="24"/>
                <w:szCs w:val="24"/>
              </w:rPr>
            </w:pPr>
            <w:r>
              <w:rPr>
                <w:rFonts w:hint="eastAsia" w:ascii="宋体" w:hAnsi="宋体" w:eastAsia="宋体" w:cs="楷体"/>
                <w:bCs/>
                <w:kern w:val="2"/>
                <w:sz w:val="24"/>
                <w:szCs w:val="24"/>
              </w:rPr>
              <w:t>项</w:t>
            </w:r>
          </w:p>
        </w:tc>
        <w:tc>
          <w:tcPr>
            <w:tcW w:w="816" w:type="dxa"/>
            <w:tcBorders>
              <w:top w:val="single" w:color="auto" w:sz="4" w:space="0"/>
              <w:left w:val="single" w:color="auto" w:sz="4" w:space="0"/>
              <w:bottom w:val="single" w:color="auto" w:sz="4" w:space="0"/>
              <w:right w:val="single" w:color="auto" w:sz="4" w:space="0"/>
            </w:tcBorders>
            <w:vAlign w:val="center"/>
          </w:tcPr>
          <w:p w14:paraId="42A26149">
            <w:pPr>
              <w:spacing w:line="500" w:lineRule="exact"/>
              <w:jc w:val="center"/>
              <w:rPr>
                <w:rFonts w:ascii="宋体" w:hAnsi="宋体" w:eastAsia="宋体" w:cs="楷体"/>
                <w:bCs/>
                <w:kern w:val="2"/>
                <w:sz w:val="24"/>
                <w:szCs w:val="24"/>
              </w:rPr>
            </w:pPr>
            <w:r>
              <w:rPr>
                <w:rFonts w:hint="eastAsia" w:ascii="宋体" w:hAnsi="宋体" w:eastAsia="宋体" w:cs="楷体"/>
                <w:bCs/>
                <w:kern w:val="2"/>
                <w:sz w:val="24"/>
                <w:szCs w:val="24"/>
              </w:rPr>
              <w:t>1</w:t>
            </w:r>
          </w:p>
        </w:tc>
        <w:tc>
          <w:tcPr>
            <w:tcW w:w="2255" w:type="dxa"/>
            <w:tcBorders>
              <w:top w:val="single" w:color="auto" w:sz="4" w:space="0"/>
              <w:left w:val="single" w:color="auto" w:sz="4" w:space="0"/>
              <w:bottom w:val="single" w:color="auto" w:sz="4" w:space="0"/>
              <w:right w:val="single" w:color="auto" w:sz="4" w:space="0"/>
            </w:tcBorders>
            <w:vAlign w:val="center"/>
          </w:tcPr>
          <w:p w14:paraId="1B4A4245">
            <w:pPr>
              <w:spacing w:line="500" w:lineRule="exact"/>
              <w:jc w:val="center"/>
              <w:rPr>
                <w:rFonts w:ascii="宋体" w:hAnsi="宋体" w:eastAsia="宋体" w:cs="楷体"/>
                <w:bCs/>
                <w:kern w:val="2"/>
                <w:sz w:val="24"/>
                <w:szCs w:val="24"/>
                <w:lang w:eastAsia="zh-CN"/>
              </w:rPr>
            </w:pPr>
          </w:p>
        </w:tc>
      </w:tr>
      <w:tr w14:paraId="24EB10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56" w:type="dxa"/>
            <w:tcBorders>
              <w:top w:val="single" w:color="auto" w:sz="4" w:space="0"/>
              <w:left w:val="single" w:color="auto" w:sz="4" w:space="0"/>
              <w:bottom w:val="single" w:color="auto" w:sz="4" w:space="0"/>
              <w:right w:val="single" w:color="auto" w:sz="4" w:space="0"/>
            </w:tcBorders>
            <w:vAlign w:val="center"/>
          </w:tcPr>
          <w:p w14:paraId="0A3C145A">
            <w:pPr>
              <w:spacing w:line="500" w:lineRule="exact"/>
              <w:jc w:val="center"/>
              <w:rPr>
                <w:rFonts w:ascii="宋体" w:hAnsi="宋体" w:eastAsia="宋体" w:cs="楷体"/>
                <w:bCs/>
                <w:kern w:val="2"/>
                <w:sz w:val="24"/>
                <w:szCs w:val="24"/>
              </w:rPr>
            </w:pPr>
            <w:r>
              <w:rPr>
                <w:rFonts w:hint="eastAsia" w:ascii="宋体" w:hAnsi="宋体" w:eastAsia="宋体" w:cs="楷体"/>
                <w:bCs/>
                <w:kern w:val="2"/>
                <w:sz w:val="24"/>
                <w:szCs w:val="24"/>
              </w:rPr>
              <w:t>2</w:t>
            </w:r>
          </w:p>
        </w:tc>
        <w:tc>
          <w:tcPr>
            <w:tcW w:w="3170" w:type="dxa"/>
            <w:tcBorders>
              <w:top w:val="single" w:color="auto" w:sz="4" w:space="0"/>
              <w:left w:val="single" w:color="auto" w:sz="4" w:space="0"/>
              <w:bottom w:val="single" w:color="auto" w:sz="4" w:space="0"/>
              <w:right w:val="single" w:color="auto" w:sz="4" w:space="0"/>
            </w:tcBorders>
            <w:vAlign w:val="center"/>
          </w:tcPr>
          <w:p w14:paraId="2D462C78">
            <w:pPr>
              <w:spacing w:line="500" w:lineRule="exact"/>
              <w:jc w:val="center"/>
              <w:rPr>
                <w:rFonts w:ascii="宋体" w:hAnsi="宋体" w:eastAsia="宋体" w:cs="楷体"/>
                <w:bCs/>
                <w:kern w:val="2"/>
                <w:sz w:val="24"/>
                <w:szCs w:val="24"/>
              </w:rPr>
            </w:pPr>
            <w:r>
              <w:rPr>
                <w:rFonts w:hint="eastAsia" w:ascii="宋体" w:hAnsi="宋体" w:eastAsia="宋体" w:cs="楷体"/>
                <w:bCs/>
                <w:kern w:val="2"/>
                <w:sz w:val="24"/>
                <w:szCs w:val="24"/>
              </w:rPr>
              <w:t>15处外场设施运维服务</w:t>
            </w:r>
          </w:p>
        </w:tc>
        <w:tc>
          <w:tcPr>
            <w:tcW w:w="1059" w:type="dxa"/>
            <w:tcBorders>
              <w:top w:val="single" w:color="auto" w:sz="4" w:space="0"/>
              <w:left w:val="single" w:color="auto" w:sz="4" w:space="0"/>
              <w:bottom w:val="single" w:color="auto" w:sz="4" w:space="0"/>
              <w:right w:val="single" w:color="auto" w:sz="4" w:space="0"/>
            </w:tcBorders>
            <w:vAlign w:val="center"/>
          </w:tcPr>
          <w:p w14:paraId="260B2FC7">
            <w:pPr>
              <w:spacing w:line="500" w:lineRule="exact"/>
              <w:jc w:val="center"/>
              <w:rPr>
                <w:rFonts w:ascii="宋体" w:hAnsi="宋体" w:eastAsia="宋体" w:cs="楷体"/>
                <w:bCs/>
                <w:kern w:val="2"/>
                <w:sz w:val="24"/>
                <w:szCs w:val="24"/>
              </w:rPr>
            </w:pPr>
            <w:r>
              <w:rPr>
                <w:rFonts w:hint="eastAsia" w:ascii="宋体" w:hAnsi="宋体" w:eastAsia="宋体" w:cs="楷体"/>
                <w:bCs/>
                <w:kern w:val="2"/>
                <w:sz w:val="24"/>
                <w:szCs w:val="24"/>
              </w:rPr>
              <w:t>项</w:t>
            </w:r>
          </w:p>
        </w:tc>
        <w:tc>
          <w:tcPr>
            <w:tcW w:w="816" w:type="dxa"/>
            <w:tcBorders>
              <w:top w:val="single" w:color="auto" w:sz="4" w:space="0"/>
              <w:left w:val="single" w:color="auto" w:sz="4" w:space="0"/>
              <w:bottom w:val="single" w:color="auto" w:sz="4" w:space="0"/>
              <w:right w:val="single" w:color="auto" w:sz="4" w:space="0"/>
            </w:tcBorders>
            <w:vAlign w:val="center"/>
          </w:tcPr>
          <w:p w14:paraId="6708828E">
            <w:pPr>
              <w:spacing w:line="500" w:lineRule="exact"/>
              <w:ind w:firstLine="240" w:firstLineChars="100"/>
              <w:rPr>
                <w:rFonts w:ascii="宋体" w:hAnsi="宋体" w:eastAsia="宋体" w:cs="楷体"/>
                <w:bCs/>
                <w:kern w:val="2"/>
                <w:sz w:val="24"/>
                <w:szCs w:val="24"/>
              </w:rPr>
            </w:pPr>
            <w:r>
              <w:rPr>
                <w:rFonts w:hint="eastAsia" w:ascii="宋体" w:hAnsi="宋体" w:eastAsia="宋体" w:cs="楷体"/>
                <w:bCs/>
                <w:kern w:val="2"/>
                <w:sz w:val="24"/>
                <w:szCs w:val="24"/>
              </w:rPr>
              <w:t>1</w:t>
            </w:r>
          </w:p>
        </w:tc>
        <w:tc>
          <w:tcPr>
            <w:tcW w:w="2255" w:type="dxa"/>
            <w:tcBorders>
              <w:top w:val="single" w:color="auto" w:sz="4" w:space="0"/>
              <w:left w:val="single" w:color="auto" w:sz="4" w:space="0"/>
              <w:bottom w:val="single" w:color="auto" w:sz="4" w:space="0"/>
              <w:right w:val="single" w:color="auto" w:sz="4" w:space="0"/>
            </w:tcBorders>
            <w:vAlign w:val="center"/>
          </w:tcPr>
          <w:p w14:paraId="2A64CD54">
            <w:pPr>
              <w:spacing w:line="500" w:lineRule="exact"/>
              <w:jc w:val="center"/>
              <w:rPr>
                <w:rFonts w:ascii="宋体" w:hAnsi="宋体" w:eastAsia="宋体" w:cs="楷体"/>
                <w:bCs/>
                <w:kern w:val="2"/>
                <w:sz w:val="24"/>
                <w:szCs w:val="24"/>
              </w:rPr>
            </w:pPr>
          </w:p>
        </w:tc>
      </w:tr>
      <w:tr w14:paraId="0A7D5B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56" w:type="dxa"/>
            <w:tcBorders>
              <w:top w:val="single" w:color="auto" w:sz="4" w:space="0"/>
              <w:left w:val="single" w:color="auto" w:sz="4" w:space="0"/>
              <w:bottom w:val="single" w:color="auto" w:sz="4" w:space="0"/>
              <w:right w:val="single" w:color="auto" w:sz="4" w:space="0"/>
            </w:tcBorders>
            <w:vAlign w:val="center"/>
          </w:tcPr>
          <w:p w14:paraId="0DA7D633">
            <w:pPr>
              <w:spacing w:line="500" w:lineRule="exact"/>
              <w:jc w:val="center"/>
              <w:rPr>
                <w:rFonts w:ascii="宋体" w:hAnsi="宋体" w:eastAsia="宋体" w:cs="楷体"/>
                <w:bCs/>
                <w:kern w:val="2"/>
                <w:sz w:val="24"/>
                <w:szCs w:val="24"/>
              </w:rPr>
            </w:pPr>
            <w:r>
              <w:rPr>
                <w:rFonts w:hint="eastAsia" w:ascii="宋体" w:hAnsi="宋体" w:eastAsia="宋体" w:cs="楷体"/>
                <w:bCs/>
                <w:kern w:val="2"/>
                <w:sz w:val="24"/>
                <w:szCs w:val="24"/>
              </w:rPr>
              <w:t>3</w:t>
            </w:r>
          </w:p>
        </w:tc>
        <w:tc>
          <w:tcPr>
            <w:tcW w:w="3170" w:type="dxa"/>
            <w:tcBorders>
              <w:top w:val="single" w:color="auto" w:sz="4" w:space="0"/>
              <w:left w:val="single" w:color="auto" w:sz="4" w:space="0"/>
              <w:bottom w:val="single" w:color="auto" w:sz="4" w:space="0"/>
              <w:right w:val="single" w:color="auto" w:sz="4" w:space="0"/>
            </w:tcBorders>
            <w:vAlign w:val="center"/>
          </w:tcPr>
          <w:p w14:paraId="592ADBD7">
            <w:pPr>
              <w:spacing w:line="500" w:lineRule="exact"/>
              <w:jc w:val="center"/>
              <w:rPr>
                <w:rFonts w:ascii="宋体" w:hAnsi="宋体" w:eastAsia="宋体" w:cs="楷体"/>
                <w:bCs/>
                <w:kern w:val="2"/>
                <w:sz w:val="24"/>
                <w:szCs w:val="24"/>
                <w:lang w:eastAsia="zh-CN"/>
              </w:rPr>
            </w:pPr>
            <w:r>
              <w:rPr>
                <w:rFonts w:hint="eastAsia" w:ascii="宋体" w:hAnsi="宋体" w:eastAsia="宋体" w:cs="楷体"/>
                <w:bCs/>
                <w:kern w:val="2"/>
                <w:sz w:val="24"/>
                <w:szCs w:val="24"/>
                <w:lang w:eastAsia="zh-CN"/>
              </w:rPr>
              <w:t>15处外场设施正常运行供电及运维服务</w:t>
            </w:r>
          </w:p>
        </w:tc>
        <w:tc>
          <w:tcPr>
            <w:tcW w:w="1059" w:type="dxa"/>
            <w:tcBorders>
              <w:top w:val="single" w:color="auto" w:sz="4" w:space="0"/>
              <w:left w:val="single" w:color="auto" w:sz="4" w:space="0"/>
              <w:bottom w:val="single" w:color="auto" w:sz="4" w:space="0"/>
              <w:right w:val="single" w:color="auto" w:sz="4" w:space="0"/>
            </w:tcBorders>
            <w:vAlign w:val="center"/>
          </w:tcPr>
          <w:p w14:paraId="38795D39">
            <w:pPr>
              <w:spacing w:line="500" w:lineRule="exact"/>
              <w:jc w:val="center"/>
              <w:rPr>
                <w:rFonts w:ascii="宋体" w:hAnsi="宋体" w:eastAsia="宋体" w:cs="楷体"/>
                <w:bCs/>
                <w:kern w:val="2"/>
                <w:sz w:val="24"/>
                <w:szCs w:val="24"/>
              </w:rPr>
            </w:pPr>
            <w:r>
              <w:rPr>
                <w:rFonts w:hint="eastAsia" w:ascii="宋体" w:hAnsi="宋体" w:eastAsia="宋体" w:cs="楷体"/>
                <w:bCs/>
                <w:kern w:val="2"/>
                <w:sz w:val="24"/>
                <w:szCs w:val="24"/>
              </w:rPr>
              <w:t>项</w:t>
            </w:r>
          </w:p>
        </w:tc>
        <w:tc>
          <w:tcPr>
            <w:tcW w:w="816" w:type="dxa"/>
            <w:tcBorders>
              <w:top w:val="single" w:color="auto" w:sz="4" w:space="0"/>
              <w:left w:val="single" w:color="auto" w:sz="4" w:space="0"/>
              <w:bottom w:val="single" w:color="auto" w:sz="4" w:space="0"/>
              <w:right w:val="single" w:color="auto" w:sz="4" w:space="0"/>
            </w:tcBorders>
            <w:vAlign w:val="center"/>
          </w:tcPr>
          <w:p w14:paraId="3A371135">
            <w:pPr>
              <w:spacing w:line="500" w:lineRule="exact"/>
              <w:jc w:val="center"/>
              <w:rPr>
                <w:rFonts w:ascii="宋体" w:hAnsi="宋体" w:eastAsia="宋体" w:cs="楷体"/>
                <w:bCs/>
                <w:kern w:val="2"/>
                <w:sz w:val="24"/>
                <w:szCs w:val="24"/>
              </w:rPr>
            </w:pPr>
            <w:r>
              <w:rPr>
                <w:rFonts w:hint="eastAsia" w:ascii="宋体" w:hAnsi="宋体" w:eastAsia="宋体" w:cs="楷体"/>
                <w:bCs/>
                <w:kern w:val="2"/>
                <w:sz w:val="24"/>
                <w:szCs w:val="24"/>
              </w:rPr>
              <w:t>1</w:t>
            </w:r>
          </w:p>
        </w:tc>
        <w:tc>
          <w:tcPr>
            <w:tcW w:w="2255" w:type="dxa"/>
            <w:tcBorders>
              <w:top w:val="single" w:color="auto" w:sz="4" w:space="0"/>
              <w:left w:val="single" w:color="auto" w:sz="4" w:space="0"/>
              <w:bottom w:val="single" w:color="auto" w:sz="4" w:space="0"/>
              <w:right w:val="single" w:color="auto" w:sz="4" w:space="0"/>
            </w:tcBorders>
            <w:vAlign w:val="center"/>
          </w:tcPr>
          <w:p w14:paraId="4975AE80">
            <w:pPr>
              <w:spacing w:line="500" w:lineRule="exact"/>
              <w:jc w:val="center"/>
              <w:rPr>
                <w:rFonts w:ascii="宋体" w:hAnsi="宋体" w:eastAsia="宋体" w:cs="楷体"/>
                <w:bCs/>
                <w:kern w:val="2"/>
                <w:sz w:val="24"/>
                <w:szCs w:val="24"/>
                <w:lang w:eastAsia="zh-CN"/>
              </w:rPr>
            </w:pPr>
          </w:p>
        </w:tc>
      </w:tr>
      <w:tr w14:paraId="5FF45C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56" w:type="dxa"/>
            <w:tcBorders>
              <w:top w:val="single" w:color="auto" w:sz="4" w:space="0"/>
              <w:left w:val="single" w:color="auto" w:sz="4" w:space="0"/>
              <w:bottom w:val="single" w:color="auto" w:sz="4" w:space="0"/>
              <w:right w:val="single" w:color="auto" w:sz="4" w:space="0"/>
            </w:tcBorders>
            <w:vAlign w:val="center"/>
          </w:tcPr>
          <w:p w14:paraId="149B3F85">
            <w:pPr>
              <w:spacing w:line="500" w:lineRule="exact"/>
              <w:jc w:val="center"/>
              <w:rPr>
                <w:rFonts w:ascii="宋体" w:hAnsi="宋体" w:eastAsia="宋体" w:cs="楷体"/>
                <w:bCs/>
                <w:kern w:val="2"/>
                <w:sz w:val="24"/>
                <w:szCs w:val="24"/>
              </w:rPr>
            </w:pPr>
            <w:r>
              <w:rPr>
                <w:rFonts w:hint="eastAsia" w:ascii="宋体" w:hAnsi="宋体" w:eastAsia="宋体" w:cs="楷体"/>
                <w:bCs/>
                <w:kern w:val="2"/>
                <w:sz w:val="24"/>
                <w:szCs w:val="24"/>
              </w:rPr>
              <w:t>4</w:t>
            </w:r>
          </w:p>
        </w:tc>
        <w:tc>
          <w:tcPr>
            <w:tcW w:w="3170" w:type="dxa"/>
            <w:tcBorders>
              <w:top w:val="single" w:color="auto" w:sz="4" w:space="0"/>
              <w:left w:val="single" w:color="auto" w:sz="4" w:space="0"/>
              <w:bottom w:val="single" w:color="auto" w:sz="4" w:space="0"/>
              <w:right w:val="single" w:color="auto" w:sz="4" w:space="0"/>
            </w:tcBorders>
            <w:vAlign w:val="center"/>
          </w:tcPr>
          <w:p w14:paraId="5CD3E6BC">
            <w:pPr>
              <w:spacing w:line="500" w:lineRule="exact"/>
              <w:jc w:val="center"/>
              <w:rPr>
                <w:rFonts w:ascii="宋体" w:hAnsi="宋体" w:eastAsia="宋体" w:cs="楷体"/>
                <w:bCs/>
                <w:kern w:val="2"/>
                <w:sz w:val="24"/>
                <w:szCs w:val="24"/>
              </w:rPr>
            </w:pPr>
            <w:r>
              <w:rPr>
                <w:rFonts w:hint="eastAsia" w:ascii="宋体" w:hAnsi="宋体" w:eastAsia="宋体" w:cs="楷体"/>
                <w:bCs/>
                <w:kern w:val="2"/>
                <w:sz w:val="24"/>
                <w:szCs w:val="24"/>
              </w:rPr>
              <w:t>设备</w:t>
            </w:r>
            <w:r>
              <w:rPr>
                <w:rFonts w:hint="eastAsia" w:ascii="宋体" w:hAnsi="宋体" w:eastAsia="宋体" w:cs="楷体"/>
                <w:bCs/>
                <w:kern w:val="2"/>
                <w:sz w:val="24"/>
                <w:szCs w:val="24"/>
                <w:lang w:val="en-US" w:eastAsia="zh-CN"/>
              </w:rPr>
              <w:t>备件</w:t>
            </w:r>
          </w:p>
        </w:tc>
        <w:tc>
          <w:tcPr>
            <w:tcW w:w="1059" w:type="dxa"/>
            <w:tcBorders>
              <w:top w:val="single" w:color="auto" w:sz="4" w:space="0"/>
              <w:left w:val="single" w:color="auto" w:sz="4" w:space="0"/>
              <w:bottom w:val="single" w:color="auto" w:sz="4" w:space="0"/>
              <w:right w:val="single" w:color="auto" w:sz="4" w:space="0"/>
            </w:tcBorders>
            <w:vAlign w:val="center"/>
          </w:tcPr>
          <w:p w14:paraId="057657AE">
            <w:pPr>
              <w:spacing w:line="500" w:lineRule="exact"/>
              <w:jc w:val="center"/>
              <w:rPr>
                <w:rFonts w:ascii="宋体" w:hAnsi="宋体" w:eastAsia="宋体" w:cs="楷体"/>
                <w:bCs/>
                <w:kern w:val="2"/>
                <w:sz w:val="24"/>
                <w:szCs w:val="24"/>
              </w:rPr>
            </w:pPr>
            <w:r>
              <w:rPr>
                <w:rFonts w:hint="eastAsia" w:ascii="宋体" w:hAnsi="宋体" w:eastAsia="宋体" w:cs="楷体"/>
                <w:bCs/>
                <w:kern w:val="2"/>
                <w:sz w:val="24"/>
                <w:szCs w:val="24"/>
              </w:rPr>
              <w:t>项</w:t>
            </w:r>
          </w:p>
        </w:tc>
        <w:tc>
          <w:tcPr>
            <w:tcW w:w="816" w:type="dxa"/>
            <w:tcBorders>
              <w:top w:val="single" w:color="auto" w:sz="4" w:space="0"/>
              <w:left w:val="single" w:color="auto" w:sz="4" w:space="0"/>
              <w:bottom w:val="single" w:color="auto" w:sz="4" w:space="0"/>
              <w:right w:val="single" w:color="auto" w:sz="4" w:space="0"/>
            </w:tcBorders>
            <w:vAlign w:val="center"/>
          </w:tcPr>
          <w:p w14:paraId="0C0246E0">
            <w:pPr>
              <w:spacing w:line="500" w:lineRule="exact"/>
              <w:jc w:val="center"/>
              <w:rPr>
                <w:rFonts w:ascii="宋体" w:hAnsi="宋体" w:eastAsia="宋体" w:cs="楷体"/>
                <w:bCs/>
                <w:kern w:val="2"/>
                <w:sz w:val="24"/>
                <w:szCs w:val="24"/>
              </w:rPr>
            </w:pPr>
            <w:r>
              <w:rPr>
                <w:rFonts w:hint="eastAsia" w:ascii="宋体" w:hAnsi="宋体" w:eastAsia="宋体" w:cs="楷体"/>
                <w:bCs/>
                <w:kern w:val="2"/>
                <w:sz w:val="24"/>
                <w:szCs w:val="24"/>
              </w:rPr>
              <w:t>1</w:t>
            </w:r>
          </w:p>
        </w:tc>
        <w:tc>
          <w:tcPr>
            <w:tcW w:w="2255" w:type="dxa"/>
            <w:tcBorders>
              <w:top w:val="single" w:color="auto" w:sz="4" w:space="0"/>
              <w:left w:val="single" w:color="auto" w:sz="4" w:space="0"/>
              <w:bottom w:val="single" w:color="auto" w:sz="4" w:space="0"/>
              <w:right w:val="single" w:color="auto" w:sz="4" w:space="0"/>
            </w:tcBorders>
            <w:vAlign w:val="center"/>
          </w:tcPr>
          <w:p w14:paraId="54CD7C69">
            <w:pPr>
              <w:spacing w:line="500" w:lineRule="exact"/>
              <w:jc w:val="center"/>
              <w:rPr>
                <w:rFonts w:ascii="宋体" w:hAnsi="宋体" w:eastAsia="宋体" w:cs="楷体"/>
                <w:bCs/>
                <w:kern w:val="2"/>
                <w:sz w:val="24"/>
                <w:szCs w:val="24"/>
                <w:lang w:eastAsia="zh-CN"/>
              </w:rPr>
            </w:pPr>
          </w:p>
        </w:tc>
      </w:tr>
      <w:tr w14:paraId="176211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56" w:type="dxa"/>
            <w:tcBorders>
              <w:top w:val="single" w:color="auto" w:sz="4" w:space="0"/>
              <w:left w:val="single" w:color="auto" w:sz="4" w:space="0"/>
              <w:bottom w:val="single" w:color="auto" w:sz="4" w:space="0"/>
              <w:right w:val="single" w:color="auto" w:sz="4" w:space="0"/>
            </w:tcBorders>
            <w:vAlign w:val="center"/>
          </w:tcPr>
          <w:p w14:paraId="306290A6">
            <w:pPr>
              <w:spacing w:line="500" w:lineRule="exact"/>
              <w:jc w:val="center"/>
              <w:rPr>
                <w:rFonts w:ascii="宋体" w:hAnsi="宋体" w:eastAsia="宋体" w:cs="楷体"/>
                <w:bCs/>
                <w:kern w:val="2"/>
                <w:sz w:val="24"/>
                <w:szCs w:val="24"/>
              </w:rPr>
            </w:pPr>
            <w:r>
              <w:rPr>
                <w:rFonts w:hint="eastAsia" w:ascii="宋体" w:hAnsi="宋体" w:eastAsia="宋体" w:cs="楷体"/>
                <w:bCs/>
                <w:kern w:val="2"/>
                <w:sz w:val="24"/>
                <w:szCs w:val="24"/>
              </w:rPr>
              <w:t>5</w:t>
            </w:r>
          </w:p>
        </w:tc>
        <w:tc>
          <w:tcPr>
            <w:tcW w:w="3170" w:type="dxa"/>
            <w:tcBorders>
              <w:top w:val="single" w:color="auto" w:sz="4" w:space="0"/>
              <w:left w:val="single" w:color="auto" w:sz="4" w:space="0"/>
              <w:bottom w:val="single" w:color="auto" w:sz="4" w:space="0"/>
              <w:right w:val="single" w:color="auto" w:sz="4" w:space="0"/>
            </w:tcBorders>
            <w:vAlign w:val="center"/>
          </w:tcPr>
          <w:p w14:paraId="3275EE4D">
            <w:pPr>
              <w:spacing w:line="500" w:lineRule="exact"/>
              <w:jc w:val="center"/>
              <w:rPr>
                <w:rFonts w:ascii="宋体" w:hAnsi="宋体" w:eastAsia="宋体" w:cs="楷体"/>
                <w:bCs/>
                <w:kern w:val="2"/>
                <w:sz w:val="24"/>
                <w:szCs w:val="24"/>
                <w:lang w:eastAsia="zh-CN"/>
              </w:rPr>
            </w:pPr>
            <w:r>
              <w:rPr>
                <w:rFonts w:hint="eastAsia" w:ascii="宋体" w:hAnsi="宋体" w:eastAsia="宋体" w:cs="楷体"/>
                <w:bCs/>
                <w:kern w:val="2"/>
                <w:sz w:val="24"/>
                <w:szCs w:val="24"/>
                <w:lang w:eastAsia="zh-CN"/>
              </w:rPr>
              <w:t>10人·天相应专题技术培训</w:t>
            </w:r>
          </w:p>
        </w:tc>
        <w:tc>
          <w:tcPr>
            <w:tcW w:w="1059" w:type="dxa"/>
            <w:tcBorders>
              <w:top w:val="single" w:color="auto" w:sz="4" w:space="0"/>
              <w:left w:val="single" w:color="auto" w:sz="4" w:space="0"/>
              <w:bottom w:val="single" w:color="auto" w:sz="4" w:space="0"/>
              <w:right w:val="single" w:color="auto" w:sz="4" w:space="0"/>
            </w:tcBorders>
            <w:vAlign w:val="center"/>
          </w:tcPr>
          <w:p w14:paraId="6E559808">
            <w:pPr>
              <w:spacing w:line="500" w:lineRule="exact"/>
              <w:jc w:val="center"/>
              <w:rPr>
                <w:rFonts w:ascii="宋体" w:hAnsi="宋体" w:eastAsia="宋体" w:cs="楷体"/>
                <w:bCs/>
                <w:kern w:val="2"/>
                <w:sz w:val="24"/>
                <w:szCs w:val="24"/>
              </w:rPr>
            </w:pPr>
            <w:r>
              <w:rPr>
                <w:rFonts w:hint="eastAsia" w:ascii="宋体" w:hAnsi="宋体" w:eastAsia="宋体" w:cs="楷体"/>
                <w:bCs/>
                <w:kern w:val="2"/>
                <w:sz w:val="24"/>
                <w:szCs w:val="24"/>
              </w:rPr>
              <w:t>项</w:t>
            </w:r>
          </w:p>
        </w:tc>
        <w:tc>
          <w:tcPr>
            <w:tcW w:w="816" w:type="dxa"/>
            <w:tcBorders>
              <w:top w:val="single" w:color="auto" w:sz="4" w:space="0"/>
              <w:left w:val="single" w:color="auto" w:sz="4" w:space="0"/>
              <w:bottom w:val="single" w:color="auto" w:sz="4" w:space="0"/>
              <w:right w:val="single" w:color="auto" w:sz="4" w:space="0"/>
            </w:tcBorders>
            <w:vAlign w:val="center"/>
          </w:tcPr>
          <w:p w14:paraId="380C15DA">
            <w:pPr>
              <w:spacing w:line="500" w:lineRule="exact"/>
              <w:jc w:val="center"/>
              <w:rPr>
                <w:rFonts w:ascii="宋体" w:hAnsi="宋体" w:eastAsia="宋体" w:cs="楷体"/>
                <w:bCs/>
                <w:kern w:val="2"/>
                <w:sz w:val="24"/>
                <w:szCs w:val="24"/>
              </w:rPr>
            </w:pPr>
            <w:r>
              <w:rPr>
                <w:rFonts w:hint="eastAsia" w:ascii="宋体" w:hAnsi="宋体" w:eastAsia="宋体" w:cs="楷体"/>
                <w:bCs/>
                <w:kern w:val="2"/>
                <w:sz w:val="24"/>
                <w:szCs w:val="24"/>
              </w:rPr>
              <w:t>1</w:t>
            </w:r>
          </w:p>
        </w:tc>
        <w:tc>
          <w:tcPr>
            <w:tcW w:w="2255" w:type="dxa"/>
            <w:tcBorders>
              <w:top w:val="single" w:color="auto" w:sz="4" w:space="0"/>
              <w:left w:val="single" w:color="auto" w:sz="4" w:space="0"/>
              <w:bottom w:val="single" w:color="auto" w:sz="4" w:space="0"/>
              <w:right w:val="single" w:color="auto" w:sz="4" w:space="0"/>
            </w:tcBorders>
            <w:vAlign w:val="center"/>
          </w:tcPr>
          <w:p w14:paraId="4A55160F">
            <w:pPr>
              <w:spacing w:line="500" w:lineRule="exact"/>
              <w:ind w:firstLine="480"/>
              <w:jc w:val="center"/>
              <w:rPr>
                <w:rFonts w:ascii="宋体" w:hAnsi="宋体" w:eastAsia="宋体" w:cs="楷体"/>
                <w:bCs/>
                <w:kern w:val="2"/>
                <w:sz w:val="24"/>
                <w:szCs w:val="24"/>
              </w:rPr>
            </w:pPr>
          </w:p>
        </w:tc>
      </w:tr>
      <w:tr w14:paraId="73EA56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56" w:type="dxa"/>
            <w:gridSpan w:val="5"/>
            <w:tcBorders>
              <w:top w:val="single" w:color="auto" w:sz="4" w:space="0"/>
              <w:left w:val="single" w:color="auto" w:sz="4" w:space="0"/>
              <w:bottom w:val="single" w:color="auto" w:sz="4" w:space="0"/>
              <w:right w:val="single" w:color="auto" w:sz="4" w:space="0"/>
            </w:tcBorders>
            <w:vAlign w:val="center"/>
          </w:tcPr>
          <w:p w14:paraId="288BCEFF">
            <w:pPr>
              <w:spacing w:line="500" w:lineRule="exact"/>
              <w:jc w:val="both"/>
              <w:rPr>
                <w:rFonts w:ascii="宋体" w:hAnsi="宋体" w:eastAsia="宋体" w:cs="楷体"/>
                <w:bCs/>
                <w:color w:val="FF0000"/>
                <w:kern w:val="2"/>
                <w:sz w:val="24"/>
                <w:szCs w:val="24"/>
                <w:lang w:eastAsia="zh-CN"/>
              </w:rPr>
            </w:pPr>
            <w:r>
              <w:rPr>
                <w:rFonts w:hint="eastAsia" w:ascii="宋体" w:hAnsi="宋体" w:eastAsia="宋体"/>
                <w:color w:val="auto"/>
                <w:kern w:val="2"/>
                <w:sz w:val="24"/>
                <w:szCs w:val="24"/>
                <w:lang w:eastAsia="zh-CN"/>
              </w:rPr>
              <w:t>八、</w:t>
            </w:r>
            <w:r>
              <w:rPr>
                <w:rFonts w:hint="eastAsia" w:hAnsi="宋体" w:eastAsia="宋体"/>
                <w:color w:val="auto"/>
                <w:kern w:val="2"/>
                <w:sz w:val="24"/>
                <w:szCs w:val="24"/>
                <w:lang w:eastAsia="zh-CN"/>
              </w:rPr>
              <w:t>信江高等级航道整治工程信息化支撑保障系统</w:t>
            </w:r>
            <w:r>
              <w:rPr>
                <w:rFonts w:hint="eastAsia" w:ascii="宋体" w:hAnsi="宋体" w:eastAsia="宋体"/>
                <w:color w:val="auto"/>
                <w:kern w:val="2"/>
                <w:sz w:val="24"/>
                <w:szCs w:val="24"/>
                <w:lang w:eastAsia="zh-CN"/>
              </w:rPr>
              <w:t>运维服务</w:t>
            </w:r>
          </w:p>
        </w:tc>
      </w:tr>
      <w:tr w14:paraId="3E6130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56" w:type="dxa"/>
            <w:tcBorders>
              <w:top w:val="single" w:color="auto" w:sz="4" w:space="0"/>
              <w:left w:val="single" w:color="auto" w:sz="4" w:space="0"/>
              <w:bottom w:val="single" w:color="auto" w:sz="4" w:space="0"/>
              <w:right w:val="single" w:color="auto" w:sz="4" w:space="0"/>
            </w:tcBorders>
            <w:vAlign w:val="center"/>
          </w:tcPr>
          <w:p w14:paraId="6925AA9F">
            <w:pPr>
              <w:spacing w:line="500" w:lineRule="exact"/>
              <w:jc w:val="center"/>
              <w:rPr>
                <w:rFonts w:ascii="宋体" w:hAnsi="宋体" w:eastAsia="宋体" w:cs="楷体"/>
                <w:bCs/>
                <w:color w:val="auto"/>
                <w:kern w:val="2"/>
                <w:sz w:val="24"/>
                <w:szCs w:val="24"/>
              </w:rPr>
            </w:pPr>
            <w:r>
              <w:rPr>
                <w:rFonts w:hint="eastAsia" w:ascii="宋体" w:hAnsi="宋体" w:eastAsia="宋体" w:cs="楷体"/>
                <w:bCs/>
                <w:color w:val="auto"/>
                <w:kern w:val="2"/>
                <w:sz w:val="24"/>
                <w:szCs w:val="24"/>
              </w:rPr>
              <w:t>1</w:t>
            </w:r>
          </w:p>
        </w:tc>
        <w:tc>
          <w:tcPr>
            <w:tcW w:w="3170" w:type="dxa"/>
            <w:tcBorders>
              <w:top w:val="single" w:color="auto" w:sz="4" w:space="0"/>
              <w:left w:val="single" w:color="auto" w:sz="4" w:space="0"/>
              <w:bottom w:val="single" w:color="auto" w:sz="4" w:space="0"/>
              <w:right w:val="single" w:color="auto" w:sz="4" w:space="0"/>
            </w:tcBorders>
            <w:vAlign w:val="center"/>
          </w:tcPr>
          <w:p w14:paraId="77DFF5DB">
            <w:pPr>
              <w:spacing w:line="500" w:lineRule="exact"/>
              <w:jc w:val="center"/>
              <w:rPr>
                <w:rFonts w:ascii="宋体" w:hAnsi="宋体" w:eastAsia="宋体" w:cs="楷体"/>
                <w:bCs/>
                <w:color w:val="auto"/>
                <w:kern w:val="2"/>
                <w:sz w:val="24"/>
                <w:szCs w:val="24"/>
                <w:lang w:eastAsia="zh-CN"/>
              </w:rPr>
            </w:pPr>
            <w:r>
              <w:rPr>
                <w:rFonts w:hint="eastAsia" w:ascii="宋体" w:hAnsi="宋体" w:eastAsia="宋体" w:cs="楷体"/>
                <w:bCs/>
                <w:color w:val="auto"/>
                <w:kern w:val="2"/>
                <w:sz w:val="24"/>
                <w:szCs w:val="24"/>
              </w:rPr>
              <w:t>机房设备运维</w:t>
            </w:r>
          </w:p>
        </w:tc>
        <w:tc>
          <w:tcPr>
            <w:tcW w:w="1059" w:type="dxa"/>
            <w:tcBorders>
              <w:top w:val="single" w:color="auto" w:sz="4" w:space="0"/>
              <w:left w:val="single" w:color="auto" w:sz="4" w:space="0"/>
              <w:bottom w:val="single" w:color="auto" w:sz="4" w:space="0"/>
              <w:right w:val="single" w:color="auto" w:sz="4" w:space="0"/>
            </w:tcBorders>
            <w:vAlign w:val="center"/>
          </w:tcPr>
          <w:p w14:paraId="1856E977">
            <w:pPr>
              <w:spacing w:line="500" w:lineRule="exact"/>
              <w:jc w:val="center"/>
              <w:rPr>
                <w:rFonts w:ascii="宋体" w:hAnsi="宋体" w:eastAsia="宋体" w:cs="楷体"/>
                <w:bCs/>
                <w:color w:val="auto"/>
                <w:kern w:val="2"/>
                <w:sz w:val="24"/>
                <w:szCs w:val="24"/>
              </w:rPr>
            </w:pPr>
            <w:r>
              <w:rPr>
                <w:rFonts w:hint="eastAsia" w:ascii="宋体" w:hAnsi="宋体" w:eastAsia="宋体" w:cs="楷体"/>
                <w:bCs/>
                <w:color w:val="auto"/>
                <w:kern w:val="2"/>
                <w:sz w:val="24"/>
                <w:szCs w:val="24"/>
              </w:rPr>
              <w:t>项</w:t>
            </w:r>
          </w:p>
        </w:tc>
        <w:tc>
          <w:tcPr>
            <w:tcW w:w="816" w:type="dxa"/>
            <w:tcBorders>
              <w:top w:val="single" w:color="auto" w:sz="4" w:space="0"/>
              <w:left w:val="single" w:color="auto" w:sz="4" w:space="0"/>
              <w:bottom w:val="single" w:color="auto" w:sz="4" w:space="0"/>
              <w:right w:val="single" w:color="auto" w:sz="4" w:space="0"/>
            </w:tcBorders>
            <w:vAlign w:val="center"/>
          </w:tcPr>
          <w:p w14:paraId="2E3BD1D7">
            <w:pPr>
              <w:spacing w:line="500" w:lineRule="exact"/>
              <w:jc w:val="center"/>
              <w:rPr>
                <w:rFonts w:ascii="宋体" w:hAnsi="宋体" w:eastAsia="宋体" w:cs="楷体"/>
                <w:bCs/>
                <w:color w:val="auto"/>
                <w:kern w:val="2"/>
                <w:sz w:val="24"/>
                <w:szCs w:val="24"/>
              </w:rPr>
            </w:pPr>
            <w:r>
              <w:rPr>
                <w:rFonts w:hint="eastAsia" w:ascii="宋体" w:hAnsi="宋体" w:eastAsia="宋体" w:cs="楷体"/>
                <w:bCs/>
                <w:color w:val="auto"/>
                <w:kern w:val="2"/>
                <w:sz w:val="24"/>
                <w:szCs w:val="24"/>
              </w:rPr>
              <w:t>1</w:t>
            </w:r>
          </w:p>
        </w:tc>
        <w:tc>
          <w:tcPr>
            <w:tcW w:w="2255" w:type="dxa"/>
            <w:tcBorders>
              <w:top w:val="single" w:color="auto" w:sz="4" w:space="0"/>
              <w:left w:val="single" w:color="auto" w:sz="4" w:space="0"/>
              <w:bottom w:val="single" w:color="auto" w:sz="4" w:space="0"/>
              <w:right w:val="single" w:color="auto" w:sz="4" w:space="0"/>
            </w:tcBorders>
            <w:vAlign w:val="center"/>
          </w:tcPr>
          <w:p w14:paraId="48B88229">
            <w:pPr>
              <w:spacing w:line="500" w:lineRule="exact"/>
              <w:jc w:val="both"/>
              <w:rPr>
                <w:rFonts w:ascii="宋体" w:hAnsi="宋体" w:eastAsia="宋体" w:cs="楷体"/>
                <w:bCs/>
                <w:color w:val="auto"/>
                <w:kern w:val="2"/>
                <w:sz w:val="24"/>
                <w:szCs w:val="24"/>
                <w:lang w:eastAsia="zh-CN"/>
              </w:rPr>
            </w:pPr>
          </w:p>
        </w:tc>
      </w:tr>
      <w:tr w14:paraId="0E778F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56" w:type="dxa"/>
            <w:tcBorders>
              <w:top w:val="single" w:color="auto" w:sz="4" w:space="0"/>
              <w:left w:val="single" w:color="auto" w:sz="4" w:space="0"/>
              <w:bottom w:val="single" w:color="auto" w:sz="4" w:space="0"/>
              <w:right w:val="single" w:color="auto" w:sz="4" w:space="0"/>
            </w:tcBorders>
            <w:vAlign w:val="center"/>
          </w:tcPr>
          <w:p w14:paraId="5506960A">
            <w:pPr>
              <w:spacing w:line="500" w:lineRule="exact"/>
              <w:jc w:val="center"/>
              <w:rPr>
                <w:rFonts w:ascii="宋体" w:hAnsi="宋体" w:eastAsia="宋体" w:cs="楷体"/>
                <w:bCs/>
                <w:color w:val="auto"/>
                <w:kern w:val="2"/>
                <w:sz w:val="24"/>
                <w:szCs w:val="24"/>
              </w:rPr>
            </w:pPr>
            <w:r>
              <w:rPr>
                <w:rFonts w:hint="eastAsia" w:ascii="宋体" w:hAnsi="宋体" w:eastAsia="宋体" w:cs="楷体"/>
                <w:bCs/>
                <w:color w:val="auto"/>
                <w:kern w:val="2"/>
                <w:sz w:val="24"/>
                <w:szCs w:val="24"/>
              </w:rPr>
              <w:t>2</w:t>
            </w:r>
          </w:p>
        </w:tc>
        <w:tc>
          <w:tcPr>
            <w:tcW w:w="3170" w:type="dxa"/>
            <w:tcBorders>
              <w:top w:val="single" w:color="auto" w:sz="4" w:space="0"/>
              <w:left w:val="single" w:color="auto" w:sz="4" w:space="0"/>
              <w:bottom w:val="single" w:color="auto" w:sz="4" w:space="0"/>
              <w:right w:val="single" w:color="auto" w:sz="4" w:space="0"/>
            </w:tcBorders>
            <w:vAlign w:val="center"/>
          </w:tcPr>
          <w:p w14:paraId="21AF998B">
            <w:pPr>
              <w:spacing w:line="500" w:lineRule="exact"/>
              <w:jc w:val="center"/>
              <w:rPr>
                <w:rFonts w:ascii="宋体" w:hAnsi="宋体" w:eastAsia="宋体" w:cs="楷体"/>
                <w:bCs/>
                <w:color w:val="auto"/>
                <w:kern w:val="2"/>
                <w:sz w:val="24"/>
                <w:szCs w:val="24"/>
                <w:lang w:eastAsia="zh-CN"/>
              </w:rPr>
            </w:pPr>
            <w:r>
              <w:rPr>
                <w:rFonts w:hint="eastAsia" w:ascii="宋体" w:hAnsi="宋体" w:eastAsia="宋体" w:cs="楷体"/>
                <w:bCs/>
                <w:color w:val="auto"/>
                <w:kern w:val="2"/>
                <w:sz w:val="24"/>
                <w:szCs w:val="24"/>
                <w:lang w:eastAsia="zh-CN"/>
              </w:rPr>
              <w:t>33处</w:t>
            </w:r>
            <w:r>
              <w:rPr>
                <w:rFonts w:hint="eastAsia" w:ascii="宋体" w:hAnsi="宋体" w:eastAsia="宋体" w:cs="楷体"/>
                <w:bCs/>
                <w:color w:val="auto"/>
                <w:kern w:val="2"/>
                <w:sz w:val="24"/>
                <w:szCs w:val="24"/>
              </w:rPr>
              <w:t>外场设施运维服务</w:t>
            </w:r>
          </w:p>
        </w:tc>
        <w:tc>
          <w:tcPr>
            <w:tcW w:w="1059" w:type="dxa"/>
            <w:tcBorders>
              <w:top w:val="single" w:color="auto" w:sz="4" w:space="0"/>
              <w:left w:val="single" w:color="auto" w:sz="4" w:space="0"/>
              <w:bottom w:val="single" w:color="auto" w:sz="4" w:space="0"/>
              <w:right w:val="single" w:color="auto" w:sz="4" w:space="0"/>
            </w:tcBorders>
            <w:vAlign w:val="center"/>
          </w:tcPr>
          <w:p w14:paraId="21B49807">
            <w:pPr>
              <w:spacing w:line="500" w:lineRule="exact"/>
              <w:jc w:val="center"/>
              <w:rPr>
                <w:rFonts w:ascii="宋体" w:hAnsi="宋体" w:eastAsia="宋体" w:cs="楷体"/>
                <w:bCs/>
                <w:color w:val="auto"/>
                <w:kern w:val="2"/>
                <w:sz w:val="24"/>
                <w:szCs w:val="24"/>
              </w:rPr>
            </w:pPr>
            <w:r>
              <w:rPr>
                <w:rFonts w:hint="eastAsia" w:ascii="宋体" w:hAnsi="宋体" w:eastAsia="宋体" w:cs="楷体"/>
                <w:bCs/>
                <w:color w:val="auto"/>
                <w:kern w:val="2"/>
                <w:sz w:val="24"/>
                <w:szCs w:val="24"/>
              </w:rPr>
              <w:t>项</w:t>
            </w:r>
          </w:p>
        </w:tc>
        <w:tc>
          <w:tcPr>
            <w:tcW w:w="816" w:type="dxa"/>
            <w:tcBorders>
              <w:top w:val="single" w:color="auto" w:sz="4" w:space="0"/>
              <w:left w:val="single" w:color="auto" w:sz="4" w:space="0"/>
              <w:bottom w:val="single" w:color="auto" w:sz="4" w:space="0"/>
              <w:right w:val="single" w:color="auto" w:sz="4" w:space="0"/>
            </w:tcBorders>
            <w:vAlign w:val="center"/>
          </w:tcPr>
          <w:p w14:paraId="3915BF44">
            <w:pPr>
              <w:spacing w:line="500" w:lineRule="exact"/>
              <w:jc w:val="center"/>
              <w:rPr>
                <w:rFonts w:ascii="宋体" w:hAnsi="宋体" w:eastAsia="宋体" w:cs="楷体"/>
                <w:bCs/>
                <w:color w:val="auto"/>
                <w:kern w:val="2"/>
                <w:sz w:val="24"/>
                <w:szCs w:val="24"/>
              </w:rPr>
            </w:pPr>
            <w:r>
              <w:rPr>
                <w:rFonts w:hint="eastAsia" w:ascii="宋体" w:hAnsi="宋体" w:eastAsia="宋体" w:cs="楷体"/>
                <w:bCs/>
                <w:color w:val="auto"/>
                <w:kern w:val="2"/>
                <w:sz w:val="24"/>
                <w:szCs w:val="24"/>
              </w:rPr>
              <w:t>1</w:t>
            </w:r>
          </w:p>
        </w:tc>
        <w:tc>
          <w:tcPr>
            <w:tcW w:w="2255" w:type="dxa"/>
            <w:tcBorders>
              <w:top w:val="single" w:color="auto" w:sz="4" w:space="0"/>
              <w:left w:val="single" w:color="auto" w:sz="4" w:space="0"/>
              <w:bottom w:val="single" w:color="auto" w:sz="4" w:space="0"/>
              <w:right w:val="single" w:color="auto" w:sz="4" w:space="0"/>
            </w:tcBorders>
            <w:vAlign w:val="center"/>
          </w:tcPr>
          <w:p w14:paraId="1D76D07B">
            <w:pPr>
              <w:spacing w:line="500" w:lineRule="exact"/>
              <w:jc w:val="both"/>
              <w:rPr>
                <w:rFonts w:ascii="宋体" w:hAnsi="宋体" w:eastAsia="宋体" w:cs="楷体"/>
                <w:bCs/>
                <w:color w:val="auto"/>
                <w:kern w:val="2"/>
                <w:sz w:val="24"/>
                <w:szCs w:val="24"/>
                <w:lang w:eastAsia="zh-CN"/>
              </w:rPr>
            </w:pPr>
          </w:p>
        </w:tc>
      </w:tr>
      <w:tr w14:paraId="7A3CAB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56" w:type="dxa"/>
            <w:tcBorders>
              <w:top w:val="single" w:color="auto" w:sz="4" w:space="0"/>
              <w:left w:val="single" w:color="auto" w:sz="4" w:space="0"/>
              <w:bottom w:val="single" w:color="auto" w:sz="4" w:space="0"/>
              <w:right w:val="single" w:color="auto" w:sz="4" w:space="0"/>
            </w:tcBorders>
            <w:vAlign w:val="center"/>
          </w:tcPr>
          <w:p w14:paraId="5CD2A3E2">
            <w:pPr>
              <w:spacing w:line="500" w:lineRule="exact"/>
              <w:jc w:val="center"/>
              <w:rPr>
                <w:rFonts w:ascii="宋体" w:hAnsi="宋体" w:eastAsia="宋体" w:cs="楷体"/>
                <w:bCs/>
                <w:color w:val="auto"/>
                <w:kern w:val="2"/>
                <w:sz w:val="24"/>
                <w:szCs w:val="24"/>
              </w:rPr>
            </w:pPr>
            <w:r>
              <w:rPr>
                <w:rFonts w:hint="eastAsia" w:ascii="宋体" w:hAnsi="宋体" w:eastAsia="宋体" w:cs="楷体"/>
                <w:bCs/>
                <w:color w:val="auto"/>
                <w:kern w:val="2"/>
                <w:sz w:val="24"/>
                <w:szCs w:val="24"/>
              </w:rPr>
              <w:t>3</w:t>
            </w:r>
          </w:p>
        </w:tc>
        <w:tc>
          <w:tcPr>
            <w:tcW w:w="3170" w:type="dxa"/>
            <w:tcBorders>
              <w:top w:val="single" w:color="auto" w:sz="4" w:space="0"/>
              <w:left w:val="single" w:color="auto" w:sz="4" w:space="0"/>
              <w:bottom w:val="single" w:color="auto" w:sz="4" w:space="0"/>
              <w:right w:val="single" w:color="auto" w:sz="4" w:space="0"/>
            </w:tcBorders>
            <w:vAlign w:val="center"/>
          </w:tcPr>
          <w:p w14:paraId="3FB88831">
            <w:pPr>
              <w:spacing w:line="500" w:lineRule="exact"/>
              <w:jc w:val="center"/>
              <w:rPr>
                <w:rFonts w:ascii="宋体" w:hAnsi="宋体" w:eastAsia="宋体" w:cs="楷体"/>
                <w:bCs/>
                <w:color w:val="auto"/>
                <w:kern w:val="2"/>
                <w:sz w:val="24"/>
                <w:szCs w:val="24"/>
                <w:lang w:eastAsia="zh-CN"/>
              </w:rPr>
            </w:pPr>
            <w:r>
              <w:rPr>
                <w:rFonts w:hint="eastAsia" w:ascii="宋体" w:hAnsi="宋体" w:eastAsia="宋体" w:cs="楷体"/>
                <w:bCs/>
                <w:color w:val="auto"/>
                <w:kern w:val="2"/>
                <w:sz w:val="24"/>
                <w:szCs w:val="24"/>
                <w:lang w:eastAsia="zh-CN"/>
              </w:rPr>
              <w:t>外场设施正常运行供电及运维服务</w:t>
            </w:r>
          </w:p>
        </w:tc>
        <w:tc>
          <w:tcPr>
            <w:tcW w:w="1059" w:type="dxa"/>
            <w:tcBorders>
              <w:top w:val="single" w:color="auto" w:sz="4" w:space="0"/>
              <w:left w:val="single" w:color="auto" w:sz="4" w:space="0"/>
              <w:bottom w:val="single" w:color="auto" w:sz="4" w:space="0"/>
              <w:right w:val="single" w:color="auto" w:sz="4" w:space="0"/>
            </w:tcBorders>
            <w:vAlign w:val="center"/>
          </w:tcPr>
          <w:p w14:paraId="7E94E1BE">
            <w:pPr>
              <w:spacing w:line="500" w:lineRule="exact"/>
              <w:jc w:val="center"/>
              <w:rPr>
                <w:rFonts w:ascii="宋体" w:hAnsi="宋体" w:eastAsia="宋体" w:cs="楷体"/>
                <w:bCs/>
                <w:color w:val="auto"/>
                <w:kern w:val="2"/>
                <w:sz w:val="24"/>
                <w:szCs w:val="24"/>
              </w:rPr>
            </w:pPr>
            <w:r>
              <w:rPr>
                <w:rFonts w:hint="eastAsia" w:ascii="宋体" w:hAnsi="宋体" w:eastAsia="宋体" w:cs="楷体"/>
                <w:bCs/>
                <w:color w:val="auto"/>
                <w:kern w:val="2"/>
                <w:sz w:val="24"/>
                <w:szCs w:val="24"/>
              </w:rPr>
              <w:t>项</w:t>
            </w:r>
          </w:p>
        </w:tc>
        <w:tc>
          <w:tcPr>
            <w:tcW w:w="816" w:type="dxa"/>
            <w:tcBorders>
              <w:top w:val="single" w:color="auto" w:sz="4" w:space="0"/>
              <w:left w:val="single" w:color="auto" w:sz="4" w:space="0"/>
              <w:bottom w:val="single" w:color="auto" w:sz="4" w:space="0"/>
              <w:right w:val="single" w:color="auto" w:sz="4" w:space="0"/>
            </w:tcBorders>
            <w:vAlign w:val="center"/>
          </w:tcPr>
          <w:p w14:paraId="07F95834">
            <w:pPr>
              <w:spacing w:line="500" w:lineRule="exact"/>
              <w:jc w:val="center"/>
              <w:rPr>
                <w:rFonts w:ascii="宋体" w:hAnsi="宋体" w:eastAsia="宋体" w:cs="楷体"/>
                <w:bCs/>
                <w:color w:val="auto"/>
                <w:kern w:val="2"/>
                <w:sz w:val="24"/>
                <w:szCs w:val="24"/>
              </w:rPr>
            </w:pPr>
            <w:r>
              <w:rPr>
                <w:rFonts w:hint="eastAsia" w:ascii="宋体" w:hAnsi="宋体" w:eastAsia="宋体" w:cs="楷体"/>
                <w:bCs/>
                <w:color w:val="auto"/>
                <w:kern w:val="2"/>
                <w:sz w:val="24"/>
                <w:szCs w:val="24"/>
              </w:rPr>
              <w:t>1</w:t>
            </w:r>
          </w:p>
        </w:tc>
        <w:tc>
          <w:tcPr>
            <w:tcW w:w="2255" w:type="dxa"/>
            <w:tcBorders>
              <w:top w:val="single" w:color="auto" w:sz="4" w:space="0"/>
              <w:left w:val="single" w:color="auto" w:sz="4" w:space="0"/>
              <w:bottom w:val="single" w:color="auto" w:sz="4" w:space="0"/>
              <w:right w:val="single" w:color="auto" w:sz="4" w:space="0"/>
            </w:tcBorders>
            <w:vAlign w:val="center"/>
          </w:tcPr>
          <w:p w14:paraId="079DEEB0">
            <w:pPr>
              <w:spacing w:line="500" w:lineRule="exact"/>
              <w:jc w:val="both"/>
              <w:rPr>
                <w:rFonts w:ascii="宋体" w:hAnsi="宋体" w:eastAsia="宋体" w:cs="楷体"/>
                <w:bCs/>
                <w:color w:val="auto"/>
                <w:kern w:val="2"/>
                <w:sz w:val="24"/>
                <w:szCs w:val="24"/>
                <w:lang w:eastAsia="zh-CN"/>
              </w:rPr>
            </w:pPr>
          </w:p>
        </w:tc>
      </w:tr>
      <w:tr w14:paraId="42001B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56" w:type="dxa"/>
            <w:tcBorders>
              <w:top w:val="single" w:color="auto" w:sz="4" w:space="0"/>
              <w:left w:val="single" w:color="auto" w:sz="4" w:space="0"/>
              <w:bottom w:val="single" w:color="auto" w:sz="4" w:space="0"/>
              <w:right w:val="single" w:color="auto" w:sz="4" w:space="0"/>
            </w:tcBorders>
            <w:vAlign w:val="center"/>
          </w:tcPr>
          <w:p w14:paraId="3BA27829">
            <w:pPr>
              <w:spacing w:line="500" w:lineRule="exact"/>
              <w:jc w:val="center"/>
              <w:rPr>
                <w:rFonts w:ascii="宋体" w:hAnsi="宋体" w:eastAsia="宋体" w:cs="楷体"/>
                <w:bCs/>
                <w:color w:val="auto"/>
                <w:kern w:val="2"/>
                <w:sz w:val="24"/>
                <w:szCs w:val="24"/>
                <w:lang w:eastAsia="zh-CN"/>
              </w:rPr>
            </w:pPr>
            <w:r>
              <w:rPr>
                <w:rFonts w:hint="eastAsia" w:ascii="宋体" w:hAnsi="宋体" w:eastAsia="宋体" w:cs="楷体"/>
                <w:bCs/>
                <w:color w:val="auto"/>
                <w:kern w:val="2"/>
                <w:sz w:val="24"/>
                <w:szCs w:val="24"/>
                <w:lang w:eastAsia="zh-CN"/>
              </w:rPr>
              <w:t>4</w:t>
            </w:r>
          </w:p>
        </w:tc>
        <w:tc>
          <w:tcPr>
            <w:tcW w:w="3170" w:type="dxa"/>
            <w:tcBorders>
              <w:top w:val="single" w:color="auto" w:sz="4" w:space="0"/>
              <w:left w:val="single" w:color="auto" w:sz="4" w:space="0"/>
              <w:bottom w:val="single" w:color="auto" w:sz="4" w:space="0"/>
              <w:right w:val="single" w:color="auto" w:sz="4" w:space="0"/>
            </w:tcBorders>
            <w:vAlign w:val="center"/>
          </w:tcPr>
          <w:p w14:paraId="04FAF17E">
            <w:pPr>
              <w:spacing w:line="500" w:lineRule="exact"/>
              <w:jc w:val="center"/>
              <w:rPr>
                <w:rFonts w:ascii="宋体" w:hAnsi="宋体" w:eastAsia="宋体" w:cs="楷体"/>
                <w:bCs/>
                <w:color w:val="auto"/>
                <w:kern w:val="2"/>
                <w:sz w:val="24"/>
                <w:szCs w:val="24"/>
                <w:lang w:eastAsia="zh-CN"/>
              </w:rPr>
            </w:pPr>
            <w:r>
              <w:rPr>
                <w:rFonts w:hint="eastAsia" w:ascii="宋体" w:hAnsi="宋体" w:eastAsia="宋体" w:cs="楷体"/>
                <w:bCs/>
                <w:color w:val="auto"/>
                <w:kern w:val="2"/>
                <w:sz w:val="24"/>
                <w:szCs w:val="24"/>
                <w:lang w:eastAsia="zh-CN"/>
              </w:rPr>
              <w:t>20人·天相应专题技术培训</w:t>
            </w:r>
          </w:p>
        </w:tc>
        <w:tc>
          <w:tcPr>
            <w:tcW w:w="1059" w:type="dxa"/>
            <w:tcBorders>
              <w:top w:val="single" w:color="auto" w:sz="4" w:space="0"/>
              <w:left w:val="single" w:color="auto" w:sz="4" w:space="0"/>
              <w:bottom w:val="single" w:color="auto" w:sz="4" w:space="0"/>
              <w:right w:val="single" w:color="auto" w:sz="4" w:space="0"/>
            </w:tcBorders>
            <w:vAlign w:val="center"/>
          </w:tcPr>
          <w:p w14:paraId="6942DA37">
            <w:pPr>
              <w:spacing w:line="500" w:lineRule="exact"/>
              <w:jc w:val="center"/>
              <w:rPr>
                <w:rFonts w:ascii="宋体" w:hAnsi="宋体" w:eastAsia="宋体" w:cs="楷体"/>
                <w:bCs/>
                <w:color w:val="auto"/>
                <w:kern w:val="2"/>
                <w:sz w:val="24"/>
                <w:szCs w:val="24"/>
              </w:rPr>
            </w:pPr>
            <w:r>
              <w:rPr>
                <w:rFonts w:hint="eastAsia" w:ascii="宋体" w:hAnsi="宋体" w:eastAsia="宋体" w:cs="楷体"/>
                <w:bCs/>
                <w:color w:val="auto"/>
                <w:kern w:val="2"/>
                <w:sz w:val="24"/>
                <w:szCs w:val="24"/>
              </w:rPr>
              <w:t>项</w:t>
            </w:r>
          </w:p>
        </w:tc>
        <w:tc>
          <w:tcPr>
            <w:tcW w:w="816" w:type="dxa"/>
            <w:tcBorders>
              <w:top w:val="single" w:color="auto" w:sz="4" w:space="0"/>
              <w:left w:val="single" w:color="auto" w:sz="4" w:space="0"/>
              <w:bottom w:val="single" w:color="auto" w:sz="4" w:space="0"/>
              <w:right w:val="single" w:color="auto" w:sz="4" w:space="0"/>
            </w:tcBorders>
            <w:vAlign w:val="center"/>
          </w:tcPr>
          <w:p w14:paraId="3FBBF6C7">
            <w:pPr>
              <w:spacing w:line="500" w:lineRule="exact"/>
              <w:jc w:val="center"/>
              <w:rPr>
                <w:rFonts w:ascii="宋体" w:hAnsi="宋体" w:eastAsia="宋体" w:cs="楷体"/>
                <w:bCs/>
                <w:color w:val="auto"/>
                <w:kern w:val="2"/>
                <w:sz w:val="24"/>
                <w:szCs w:val="24"/>
              </w:rPr>
            </w:pPr>
            <w:r>
              <w:rPr>
                <w:rFonts w:hint="eastAsia" w:ascii="宋体" w:hAnsi="宋体" w:eastAsia="宋体" w:cs="楷体"/>
                <w:bCs/>
                <w:color w:val="auto"/>
                <w:kern w:val="2"/>
                <w:sz w:val="24"/>
                <w:szCs w:val="24"/>
              </w:rPr>
              <w:t>1</w:t>
            </w:r>
          </w:p>
        </w:tc>
        <w:tc>
          <w:tcPr>
            <w:tcW w:w="2255" w:type="dxa"/>
            <w:tcBorders>
              <w:top w:val="single" w:color="auto" w:sz="4" w:space="0"/>
              <w:left w:val="single" w:color="auto" w:sz="4" w:space="0"/>
              <w:bottom w:val="single" w:color="auto" w:sz="4" w:space="0"/>
              <w:right w:val="single" w:color="auto" w:sz="4" w:space="0"/>
            </w:tcBorders>
            <w:vAlign w:val="center"/>
          </w:tcPr>
          <w:p w14:paraId="7393445C">
            <w:pPr>
              <w:spacing w:line="500" w:lineRule="exact"/>
              <w:ind w:firstLine="480"/>
              <w:jc w:val="center"/>
              <w:rPr>
                <w:rFonts w:ascii="宋体" w:hAnsi="宋体" w:eastAsia="宋体" w:cs="楷体"/>
                <w:bCs/>
                <w:color w:val="auto"/>
                <w:kern w:val="2"/>
                <w:sz w:val="24"/>
                <w:szCs w:val="24"/>
              </w:rPr>
            </w:pPr>
          </w:p>
        </w:tc>
      </w:tr>
      <w:tr w14:paraId="45AD32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56" w:type="dxa"/>
            <w:gridSpan w:val="5"/>
            <w:tcBorders>
              <w:top w:val="single" w:color="auto" w:sz="4" w:space="0"/>
              <w:left w:val="single" w:color="auto" w:sz="4" w:space="0"/>
              <w:bottom w:val="single" w:color="auto" w:sz="4" w:space="0"/>
              <w:right w:val="single" w:color="auto" w:sz="4" w:space="0"/>
            </w:tcBorders>
            <w:vAlign w:val="center"/>
          </w:tcPr>
          <w:p w14:paraId="13BB981A">
            <w:pPr>
              <w:spacing w:line="500" w:lineRule="exact"/>
              <w:jc w:val="both"/>
              <w:rPr>
                <w:rFonts w:ascii="宋体" w:hAnsi="宋体" w:eastAsia="宋体" w:cs="楷体"/>
                <w:bCs/>
                <w:color w:val="FF0000"/>
                <w:kern w:val="2"/>
                <w:sz w:val="24"/>
                <w:szCs w:val="24"/>
                <w:lang w:eastAsia="zh-CN"/>
              </w:rPr>
            </w:pPr>
            <w:r>
              <w:rPr>
                <w:rFonts w:hint="eastAsia" w:hAnsi="宋体" w:eastAsia="宋体"/>
                <w:kern w:val="2"/>
                <w:sz w:val="24"/>
                <w:szCs w:val="24"/>
                <w:lang w:eastAsia="zh-CN"/>
              </w:rPr>
              <w:t>九、执法记录仪及数据采集站运维服务</w:t>
            </w:r>
          </w:p>
        </w:tc>
      </w:tr>
      <w:tr w14:paraId="79682E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56" w:type="dxa"/>
            <w:tcBorders>
              <w:top w:val="single" w:color="auto" w:sz="4" w:space="0"/>
              <w:left w:val="single" w:color="auto" w:sz="4" w:space="0"/>
              <w:bottom w:val="single" w:color="auto" w:sz="4" w:space="0"/>
              <w:right w:val="single" w:color="auto" w:sz="4" w:space="0"/>
            </w:tcBorders>
            <w:vAlign w:val="center"/>
          </w:tcPr>
          <w:p w14:paraId="6972DCDC">
            <w:pPr>
              <w:spacing w:line="500" w:lineRule="exact"/>
              <w:jc w:val="center"/>
              <w:rPr>
                <w:rFonts w:ascii="宋体" w:hAnsi="宋体" w:eastAsia="宋体" w:cs="楷体"/>
                <w:bCs/>
                <w:kern w:val="2"/>
                <w:sz w:val="24"/>
                <w:szCs w:val="24"/>
              </w:rPr>
            </w:pPr>
            <w:r>
              <w:rPr>
                <w:rFonts w:hint="eastAsia" w:ascii="宋体" w:hAnsi="宋体" w:eastAsia="宋体" w:cs="楷体"/>
                <w:bCs/>
                <w:kern w:val="2"/>
                <w:sz w:val="24"/>
                <w:szCs w:val="24"/>
              </w:rPr>
              <w:t>1</w:t>
            </w:r>
          </w:p>
        </w:tc>
        <w:tc>
          <w:tcPr>
            <w:tcW w:w="3170" w:type="dxa"/>
            <w:tcBorders>
              <w:top w:val="single" w:color="auto" w:sz="4" w:space="0"/>
              <w:left w:val="single" w:color="auto" w:sz="4" w:space="0"/>
              <w:bottom w:val="single" w:color="auto" w:sz="4" w:space="0"/>
              <w:right w:val="single" w:color="auto" w:sz="4" w:space="0"/>
            </w:tcBorders>
            <w:vAlign w:val="center"/>
          </w:tcPr>
          <w:p w14:paraId="7C1BEA81">
            <w:pPr>
              <w:spacing w:line="500" w:lineRule="exact"/>
              <w:jc w:val="center"/>
              <w:rPr>
                <w:rFonts w:ascii="宋体" w:hAnsi="宋体" w:eastAsia="宋体" w:cs="楷体"/>
                <w:bCs/>
                <w:color w:val="auto"/>
                <w:kern w:val="2"/>
                <w:sz w:val="24"/>
                <w:szCs w:val="24"/>
                <w:lang w:eastAsia="zh-CN"/>
              </w:rPr>
            </w:pPr>
            <w:r>
              <w:rPr>
                <w:rFonts w:hint="eastAsia" w:ascii="宋体" w:hAnsi="宋体" w:eastAsia="宋体" w:cs="楷体"/>
                <w:bCs/>
                <w:color w:val="auto"/>
                <w:kern w:val="2"/>
                <w:sz w:val="24"/>
                <w:szCs w:val="24"/>
                <w:lang w:eastAsia="zh-CN"/>
              </w:rPr>
              <w:t>执法记录仪运维</w:t>
            </w:r>
          </w:p>
        </w:tc>
        <w:tc>
          <w:tcPr>
            <w:tcW w:w="1059" w:type="dxa"/>
            <w:tcBorders>
              <w:top w:val="single" w:color="auto" w:sz="4" w:space="0"/>
              <w:left w:val="single" w:color="auto" w:sz="4" w:space="0"/>
              <w:bottom w:val="single" w:color="auto" w:sz="4" w:space="0"/>
              <w:right w:val="single" w:color="auto" w:sz="4" w:space="0"/>
            </w:tcBorders>
            <w:vAlign w:val="center"/>
          </w:tcPr>
          <w:p w14:paraId="1C088DA3">
            <w:pPr>
              <w:spacing w:line="500" w:lineRule="exact"/>
              <w:ind w:firstLine="240" w:firstLineChars="100"/>
              <w:rPr>
                <w:rFonts w:ascii="宋体" w:hAnsi="宋体" w:eastAsia="宋体" w:cs="楷体"/>
                <w:bCs/>
                <w:color w:val="auto"/>
                <w:kern w:val="2"/>
                <w:sz w:val="24"/>
                <w:szCs w:val="24"/>
                <w:lang w:eastAsia="zh-CN"/>
              </w:rPr>
            </w:pPr>
            <w:r>
              <w:rPr>
                <w:rFonts w:hint="eastAsia" w:ascii="宋体" w:hAnsi="宋体" w:eastAsia="宋体" w:cs="楷体"/>
                <w:bCs/>
                <w:color w:val="auto"/>
                <w:kern w:val="2"/>
                <w:sz w:val="24"/>
                <w:szCs w:val="24"/>
                <w:lang w:eastAsia="zh-CN"/>
              </w:rPr>
              <w:t>台</w:t>
            </w:r>
          </w:p>
        </w:tc>
        <w:tc>
          <w:tcPr>
            <w:tcW w:w="816" w:type="dxa"/>
            <w:tcBorders>
              <w:top w:val="single" w:color="auto" w:sz="4" w:space="0"/>
              <w:left w:val="single" w:color="auto" w:sz="4" w:space="0"/>
              <w:bottom w:val="single" w:color="auto" w:sz="4" w:space="0"/>
              <w:right w:val="single" w:color="auto" w:sz="4" w:space="0"/>
            </w:tcBorders>
            <w:vAlign w:val="center"/>
          </w:tcPr>
          <w:p w14:paraId="28F3BC1A">
            <w:pPr>
              <w:spacing w:line="500" w:lineRule="exact"/>
              <w:jc w:val="center"/>
              <w:rPr>
                <w:rFonts w:ascii="宋体" w:hAnsi="宋体" w:eastAsia="宋体" w:cs="楷体"/>
                <w:bCs/>
                <w:color w:val="auto"/>
                <w:kern w:val="2"/>
                <w:sz w:val="24"/>
                <w:szCs w:val="24"/>
                <w:lang w:eastAsia="zh-CN"/>
              </w:rPr>
            </w:pPr>
            <w:r>
              <w:rPr>
                <w:rFonts w:hint="eastAsia" w:ascii="宋体" w:hAnsi="宋体" w:eastAsia="宋体" w:cs="楷体"/>
                <w:bCs/>
                <w:color w:val="auto"/>
                <w:kern w:val="2"/>
                <w:sz w:val="24"/>
                <w:szCs w:val="24"/>
                <w:lang w:eastAsia="zh-CN"/>
              </w:rPr>
              <w:t>1050</w:t>
            </w:r>
          </w:p>
        </w:tc>
        <w:tc>
          <w:tcPr>
            <w:tcW w:w="2255" w:type="dxa"/>
            <w:tcBorders>
              <w:top w:val="single" w:color="auto" w:sz="4" w:space="0"/>
              <w:left w:val="single" w:color="auto" w:sz="4" w:space="0"/>
              <w:bottom w:val="single" w:color="auto" w:sz="4" w:space="0"/>
              <w:right w:val="single" w:color="auto" w:sz="4" w:space="0"/>
            </w:tcBorders>
            <w:vAlign w:val="center"/>
          </w:tcPr>
          <w:p w14:paraId="3A7273F5">
            <w:pPr>
              <w:spacing w:line="500" w:lineRule="exact"/>
              <w:ind w:firstLine="480"/>
              <w:jc w:val="center"/>
              <w:rPr>
                <w:rFonts w:ascii="宋体" w:hAnsi="宋体" w:eastAsia="宋体" w:cs="楷体"/>
                <w:bCs/>
                <w:color w:val="FF0000"/>
                <w:kern w:val="2"/>
                <w:sz w:val="24"/>
                <w:szCs w:val="24"/>
              </w:rPr>
            </w:pPr>
          </w:p>
        </w:tc>
      </w:tr>
      <w:tr w14:paraId="53B543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56" w:type="dxa"/>
            <w:tcBorders>
              <w:top w:val="single" w:color="auto" w:sz="4" w:space="0"/>
              <w:left w:val="single" w:color="auto" w:sz="4" w:space="0"/>
              <w:bottom w:val="single" w:color="auto" w:sz="4" w:space="0"/>
              <w:right w:val="single" w:color="auto" w:sz="4" w:space="0"/>
            </w:tcBorders>
            <w:vAlign w:val="center"/>
          </w:tcPr>
          <w:p w14:paraId="6B4753B9">
            <w:pPr>
              <w:spacing w:line="500" w:lineRule="exact"/>
              <w:jc w:val="center"/>
              <w:rPr>
                <w:rFonts w:ascii="宋体" w:hAnsi="宋体" w:eastAsia="宋体" w:cs="楷体"/>
                <w:bCs/>
                <w:kern w:val="2"/>
                <w:sz w:val="24"/>
                <w:szCs w:val="24"/>
              </w:rPr>
            </w:pPr>
            <w:r>
              <w:rPr>
                <w:rFonts w:hint="eastAsia" w:ascii="宋体" w:hAnsi="宋体" w:eastAsia="宋体" w:cs="楷体"/>
                <w:bCs/>
                <w:kern w:val="2"/>
                <w:sz w:val="24"/>
                <w:szCs w:val="24"/>
              </w:rPr>
              <w:t>2</w:t>
            </w:r>
          </w:p>
        </w:tc>
        <w:tc>
          <w:tcPr>
            <w:tcW w:w="3170" w:type="dxa"/>
            <w:tcBorders>
              <w:top w:val="single" w:color="auto" w:sz="4" w:space="0"/>
              <w:left w:val="single" w:color="auto" w:sz="4" w:space="0"/>
              <w:bottom w:val="single" w:color="auto" w:sz="4" w:space="0"/>
              <w:right w:val="single" w:color="auto" w:sz="4" w:space="0"/>
            </w:tcBorders>
            <w:vAlign w:val="center"/>
          </w:tcPr>
          <w:p w14:paraId="311BCCB8">
            <w:pPr>
              <w:spacing w:line="500" w:lineRule="exact"/>
              <w:jc w:val="center"/>
              <w:rPr>
                <w:rFonts w:ascii="宋体" w:hAnsi="宋体" w:eastAsia="宋体" w:cs="楷体"/>
                <w:bCs/>
                <w:color w:val="auto"/>
                <w:kern w:val="2"/>
                <w:sz w:val="24"/>
                <w:szCs w:val="24"/>
                <w:lang w:eastAsia="zh-CN"/>
              </w:rPr>
            </w:pPr>
            <w:r>
              <w:rPr>
                <w:rFonts w:hint="eastAsia" w:ascii="宋体" w:hAnsi="宋体" w:eastAsia="宋体" w:cs="楷体"/>
                <w:bCs/>
                <w:color w:val="auto"/>
                <w:kern w:val="2"/>
                <w:sz w:val="24"/>
                <w:szCs w:val="24"/>
                <w:lang w:eastAsia="zh-CN"/>
              </w:rPr>
              <w:t>数据采集工作站运维</w:t>
            </w:r>
          </w:p>
        </w:tc>
        <w:tc>
          <w:tcPr>
            <w:tcW w:w="1059" w:type="dxa"/>
            <w:tcBorders>
              <w:top w:val="single" w:color="auto" w:sz="4" w:space="0"/>
              <w:left w:val="single" w:color="auto" w:sz="4" w:space="0"/>
              <w:bottom w:val="single" w:color="auto" w:sz="4" w:space="0"/>
              <w:right w:val="single" w:color="auto" w:sz="4" w:space="0"/>
            </w:tcBorders>
            <w:vAlign w:val="center"/>
          </w:tcPr>
          <w:p w14:paraId="2E03A27C">
            <w:pPr>
              <w:spacing w:line="500" w:lineRule="exact"/>
              <w:ind w:firstLine="240" w:firstLineChars="100"/>
              <w:rPr>
                <w:rFonts w:ascii="宋体" w:hAnsi="宋体" w:eastAsia="宋体" w:cs="楷体"/>
                <w:bCs/>
                <w:color w:val="auto"/>
                <w:kern w:val="2"/>
                <w:sz w:val="24"/>
                <w:szCs w:val="24"/>
                <w:lang w:eastAsia="zh-CN"/>
              </w:rPr>
            </w:pPr>
            <w:r>
              <w:rPr>
                <w:rFonts w:hint="eastAsia" w:ascii="宋体" w:hAnsi="宋体" w:eastAsia="宋体" w:cs="楷体"/>
                <w:bCs/>
                <w:color w:val="auto"/>
                <w:kern w:val="2"/>
                <w:sz w:val="24"/>
                <w:szCs w:val="24"/>
                <w:lang w:eastAsia="zh-CN"/>
              </w:rPr>
              <w:t>台</w:t>
            </w:r>
          </w:p>
        </w:tc>
        <w:tc>
          <w:tcPr>
            <w:tcW w:w="816" w:type="dxa"/>
            <w:tcBorders>
              <w:top w:val="single" w:color="auto" w:sz="4" w:space="0"/>
              <w:left w:val="single" w:color="auto" w:sz="4" w:space="0"/>
              <w:bottom w:val="single" w:color="auto" w:sz="4" w:space="0"/>
              <w:right w:val="single" w:color="auto" w:sz="4" w:space="0"/>
            </w:tcBorders>
            <w:vAlign w:val="center"/>
          </w:tcPr>
          <w:p w14:paraId="4A54010D">
            <w:pPr>
              <w:spacing w:line="500" w:lineRule="exact"/>
              <w:jc w:val="center"/>
              <w:rPr>
                <w:rFonts w:ascii="宋体" w:hAnsi="宋体" w:eastAsia="宋体" w:cs="楷体"/>
                <w:bCs/>
                <w:color w:val="auto"/>
                <w:kern w:val="2"/>
                <w:sz w:val="24"/>
                <w:szCs w:val="24"/>
                <w:lang w:eastAsia="zh-CN"/>
              </w:rPr>
            </w:pPr>
            <w:r>
              <w:rPr>
                <w:rFonts w:hint="eastAsia" w:ascii="宋体" w:hAnsi="宋体" w:eastAsia="宋体" w:cs="楷体"/>
                <w:bCs/>
                <w:color w:val="auto"/>
                <w:kern w:val="2"/>
                <w:sz w:val="24"/>
                <w:szCs w:val="24"/>
                <w:lang w:eastAsia="zh-CN"/>
              </w:rPr>
              <w:t>94</w:t>
            </w:r>
          </w:p>
        </w:tc>
        <w:tc>
          <w:tcPr>
            <w:tcW w:w="2255" w:type="dxa"/>
            <w:tcBorders>
              <w:top w:val="single" w:color="auto" w:sz="4" w:space="0"/>
              <w:left w:val="single" w:color="auto" w:sz="4" w:space="0"/>
              <w:bottom w:val="single" w:color="auto" w:sz="4" w:space="0"/>
              <w:right w:val="single" w:color="auto" w:sz="4" w:space="0"/>
            </w:tcBorders>
            <w:vAlign w:val="center"/>
          </w:tcPr>
          <w:p w14:paraId="79B7D189">
            <w:pPr>
              <w:spacing w:line="500" w:lineRule="exact"/>
              <w:ind w:firstLine="480"/>
              <w:jc w:val="center"/>
              <w:rPr>
                <w:rFonts w:ascii="宋体" w:hAnsi="宋体" w:eastAsia="宋体" w:cs="楷体"/>
                <w:bCs/>
                <w:color w:val="FF0000"/>
                <w:kern w:val="2"/>
                <w:sz w:val="24"/>
                <w:szCs w:val="24"/>
              </w:rPr>
            </w:pPr>
          </w:p>
        </w:tc>
      </w:tr>
      <w:tr w14:paraId="5FFEF0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56" w:type="dxa"/>
            <w:tcBorders>
              <w:top w:val="single" w:color="auto" w:sz="4" w:space="0"/>
              <w:left w:val="single" w:color="auto" w:sz="4" w:space="0"/>
              <w:bottom w:val="single" w:color="auto" w:sz="4" w:space="0"/>
              <w:right w:val="single" w:color="auto" w:sz="4" w:space="0"/>
            </w:tcBorders>
            <w:vAlign w:val="center"/>
          </w:tcPr>
          <w:p w14:paraId="5DCDF266">
            <w:pPr>
              <w:spacing w:line="500" w:lineRule="exact"/>
              <w:jc w:val="center"/>
              <w:rPr>
                <w:rFonts w:ascii="宋体" w:hAnsi="宋体" w:eastAsia="宋体" w:cs="楷体"/>
                <w:bCs/>
                <w:kern w:val="2"/>
                <w:sz w:val="24"/>
                <w:szCs w:val="24"/>
                <w:lang w:eastAsia="zh-CN"/>
              </w:rPr>
            </w:pPr>
            <w:r>
              <w:rPr>
                <w:rFonts w:hint="eastAsia" w:ascii="宋体" w:hAnsi="宋体" w:eastAsia="宋体" w:cs="楷体"/>
                <w:bCs/>
                <w:kern w:val="2"/>
                <w:sz w:val="24"/>
                <w:szCs w:val="24"/>
                <w:lang w:eastAsia="zh-CN"/>
              </w:rPr>
              <w:t>3</w:t>
            </w:r>
          </w:p>
        </w:tc>
        <w:tc>
          <w:tcPr>
            <w:tcW w:w="3170" w:type="dxa"/>
            <w:tcBorders>
              <w:top w:val="single" w:color="auto" w:sz="4" w:space="0"/>
              <w:left w:val="single" w:color="auto" w:sz="4" w:space="0"/>
              <w:bottom w:val="single" w:color="auto" w:sz="4" w:space="0"/>
              <w:right w:val="single" w:color="auto" w:sz="4" w:space="0"/>
            </w:tcBorders>
            <w:vAlign w:val="center"/>
          </w:tcPr>
          <w:p w14:paraId="0E909B77">
            <w:pPr>
              <w:spacing w:line="500" w:lineRule="exact"/>
              <w:jc w:val="center"/>
              <w:rPr>
                <w:rFonts w:ascii="宋体" w:hAnsi="宋体" w:eastAsia="宋体" w:cs="楷体"/>
                <w:bCs/>
                <w:color w:val="auto"/>
                <w:kern w:val="2"/>
                <w:sz w:val="24"/>
                <w:szCs w:val="24"/>
                <w:lang w:eastAsia="zh-CN"/>
              </w:rPr>
            </w:pPr>
            <w:r>
              <w:rPr>
                <w:rFonts w:hint="eastAsia" w:ascii="宋体" w:hAnsi="宋体" w:eastAsia="宋体" w:cs="楷体"/>
                <w:bCs/>
                <w:color w:val="auto"/>
                <w:kern w:val="2"/>
                <w:sz w:val="24"/>
                <w:szCs w:val="24"/>
                <w:lang w:eastAsia="zh-CN"/>
              </w:rPr>
              <w:t>50人·天</w:t>
            </w:r>
            <w:r>
              <w:rPr>
                <w:rFonts w:hint="eastAsia" w:ascii="宋体" w:hAnsi="宋体" w:eastAsia="宋体" w:cs="楷体"/>
                <w:bCs/>
                <w:sz w:val="24"/>
                <w:szCs w:val="24"/>
                <w:lang w:eastAsia="zh-CN"/>
              </w:rPr>
              <w:t>相应专题技术培训</w:t>
            </w:r>
          </w:p>
        </w:tc>
        <w:tc>
          <w:tcPr>
            <w:tcW w:w="1059" w:type="dxa"/>
            <w:tcBorders>
              <w:top w:val="single" w:color="auto" w:sz="4" w:space="0"/>
              <w:left w:val="single" w:color="auto" w:sz="4" w:space="0"/>
              <w:bottom w:val="single" w:color="auto" w:sz="4" w:space="0"/>
              <w:right w:val="single" w:color="auto" w:sz="4" w:space="0"/>
            </w:tcBorders>
            <w:vAlign w:val="center"/>
          </w:tcPr>
          <w:p w14:paraId="0351AEEF">
            <w:pPr>
              <w:spacing w:line="500" w:lineRule="exact"/>
              <w:jc w:val="center"/>
              <w:rPr>
                <w:rFonts w:ascii="宋体" w:hAnsi="宋体" w:eastAsia="宋体" w:cs="楷体"/>
                <w:bCs/>
                <w:color w:val="auto"/>
                <w:kern w:val="2"/>
                <w:sz w:val="24"/>
                <w:szCs w:val="24"/>
              </w:rPr>
            </w:pPr>
            <w:r>
              <w:rPr>
                <w:rFonts w:hint="eastAsia" w:ascii="宋体" w:hAnsi="宋体" w:eastAsia="宋体" w:cs="楷体"/>
                <w:bCs/>
                <w:color w:val="auto"/>
                <w:kern w:val="2"/>
                <w:sz w:val="24"/>
                <w:szCs w:val="24"/>
              </w:rPr>
              <w:t>项</w:t>
            </w:r>
          </w:p>
        </w:tc>
        <w:tc>
          <w:tcPr>
            <w:tcW w:w="816" w:type="dxa"/>
            <w:tcBorders>
              <w:top w:val="single" w:color="auto" w:sz="4" w:space="0"/>
              <w:left w:val="single" w:color="auto" w:sz="4" w:space="0"/>
              <w:bottom w:val="single" w:color="auto" w:sz="4" w:space="0"/>
              <w:right w:val="single" w:color="auto" w:sz="4" w:space="0"/>
            </w:tcBorders>
            <w:vAlign w:val="center"/>
          </w:tcPr>
          <w:p w14:paraId="7593760C">
            <w:pPr>
              <w:spacing w:line="500" w:lineRule="exact"/>
              <w:jc w:val="center"/>
              <w:rPr>
                <w:rFonts w:ascii="宋体" w:hAnsi="宋体" w:eastAsia="宋体" w:cs="楷体"/>
                <w:bCs/>
                <w:color w:val="auto"/>
                <w:kern w:val="2"/>
                <w:sz w:val="24"/>
                <w:szCs w:val="24"/>
              </w:rPr>
            </w:pPr>
            <w:r>
              <w:rPr>
                <w:rFonts w:hint="eastAsia" w:ascii="宋体" w:hAnsi="宋体" w:eastAsia="宋体" w:cs="楷体"/>
                <w:bCs/>
                <w:color w:val="auto"/>
                <w:kern w:val="2"/>
                <w:sz w:val="24"/>
                <w:szCs w:val="24"/>
              </w:rPr>
              <w:t>1</w:t>
            </w:r>
          </w:p>
        </w:tc>
        <w:tc>
          <w:tcPr>
            <w:tcW w:w="2255" w:type="dxa"/>
            <w:tcBorders>
              <w:top w:val="single" w:color="auto" w:sz="4" w:space="0"/>
              <w:left w:val="single" w:color="auto" w:sz="4" w:space="0"/>
              <w:bottom w:val="single" w:color="auto" w:sz="4" w:space="0"/>
              <w:right w:val="single" w:color="auto" w:sz="4" w:space="0"/>
            </w:tcBorders>
            <w:vAlign w:val="center"/>
          </w:tcPr>
          <w:p w14:paraId="5A9F4BF8">
            <w:pPr>
              <w:spacing w:line="500" w:lineRule="exact"/>
              <w:ind w:firstLine="480"/>
              <w:jc w:val="center"/>
              <w:rPr>
                <w:rFonts w:ascii="宋体" w:hAnsi="宋体" w:eastAsia="宋体" w:cs="楷体"/>
                <w:bCs/>
                <w:color w:val="FF0000"/>
                <w:kern w:val="2"/>
                <w:sz w:val="24"/>
                <w:szCs w:val="24"/>
              </w:rPr>
            </w:pPr>
          </w:p>
        </w:tc>
      </w:tr>
      <w:tr w14:paraId="42B271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56" w:type="dxa"/>
            <w:tcBorders>
              <w:top w:val="single" w:color="auto" w:sz="4" w:space="0"/>
              <w:left w:val="single" w:color="auto" w:sz="4" w:space="0"/>
              <w:bottom w:val="single" w:color="auto" w:sz="4" w:space="0"/>
              <w:right w:val="single" w:color="auto" w:sz="4" w:space="0"/>
            </w:tcBorders>
            <w:vAlign w:val="center"/>
          </w:tcPr>
          <w:p w14:paraId="50444177">
            <w:pPr>
              <w:spacing w:line="500" w:lineRule="exact"/>
              <w:jc w:val="center"/>
              <w:rPr>
                <w:rFonts w:ascii="宋体" w:hAnsi="宋体" w:eastAsia="宋体" w:cs="楷体"/>
                <w:bCs/>
                <w:kern w:val="2"/>
                <w:sz w:val="24"/>
                <w:szCs w:val="24"/>
                <w:lang w:eastAsia="zh-CN"/>
              </w:rPr>
            </w:pPr>
            <w:r>
              <w:rPr>
                <w:rFonts w:hint="eastAsia" w:ascii="宋体" w:hAnsi="宋体" w:eastAsia="宋体" w:cs="楷体"/>
                <w:bCs/>
                <w:kern w:val="2"/>
                <w:sz w:val="24"/>
                <w:szCs w:val="24"/>
                <w:lang w:eastAsia="zh-CN"/>
              </w:rPr>
              <w:t>4</w:t>
            </w:r>
          </w:p>
        </w:tc>
        <w:tc>
          <w:tcPr>
            <w:tcW w:w="3170" w:type="dxa"/>
            <w:tcBorders>
              <w:top w:val="single" w:color="auto" w:sz="4" w:space="0"/>
              <w:left w:val="single" w:color="auto" w:sz="4" w:space="0"/>
              <w:bottom w:val="single" w:color="auto" w:sz="4" w:space="0"/>
              <w:right w:val="single" w:color="auto" w:sz="4" w:space="0"/>
            </w:tcBorders>
            <w:vAlign w:val="center"/>
          </w:tcPr>
          <w:p w14:paraId="29E18296">
            <w:pPr>
              <w:spacing w:line="500" w:lineRule="exact"/>
              <w:jc w:val="center"/>
              <w:rPr>
                <w:rFonts w:ascii="宋体" w:hAnsi="宋体" w:eastAsia="宋体" w:cs="楷体"/>
                <w:bCs/>
                <w:color w:val="auto"/>
                <w:kern w:val="2"/>
                <w:sz w:val="24"/>
                <w:szCs w:val="24"/>
                <w:lang w:eastAsia="zh-CN"/>
              </w:rPr>
            </w:pPr>
            <w:r>
              <w:rPr>
                <w:rFonts w:hint="eastAsia" w:ascii="宋体" w:hAnsi="宋体" w:eastAsia="宋体" w:cs="楷体"/>
                <w:bCs/>
                <w:color w:val="auto"/>
                <w:kern w:val="2"/>
                <w:sz w:val="24"/>
                <w:szCs w:val="24"/>
                <w:lang w:eastAsia="zh-CN"/>
              </w:rPr>
              <w:t>备品备件</w:t>
            </w:r>
          </w:p>
        </w:tc>
        <w:tc>
          <w:tcPr>
            <w:tcW w:w="1059" w:type="dxa"/>
            <w:tcBorders>
              <w:top w:val="single" w:color="auto" w:sz="4" w:space="0"/>
              <w:left w:val="single" w:color="auto" w:sz="4" w:space="0"/>
              <w:bottom w:val="single" w:color="auto" w:sz="4" w:space="0"/>
              <w:right w:val="single" w:color="auto" w:sz="4" w:space="0"/>
            </w:tcBorders>
            <w:vAlign w:val="center"/>
          </w:tcPr>
          <w:p w14:paraId="61E89EFF">
            <w:pPr>
              <w:spacing w:line="500" w:lineRule="exact"/>
              <w:jc w:val="center"/>
              <w:rPr>
                <w:rFonts w:ascii="宋体" w:hAnsi="宋体" w:eastAsia="宋体" w:cs="楷体"/>
                <w:bCs/>
                <w:color w:val="auto"/>
                <w:kern w:val="2"/>
                <w:sz w:val="24"/>
                <w:szCs w:val="24"/>
                <w:lang w:eastAsia="zh-CN"/>
              </w:rPr>
            </w:pPr>
            <w:r>
              <w:rPr>
                <w:rFonts w:hint="eastAsia" w:ascii="宋体" w:hAnsi="宋体" w:eastAsia="宋体" w:cs="楷体"/>
                <w:bCs/>
                <w:color w:val="auto"/>
                <w:kern w:val="2"/>
                <w:sz w:val="24"/>
                <w:szCs w:val="24"/>
                <w:lang w:val="en-US" w:eastAsia="zh-CN"/>
              </w:rPr>
              <w:t>项</w:t>
            </w:r>
          </w:p>
        </w:tc>
        <w:tc>
          <w:tcPr>
            <w:tcW w:w="816" w:type="dxa"/>
            <w:tcBorders>
              <w:top w:val="single" w:color="auto" w:sz="4" w:space="0"/>
              <w:left w:val="single" w:color="auto" w:sz="4" w:space="0"/>
              <w:bottom w:val="single" w:color="auto" w:sz="4" w:space="0"/>
              <w:right w:val="single" w:color="auto" w:sz="4" w:space="0"/>
            </w:tcBorders>
            <w:vAlign w:val="center"/>
          </w:tcPr>
          <w:p w14:paraId="258C6493">
            <w:pPr>
              <w:spacing w:line="500" w:lineRule="exact"/>
              <w:jc w:val="center"/>
              <w:rPr>
                <w:rFonts w:ascii="宋体" w:hAnsi="宋体" w:eastAsia="宋体" w:cs="楷体"/>
                <w:bCs/>
                <w:color w:val="auto"/>
                <w:kern w:val="2"/>
                <w:sz w:val="24"/>
                <w:szCs w:val="24"/>
                <w:lang w:eastAsia="zh-CN"/>
              </w:rPr>
            </w:pPr>
            <w:r>
              <w:rPr>
                <w:rFonts w:hint="eastAsia" w:ascii="宋体" w:hAnsi="宋体" w:eastAsia="宋体" w:cs="楷体"/>
                <w:bCs/>
                <w:color w:val="auto"/>
                <w:kern w:val="2"/>
                <w:sz w:val="24"/>
                <w:szCs w:val="24"/>
                <w:lang w:val="en-US" w:eastAsia="zh-CN"/>
              </w:rPr>
              <w:t>1</w:t>
            </w:r>
          </w:p>
        </w:tc>
        <w:tc>
          <w:tcPr>
            <w:tcW w:w="2255" w:type="dxa"/>
            <w:tcBorders>
              <w:top w:val="single" w:color="auto" w:sz="4" w:space="0"/>
              <w:left w:val="single" w:color="auto" w:sz="4" w:space="0"/>
              <w:bottom w:val="single" w:color="auto" w:sz="4" w:space="0"/>
              <w:right w:val="single" w:color="auto" w:sz="4" w:space="0"/>
            </w:tcBorders>
            <w:vAlign w:val="center"/>
          </w:tcPr>
          <w:p w14:paraId="15A13159">
            <w:pPr>
              <w:spacing w:line="500" w:lineRule="exact"/>
              <w:ind w:firstLine="480"/>
              <w:jc w:val="center"/>
              <w:rPr>
                <w:rFonts w:ascii="宋体" w:hAnsi="宋体" w:eastAsia="宋体" w:cs="楷体"/>
                <w:bCs/>
                <w:color w:val="FF0000"/>
                <w:kern w:val="2"/>
                <w:sz w:val="24"/>
                <w:szCs w:val="24"/>
              </w:rPr>
            </w:pPr>
          </w:p>
        </w:tc>
      </w:tr>
      <w:tr w14:paraId="22CE0A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56" w:type="dxa"/>
            <w:gridSpan w:val="5"/>
            <w:tcBorders>
              <w:top w:val="single" w:color="auto" w:sz="4" w:space="0"/>
              <w:left w:val="single" w:color="auto" w:sz="4" w:space="0"/>
              <w:bottom w:val="single" w:color="auto" w:sz="4" w:space="0"/>
              <w:right w:val="single" w:color="auto" w:sz="4" w:space="0"/>
            </w:tcBorders>
            <w:vAlign w:val="center"/>
          </w:tcPr>
          <w:p w14:paraId="74A4CAC9">
            <w:pPr>
              <w:spacing w:line="500" w:lineRule="exact"/>
              <w:jc w:val="left"/>
              <w:rPr>
                <w:rFonts w:hint="eastAsia" w:ascii="宋体" w:hAnsi="宋体" w:eastAsia="宋体" w:cs="楷体"/>
                <w:bCs/>
                <w:color w:val="auto"/>
                <w:kern w:val="2"/>
                <w:sz w:val="24"/>
                <w:szCs w:val="24"/>
                <w:lang w:eastAsia="zh-CN"/>
              </w:rPr>
            </w:pPr>
            <w:r>
              <w:rPr>
                <w:rFonts w:hint="eastAsia" w:ascii="宋体" w:hAnsi="宋体" w:eastAsia="宋体" w:cs="楷体"/>
                <w:bCs/>
                <w:color w:val="auto"/>
                <w:kern w:val="2"/>
                <w:sz w:val="24"/>
                <w:szCs w:val="24"/>
                <w:lang w:eastAsia="zh-CN"/>
              </w:rPr>
              <w:t>十、路政智能指挥调度车载设备运维服务</w:t>
            </w:r>
          </w:p>
        </w:tc>
      </w:tr>
      <w:tr w14:paraId="4E6770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56" w:type="dxa"/>
            <w:tcBorders>
              <w:top w:val="single" w:color="auto" w:sz="4" w:space="0"/>
              <w:left w:val="single" w:color="auto" w:sz="4" w:space="0"/>
              <w:bottom w:val="single" w:color="auto" w:sz="4" w:space="0"/>
              <w:right w:val="single" w:color="auto" w:sz="4" w:space="0"/>
            </w:tcBorders>
            <w:vAlign w:val="center"/>
          </w:tcPr>
          <w:p w14:paraId="0FD70A2F">
            <w:pPr>
              <w:spacing w:line="500" w:lineRule="exact"/>
              <w:jc w:val="center"/>
              <w:rPr>
                <w:rFonts w:hint="default" w:ascii="宋体" w:hAnsi="宋体" w:eastAsia="宋体" w:cs="楷体"/>
                <w:bCs/>
                <w:color w:val="auto"/>
                <w:kern w:val="2"/>
                <w:sz w:val="24"/>
                <w:szCs w:val="24"/>
                <w:lang w:val="en-US" w:eastAsia="zh-CN"/>
              </w:rPr>
            </w:pPr>
            <w:r>
              <w:rPr>
                <w:rFonts w:hint="eastAsia" w:ascii="宋体" w:hAnsi="宋体" w:eastAsia="宋体" w:cs="楷体"/>
                <w:bCs/>
                <w:color w:val="auto"/>
                <w:kern w:val="2"/>
                <w:sz w:val="24"/>
                <w:szCs w:val="24"/>
                <w:lang w:val="en-US" w:eastAsia="zh-CN"/>
              </w:rPr>
              <w:t>1</w:t>
            </w:r>
          </w:p>
        </w:tc>
        <w:tc>
          <w:tcPr>
            <w:tcW w:w="3170" w:type="dxa"/>
            <w:tcBorders>
              <w:top w:val="single" w:color="auto" w:sz="4" w:space="0"/>
              <w:left w:val="single" w:color="auto" w:sz="4" w:space="0"/>
              <w:bottom w:val="single" w:color="auto" w:sz="4" w:space="0"/>
              <w:right w:val="single" w:color="auto" w:sz="4" w:space="0"/>
            </w:tcBorders>
            <w:vAlign w:val="center"/>
          </w:tcPr>
          <w:p w14:paraId="051558F4">
            <w:pPr>
              <w:spacing w:line="500" w:lineRule="exact"/>
              <w:jc w:val="center"/>
              <w:rPr>
                <w:rFonts w:hint="eastAsia" w:ascii="宋体" w:hAnsi="宋体" w:eastAsia="宋体" w:cs="楷体"/>
                <w:bCs/>
                <w:color w:val="auto"/>
                <w:kern w:val="2"/>
                <w:sz w:val="24"/>
                <w:szCs w:val="24"/>
                <w:lang w:eastAsia="zh-CN"/>
              </w:rPr>
            </w:pPr>
            <w:r>
              <w:rPr>
                <w:rFonts w:hint="eastAsia" w:ascii="宋体" w:hAnsi="宋体" w:eastAsia="宋体" w:cs="楷体"/>
                <w:bCs/>
                <w:color w:val="auto"/>
                <w:kern w:val="2"/>
                <w:sz w:val="24"/>
                <w:szCs w:val="24"/>
                <w:lang w:eastAsia="zh-CN"/>
              </w:rPr>
              <w:t>路政智能指挥调度车载设备运维</w:t>
            </w:r>
          </w:p>
        </w:tc>
        <w:tc>
          <w:tcPr>
            <w:tcW w:w="1059" w:type="dxa"/>
            <w:tcBorders>
              <w:top w:val="single" w:color="auto" w:sz="4" w:space="0"/>
              <w:left w:val="single" w:color="auto" w:sz="4" w:space="0"/>
              <w:bottom w:val="single" w:color="auto" w:sz="4" w:space="0"/>
              <w:right w:val="single" w:color="auto" w:sz="4" w:space="0"/>
            </w:tcBorders>
            <w:vAlign w:val="center"/>
          </w:tcPr>
          <w:p w14:paraId="7E563669">
            <w:pPr>
              <w:spacing w:line="500" w:lineRule="exact"/>
              <w:jc w:val="center"/>
              <w:rPr>
                <w:rFonts w:hint="default" w:ascii="宋体" w:hAnsi="宋体" w:eastAsia="宋体" w:cs="楷体"/>
                <w:bCs/>
                <w:color w:val="auto"/>
                <w:kern w:val="2"/>
                <w:sz w:val="24"/>
                <w:szCs w:val="24"/>
                <w:lang w:val="en-US" w:eastAsia="zh-CN"/>
              </w:rPr>
            </w:pPr>
            <w:r>
              <w:rPr>
                <w:rFonts w:hint="eastAsia" w:ascii="宋体" w:hAnsi="宋体" w:eastAsia="宋体" w:cs="楷体"/>
                <w:bCs/>
                <w:color w:val="auto"/>
                <w:kern w:val="2"/>
                <w:sz w:val="24"/>
                <w:szCs w:val="24"/>
                <w:lang w:val="en-US" w:eastAsia="zh-CN"/>
              </w:rPr>
              <w:t>套</w:t>
            </w:r>
          </w:p>
        </w:tc>
        <w:tc>
          <w:tcPr>
            <w:tcW w:w="816" w:type="dxa"/>
            <w:tcBorders>
              <w:top w:val="single" w:color="auto" w:sz="4" w:space="0"/>
              <w:left w:val="single" w:color="auto" w:sz="4" w:space="0"/>
              <w:bottom w:val="single" w:color="auto" w:sz="4" w:space="0"/>
              <w:right w:val="single" w:color="auto" w:sz="4" w:space="0"/>
            </w:tcBorders>
            <w:vAlign w:val="center"/>
          </w:tcPr>
          <w:p w14:paraId="51220B14">
            <w:pPr>
              <w:spacing w:line="500" w:lineRule="exact"/>
              <w:jc w:val="center"/>
              <w:rPr>
                <w:rFonts w:hint="default" w:ascii="宋体" w:hAnsi="宋体" w:eastAsia="宋体" w:cs="楷体"/>
                <w:bCs/>
                <w:color w:val="auto"/>
                <w:kern w:val="2"/>
                <w:sz w:val="24"/>
                <w:szCs w:val="24"/>
                <w:lang w:val="en-US" w:eastAsia="zh-CN"/>
              </w:rPr>
            </w:pPr>
            <w:r>
              <w:rPr>
                <w:rFonts w:hint="eastAsia" w:ascii="宋体" w:hAnsi="宋体" w:eastAsia="宋体" w:cs="楷体"/>
                <w:bCs/>
                <w:color w:val="auto"/>
                <w:kern w:val="2"/>
                <w:sz w:val="24"/>
                <w:szCs w:val="24"/>
                <w:lang w:val="en-US" w:eastAsia="zh-CN"/>
              </w:rPr>
              <w:t>142</w:t>
            </w:r>
          </w:p>
        </w:tc>
        <w:tc>
          <w:tcPr>
            <w:tcW w:w="2255" w:type="dxa"/>
            <w:tcBorders>
              <w:top w:val="single" w:color="auto" w:sz="4" w:space="0"/>
              <w:left w:val="single" w:color="auto" w:sz="4" w:space="0"/>
              <w:bottom w:val="single" w:color="auto" w:sz="4" w:space="0"/>
              <w:right w:val="single" w:color="auto" w:sz="4" w:space="0"/>
            </w:tcBorders>
            <w:vAlign w:val="center"/>
          </w:tcPr>
          <w:p w14:paraId="355B53C2">
            <w:pPr>
              <w:spacing w:line="500" w:lineRule="exact"/>
              <w:ind w:firstLine="480"/>
              <w:jc w:val="center"/>
              <w:rPr>
                <w:rFonts w:ascii="宋体" w:hAnsi="宋体" w:eastAsia="宋体" w:cs="楷体"/>
                <w:bCs/>
                <w:color w:val="auto"/>
                <w:kern w:val="2"/>
                <w:sz w:val="24"/>
                <w:szCs w:val="24"/>
              </w:rPr>
            </w:pPr>
          </w:p>
        </w:tc>
      </w:tr>
      <w:tr w14:paraId="7ACF40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56" w:type="dxa"/>
            <w:tcBorders>
              <w:top w:val="single" w:color="auto" w:sz="4" w:space="0"/>
              <w:left w:val="single" w:color="auto" w:sz="4" w:space="0"/>
              <w:bottom w:val="single" w:color="auto" w:sz="4" w:space="0"/>
              <w:right w:val="single" w:color="auto" w:sz="4" w:space="0"/>
            </w:tcBorders>
            <w:vAlign w:val="center"/>
          </w:tcPr>
          <w:p w14:paraId="2E6AA9EF">
            <w:pPr>
              <w:spacing w:line="500" w:lineRule="exact"/>
              <w:jc w:val="center"/>
              <w:rPr>
                <w:rFonts w:hint="default" w:ascii="宋体" w:hAnsi="宋体" w:eastAsia="宋体" w:cs="楷体"/>
                <w:bCs/>
                <w:color w:val="auto"/>
                <w:kern w:val="2"/>
                <w:sz w:val="24"/>
                <w:szCs w:val="24"/>
                <w:highlight w:val="none"/>
                <w:lang w:val="en-US" w:eastAsia="zh-CN"/>
              </w:rPr>
            </w:pPr>
            <w:r>
              <w:rPr>
                <w:rFonts w:hint="eastAsia" w:ascii="宋体" w:hAnsi="宋体" w:eastAsia="宋体" w:cs="楷体"/>
                <w:bCs/>
                <w:color w:val="auto"/>
                <w:kern w:val="2"/>
                <w:sz w:val="24"/>
                <w:szCs w:val="24"/>
                <w:highlight w:val="none"/>
                <w:lang w:val="en-US" w:eastAsia="zh-CN"/>
              </w:rPr>
              <w:t>2</w:t>
            </w:r>
          </w:p>
        </w:tc>
        <w:tc>
          <w:tcPr>
            <w:tcW w:w="3170" w:type="dxa"/>
            <w:tcBorders>
              <w:top w:val="single" w:color="auto" w:sz="4" w:space="0"/>
              <w:left w:val="single" w:color="auto" w:sz="4" w:space="0"/>
              <w:bottom w:val="single" w:color="auto" w:sz="4" w:space="0"/>
              <w:right w:val="single" w:color="auto" w:sz="4" w:space="0"/>
            </w:tcBorders>
            <w:vAlign w:val="center"/>
          </w:tcPr>
          <w:p w14:paraId="3C81AE9B">
            <w:pPr>
              <w:spacing w:line="500" w:lineRule="exact"/>
              <w:jc w:val="center"/>
              <w:rPr>
                <w:rFonts w:hint="eastAsia" w:ascii="宋体" w:hAnsi="宋体" w:eastAsia="宋体" w:cs="楷体"/>
                <w:bCs/>
                <w:color w:val="auto"/>
                <w:kern w:val="2"/>
                <w:sz w:val="24"/>
                <w:szCs w:val="24"/>
                <w:highlight w:val="none"/>
                <w:lang w:eastAsia="zh-CN"/>
              </w:rPr>
            </w:pPr>
            <w:r>
              <w:rPr>
                <w:rFonts w:hint="eastAsia" w:ascii="宋体" w:hAnsi="宋体" w:eastAsia="宋体" w:cs="楷体"/>
                <w:bCs/>
                <w:color w:val="auto"/>
                <w:kern w:val="2"/>
                <w:sz w:val="24"/>
                <w:szCs w:val="24"/>
                <w:highlight w:val="none"/>
                <w:lang w:eastAsia="zh-CN"/>
              </w:rPr>
              <w:t>50人·天</w:t>
            </w:r>
            <w:r>
              <w:rPr>
                <w:rFonts w:hint="eastAsia" w:ascii="宋体" w:hAnsi="宋体" w:eastAsia="宋体" w:cs="楷体"/>
                <w:bCs/>
                <w:color w:val="auto"/>
                <w:sz w:val="24"/>
                <w:szCs w:val="24"/>
                <w:highlight w:val="none"/>
                <w:lang w:eastAsia="zh-CN"/>
              </w:rPr>
              <w:t>相应专题技术培训</w:t>
            </w:r>
          </w:p>
        </w:tc>
        <w:tc>
          <w:tcPr>
            <w:tcW w:w="1059" w:type="dxa"/>
            <w:tcBorders>
              <w:top w:val="single" w:color="auto" w:sz="4" w:space="0"/>
              <w:left w:val="single" w:color="auto" w:sz="4" w:space="0"/>
              <w:bottom w:val="single" w:color="auto" w:sz="4" w:space="0"/>
              <w:right w:val="single" w:color="auto" w:sz="4" w:space="0"/>
            </w:tcBorders>
            <w:vAlign w:val="center"/>
          </w:tcPr>
          <w:p w14:paraId="6FD0F28B">
            <w:pPr>
              <w:spacing w:line="500" w:lineRule="exact"/>
              <w:jc w:val="center"/>
              <w:rPr>
                <w:rFonts w:hint="eastAsia" w:ascii="宋体" w:hAnsi="宋体" w:eastAsia="宋体" w:cs="楷体"/>
                <w:bCs/>
                <w:color w:val="auto"/>
                <w:kern w:val="2"/>
                <w:sz w:val="24"/>
                <w:szCs w:val="24"/>
                <w:highlight w:val="none"/>
                <w:lang w:val="en-US" w:eastAsia="zh-CN"/>
              </w:rPr>
            </w:pPr>
            <w:r>
              <w:rPr>
                <w:rFonts w:hint="eastAsia" w:ascii="宋体" w:hAnsi="宋体" w:eastAsia="宋体" w:cs="楷体"/>
                <w:bCs/>
                <w:color w:val="auto"/>
                <w:kern w:val="2"/>
                <w:sz w:val="24"/>
                <w:szCs w:val="24"/>
                <w:highlight w:val="none"/>
              </w:rPr>
              <w:t>项</w:t>
            </w:r>
          </w:p>
        </w:tc>
        <w:tc>
          <w:tcPr>
            <w:tcW w:w="816" w:type="dxa"/>
            <w:tcBorders>
              <w:top w:val="single" w:color="auto" w:sz="4" w:space="0"/>
              <w:left w:val="single" w:color="auto" w:sz="4" w:space="0"/>
              <w:bottom w:val="single" w:color="auto" w:sz="4" w:space="0"/>
              <w:right w:val="single" w:color="auto" w:sz="4" w:space="0"/>
            </w:tcBorders>
            <w:vAlign w:val="center"/>
          </w:tcPr>
          <w:p w14:paraId="5424EBF8">
            <w:pPr>
              <w:spacing w:line="500" w:lineRule="exact"/>
              <w:jc w:val="center"/>
              <w:rPr>
                <w:rFonts w:hint="default" w:ascii="宋体" w:hAnsi="宋体" w:eastAsia="宋体" w:cs="楷体"/>
                <w:bCs/>
                <w:color w:val="auto"/>
                <w:kern w:val="2"/>
                <w:sz w:val="24"/>
                <w:szCs w:val="24"/>
                <w:highlight w:val="none"/>
                <w:lang w:val="en-US" w:eastAsia="zh-CN"/>
              </w:rPr>
            </w:pPr>
            <w:r>
              <w:rPr>
                <w:rFonts w:hint="eastAsia" w:ascii="宋体" w:hAnsi="宋体" w:eastAsia="宋体" w:cs="楷体"/>
                <w:bCs/>
                <w:color w:val="auto"/>
                <w:kern w:val="2"/>
                <w:sz w:val="24"/>
                <w:szCs w:val="24"/>
                <w:highlight w:val="none"/>
                <w:lang w:val="en-US" w:eastAsia="zh-CN"/>
              </w:rPr>
              <w:t>1</w:t>
            </w:r>
          </w:p>
        </w:tc>
        <w:tc>
          <w:tcPr>
            <w:tcW w:w="2255" w:type="dxa"/>
            <w:tcBorders>
              <w:top w:val="single" w:color="auto" w:sz="4" w:space="0"/>
              <w:left w:val="single" w:color="auto" w:sz="4" w:space="0"/>
              <w:bottom w:val="single" w:color="auto" w:sz="4" w:space="0"/>
              <w:right w:val="single" w:color="auto" w:sz="4" w:space="0"/>
            </w:tcBorders>
            <w:vAlign w:val="center"/>
          </w:tcPr>
          <w:p w14:paraId="7A8B08BD">
            <w:pPr>
              <w:spacing w:line="500" w:lineRule="exact"/>
              <w:ind w:firstLine="480"/>
              <w:jc w:val="center"/>
              <w:rPr>
                <w:rFonts w:ascii="宋体" w:hAnsi="宋体" w:eastAsia="宋体" w:cs="楷体"/>
                <w:bCs/>
                <w:color w:val="auto"/>
                <w:kern w:val="2"/>
                <w:sz w:val="24"/>
                <w:szCs w:val="24"/>
                <w:highlight w:val="none"/>
              </w:rPr>
            </w:pPr>
          </w:p>
        </w:tc>
      </w:tr>
      <w:tr w14:paraId="6B9F6D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56" w:type="dxa"/>
            <w:tcBorders>
              <w:top w:val="single" w:color="auto" w:sz="4" w:space="0"/>
              <w:left w:val="single" w:color="auto" w:sz="4" w:space="0"/>
              <w:bottom w:val="single" w:color="auto" w:sz="4" w:space="0"/>
              <w:right w:val="single" w:color="auto" w:sz="4" w:space="0"/>
            </w:tcBorders>
            <w:vAlign w:val="center"/>
          </w:tcPr>
          <w:p w14:paraId="0EA7DD55">
            <w:pPr>
              <w:spacing w:line="500" w:lineRule="exact"/>
              <w:jc w:val="center"/>
              <w:rPr>
                <w:rFonts w:hint="eastAsia" w:ascii="宋体" w:hAnsi="宋体" w:eastAsia="宋体" w:cs="楷体"/>
                <w:bCs/>
                <w:color w:val="auto"/>
                <w:kern w:val="2"/>
                <w:sz w:val="24"/>
                <w:szCs w:val="24"/>
                <w:highlight w:val="none"/>
                <w:lang w:val="en-US" w:eastAsia="zh-CN"/>
              </w:rPr>
            </w:pPr>
            <w:r>
              <w:rPr>
                <w:rFonts w:hint="eastAsia" w:ascii="宋体" w:hAnsi="宋体" w:eastAsia="宋体" w:cs="楷体"/>
                <w:bCs/>
                <w:color w:val="auto"/>
                <w:kern w:val="2"/>
                <w:sz w:val="24"/>
                <w:szCs w:val="24"/>
                <w:highlight w:val="none"/>
                <w:lang w:val="en-US" w:eastAsia="zh-CN"/>
              </w:rPr>
              <w:t>3</w:t>
            </w:r>
          </w:p>
        </w:tc>
        <w:tc>
          <w:tcPr>
            <w:tcW w:w="3170" w:type="dxa"/>
            <w:tcBorders>
              <w:top w:val="single" w:color="auto" w:sz="4" w:space="0"/>
              <w:left w:val="single" w:color="auto" w:sz="4" w:space="0"/>
              <w:bottom w:val="single" w:color="auto" w:sz="4" w:space="0"/>
              <w:right w:val="single" w:color="auto" w:sz="4" w:space="0"/>
            </w:tcBorders>
            <w:vAlign w:val="center"/>
          </w:tcPr>
          <w:p w14:paraId="2AED2386">
            <w:pPr>
              <w:spacing w:line="500" w:lineRule="exact"/>
              <w:jc w:val="center"/>
              <w:rPr>
                <w:rFonts w:hint="eastAsia" w:ascii="宋体" w:hAnsi="宋体" w:eastAsia="宋体" w:cs="楷体"/>
                <w:bCs/>
                <w:color w:val="auto"/>
                <w:kern w:val="2"/>
                <w:sz w:val="24"/>
                <w:szCs w:val="24"/>
                <w:highlight w:val="none"/>
                <w:lang w:eastAsia="zh-CN"/>
              </w:rPr>
            </w:pPr>
            <w:r>
              <w:rPr>
                <w:rFonts w:hint="eastAsia" w:ascii="宋体" w:hAnsi="宋体" w:eastAsia="宋体" w:cs="楷体"/>
                <w:bCs/>
                <w:color w:val="auto"/>
                <w:kern w:val="2"/>
                <w:sz w:val="24"/>
                <w:szCs w:val="24"/>
                <w:highlight w:val="none"/>
                <w:lang w:eastAsia="zh-CN"/>
              </w:rPr>
              <w:t>备品备件</w:t>
            </w:r>
          </w:p>
        </w:tc>
        <w:tc>
          <w:tcPr>
            <w:tcW w:w="1059" w:type="dxa"/>
            <w:tcBorders>
              <w:top w:val="single" w:color="auto" w:sz="4" w:space="0"/>
              <w:left w:val="single" w:color="auto" w:sz="4" w:space="0"/>
              <w:bottom w:val="single" w:color="auto" w:sz="4" w:space="0"/>
              <w:right w:val="single" w:color="auto" w:sz="4" w:space="0"/>
            </w:tcBorders>
            <w:vAlign w:val="center"/>
          </w:tcPr>
          <w:p w14:paraId="4BA03CFD">
            <w:pPr>
              <w:spacing w:line="500" w:lineRule="exact"/>
              <w:jc w:val="center"/>
              <w:rPr>
                <w:rFonts w:hint="eastAsia" w:ascii="宋体" w:hAnsi="宋体" w:eastAsia="宋体" w:cs="楷体"/>
                <w:bCs/>
                <w:color w:val="auto"/>
                <w:kern w:val="2"/>
                <w:sz w:val="24"/>
                <w:szCs w:val="24"/>
                <w:highlight w:val="none"/>
              </w:rPr>
            </w:pPr>
            <w:r>
              <w:rPr>
                <w:rFonts w:hint="eastAsia" w:ascii="宋体" w:hAnsi="宋体" w:eastAsia="宋体" w:cs="楷体"/>
                <w:bCs/>
                <w:color w:val="auto"/>
                <w:kern w:val="2"/>
                <w:sz w:val="24"/>
                <w:szCs w:val="24"/>
                <w:lang w:val="en-US" w:eastAsia="zh-CN"/>
              </w:rPr>
              <w:t>项</w:t>
            </w:r>
          </w:p>
        </w:tc>
        <w:tc>
          <w:tcPr>
            <w:tcW w:w="816" w:type="dxa"/>
            <w:tcBorders>
              <w:top w:val="single" w:color="auto" w:sz="4" w:space="0"/>
              <w:left w:val="single" w:color="auto" w:sz="4" w:space="0"/>
              <w:bottom w:val="single" w:color="auto" w:sz="4" w:space="0"/>
              <w:right w:val="single" w:color="auto" w:sz="4" w:space="0"/>
            </w:tcBorders>
            <w:vAlign w:val="center"/>
          </w:tcPr>
          <w:p w14:paraId="4942A374">
            <w:pPr>
              <w:spacing w:line="500" w:lineRule="exact"/>
              <w:jc w:val="center"/>
              <w:rPr>
                <w:rFonts w:hint="eastAsia" w:ascii="宋体" w:hAnsi="宋体" w:eastAsia="宋体" w:cs="楷体"/>
                <w:bCs/>
                <w:color w:val="auto"/>
                <w:kern w:val="2"/>
                <w:sz w:val="24"/>
                <w:szCs w:val="24"/>
                <w:highlight w:val="none"/>
                <w:lang w:val="en-US" w:eastAsia="zh-CN"/>
              </w:rPr>
            </w:pPr>
            <w:r>
              <w:rPr>
                <w:rFonts w:hint="eastAsia" w:ascii="宋体" w:hAnsi="宋体" w:eastAsia="宋体" w:cs="楷体"/>
                <w:bCs/>
                <w:color w:val="auto"/>
                <w:kern w:val="2"/>
                <w:sz w:val="24"/>
                <w:szCs w:val="24"/>
                <w:highlight w:val="none"/>
                <w:lang w:val="en-US" w:eastAsia="zh-CN"/>
              </w:rPr>
              <w:t>1</w:t>
            </w:r>
          </w:p>
        </w:tc>
        <w:tc>
          <w:tcPr>
            <w:tcW w:w="2255" w:type="dxa"/>
            <w:tcBorders>
              <w:top w:val="single" w:color="auto" w:sz="4" w:space="0"/>
              <w:left w:val="single" w:color="auto" w:sz="4" w:space="0"/>
              <w:bottom w:val="single" w:color="auto" w:sz="4" w:space="0"/>
              <w:right w:val="single" w:color="auto" w:sz="4" w:space="0"/>
            </w:tcBorders>
            <w:vAlign w:val="center"/>
          </w:tcPr>
          <w:p w14:paraId="1FFCBB4F">
            <w:pPr>
              <w:spacing w:line="500" w:lineRule="exact"/>
              <w:ind w:firstLine="480"/>
              <w:jc w:val="center"/>
              <w:rPr>
                <w:rFonts w:ascii="宋体" w:hAnsi="宋体" w:eastAsia="宋体" w:cs="楷体"/>
                <w:bCs/>
                <w:color w:val="auto"/>
                <w:kern w:val="2"/>
                <w:sz w:val="24"/>
                <w:szCs w:val="24"/>
                <w:highlight w:val="none"/>
              </w:rPr>
            </w:pPr>
          </w:p>
        </w:tc>
      </w:tr>
    </w:tbl>
    <w:p w14:paraId="0F48A0C5">
      <w:pPr>
        <w:spacing w:line="500" w:lineRule="exact"/>
        <w:ind w:firstLine="480"/>
        <w:rPr>
          <w:rFonts w:ascii="宋体" w:hAnsi="宋体" w:eastAsia="宋体" w:cs="楷体"/>
          <w:bCs/>
          <w:sz w:val="24"/>
          <w:szCs w:val="24"/>
        </w:rPr>
      </w:pPr>
      <w:r>
        <w:rPr>
          <w:rFonts w:hint="eastAsia" w:ascii="宋体" w:hAnsi="宋体" w:eastAsia="宋体" w:cs="楷体"/>
          <w:bCs/>
          <w:sz w:val="24"/>
          <w:szCs w:val="24"/>
        </w:rPr>
        <w:t>（十一）服务要求</w:t>
      </w:r>
    </w:p>
    <w:p w14:paraId="7CB8D555">
      <w:pPr>
        <w:spacing w:line="500" w:lineRule="exact"/>
        <w:ind w:firstLine="480"/>
        <w:rPr>
          <w:rFonts w:ascii="宋体" w:hAnsi="宋体" w:eastAsia="宋体" w:cs="楷体"/>
          <w:bCs/>
          <w:sz w:val="24"/>
          <w:szCs w:val="24"/>
          <w:lang w:eastAsia="zh-CN"/>
        </w:rPr>
      </w:pPr>
      <w:r>
        <w:rPr>
          <w:rFonts w:hint="eastAsia" w:ascii="宋体" w:hAnsi="宋体" w:eastAsia="宋体" w:cs="楷体"/>
          <w:bCs/>
          <w:sz w:val="24"/>
          <w:szCs w:val="24"/>
          <w:lang w:eastAsia="zh-CN"/>
        </w:rPr>
        <w:t>1.运行维护主要包括日常巡查、清洁养护、定期检修、针对性巡检和维修更换等工作，各项工作的具体内容和要求如下：</w:t>
      </w:r>
    </w:p>
    <w:p w14:paraId="35727884">
      <w:pPr>
        <w:spacing w:line="500" w:lineRule="exact"/>
        <w:ind w:firstLine="480"/>
        <w:rPr>
          <w:rFonts w:ascii="宋体" w:hAnsi="宋体" w:eastAsia="宋体" w:cs="楷体"/>
          <w:bCs/>
          <w:sz w:val="24"/>
          <w:szCs w:val="24"/>
          <w:lang w:eastAsia="zh-CN"/>
        </w:rPr>
      </w:pPr>
      <w:r>
        <w:rPr>
          <w:rFonts w:hint="eastAsia" w:ascii="宋体" w:hAnsi="宋体" w:eastAsia="宋体" w:cs="楷体"/>
          <w:bCs/>
          <w:sz w:val="24"/>
          <w:szCs w:val="24"/>
          <w:lang w:eastAsia="zh-CN"/>
        </w:rPr>
        <w:t xml:space="preserve">（1）日常巡查主要是指通过软件对各硬件设备设施运行工作状态进行的日常巡查工作，内容主要包括：检查设备设施工作运行状态和数据传输情况，如设备在线情况、数据传输质量；检查设备的工作运行环境是否符合要求； </w:t>
      </w:r>
    </w:p>
    <w:p w14:paraId="1B0B73B7">
      <w:pPr>
        <w:spacing w:line="500" w:lineRule="exact"/>
        <w:ind w:firstLine="480"/>
        <w:rPr>
          <w:rFonts w:ascii="宋体" w:hAnsi="宋体" w:eastAsia="宋体" w:cs="楷体"/>
          <w:bCs/>
          <w:sz w:val="24"/>
          <w:szCs w:val="24"/>
          <w:lang w:eastAsia="zh-CN"/>
        </w:rPr>
      </w:pPr>
      <w:r>
        <w:rPr>
          <w:rFonts w:hint="eastAsia" w:ascii="宋体" w:hAnsi="宋体" w:eastAsia="宋体" w:cs="楷体"/>
          <w:bCs/>
          <w:sz w:val="24"/>
          <w:szCs w:val="24"/>
          <w:lang w:eastAsia="zh-CN"/>
        </w:rPr>
        <w:t>（2）清洁养护主要是指对硬件设备外部的定期维护保养工作，内容主要包括：检查各类机电设备外壳是否漏电，对设备外部定期清洁处理；对设备及结构件进行紧固和调整，对金属构件的进行除锈，防腐保养；每季度进行一次清洁养护；</w:t>
      </w:r>
    </w:p>
    <w:p w14:paraId="016856BD">
      <w:pPr>
        <w:spacing w:line="500" w:lineRule="exact"/>
        <w:ind w:firstLine="480"/>
        <w:rPr>
          <w:rFonts w:ascii="宋体" w:hAnsi="宋体" w:eastAsia="宋体" w:cs="楷体"/>
          <w:bCs/>
          <w:sz w:val="24"/>
          <w:szCs w:val="24"/>
          <w:lang w:eastAsia="zh-CN"/>
        </w:rPr>
      </w:pPr>
      <w:r>
        <w:rPr>
          <w:rFonts w:hint="eastAsia" w:ascii="宋体" w:hAnsi="宋体" w:eastAsia="宋体" w:cs="楷体"/>
          <w:bCs/>
          <w:sz w:val="24"/>
          <w:szCs w:val="24"/>
          <w:lang w:eastAsia="zh-CN"/>
        </w:rPr>
        <w:t xml:space="preserve">（3）定期检修主要是通过检测仪器对设备运行状态、数据传输情况、网络通断情况、系统安全状况、机电设施性能进行全面检查、标定，对立柱的完整性、垂直度、镀层进行检测；对标志标牌的完整性、内容清晰度进行检查并对检查结果定性判断；对基础接地进行检测；每季度进行一次定期检修； </w:t>
      </w:r>
    </w:p>
    <w:p w14:paraId="478454A4">
      <w:pPr>
        <w:spacing w:line="500" w:lineRule="exact"/>
        <w:ind w:firstLine="480"/>
        <w:rPr>
          <w:rFonts w:ascii="宋体" w:hAnsi="宋体" w:eastAsia="宋体" w:cs="楷体"/>
          <w:bCs/>
          <w:sz w:val="24"/>
          <w:szCs w:val="24"/>
          <w:lang w:eastAsia="zh-CN"/>
        </w:rPr>
      </w:pPr>
      <w:r>
        <w:rPr>
          <w:rFonts w:hint="eastAsia" w:ascii="宋体" w:hAnsi="宋体" w:eastAsia="宋体" w:cs="楷体"/>
          <w:bCs/>
          <w:sz w:val="24"/>
          <w:szCs w:val="24"/>
          <w:lang w:eastAsia="zh-CN"/>
        </w:rPr>
        <w:t>（4）针对性巡检主要是指在节日期间、重要活动/会议期间，为保障设施安全稳定正常运行，</w:t>
      </w:r>
      <w:r>
        <w:rPr>
          <w:rFonts w:hint="eastAsia" w:ascii="宋体" w:hAnsi="宋体" w:eastAsia="宋体" w:cs="楷体"/>
          <w:bCs/>
          <w:sz w:val="24"/>
          <w:szCs w:val="24"/>
          <w:lang w:val="en-US" w:eastAsia="zh-CN"/>
        </w:rPr>
        <w:t>中标人</w:t>
      </w:r>
      <w:r>
        <w:rPr>
          <w:rFonts w:hint="eastAsia" w:ascii="宋体" w:hAnsi="宋体" w:eastAsia="宋体" w:cs="楷体"/>
          <w:bCs/>
          <w:sz w:val="24"/>
          <w:szCs w:val="24"/>
          <w:lang w:eastAsia="zh-CN"/>
        </w:rPr>
        <w:t>应按照采购人要求对关键设备和系统进行针对性巡检，并提供巡检报告；</w:t>
      </w:r>
    </w:p>
    <w:p w14:paraId="65D03D0A">
      <w:pPr>
        <w:spacing w:line="500" w:lineRule="exact"/>
        <w:ind w:firstLine="480"/>
        <w:rPr>
          <w:rFonts w:ascii="宋体" w:hAnsi="宋体" w:eastAsia="宋体" w:cs="楷体"/>
          <w:bCs/>
          <w:sz w:val="24"/>
          <w:szCs w:val="24"/>
          <w:lang w:eastAsia="zh-CN"/>
        </w:rPr>
      </w:pPr>
      <w:r>
        <w:rPr>
          <w:rFonts w:hint="eastAsia" w:ascii="宋体" w:hAnsi="宋体" w:eastAsia="宋体" w:cs="楷体"/>
          <w:bCs/>
          <w:sz w:val="24"/>
          <w:szCs w:val="24"/>
          <w:lang w:eastAsia="zh-CN"/>
        </w:rPr>
        <w:t>（5）维修更换：设备劣化或发生故障后恢复其功能而进行的维修或者更换。</w:t>
      </w:r>
    </w:p>
    <w:p w14:paraId="2523790D">
      <w:pPr>
        <w:spacing w:line="500" w:lineRule="exact"/>
        <w:ind w:firstLine="480"/>
        <w:rPr>
          <w:rFonts w:ascii="宋体" w:hAnsi="宋体" w:eastAsia="宋体" w:cs="楷体"/>
          <w:bCs/>
          <w:sz w:val="24"/>
          <w:szCs w:val="24"/>
          <w:lang w:eastAsia="zh-CN"/>
        </w:rPr>
      </w:pPr>
      <w:r>
        <w:rPr>
          <w:rFonts w:hint="eastAsia" w:ascii="宋体" w:hAnsi="宋体" w:eastAsia="宋体" w:cs="楷体"/>
          <w:bCs/>
          <w:sz w:val="24"/>
          <w:szCs w:val="24"/>
          <w:lang w:eastAsia="zh-CN"/>
        </w:rPr>
        <w:t>2.及时做好日常巡查、清洁养护、定期检修、针对性巡检和维修更换的工作记录；</w:t>
      </w:r>
    </w:p>
    <w:p w14:paraId="05E462FB">
      <w:pPr>
        <w:spacing w:line="500" w:lineRule="exact"/>
        <w:ind w:firstLine="480"/>
        <w:rPr>
          <w:rFonts w:ascii="宋体" w:hAnsi="宋体" w:eastAsia="宋体" w:cs="楷体"/>
          <w:bCs/>
          <w:sz w:val="24"/>
          <w:szCs w:val="24"/>
          <w:lang w:eastAsia="zh-CN"/>
        </w:rPr>
      </w:pPr>
      <w:r>
        <w:rPr>
          <w:rFonts w:hint="eastAsia" w:ascii="宋体" w:hAnsi="宋体" w:eastAsia="宋体" w:cs="楷体"/>
          <w:bCs/>
          <w:sz w:val="24"/>
          <w:szCs w:val="24"/>
          <w:lang w:eastAsia="zh-CN"/>
        </w:rPr>
        <w:t>3.提供电话及网上技术支持：在工作期间及工作期间外提供热线电话及网上技术支持，同时包括节假日和周末，帮助用户解决设备的使用和操作问题；</w:t>
      </w:r>
    </w:p>
    <w:p w14:paraId="44A477C8">
      <w:pPr>
        <w:spacing w:line="500" w:lineRule="exact"/>
        <w:ind w:firstLine="480"/>
        <w:rPr>
          <w:rFonts w:ascii="宋体" w:hAnsi="宋体" w:eastAsia="宋体" w:cs="楷体"/>
          <w:bCs/>
          <w:sz w:val="24"/>
          <w:szCs w:val="24"/>
          <w:lang w:eastAsia="zh-CN"/>
        </w:rPr>
      </w:pPr>
      <w:r>
        <w:rPr>
          <w:rFonts w:hint="eastAsia" w:ascii="宋体" w:hAnsi="宋体" w:eastAsia="宋体" w:cs="楷体"/>
          <w:bCs/>
          <w:sz w:val="24"/>
          <w:szCs w:val="24"/>
          <w:lang w:eastAsia="zh-CN"/>
        </w:rPr>
        <w:t>4.运维保障要求：为保障外场设施运维响应的及时性，本项目所有外场设施运维分</w:t>
      </w:r>
      <w:r>
        <w:rPr>
          <w:rFonts w:hint="eastAsia" w:ascii="宋体" w:hAnsi="宋体" w:eastAsia="宋体" w:cs="楷体"/>
          <w:bCs/>
          <w:color w:val="auto"/>
          <w:sz w:val="24"/>
          <w:szCs w:val="24"/>
          <w:lang w:eastAsia="zh-CN"/>
        </w:rPr>
        <w:t>6</w:t>
      </w:r>
      <w:r>
        <w:rPr>
          <w:rFonts w:hint="eastAsia" w:ascii="宋体" w:hAnsi="宋体" w:eastAsia="宋体" w:cs="楷体"/>
          <w:bCs/>
          <w:sz w:val="24"/>
          <w:szCs w:val="24"/>
          <w:lang w:eastAsia="zh-CN"/>
        </w:rPr>
        <w:t>个片区，各片区需配备不少于3名运维技术人员、不少于1辆运维车辆；</w:t>
      </w:r>
    </w:p>
    <w:p w14:paraId="527922BE">
      <w:pPr>
        <w:spacing w:line="500" w:lineRule="exact"/>
        <w:ind w:firstLine="480"/>
        <w:rPr>
          <w:rFonts w:ascii="宋体" w:hAnsi="宋体" w:eastAsia="宋体" w:cs="楷体"/>
          <w:bCs/>
          <w:sz w:val="24"/>
          <w:szCs w:val="24"/>
          <w:lang w:eastAsia="zh-CN"/>
        </w:rPr>
      </w:pPr>
      <w:r>
        <w:rPr>
          <w:rFonts w:hint="eastAsia" w:ascii="宋体" w:hAnsi="宋体" w:eastAsia="宋体" w:cs="楷体"/>
          <w:bCs/>
          <w:sz w:val="24"/>
          <w:szCs w:val="24"/>
          <w:lang w:eastAsia="zh-CN"/>
        </w:rPr>
        <w:t>5.</w:t>
      </w:r>
      <w:bookmarkStart w:id="20" w:name="OLE_LINK3"/>
      <w:r>
        <w:rPr>
          <w:rFonts w:hint="eastAsia" w:ascii="宋体" w:hAnsi="宋体" w:eastAsia="宋体" w:cs="楷体"/>
          <w:bCs/>
          <w:sz w:val="24"/>
          <w:szCs w:val="24"/>
          <w:lang w:eastAsia="zh-CN"/>
        </w:rPr>
        <w:t>提供7*24小时的技术支持服务，及时响应运维需求和采购单位的需求，及时处理设施故障，要求：运维响应时限≤8小时（</w:t>
      </w:r>
      <w:r>
        <w:rPr>
          <w:rFonts w:cs="楷体" w:asciiTheme="minorEastAsia" w:hAnsiTheme="minorEastAsia" w:eastAsiaTheme="minorEastAsia"/>
          <w:bCs/>
          <w:sz w:val="24"/>
          <w:szCs w:val="24"/>
          <w:lang w:eastAsia="zh-CN"/>
        </w:rPr>
        <w:t>即</w:t>
      </w:r>
      <w:r>
        <w:rPr>
          <w:rFonts w:hint="eastAsia" w:cs="楷体" w:asciiTheme="minorEastAsia" w:hAnsiTheme="minorEastAsia" w:eastAsiaTheme="minorEastAsia"/>
          <w:bCs/>
          <w:sz w:val="24"/>
          <w:szCs w:val="24"/>
          <w:lang w:eastAsia="zh-CN"/>
        </w:rPr>
        <w:t>8</w:t>
      </w:r>
      <w:r>
        <w:rPr>
          <w:rFonts w:cs="楷体" w:asciiTheme="minorEastAsia" w:hAnsiTheme="minorEastAsia" w:eastAsiaTheme="minorEastAsia"/>
          <w:bCs/>
          <w:sz w:val="24"/>
          <w:szCs w:val="24"/>
          <w:lang w:eastAsia="zh-CN"/>
        </w:rPr>
        <w:t>小时内有能够处理故障的技术人员到达现场</w:t>
      </w:r>
      <w:r>
        <w:rPr>
          <w:rFonts w:hint="eastAsia" w:cs="楷体" w:asciiTheme="minorEastAsia" w:hAnsiTheme="minorEastAsia" w:eastAsiaTheme="minorEastAsia"/>
          <w:bCs/>
          <w:sz w:val="24"/>
          <w:szCs w:val="24"/>
          <w:lang w:eastAsia="zh-CN"/>
        </w:rPr>
        <w:t>）</w:t>
      </w:r>
      <w:r>
        <w:rPr>
          <w:rFonts w:hint="eastAsia" w:ascii="宋体" w:hAnsi="宋体" w:eastAsia="宋体" w:cs="楷体"/>
          <w:bCs/>
          <w:sz w:val="24"/>
          <w:szCs w:val="24"/>
          <w:lang w:eastAsia="zh-CN"/>
        </w:rPr>
        <w:t>；一般故障维修完成时限≤8小时、较大故障维修完成时限≤24小时、重大故障维修完成时限≤7天；对故障维修时间＞2天的，需要写明故障原因、维修进展、存在困难、预计完成时间；在地震、大风、雨雪、冻雨等不可抗因素和恶劣天气期间，上述时间要求可适当延长</w:t>
      </w:r>
      <w:bookmarkEnd w:id="20"/>
      <w:r>
        <w:rPr>
          <w:rFonts w:hint="eastAsia" w:ascii="宋体" w:hAnsi="宋体" w:eastAsia="宋体" w:cs="楷体"/>
          <w:bCs/>
          <w:sz w:val="24"/>
          <w:szCs w:val="24"/>
          <w:lang w:eastAsia="zh-CN"/>
        </w:rPr>
        <w:t>；</w:t>
      </w:r>
    </w:p>
    <w:p w14:paraId="77AC4E6C">
      <w:pPr>
        <w:spacing w:line="500" w:lineRule="exact"/>
        <w:ind w:firstLine="480"/>
        <w:rPr>
          <w:rFonts w:ascii="宋体" w:hAnsi="宋体" w:eastAsia="宋体" w:cs="楷体"/>
          <w:bCs/>
          <w:color w:val="auto"/>
          <w:sz w:val="24"/>
          <w:szCs w:val="24"/>
          <w:highlight w:val="none"/>
          <w:lang w:eastAsia="zh-CN"/>
        </w:rPr>
      </w:pPr>
      <w:r>
        <w:rPr>
          <w:rFonts w:hint="eastAsia" w:ascii="宋体" w:hAnsi="宋体" w:eastAsia="宋体" w:cs="楷体"/>
          <w:bCs/>
          <w:sz w:val="24"/>
          <w:szCs w:val="24"/>
          <w:lang w:eastAsia="zh-CN"/>
        </w:rPr>
        <w:t>6.</w:t>
      </w:r>
      <w:r>
        <w:rPr>
          <w:rFonts w:hint="eastAsia" w:ascii="宋体" w:hAnsi="宋体" w:eastAsia="宋体" w:cs="楷体"/>
          <w:bCs/>
          <w:color w:val="auto"/>
          <w:sz w:val="24"/>
          <w:szCs w:val="24"/>
          <w:highlight w:val="none"/>
          <w:lang w:eastAsia="zh-CN"/>
        </w:rPr>
        <w:t>当设备需更换时，</w:t>
      </w:r>
      <w:r>
        <w:rPr>
          <w:rFonts w:hint="eastAsia" w:ascii="宋体" w:hAnsi="宋体" w:eastAsia="宋体" w:cs="楷体"/>
          <w:bCs/>
          <w:color w:val="auto"/>
          <w:sz w:val="24"/>
          <w:szCs w:val="24"/>
          <w:highlight w:val="none"/>
          <w:lang w:val="en-US" w:eastAsia="zh-CN"/>
        </w:rPr>
        <w:t>中标人</w:t>
      </w:r>
      <w:r>
        <w:rPr>
          <w:rFonts w:hint="eastAsia" w:ascii="宋体" w:hAnsi="宋体" w:eastAsia="宋体" w:cs="楷体"/>
          <w:bCs/>
          <w:color w:val="auto"/>
          <w:sz w:val="24"/>
          <w:szCs w:val="24"/>
          <w:highlight w:val="none"/>
          <w:lang w:eastAsia="zh-CN"/>
        </w:rPr>
        <w:t>所提供设备</w:t>
      </w:r>
      <w:r>
        <w:rPr>
          <w:rFonts w:hint="eastAsia" w:ascii="宋体" w:hAnsi="宋体" w:eastAsia="宋体" w:cs="楷体"/>
          <w:bCs/>
          <w:color w:val="auto"/>
          <w:sz w:val="24"/>
          <w:szCs w:val="24"/>
          <w:highlight w:val="none"/>
          <w:lang w:val="en-US" w:eastAsia="zh-CN"/>
        </w:rPr>
        <w:t>备件</w:t>
      </w:r>
      <w:r>
        <w:rPr>
          <w:rFonts w:hint="eastAsia" w:ascii="宋体" w:hAnsi="宋体" w:eastAsia="宋体" w:cs="楷体"/>
          <w:bCs/>
          <w:color w:val="auto"/>
          <w:sz w:val="24"/>
          <w:szCs w:val="24"/>
          <w:highlight w:val="none"/>
          <w:lang w:eastAsia="zh-CN"/>
        </w:rPr>
        <w:t>的参数应不低于原设备参数；</w:t>
      </w:r>
    </w:p>
    <w:p w14:paraId="334F1CCA">
      <w:pPr>
        <w:spacing w:line="500" w:lineRule="exact"/>
        <w:ind w:firstLine="480"/>
        <w:rPr>
          <w:rFonts w:ascii="宋体" w:hAnsi="宋体" w:eastAsia="宋体" w:cs="楷体"/>
          <w:bCs/>
          <w:sz w:val="24"/>
          <w:szCs w:val="24"/>
          <w:highlight w:val="yellow"/>
          <w:lang w:eastAsia="zh-CN"/>
        </w:rPr>
      </w:pPr>
      <w:r>
        <w:rPr>
          <w:rFonts w:hint="eastAsia" w:ascii="宋体" w:hAnsi="宋体" w:eastAsia="宋体" w:cs="楷体"/>
          <w:bCs/>
          <w:sz w:val="24"/>
          <w:szCs w:val="24"/>
          <w:lang w:eastAsia="zh-CN"/>
        </w:rPr>
        <w:t>7.在维护工作中，</w:t>
      </w:r>
      <w:r>
        <w:rPr>
          <w:rFonts w:hint="eastAsia" w:ascii="宋体" w:hAnsi="宋体" w:eastAsia="宋体" w:cs="楷体"/>
          <w:bCs/>
          <w:sz w:val="24"/>
          <w:szCs w:val="24"/>
          <w:lang w:val="en-US" w:eastAsia="zh-CN"/>
        </w:rPr>
        <w:t>中标人</w:t>
      </w:r>
      <w:r>
        <w:rPr>
          <w:rFonts w:hint="eastAsia" w:ascii="宋体" w:hAnsi="宋体" w:eastAsia="宋体" w:cs="楷体"/>
          <w:bCs/>
          <w:sz w:val="24"/>
          <w:szCs w:val="24"/>
          <w:lang w:eastAsia="zh-CN"/>
        </w:rPr>
        <w:t>应做好运维人员安全知识培训、配置安全生产设施、制定安全生产方案、督促落实安全生产方案、设置安全生产专员引导交通；在维护工作中，如因安全生产部署失当、措施不全、运维人员安全意识薄弱、运维人员操作失误等因素导致安全生产事故、人员伤亡事故或其他意外情况，由此产生的安全生产责任和费用由</w:t>
      </w:r>
      <w:r>
        <w:rPr>
          <w:rFonts w:hint="eastAsia" w:ascii="宋体" w:hAnsi="宋体" w:eastAsia="宋体" w:cs="楷体"/>
          <w:bCs/>
          <w:sz w:val="24"/>
          <w:szCs w:val="24"/>
          <w:lang w:val="en-US" w:eastAsia="zh-CN"/>
        </w:rPr>
        <w:t>中标人</w:t>
      </w:r>
      <w:r>
        <w:rPr>
          <w:rFonts w:hint="eastAsia" w:ascii="宋体" w:hAnsi="宋体" w:eastAsia="宋体" w:cs="楷体"/>
          <w:bCs/>
          <w:sz w:val="24"/>
          <w:szCs w:val="24"/>
          <w:lang w:eastAsia="zh-CN"/>
        </w:rPr>
        <w:t>自行承担。</w:t>
      </w:r>
    </w:p>
    <w:p w14:paraId="241444C5">
      <w:pPr>
        <w:spacing w:line="500" w:lineRule="exact"/>
        <w:ind w:firstLine="482"/>
        <w:rPr>
          <w:rFonts w:ascii="宋体" w:hAnsi="宋体" w:eastAsia="宋体" w:cs="楷体"/>
          <w:sz w:val="24"/>
          <w:szCs w:val="24"/>
          <w:lang w:eastAsia="zh-CN"/>
        </w:rPr>
      </w:pPr>
      <w:r>
        <w:rPr>
          <w:rFonts w:hint="eastAsia" w:ascii="宋体" w:hAnsi="宋体" w:eastAsia="宋体" w:cs="楷体"/>
          <w:b/>
          <w:sz w:val="24"/>
          <w:szCs w:val="24"/>
          <w:lang w:eastAsia="zh-CN"/>
        </w:rPr>
        <w:t>四、管理要求</w:t>
      </w:r>
    </w:p>
    <w:p w14:paraId="0D71F79A">
      <w:pPr>
        <w:spacing w:line="500" w:lineRule="exact"/>
        <w:ind w:firstLine="480"/>
        <w:rPr>
          <w:rFonts w:ascii="宋体" w:hAnsi="宋体" w:eastAsia="宋体" w:cs="楷体"/>
          <w:sz w:val="24"/>
          <w:szCs w:val="24"/>
          <w:lang w:eastAsia="zh-CN"/>
        </w:rPr>
      </w:pPr>
      <w:r>
        <w:rPr>
          <w:rFonts w:hint="eastAsia" w:ascii="宋体" w:hAnsi="宋体" w:eastAsia="宋体" w:cs="楷体"/>
          <w:sz w:val="24"/>
          <w:szCs w:val="24"/>
          <w:lang w:eastAsia="zh-CN"/>
        </w:rPr>
        <w:t>1.管理组织机构</w:t>
      </w:r>
    </w:p>
    <w:p w14:paraId="032172BC">
      <w:pPr>
        <w:pStyle w:val="10"/>
        <w:spacing w:line="500" w:lineRule="exact"/>
        <w:ind w:firstLine="480"/>
        <w:rPr>
          <w:rFonts w:ascii="宋体" w:hAnsi="宋体" w:eastAsia="宋体" w:cs="楷体"/>
        </w:rPr>
      </w:pPr>
      <w:r>
        <w:rPr>
          <w:rFonts w:hint="eastAsia" w:ascii="宋体" w:hAnsi="宋体" w:eastAsia="宋体" w:cs="楷体"/>
          <w:bCs/>
          <w:sz w:val="24"/>
          <w:szCs w:val="24"/>
          <w:lang w:val="en-US" w:eastAsia="zh-CN"/>
        </w:rPr>
        <w:t>中标人</w:t>
      </w:r>
      <w:r>
        <w:rPr>
          <w:rFonts w:hint="eastAsia" w:ascii="宋体" w:hAnsi="宋体" w:eastAsia="宋体" w:cs="楷体"/>
        </w:rPr>
        <w:t>组建运维管理团队，负责做好本项目的各项运维工作，支持新业务拓展，具有业务创新、规划、咨询和推动等能力。</w:t>
      </w:r>
      <w:r>
        <w:rPr>
          <w:rFonts w:hint="eastAsia" w:ascii="宋体" w:hAnsi="宋体" w:eastAsia="宋体" w:cs="楷体"/>
          <w:bCs/>
          <w:sz w:val="24"/>
          <w:szCs w:val="24"/>
          <w:lang w:val="en-US" w:eastAsia="zh-CN"/>
        </w:rPr>
        <w:t>中标人</w:t>
      </w:r>
      <w:r>
        <w:rPr>
          <w:rFonts w:hint="eastAsia" w:ascii="宋体" w:hAnsi="宋体" w:eastAsia="宋体" w:cs="楷体"/>
        </w:rPr>
        <w:t>应确定和规范与运维管理体系相配套的机构设置、人员岗责安排，实现运维服务的统一决策与规划，形成集中统一的运维管理机制。</w:t>
      </w:r>
    </w:p>
    <w:p w14:paraId="78F04413">
      <w:pPr>
        <w:spacing w:line="500" w:lineRule="exact"/>
        <w:ind w:firstLine="480"/>
        <w:rPr>
          <w:rFonts w:ascii="宋体" w:hAnsi="宋体" w:eastAsia="宋体" w:cs="楷体"/>
          <w:sz w:val="24"/>
          <w:szCs w:val="24"/>
          <w:lang w:eastAsia="zh-CN"/>
        </w:rPr>
      </w:pPr>
      <w:r>
        <w:rPr>
          <w:rFonts w:hint="eastAsia" w:ascii="宋体" w:hAnsi="宋体" w:eastAsia="宋体" w:cs="楷体"/>
          <w:sz w:val="24"/>
          <w:szCs w:val="24"/>
          <w:lang w:eastAsia="zh-CN"/>
        </w:rPr>
        <w:t>2.管理制度规范</w:t>
      </w:r>
    </w:p>
    <w:p w14:paraId="47F5D869">
      <w:pPr>
        <w:pStyle w:val="10"/>
        <w:spacing w:line="500" w:lineRule="exact"/>
        <w:ind w:firstLine="480"/>
        <w:rPr>
          <w:rFonts w:ascii="宋体" w:hAnsi="宋体" w:eastAsia="宋体" w:cs="楷体"/>
        </w:rPr>
      </w:pPr>
      <w:r>
        <w:rPr>
          <w:rFonts w:hint="eastAsia" w:ascii="宋体" w:hAnsi="宋体" w:eastAsia="宋体" w:cs="楷体"/>
          <w:bCs/>
          <w:sz w:val="24"/>
          <w:szCs w:val="24"/>
          <w:lang w:val="en-US" w:eastAsia="zh-CN"/>
        </w:rPr>
        <w:t>中标人</w:t>
      </w:r>
      <w:r>
        <w:rPr>
          <w:rFonts w:hint="eastAsia" w:ascii="宋体" w:hAnsi="宋体" w:eastAsia="宋体" w:cs="楷体"/>
        </w:rPr>
        <w:t>应根据要求，建立有效的运维制度，完善基础运维保障管理、内容运维管理、技术管理、绩效管理、安全生产管理等服务保障体系规范建设。</w:t>
      </w:r>
    </w:p>
    <w:p w14:paraId="78B7FE1E">
      <w:pPr>
        <w:spacing w:line="500" w:lineRule="exact"/>
        <w:ind w:firstLine="480"/>
        <w:rPr>
          <w:rFonts w:ascii="宋体" w:hAnsi="宋体" w:eastAsia="宋体" w:cs="楷体"/>
          <w:sz w:val="24"/>
          <w:szCs w:val="24"/>
          <w:lang w:eastAsia="zh-CN"/>
        </w:rPr>
      </w:pPr>
      <w:r>
        <w:rPr>
          <w:rFonts w:hint="eastAsia" w:ascii="宋体" w:hAnsi="宋体" w:eastAsia="宋体" w:cs="楷体"/>
          <w:sz w:val="24"/>
          <w:szCs w:val="24"/>
          <w:lang w:eastAsia="zh-CN"/>
        </w:rPr>
        <w:t>3.管理人员要求</w:t>
      </w:r>
    </w:p>
    <w:p w14:paraId="237AA576">
      <w:pPr>
        <w:pStyle w:val="10"/>
        <w:spacing w:line="500" w:lineRule="exact"/>
        <w:ind w:firstLine="480"/>
        <w:rPr>
          <w:rFonts w:hint="eastAsia" w:ascii="宋体" w:hAnsi="宋体" w:eastAsia="宋体" w:cs="楷体"/>
          <w:b/>
          <w:bCs/>
          <w:lang w:eastAsia="zh-CN"/>
        </w:rPr>
      </w:pPr>
      <w:r>
        <w:rPr>
          <w:rFonts w:hint="eastAsia" w:ascii="宋体" w:hAnsi="宋体" w:eastAsia="宋体" w:cs="楷体"/>
          <w:bCs/>
          <w:sz w:val="24"/>
          <w:szCs w:val="24"/>
          <w:lang w:val="en-US" w:eastAsia="zh-CN"/>
        </w:rPr>
        <w:t>中标人</w:t>
      </w:r>
      <w:r>
        <w:rPr>
          <w:rFonts w:hint="eastAsia" w:ascii="宋体" w:hAnsi="宋体" w:eastAsia="宋体" w:cs="楷体"/>
        </w:rPr>
        <w:t>应指定一名运维项目经理，负责综合管理、技术管理、安全管理和业务研究等相关团队的管理工作；负责运维总体的统筹协调、重大问题处理、投诉管理、争议管理等工作</w:t>
      </w:r>
      <w:r>
        <w:rPr>
          <w:rFonts w:hint="eastAsia" w:ascii="宋体" w:hAnsi="宋体" w:eastAsia="宋体" w:cs="楷体"/>
          <w:lang w:eastAsia="zh-CN"/>
        </w:rPr>
        <w:t>。</w:t>
      </w:r>
    </w:p>
    <w:p w14:paraId="72AFB696">
      <w:pPr>
        <w:spacing w:line="500" w:lineRule="exact"/>
        <w:ind w:firstLine="480"/>
        <w:rPr>
          <w:rFonts w:ascii="宋体" w:hAnsi="宋体" w:eastAsia="宋体" w:cs="楷体"/>
          <w:sz w:val="24"/>
          <w:szCs w:val="24"/>
          <w:lang w:eastAsia="zh-CN"/>
        </w:rPr>
      </w:pPr>
      <w:r>
        <w:rPr>
          <w:rFonts w:hint="eastAsia" w:ascii="宋体" w:hAnsi="宋体" w:eastAsia="宋体" w:cs="楷体"/>
          <w:sz w:val="24"/>
          <w:szCs w:val="24"/>
          <w:lang w:eastAsia="zh-CN"/>
        </w:rPr>
        <w:t>4.人员岗位要求</w:t>
      </w:r>
    </w:p>
    <w:p w14:paraId="0B9CA78D">
      <w:pPr>
        <w:pStyle w:val="10"/>
        <w:spacing w:line="500" w:lineRule="exact"/>
        <w:ind w:firstLine="480"/>
        <w:rPr>
          <w:rFonts w:ascii="宋体" w:hAnsi="宋体" w:eastAsia="宋体" w:cs="楷体"/>
        </w:rPr>
      </w:pPr>
      <w:r>
        <w:rPr>
          <w:rFonts w:hint="eastAsia" w:ascii="宋体" w:hAnsi="宋体" w:eastAsia="宋体" w:cs="楷体"/>
          <w:bCs/>
          <w:sz w:val="24"/>
          <w:szCs w:val="24"/>
          <w:lang w:val="en-US" w:eastAsia="zh-CN"/>
        </w:rPr>
        <w:t>中标人</w:t>
      </w:r>
      <w:r>
        <w:rPr>
          <w:rFonts w:hint="eastAsia" w:ascii="宋体" w:hAnsi="宋体" w:eastAsia="宋体" w:cs="楷体"/>
        </w:rPr>
        <w:t>要明确运维关键岗位人员流失带来的风险，制定人员候补和岗位接替计划，在人员岗位发生变化后及时变更相关信息。</w:t>
      </w:r>
    </w:p>
    <w:p w14:paraId="30E69439">
      <w:pPr>
        <w:spacing w:line="500" w:lineRule="exact"/>
        <w:ind w:firstLine="480"/>
        <w:rPr>
          <w:rFonts w:ascii="宋体" w:hAnsi="宋体" w:eastAsia="宋体" w:cs="楷体"/>
          <w:sz w:val="24"/>
          <w:szCs w:val="24"/>
          <w:lang w:eastAsia="zh-CN"/>
        </w:rPr>
      </w:pPr>
      <w:r>
        <w:rPr>
          <w:rFonts w:hint="eastAsia" w:ascii="宋体" w:hAnsi="宋体" w:eastAsia="宋体" w:cs="楷体"/>
          <w:sz w:val="24"/>
          <w:szCs w:val="24"/>
          <w:lang w:eastAsia="zh-CN"/>
        </w:rPr>
        <w:t>5.安全保密要求</w:t>
      </w:r>
    </w:p>
    <w:p w14:paraId="425AE246">
      <w:pPr>
        <w:pStyle w:val="10"/>
        <w:spacing w:line="500" w:lineRule="exact"/>
        <w:ind w:firstLine="480"/>
        <w:rPr>
          <w:rFonts w:ascii="宋体" w:hAnsi="宋体" w:eastAsia="宋体" w:cs="楷体"/>
        </w:rPr>
      </w:pPr>
      <w:r>
        <w:rPr>
          <w:rFonts w:hint="eastAsia" w:ascii="宋体" w:hAnsi="宋体" w:eastAsia="宋体" w:cs="楷体"/>
          <w:bCs/>
          <w:sz w:val="24"/>
          <w:szCs w:val="24"/>
          <w:lang w:val="en-US" w:eastAsia="zh-CN"/>
        </w:rPr>
        <w:t>中标人</w:t>
      </w:r>
      <w:r>
        <w:rPr>
          <w:rFonts w:hint="eastAsia" w:ascii="宋体" w:hAnsi="宋体" w:eastAsia="宋体" w:cs="楷体"/>
        </w:rPr>
        <w:t>应对江西省智慧交通运输事务中心的业务秘密和设备及系统安全与风险信息，承担安全保密责任，未经允许不得将任何文件进行修改、复制或带离现场。</w:t>
      </w:r>
    </w:p>
    <w:p w14:paraId="20703250">
      <w:pPr>
        <w:spacing w:line="500" w:lineRule="exact"/>
        <w:ind w:firstLine="480"/>
        <w:rPr>
          <w:rFonts w:ascii="宋体" w:hAnsi="宋体" w:eastAsia="宋体" w:cs="楷体"/>
          <w:sz w:val="24"/>
          <w:szCs w:val="24"/>
          <w:lang w:eastAsia="zh-CN"/>
        </w:rPr>
      </w:pPr>
      <w:r>
        <w:rPr>
          <w:rFonts w:hint="eastAsia" w:ascii="宋体" w:hAnsi="宋体" w:eastAsia="宋体" w:cs="楷体"/>
          <w:sz w:val="24"/>
          <w:szCs w:val="24"/>
          <w:lang w:eastAsia="zh-CN"/>
        </w:rPr>
        <w:t>6.团队稳定性要求</w:t>
      </w:r>
    </w:p>
    <w:p w14:paraId="42560DEB">
      <w:pPr>
        <w:pStyle w:val="10"/>
        <w:spacing w:line="500" w:lineRule="exact"/>
        <w:ind w:firstLine="480"/>
        <w:rPr>
          <w:rFonts w:ascii="宋体" w:hAnsi="宋体" w:eastAsia="宋体" w:cs="楷体"/>
        </w:rPr>
      </w:pPr>
      <w:r>
        <w:rPr>
          <w:rFonts w:hint="eastAsia" w:ascii="宋体" w:hAnsi="宋体" w:eastAsia="宋体" w:cs="楷体"/>
          <w:bCs/>
          <w:sz w:val="24"/>
          <w:szCs w:val="24"/>
          <w:lang w:val="en-US" w:eastAsia="zh-CN"/>
        </w:rPr>
        <w:t>中标人</w:t>
      </w:r>
      <w:r>
        <w:rPr>
          <w:rFonts w:hint="eastAsia" w:ascii="宋体" w:hAnsi="宋体" w:eastAsia="宋体" w:cs="楷体"/>
        </w:rPr>
        <w:t>应从业务实际出发，加强业务培训和人才培养。</w:t>
      </w:r>
      <w:r>
        <w:rPr>
          <w:rFonts w:hint="eastAsia" w:ascii="宋体" w:hAnsi="宋体" w:eastAsia="宋体" w:cs="楷体"/>
          <w:bCs/>
          <w:sz w:val="24"/>
          <w:szCs w:val="24"/>
          <w:lang w:val="en-US" w:eastAsia="zh-CN"/>
        </w:rPr>
        <w:t>中标人</w:t>
      </w:r>
      <w:r>
        <w:rPr>
          <w:rFonts w:hint="eastAsia" w:ascii="宋体" w:hAnsi="宋体" w:eastAsia="宋体" w:cs="楷体"/>
        </w:rPr>
        <w:t>应加强服务人员现场管理，规范服务人员的在岗、离岗行为。服务人员需要离开服务岗位的，应事先征得采购人同意，主要负责人员离开岗位，</w:t>
      </w:r>
      <w:r>
        <w:rPr>
          <w:rFonts w:hint="eastAsia" w:ascii="宋体" w:hAnsi="宋体" w:eastAsia="宋体" w:cs="楷体"/>
          <w:bCs/>
          <w:sz w:val="24"/>
          <w:szCs w:val="24"/>
          <w:lang w:val="en-US" w:eastAsia="zh-CN"/>
        </w:rPr>
        <w:t>中标人</w:t>
      </w:r>
      <w:r>
        <w:rPr>
          <w:rFonts w:hint="eastAsia" w:ascii="宋体" w:hAnsi="宋体" w:eastAsia="宋体" w:cs="楷体"/>
        </w:rPr>
        <w:t>提供包含原因、返回现场时间、离岗期间工作安排等内容的书面材料，在取得采购人和有关部门同意后方可离开，未经允许不得擅自离岗。</w:t>
      </w:r>
    </w:p>
    <w:p w14:paraId="5628CD72">
      <w:pPr>
        <w:spacing w:line="500" w:lineRule="exact"/>
        <w:ind w:firstLine="480"/>
        <w:rPr>
          <w:rFonts w:ascii="宋体" w:hAnsi="宋体" w:eastAsia="宋体" w:cs="楷体"/>
          <w:sz w:val="24"/>
          <w:szCs w:val="24"/>
          <w:lang w:eastAsia="zh-CN"/>
        </w:rPr>
      </w:pPr>
      <w:r>
        <w:rPr>
          <w:rFonts w:hint="eastAsia" w:ascii="宋体" w:hAnsi="宋体" w:eastAsia="宋体" w:cs="楷体"/>
          <w:sz w:val="24"/>
          <w:szCs w:val="24"/>
          <w:lang w:eastAsia="zh-CN"/>
        </w:rPr>
        <w:t>7.考核管理</w:t>
      </w:r>
    </w:p>
    <w:bookmarkEnd w:id="17"/>
    <w:p w14:paraId="295C4F40">
      <w:pPr>
        <w:keepNext w:val="0"/>
        <w:keepLines w:val="0"/>
        <w:pageBreakBefore w:val="0"/>
        <w:widowControl/>
        <w:kinsoku w:val="0"/>
        <w:wordWrap/>
        <w:overflowPunct/>
        <w:topLinePunct w:val="0"/>
        <w:autoSpaceDE w:val="0"/>
        <w:autoSpaceDN w:val="0"/>
        <w:bidi w:val="0"/>
        <w:adjustRightInd w:val="0"/>
        <w:snapToGrid w:val="0"/>
        <w:spacing w:line="500" w:lineRule="exact"/>
        <w:ind w:firstLine="493"/>
        <w:textAlignment w:val="baseline"/>
        <w:rPr>
          <w:rFonts w:hint="eastAsia" w:asciiTheme="minorEastAsia" w:hAnsiTheme="minorEastAsia" w:eastAsiaTheme="minorEastAsia" w:cstheme="minorEastAsia"/>
          <w:b w:val="0"/>
          <w:bCs/>
          <w:sz w:val="24"/>
          <w:szCs w:val="24"/>
          <w:highlight w:val="none"/>
          <w:lang w:eastAsia="zh-CN"/>
        </w:rPr>
      </w:pPr>
      <w:r>
        <w:rPr>
          <w:rFonts w:hint="eastAsia" w:ascii="宋体" w:hAnsi="宋体" w:eastAsia="宋体" w:cs="楷体"/>
          <w:bCs/>
          <w:sz w:val="24"/>
          <w:szCs w:val="24"/>
          <w:lang w:val="en-US" w:eastAsia="zh-CN"/>
        </w:rPr>
        <w:t>中标人</w:t>
      </w:r>
      <w:r>
        <w:rPr>
          <w:rFonts w:hint="eastAsia" w:ascii="宋体" w:hAnsi="宋体" w:eastAsia="宋体" w:cs="楷体"/>
          <w:sz w:val="24"/>
          <w:szCs w:val="24"/>
          <w:lang w:eastAsia="zh-CN"/>
        </w:rPr>
        <w:t>应遵守国家相关法律法规规定，遵守江西省智慧交通运输事务中心已制定的《江西省智慧交通运输事务中心信息系统运行维护管理办法</w:t>
      </w:r>
      <w:r>
        <w:rPr>
          <w:rFonts w:ascii="宋体" w:hAnsi="宋体" w:eastAsia="宋体" w:cs="楷体"/>
          <w:sz w:val="24"/>
          <w:szCs w:val="24"/>
          <w:lang w:eastAsia="zh-CN"/>
        </w:rPr>
        <w:t>(</w:t>
      </w:r>
      <w:r>
        <w:rPr>
          <w:rFonts w:hint="eastAsia" w:ascii="宋体" w:hAnsi="宋体" w:eastAsia="宋体" w:cs="楷体"/>
          <w:sz w:val="24"/>
          <w:szCs w:val="24"/>
          <w:lang w:eastAsia="zh-CN"/>
        </w:rPr>
        <w:t>试行</w:t>
      </w:r>
      <w:r>
        <w:rPr>
          <w:rFonts w:ascii="宋体" w:hAnsi="宋体" w:eastAsia="宋体" w:cs="楷体"/>
          <w:sz w:val="24"/>
          <w:szCs w:val="24"/>
          <w:lang w:eastAsia="zh-CN"/>
        </w:rPr>
        <w:t>)</w:t>
      </w:r>
      <w:r>
        <w:rPr>
          <w:rFonts w:hint="eastAsia" w:ascii="宋体" w:hAnsi="宋体" w:eastAsia="宋体" w:cs="楷体"/>
          <w:sz w:val="24"/>
          <w:szCs w:val="24"/>
          <w:lang w:eastAsia="zh-CN"/>
        </w:rPr>
        <w:t>》（赣智交字</w:t>
      </w:r>
      <w:r>
        <w:rPr>
          <w:rFonts w:ascii="宋体" w:hAnsi="宋体" w:eastAsia="宋体" w:cs="楷体"/>
          <w:sz w:val="24"/>
          <w:szCs w:val="24"/>
          <w:lang w:eastAsia="zh-CN"/>
        </w:rPr>
        <w:t xml:space="preserve">(2025)9 </w:t>
      </w:r>
      <w:r>
        <w:rPr>
          <w:rFonts w:hint="eastAsia" w:ascii="宋体" w:hAnsi="宋体" w:eastAsia="宋体" w:cs="楷体"/>
          <w:sz w:val="24"/>
          <w:szCs w:val="24"/>
          <w:lang w:eastAsia="zh-CN"/>
        </w:rPr>
        <w:t>号）等各项工作管理制度，做好人员、技术和流程的标准化管理。</w:t>
      </w:r>
    </w:p>
    <w:p w14:paraId="76A93E96">
      <w:pPr>
        <w:spacing w:line="500" w:lineRule="exact"/>
        <w:ind w:firstLine="480"/>
        <w:rPr>
          <w:rFonts w:cs="微软雅黑" w:asciiTheme="minorEastAsia" w:hAnsiTheme="minorEastAsia" w:eastAsiaTheme="minorEastAsia"/>
          <w:bCs/>
          <w:sz w:val="24"/>
          <w:szCs w:val="24"/>
          <w:lang w:eastAsia="zh-CN"/>
        </w:rPr>
      </w:pPr>
    </w:p>
    <w:p w14:paraId="288AE4B3">
      <w:pPr>
        <w:spacing w:line="420" w:lineRule="exact"/>
        <w:ind w:firstLine="495"/>
        <w:rPr>
          <w:rFonts w:cs="微软雅黑" w:asciiTheme="minorEastAsia" w:hAnsiTheme="minorEastAsia" w:eastAsiaTheme="minorEastAsia"/>
          <w:b/>
          <w:sz w:val="24"/>
          <w:szCs w:val="24"/>
          <w:lang w:eastAsia="zh-CN"/>
        </w:rPr>
      </w:pPr>
    </w:p>
    <w:p w14:paraId="61699B70">
      <w:r>
        <w:rPr>
          <w:rFonts w:hint="eastAsia" w:cs="微软雅黑" w:asciiTheme="minorEastAsia" w:hAnsiTheme="minorEastAsia" w:eastAsiaTheme="minorEastAsia"/>
          <w:b/>
          <w:sz w:val="24"/>
          <w:szCs w:val="24"/>
          <w:lang w:eastAsia="zh-CN"/>
        </w:rPr>
        <w:t>注：以上服务需求投标人必须完全响应或优于,否则作无效响应文件处理。</w:t>
      </w:r>
      <w:bookmarkStart w:id="21" w:name="_GoBack"/>
      <w:bookmarkEnd w:id="21"/>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88"/>
    <w:family w:val="roman"/>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 w:name="楷体">
    <w:panose1 w:val="02010609060101010101"/>
    <w:charset w:val="86"/>
    <w:family w:val="auto"/>
    <w:pitch w:val="default"/>
    <w:sig w:usb0="800002BF" w:usb1="38CF7CFA" w:usb2="00000016" w:usb3="00000000" w:csb0="00040001"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D7B9953">
    <w:pPr>
      <w:pStyle w:val="5"/>
      <w:rPr>
        <w:lang w:eastAsia="zh-CN"/>
      </w:rPr>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48" name="文本框 14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3423782C">
                          <w:pPr>
                            <w:pStyle w:val="5"/>
                          </w:pPr>
                          <w:r>
                            <w:fldChar w:fldCharType="begin"/>
                          </w:r>
                          <w:r>
                            <w:instrText xml:space="preserve"> PAGE  \* MERGEFORMAT </w:instrText>
                          </w:r>
                          <w:r>
                            <w:fldChar w:fldCharType="separate"/>
                          </w:r>
                          <w:r>
                            <w:t>55</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MiEy20zAgAAZQQAAA4AAAAAAAAAAQAgAAAAHwEAAGRycy9lMm9Eb2MueG1sUEsF&#10;BgAAAAAGAAYAWQEAAMQFAAAAAA==&#10;">
              <v:fill on="f" focussize="0,0"/>
              <v:stroke on="f" weight="0.5pt"/>
              <v:imagedata o:title=""/>
              <o:lock v:ext="edit" aspectratio="f"/>
              <v:textbox inset="0mm,0mm,0mm,0mm" style="mso-fit-shape-to-text:t;">
                <w:txbxContent>
                  <w:p w14:paraId="3423782C">
                    <w:pPr>
                      <w:pStyle w:val="5"/>
                    </w:pPr>
                    <w:r>
                      <w:fldChar w:fldCharType="begin"/>
                    </w:r>
                    <w:r>
                      <w:instrText xml:space="preserve"> PAGE  \* MERGEFORMAT </w:instrText>
                    </w:r>
                    <w:r>
                      <w:fldChar w:fldCharType="separate"/>
                    </w:r>
                    <w:r>
                      <w:t>55</w:t>
                    </w:r>
                    <w: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EA36093F"/>
    <w:multiLevelType w:val="singleLevel"/>
    <w:tmpl w:val="EA36093F"/>
    <w:lvl w:ilvl="0" w:tentative="0">
      <w:start w:val="1"/>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58FB5797"/>
    <w:rsid w:val="58FB579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kinsoku w:val="0"/>
      <w:autoSpaceDE w:val="0"/>
      <w:autoSpaceDN w:val="0"/>
      <w:adjustRightInd w:val="0"/>
      <w:snapToGrid w:val="0"/>
      <w:textAlignment w:val="baseline"/>
    </w:pPr>
    <w:rPr>
      <w:rFonts w:ascii="Arial" w:hAnsi="Arial" w:eastAsia="Arial" w:cs="Arial"/>
      <w:snapToGrid w:val="0"/>
      <w:color w:val="000000"/>
      <w:sz w:val="21"/>
      <w:szCs w:val="21"/>
      <w:lang w:val="en-US" w:eastAsia="en-US" w:bidi="ar-SA"/>
    </w:rPr>
  </w:style>
  <w:style w:type="character" w:default="1" w:styleId="7">
    <w:name w:val="Default Paragraph Font"/>
    <w:semiHidden/>
    <w:qFormat/>
    <w:uiPriority w:val="0"/>
  </w:style>
  <w:style w:type="table" w:default="1" w:styleId="6">
    <w:name w:val="Normal Table"/>
    <w:semiHidden/>
    <w:qFormat/>
    <w:uiPriority w:val="0"/>
    <w:tblPr>
      <w:tblCellMar>
        <w:top w:w="0" w:type="dxa"/>
        <w:left w:w="108" w:type="dxa"/>
        <w:bottom w:w="0" w:type="dxa"/>
        <w:right w:w="108" w:type="dxa"/>
      </w:tblCellMar>
    </w:tblPr>
  </w:style>
  <w:style w:type="paragraph" w:styleId="2">
    <w:name w:val="Body Text"/>
    <w:basedOn w:val="1"/>
    <w:next w:val="1"/>
    <w:semiHidden/>
    <w:qFormat/>
    <w:uiPriority w:val="0"/>
    <w:rPr>
      <w:rFonts w:ascii="仿宋" w:hAnsi="仿宋" w:eastAsia="仿宋" w:cs="仿宋"/>
      <w:sz w:val="30"/>
      <w:szCs w:val="30"/>
    </w:rPr>
  </w:style>
  <w:style w:type="paragraph" w:styleId="3">
    <w:name w:val="Normal Indent"/>
    <w:basedOn w:val="1"/>
    <w:qFormat/>
    <w:uiPriority w:val="0"/>
    <w:pPr>
      <w:widowControl w:val="0"/>
      <w:kinsoku/>
      <w:autoSpaceDE/>
      <w:autoSpaceDN/>
      <w:adjustRightInd/>
      <w:snapToGrid/>
      <w:ind w:firstLine="420"/>
      <w:jc w:val="both"/>
      <w:textAlignment w:val="auto"/>
    </w:pPr>
    <w:rPr>
      <w:rFonts w:ascii="Times New Roman" w:hAnsi="Times New Roman" w:eastAsia="宋体" w:cs="Times New Roman"/>
      <w:snapToGrid/>
      <w:color w:val="auto"/>
      <w:kern w:val="2"/>
      <w:lang w:eastAsia="zh-CN"/>
    </w:rPr>
  </w:style>
  <w:style w:type="paragraph" w:styleId="4">
    <w:name w:val="Plain Text"/>
    <w:basedOn w:val="1"/>
    <w:qFormat/>
    <w:uiPriority w:val="0"/>
    <w:rPr>
      <w:rFonts w:ascii="宋体" w:hAnsi="Courier New"/>
      <w:kern w:val="0"/>
      <w:sz w:val="20"/>
      <w:szCs w:val="21"/>
    </w:rPr>
  </w:style>
  <w:style w:type="paragraph" w:styleId="5">
    <w:name w:val="footer"/>
    <w:basedOn w:val="1"/>
    <w:qFormat/>
    <w:uiPriority w:val="0"/>
    <w:pPr>
      <w:tabs>
        <w:tab w:val="center" w:pos="4153"/>
        <w:tab w:val="right" w:pos="8306"/>
      </w:tabs>
    </w:pPr>
    <w:rPr>
      <w:sz w:val="18"/>
    </w:rPr>
  </w:style>
  <w:style w:type="table" w:customStyle="1" w:styleId="8">
    <w:name w:val="Table Normal"/>
    <w:semiHidden/>
    <w:unhideWhenUsed/>
    <w:qFormat/>
    <w:uiPriority w:val="0"/>
    <w:tblPr>
      <w:tblCellMar>
        <w:top w:w="0" w:type="dxa"/>
        <w:left w:w="0" w:type="dxa"/>
        <w:bottom w:w="0" w:type="dxa"/>
        <w:right w:w="0" w:type="dxa"/>
      </w:tblCellMar>
    </w:tblPr>
  </w:style>
  <w:style w:type="paragraph" w:customStyle="1" w:styleId="9">
    <w:name w:val="正文（深信服）"/>
    <w:qFormat/>
    <w:uiPriority w:val="0"/>
    <w:pPr>
      <w:spacing w:line="500" w:lineRule="exact"/>
    </w:pPr>
    <w:rPr>
      <w:rFonts w:ascii="仿宋" w:hAnsi="仿宋" w:eastAsia="仿宋" w:cs="Times New Roman"/>
      <w:b/>
      <w:bCs/>
      <w:sz w:val="24"/>
      <w:szCs w:val="24"/>
      <w:lang w:val="en-US" w:eastAsia="zh-CN" w:bidi="ar-SA"/>
    </w:rPr>
  </w:style>
  <w:style w:type="paragraph" w:customStyle="1" w:styleId="10">
    <w:name w:val="缩进正文"/>
    <w:basedOn w:val="1"/>
    <w:qFormat/>
    <w:uiPriority w:val="0"/>
    <w:pPr>
      <w:widowControl w:val="0"/>
      <w:kinsoku/>
      <w:autoSpaceDE/>
      <w:autoSpaceDN/>
      <w:adjustRightInd/>
      <w:snapToGrid/>
      <w:spacing w:line="360" w:lineRule="auto"/>
      <w:ind w:firstLine="200" w:firstLineChars="200"/>
      <w:jc w:val="both"/>
      <w:textAlignment w:val="auto"/>
    </w:pPr>
    <w:rPr>
      <w:rFonts w:ascii="宋体" w:hAnsi="宋体" w:eastAsia="宋体" w:cs="宋体"/>
      <w:snapToGrid/>
      <w:color w:val="auto"/>
      <w:kern w:val="2"/>
      <w:sz w:val="24"/>
      <w:szCs w:val="24"/>
      <w:lang w:val="zh-CN" w:eastAsia="zh-CN" w:bidi="zh-CN"/>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13</Pages>
  <Words>0</Words>
  <Characters>0</Characters>
  <Lines>0</Lines>
  <Paragraphs>0</Paragraphs>
  <TotalTime>0</TotalTime>
  <ScaleCrop>false</ScaleCrop>
  <LinksUpToDate>false</LinksUpToDate>
  <CharactersWithSpaces>0</CharactersWithSpaces>
  <Application>WPS Office_12.1.0.26375_F1E327BC-269C-435d-A152-05C5408002CA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2026-05-26T08:31:00Z</dcterms:created>
  <dc:creator>Administrator</dc:creator>
  <cp:lastModifiedBy>Administrator</cp:lastModifiedBy>
  <dcterms:modified xsi:type="dcterms:W3CDTF">2026-05-26T08:31:29Z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2052-12.1.0.26375</vt:lpwstr>
  </property>
  <property fmtid="{D5CDD505-2E9C-101B-9397-08002B2CF9AE}" pid="3" name="ICV">
    <vt:lpwstr>EDA3008D0D3F4FB08DF180ABAEF81EE8_11</vt:lpwstr>
  </property>
  <property fmtid="{D5CDD505-2E9C-101B-9397-08002B2CF9AE}" pid="4" name="KSOTemplateDocerSaveRecord">
    <vt:lpwstr>eyJoZGlkIjoiOGRhMWZlMGU3NjAwNjFhZjE3YWEzNGZlMzU4ODEwOTkiLCJ1c2VySWQiOiI4NjM2OTMyODcifQ==</vt:lpwstr>
  </property>
</Properties>
</file>