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1B1DF1">
      <w:pPr>
        <w:widowControl w:val="0"/>
        <w:spacing w:line="242" w:lineRule="auto"/>
        <w:rPr>
          <w:color w:val="auto"/>
          <w:lang w:eastAsia="zh-CN"/>
        </w:rPr>
      </w:pPr>
    </w:p>
    <w:p w14:paraId="667E3848">
      <w:pPr>
        <w:pStyle w:val="5"/>
        <w:rPr>
          <w:rFonts w:hint="eastAsia" w:ascii="宋体" w:hAnsi="宋体" w:eastAsia="宋体" w:cs="宋体"/>
          <w:b w:val="0"/>
          <w:bCs w:val="0"/>
          <w:sz w:val="24"/>
          <w:szCs w:val="24"/>
          <w:highlight w:val="yellow"/>
        </w:rPr>
      </w:pPr>
      <w:bookmarkStart w:id="0" w:name="_Toc18205"/>
      <w:r>
        <w:rPr>
          <w:rFonts w:hint="eastAsia" w:ascii="宋体" w:hAnsi="宋体" w:eastAsia="宋体" w:cs="宋体"/>
          <w:b w:val="0"/>
          <w:bCs w:val="0"/>
          <w:sz w:val="24"/>
          <w:szCs w:val="24"/>
          <w:highlight w:val="none"/>
        </w:rPr>
        <w:t>（一）项目概况</w:t>
      </w:r>
      <w:bookmarkEnd w:id="0"/>
    </w:p>
    <w:p w14:paraId="62715C49">
      <w:pPr>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党的二十届四中全会、2026年中央一号文件均明确提出“加强水文监测预报预警”，中办、国办《关于全面推进江河保护治理的意见》提出“构建雨情水情监测预报体系”，其中在中小河流监测预警强化方面，</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主要从中小河流洪水演进模拟能力提升，</w:t>
      </w:r>
      <w:r>
        <w:rPr>
          <w:rStyle w:val="48"/>
          <w:rFonts w:hint="eastAsia" w:ascii="宋体" w:hAnsi="宋体" w:eastAsia="宋体" w:cs="宋体"/>
          <w:color w:val="000000" w:themeColor="text1"/>
          <w:sz w:val="28"/>
          <w:szCs w:val="28"/>
          <w:highlight w:val="none"/>
          <w:lang w:eastAsia="zh-CN"/>
          <w14:textFill>
            <w14:solidFill>
              <w14:schemeClr w14:val="tx1"/>
            </w14:solidFill>
          </w14:textFill>
        </w:rPr>
        <w:t>各</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河段</w:t>
      </w:r>
      <w:r>
        <w:rPr>
          <w:rStyle w:val="48"/>
          <w:rFonts w:hint="eastAsia" w:ascii="宋体" w:hAnsi="宋体" w:eastAsia="宋体" w:cs="宋体"/>
          <w:color w:val="000000" w:themeColor="text1"/>
          <w:sz w:val="28"/>
          <w:szCs w:val="28"/>
          <w:highlight w:val="none"/>
          <w14:textFill>
            <w14:solidFill>
              <w14:schemeClr w14:val="tx1"/>
            </w14:solidFill>
          </w14:textFill>
        </w:rPr>
        <w:t>预警指标和影响范围确定</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等方面提出要求</w:t>
      </w:r>
      <w:r>
        <w:rPr>
          <w:rStyle w:val="48"/>
          <w:rFonts w:hint="eastAsia" w:ascii="宋体" w:hAnsi="宋体" w:eastAsia="宋体" w:cs="宋体"/>
          <w:color w:val="000000" w:themeColor="text1"/>
          <w:sz w:val="28"/>
          <w:szCs w:val="28"/>
          <w:highlight w:val="none"/>
          <w:lang w:eastAsia="zh-CN"/>
          <w14:textFill>
            <w14:solidFill>
              <w14:schemeClr w14:val="tx1"/>
            </w14:solidFill>
          </w14:textFill>
        </w:rPr>
        <w:t>。</w:t>
      </w:r>
      <w:bookmarkStart w:id="1" w:name="OLE_LINK1"/>
      <w:r>
        <w:rPr>
          <w:rStyle w:val="48"/>
          <w:rFonts w:hint="eastAsia" w:ascii="宋体" w:hAnsi="宋体" w:eastAsia="宋体" w:cs="宋体"/>
          <w:color w:val="000000" w:themeColor="text1"/>
          <w:sz w:val="28"/>
          <w:szCs w:val="28"/>
          <w:highlight w:val="none"/>
          <w14:textFill>
            <w14:solidFill>
              <w14:schemeClr w14:val="tx1"/>
            </w14:solidFill>
          </w14:textFill>
        </w:rPr>
        <w:t>近年来，受全球气候变化加剧影响，暴雨洪水的突发性、极端性、反常性越来越明显，突破历史纪录、颠覆传统认知的洪水灾害事件频繁出现</w:t>
      </w:r>
      <w:bookmarkEnd w:id="1"/>
      <w:r>
        <w:rPr>
          <w:rStyle w:val="48"/>
          <w:rFonts w:hint="eastAsia" w:ascii="宋体" w:hAnsi="宋体" w:eastAsia="宋体" w:cs="宋体"/>
          <w:color w:val="000000" w:themeColor="text1"/>
          <w:sz w:val="28"/>
          <w:szCs w:val="28"/>
          <w:highlight w:val="none"/>
          <w14:textFill>
            <w14:solidFill>
              <w14:schemeClr w14:val="tx1"/>
            </w14:solidFill>
          </w14:textFill>
        </w:rPr>
        <w:t>，特别是山区中小河流源短流急，产汇流时间短，洪水突发性、致灾性强。前瞻、及时、准确的雨水情监测预报信息，是做好洪水灾害防御工作的重要前提和保障。</w:t>
      </w:r>
    </w:p>
    <w:p w14:paraId="529828B2">
      <w:pPr>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ascii="宋体" w:hAnsi="宋体" w:eastAsia="宋体" w:cs="宋体"/>
          <w:color w:val="000000" w:themeColor="text1"/>
          <w:sz w:val="28"/>
          <w:szCs w:val="28"/>
          <w:highlight w:val="none"/>
          <w:lang w:eastAsia="zh-CN"/>
          <w14:textFill>
            <w14:solidFill>
              <w14:schemeClr w14:val="tx1"/>
            </w14:solidFill>
          </w14:textFill>
        </w:rPr>
      </w:pPr>
      <w:r>
        <w:rPr>
          <w:rStyle w:val="48"/>
          <w:rFonts w:hint="eastAsia" w:ascii="宋体" w:hAnsi="宋体" w:eastAsia="宋体" w:cs="宋体"/>
          <w:color w:val="000000" w:themeColor="text1"/>
          <w:sz w:val="28"/>
          <w:szCs w:val="28"/>
          <w:highlight w:val="none"/>
          <w:lang w:eastAsia="zh-CN"/>
          <w14:textFill>
            <w14:solidFill>
              <w14:schemeClr w14:val="tx1"/>
            </w14:solidFill>
          </w14:textFill>
        </w:rPr>
        <w:t>2017年，在赣东、赣北等暴雨洪水集中来源区探索预警指标制定并投入预警应用；2022年实现全省324个中小河流站的预警指标全覆盖；2024年完成所有站沿河防护对象及各级成灾水位调查。通过“实地勘察+水文分析+灾情验证”的技术路线，确定全省223条中小河流324站的预警水位，实现了有防洪需求的中小河流预警全覆盖。目前，我省已建成7部水利测雨雷达，覆盖37条中小河流，能够对饶河流域暴雨集中区、赣南山洪灾害易发区形成有效监测。配套“云中雨”预报模型、流域产汇流模型、河道演进模型，探索“第一道防线”耦合贯通应用，在应对2022年乐安河“6·20”流域性大洪水、2024年乐安河上游“4·14”洪水中取得显著成效。</w:t>
      </w:r>
    </w:p>
    <w:p w14:paraId="42E12FBE">
      <w:pPr>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pPr>
      <w:r>
        <w:rPr>
          <w:rStyle w:val="48"/>
          <w:rFonts w:hint="eastAsia" w:ascii="宋体" w:hAnsi="宋体" w:cs="宋体"/>
          <w:color w:val="000000" w:themeColor="text1"/>
          <w:sz w:val="28"/>
          <w:szCs w:val="28"/>
          <w:highlight w:val="none"/>
          <w:lang w:val="en-US" w:eastAsia="zh-CN"/>
          <w14:textFill>
            <w14:solidFill>
              <w14:schemeClr w14:val="tx1"/>
            </w14:solidFill>
          </w14:textFill>
        </w:rPr>
        <w:t>当前，江西省中小河流作业预报预警功能已构建起基础框架，形成“方案有积淀、数据有支撑、应用有成效”的发展格局，但结合流域特性与防洪需求，仍需在精细化、可视化方向持续突破，以全面契合雨水情监测预警“三道防线”的建设目标。</w:t>
      </w:r>
      <w:r>
        <w:rPr>
          <w:rStyle w:val="48"/>
          <w:rFonts w:hint="eastAsia" w:ascii="宋体" w:hAnsi="宋体" w:eastAsia="宋体" w:cs="宋体"/>
          <w:color w:val="000000" w:themeColor="text1"/>
          <w:sz w:val="28"/>
          <w:szCs w:val="28"/>
          <w:highlight w:val="none"/>
          <w:lang w:eastAsia="zh-CN"/>
          <w14:textFill>
            <w14:solidFill>
              <w14:schemeClr w14:val="tx1"/>
            </w14:solidFill>
          </w14:textFill>
        </w:rPr>
        <w:t>在当前中小河流洪水灾害防御工作开展过程中，</w:t>
      </w:r>
      <w:r>
        <w:rPr>
          <w:rStyle w:val="48"/>
          <w:rFonts w:hint="eastAsia" w:ascii="宋体" w:hAnsi="宋体" w:cs="宋体"/>
          <w:color w:val="000000" w:themeColor="text1"/>
          <w:sz w:val="28"/>
          <w:szCs w:val="28"/>
          <w:highlight w:val="none"/>
          <w:lang w:val="en-US" w:eastAsia="zh-CN"/>
          <w14:textFill>
            <w14:solidFill>
              <w14:schemeClr w14:val="tx1"/>
            </w14:solidFill>
          </w14:textFill>
        </w:rPr>
        <w:t>仍</w:t>
      </w:r>
      <w:r>
        <w:rPr>
          <w:rStyle w:val="48"/>
          <w:rFonts w:hint="eastAsia" w:ascii="宋体" w:hAnsi="宋体" w:eastAsia="宋体" w:cs="宋体"/>
          <w:color w:val="000000" w:themeColor="text1"/>
          <w:sz w:val="28"/>
          <w:szCs w:val="28"/>
          <w:highlight w:val="none"/>
          <w:lang w:eastAsia="zh-CN"/>
          <w14:textFill>
            <w14:solidFill>
              <w14:schemeClr w14:val="tx1"/>
            </w14:solidFill>
          </w14:textFill>
        </w:rPr>
        <w:t>存在着一系列亟待解决的关键痛点与难点问题。其中最为突出的包括：基础</w:t>
      </w:r>
      <w:r>
        <w:rPr>
          <w:rStyle w:val="48"/>
          <w:rFonts w:hint="eastAsia" w:ascii="宋体" w:hAnsi="宋体" w:cs="宋体"/>
          <w:color w:val="000000" w:themeColor="text1"/>
          <w:sz w:val="28"/>
          <w:szCs w:val="28"/>
          <w:highlight w:val="none"/>
          <w:lang w:val="en-US" w:eastAsia="zh-CN"/>
          <w14:textFill>
            <w14:solidFill>
              <w14:schemeClr w14:val="tx1"/>
            </w14:solidFill>
          </w14:textFill>
        </w:rPr>
        <w:t>监测</w:t>
      </w:r>
      <w:r>
        <w:rPr>
          <w:rStyle w:val="48"/>
          <w:rFonts w:hint="eastAsia" w:ascii="宋体" w:hAnsi="宋体" w:eastAsia="宋体" w:cs="宋体"/>
          <w:color w:val="000000" w:themeColor="text1"/>
          <w:sz w:val="28"/>
          <w:szCs w:val="28"/>
          <w:highlight w:val="none"/>
          <w:lang w:eastAsia="zh-CN"/>
          <w14:textFill>
            <w14:solidFill>
              <w14:schemeClr w14:val="tx1"/>
            </w14:solidFill>
          </w14:textFill>
        </w:rPr>
        <w:t>数据匮乏，多数中小河流缺乏长期连续的流量监测数据，传统模型依赖的实测率定条件难以满足</w:t>
      </w:r>
      <w:r>
        <w:rPr>
          <w:rStyle w:val="48"/>
          <w:rFonts w:hint="eastAsia" w:ascii="宋体" w:hAnsi="宋体" w:cs="宋体"/>
          <w:color w:val="000000" w:themeColor="text1"/>
          <w:sz w:val="28"/>
          <w:szCs w:val="28"/>
          <w:highlight w:val="none"/>
          <w:lang w:eastAsia="zh-CN"/>
          <w14:textFill>
            <w14:solidFill>
              <w14:schemeClr w14:val="tx1"/>
            </w14:solidFill>
          </w14:textFill>
        </w:rPr>
        <w:t>；</w:t>
      </w:r>
      <w:r>
        <w:rPr>
          <w:rStyle w:val="48"/>
          <w:rFonts w:hint="eastAsia" w:ascii="宋体" w:hAnsi="宋体" w:eastAsia="宋体" w:cs="宋体"/>
          <w:color w:val="000000" w:themeColor="text1"/>
          <w:sz w:val="28"/>
          <w:szCs w:val="28"/>
          <w:highlight w:val="none"/>
          <w:lang w:eastAsia="zh-CN"/>
          <w14:textFill>
            <w14:solidFill>
              <w14:schemeClr w14:val="tx1"/>
            </w14:solidFill>
          </w14:textFill>
        </w:rPr>
        <w:t>水动力过程模拟能力明显不足，这使得在实际应对洪水时难以</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及时、快速</w:t>
      </w:r>
      <w:r>
        <w:rPr>
          <w:rStyle w:val="48"/>
          <w:rFonts w:hint="eastAsia" w:ascii="宋体" w:hAnsi="宋体" w:eastAsia="宋体" w:cs="宋体"/>
          <w:color w:val="000000" w:themeColor="text1"/>
          <w:sz w:val="28"/>
          <w:szCs w:val="28"/>
          <w:highlight w:val="none"/>
          <w:lang w:eastAsia="zh-CN"/>
          <w14:textFill>
            <w14:solidFill>
              <w14:schemeClr w14:val="tx1"/>
            </w14:solidFill>
          </w14:textFill>
        </w:rPr>
        <w:t>预测</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河段水位流量</w:t>
      </w:r>
      <w:r>
        <w:rPr>
          <w:rStyle w:val="48"/>
          <w:rFonts w:hint="eastAsia" w:ascii="宋体" w:hAnsi="宋体" w:eastAsia="宋体" w:cs="宋体"/>
          <w:color w:val="000000" w:themeColor="text1"/>
          <w:sz w:val="28"/>
          <w:szCs w:val="28"/>
          <w:highlight w:val="none"/>
          <w:lang w:eastAsia="zh-CN"/>
          <w14:textFill>
            <w14:solidFill>
              <w14:schemeClr w14:val="tx1"/>
            </w14:solidFill>
          </w14:textFill>
        </w:rPr>
        <w:t>变化；应急</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风险分析响应存在显著滞后性，导致无法及时支撑决策部门采取有效的应对措施。</w:t>
      </w:r>
    </w:p>
    <w:p w14:paraId="3751D372">
      <w:pPr>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Fonts w:hint="eastAsia"/>
          <w:lang w:eastAsia="zh-CN"/>
        </w:rPr>
      </w:pPr>
      <w:r>
        <w:rPr>
          <w:rStyle w:val="48"/>
          <w:rFonts w:hint="eastAsia" w:ascii="宋体" w:hAnsi="宋体" w:eastAsia="宋体" w:cs="宋体"/>
          <w:color w:val="000000" w:themeColor="text1"/>
          <w:sz w:val="28"/>
          <w:szCs w:val="28"/>
          <w:highlight w:val="none"/>
          <w:lang w:eastAsia="zh-CN"/>
          <w14:textFill>
            <w14:solidFill>
              <w14:schemeClr w14:val="tx1"/>
            </w14:solidFill>
          </w14:textFill>
        </w:rPr>
        <w:t>鉴于此，本项目确立了以支撑中小河流</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水动力预报方案构建及演进模拟，提升洪水灾害应急防范支撑能力为核心目标。将系统地构建“数据输入-前后端处理-核心算法-模拟成果可视化-应用接口”五大功能模块。集成多源异构数据接入（含水文、气象、地形、水利工程等各类基础及实时监测数据）、轻量级一二维水动力模型封装应用、多模块协同调度及系统集成等关键技术，研发一套轻量化、高时效、高精度、易部署的中小河流水动力模拟功能模块，助力提前预判洪水演进，</w:t>
      </w:r>
      <w:r>
        <w:rPr>
          <w:rStyle w:val="48"/>
          <w:rFonts w:hint="eastAsia" w:ascii="宋体" w:hAnsi="宋体" w:cs="宋体"/>
          <w:color w:val="000000" w:themeColor="text1"/>
          <w:sz w:val="28"/>
          <w:szCs w:val="28"/>
          <w:highlight w:val="none"/>
          <w:lang w:val="en-US" w:eastAsia="zh-CN"/>
          <w14:textFill>
            <w14:solidFill>
              <w14:schemeClr w14:val="tx1"/>
            </w14:solidFill>
          </w14:textFill>
        </w:rPr>
        <w:t>为</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风险评估提供科学依据以精准判断风险等级。</w:t>
      </w:r>
    </w:p>
    <w:p w14:paraId="27AFFA2F">
      <w:pPr>
        <w:pStyle w:val="7"/>
        <w:pageBreakBefore w:val="0"/>
        <w:kinsoku/>
        <w:wordWrap/>
        <w:overflowPunct/>
        <w:topLinePunct w:val="0"/>
        <w:autoSpaceDE/>
        <w:autoSpaceDN/>
        <w:bidi w:val="0"/>
        <w:adjustRightInd/>
        <w:snapToGrid/>
        <w:spacing w:after="0" w:line="360" w:lineRule="auto"/>
        <w:ind w:left="0" w:leftChars="0" w:firstLine="480" w:firstLineChars="200"/>
        <w:rPr>
          <w:rFonts w:hint="eastAsia" w:ascii="宋体" w:hAnsi="宋体" w:eastAsia="宋体" w:cs="宋体"/>
          <w:color w:val="000000" w:themeColor="text1"/>
          <w:sz w:val="24"/>
          <w:szCs w:val="24"/>
          <w:highlight w:val="none"/>
          <w:shd w:val="clear" w:color="auto" w:fill="FFFFFF"/>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具体采购清单如下：</w:t>
      </w:r>
    </w:p>
    <w:tbl>
      <w:tblPr>
        <w:tblStyle w:val="21"/>
        <w:tblW w:w="1026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08"/>
        <w:gridCol w:w="1080"/>
        <w:gridCol w:w="1110"/>
        <w:gridCol w:w="3471"/>
      </w:tblGrid>
      <w:tr w14:paraId="063F67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6" w:hRule="atLeast"/>
          <w:jc w:val="center"/>
        </w:trPr>
        <w:tc>
          <w:tcPr>
            <w:tcW w:w="4608" w:type="dxa"/>
            <w:vAlign w:val="center"/>
          </w:tcPr>
          <w:p w14:paraId="0AC4CBEC">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b/>
                <w:bCs/>
                <w:color w:val="000000" w:themeColor="text1"/>
                <w:sz w:val="24"/>
                <w:szCs w:val="24"/>
                <w:highlight w:val="none"/>
                <w14:textFill>
                  <w14:solidFill>
                    <w14:schemeClr w14:val="tx1"/>
                  </w14:solidFill>
                </w14:textFill>
              </w:rPr>
            </w:pPr>
            <w:r>
              <w:rPr>
                <w:rStyle w:val="48"/>
                <w:rFonts w:hint="eastAsia" w:ascii="宋体" w:hAnsi="宋体" w:eastAsia="宋体" w:cs="宋体"/>
                <w:b/>
                <w:bCs/>
                <w:color w:val="000000" w:themeColor="text1"/>
                <w:sz w:val="24"/>
                <w:szCs w:val="24"/>
                <w:highlight w:val="none"/>
                <w14:textFill>
                  <w14:solidFill>
                    <w14:schemeClr w14:val="tx1"/>
                  </w14:solidFill>
                </w14:textFill>
              </w:rPr>
              <w:t>名称</w:t>
            </w:r>
          </w:p>
        </w:tc>
        <w:tc>
          <w:tcPr>
            <w:tcW w:w="1080" w:type="dxa"/>
            <w:vAlign w:val="center"/>
          </w:tcPr>
          <w:p w14:paraId="65B73BE8">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b/>
                <w:bCs/>
                <w:color w:val="000000" w:themeColor="text1"/>
                <w:sz w:val="24"/>
                <w:szCs w:val="24"/>
                <w:highlight w:val="none"/>
                <w14:textFill>
                  <w14:solidFill>
                    <w14:schemeClr w14:val="tx1"/>
                  </w14:solidFill>
                </w14:textFill>
              </w:rPr>
            </w:pPr>
            <w:r>
              <w:rPr>
                <w:rStyle w:val="48"/>
                <w:rFonts w:hint="eastAsia" w:ascii="宋体" w:hAnsi="宋体" w:eastAsia="宋体" w:cs="宋体"/>
                <w:b/>
                <w:bCs/>
                <w:color w:val="000000" w:themeColor="text1"/>
                <w:sz w:val="24"/>
                <w:szCs w:val="24"/>
                <w:highlight w:val="none"/>
                <w14:textFill>
                  <w14:solidFill>
                    <w14:schemeClr w14:val="tx1"/>
                  </w14:solidFill>
                </w14:textFill>
              </w:rPr>
              <w:t>单位</w:t>
            </w:r>
          </w:p>
        </w:tc>
        <w:tc>
          <w:tcPr>
            <w:tcW w:w="1110" w:type="dxa"/>
            <w:vAlign w:val="center"/>
          </w:tcPr>
          <w:p w14:paraId="3691FC25">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b/>
                <w:bCs/>
                <w:color w:val="000000" w:themeColor="text1"/>
                <w:sz w:val="24"/>
                <w:szCs w:val="24"/>
                <w:highlight w:val="none"/>
                <w14:textFill>
                  <w14:solidFill>
                    <w14:schemeClr w14:val="tx1"/>
                  </w14:solidFill>
                </w14:textFill>
              </w:rPr>
            </w:pPr>
            <w:r>
              <w:rPr>
                <w:rStyle w:val="48"/>
                <w:rFonts w:hint="eastAsia" w:ascii="宋体" w:hAnsi="宋体" w:eastAsia="宋体" w:cs="宋体"/>
                <w:b/>
                <w:bCs/>
                <w:color w:val="000000" w:themeColor="text1"/>
                <w:sz w:val="24"/>
                <w:szCs w:val="24"/>
                <w:highlight w:val="none"/>
                <w14:textFill>
                  <w14:solidFill>
                    <w14:schemeClr w14:val="tx1"/>
                  </w14:solidFill>
                </w14:textFill>
              </w:rPr>
              <w:t>数量</w:t>
            </w:r>
          </w:p>
        </w:tc>
        <w:tc>
          <w:tcPr>
            <w:tcW w:w="3471" w:type="dxa"/>
            <w:vAlign w:val="center"/>
          </w:tcPr>
          <w:p w14:paraId="0964462B">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b/>
                <w:bCs/>
                <w:color w:val="000000" w:themeColor="text1"/>
                <w:sz w:val="24"/>
                <w:szCs w:val="24"/>
                <w:highlight w:val="none"/>
                <w:lang w:val="en-US" w:eastAsia="zh-CN"/>
                <w14:textFill>
                  <w14:solidFill>
                    <w14:schemeClr w14:val="tx1"/>
                  </w14:solidFill>
                </w14:textFill>
              </w:rPr>
            </w:pPr>
            <w:r>
              <w:rPr>
                <w:rStyle w:val="48"/>
                <w:rFonts w:hint="eastAsia" w:ascii="宋体" w:hAnsi="宋体" w:eastAsia="宋体" w:cs="宋体"/>
                <w:b w:val="0"/>
                <w:bCs w:val="0"/>
                <w:color w:val="000000" w:themeColor="text1"/>
                <w:sz w:val="24"/>
                <w:szCs w:val="24"/>
                <w:highlight w:val="none"/>
                <w:lang w:val="en-US" w:eastAsia="zh-CN"/>
                <w14:textFill>
                  <w14:solidFill>
                    <w14:schemeClr w14:val="tx1"/>
                  </w14:solidFill>
                </w14:textFill>
              </w:rPr>
              <w:t>最高限价（元，</w:t>
            </w:r>
            <w:r>
              <w:rPr>
                <w:rStyle w:val="48"/>
                <w:rFonts w:hint="eastAsia" w:ascii="宋体" w:hAnsi="宋体" w:eastAsia="宋体" w:cs="宋体"/>
                <w:b/>
                <w:bCs/>
                <w:color w:val="000000" w:themeColor="text1"/>
                <w:sz w:val="24"/>
                <w:szCs w:val="24"/>
                <w:highlight w:val="none"/>
                <w:lang w:val="en-US" w:eastAsia="zh-CN"/>
                <w14:textFill>
                  <w14:solidFill>
                    <w14:schemeClr w14:val="tx1"/>
                  </w14:solidFill>
                </w14:textFill>
              </w:rPr>
              <w:t>高于此报价的作无效响应处理）</w:t>
            </w:r>
          </w:p>
        </w:tc>
      </w:tr>
      <w:tr w14:paraId="0AEAB0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jc w:val="center"/>
        </w:trPr>
        <w:tc>
          <w:tcPr>
            <w:tcW w:w="4608" w:type="dxa"/>
            <w:vAlign w:val="center"/>
          </w:tcPr>
          <w:p w14:paraId="129759BD">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1. 多源数据高效接入与预处理</w:t>
            </w:r>
          </w:p>
        </w:tc>
        <w:tc>
          <w:tcPr>
            <w:tcW w:w="1080" w:type="dxa"/>
            <w:vAlign w:val="center"/>
          </w:tcPr>
          <w:p w14:paraId="7221AF88">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项</w:t>
            </w:r>
          </w:p>
        </w:tc>
        <w:tc>
          <w:tcPr>
            <w:tcW w:w="1110" w:type="dxa"/>
            <w:vAlign w:val="center"/>
          </w:tcPr>
          <w:p w14:paraId="6867A967">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1</w:t>
            </w:r>
          </w:p>
        </w:tc>
        <w:tc>
          <w:tcPr>
            <w:tcW w:w="3471" w:type="dxa"/>
            <w:shd w:val="clear" w:color="auto" w:fill="auto"/>
            <w:vAlign w:val="center"/>
          </w:tcPr>
          <w:p w14:paraId="180385DF">
            <w:pPr>
              <w:keepNext w:val="0"/>
              <w:keepLines w:val="0"/>
              <w:pageBreakBefore w:val="0"/>
              <w:widowControl/>
              <w:kinsoku/>
              <w:wordWrap/>
              <w:overflowPunct/>
              <w:topLinePunct w:val="0"/>
              <w:autoSpaceDE/>
              <w:autoSpaceDN/>
              <w:bidi w:val="0"/>
              <w:adjustRightInd/>
              <w:snapToGrid/>
              <w:spacing w:after="0" w:line="240" w:lineRule="atLeast"/>
              <w:jc w:val="center"/>
              <w:textAlignment w:val="center"/>
              <w:rPr>
                <w:rFonts w:hint="eastAsia" w:ascii="宋体" w:hAnsi="宋体" w:eastAsia="宋体" w:cs="宋体"/>
                <w:snapToGrid w:val="0"/>
                <w:color w:val="000000" w:themeColor="text1"/>
                <w:kern w:val="0"/>
                <w:sz w:val="28"/>
                <w:szCs w:val="28"/>
                <w:highlight w:val="none"/>
                <w:lang w:val="en-US" w:eastAsia="en-US" w:bidi="ar-SA"/>
                <w14:textFill>
                  <w14:solidFill>
                    <w14:schemeClr w14:val="tx1"/>
                  </w14:solidFill>
                </w14:textFill>
              </w:rPr>
            </w:pPr>
            <w:r>
              <w:rPr>
                <w:rStyle w:val="48"/>
                <w:rFonts w:hint="eastAsia" w:ascii="宋体" w:hAnsi="宋体" w:cs="宋体"/>
                <w:color w:val="000000" w:themeColor="text1"/>
                <w:sz w:val="28"/>
                <w:szCs w:val="28"/>
                <w:highlight w:val="none"/>
                <w:lang w:val="en-US" w:eastAsia="zh-CN"/>
                <w14:textFill>
                  <w14:solidFill>
                    <w14:schemeClr w14:val="tx1"/>
                  </w14:solidFill>
                </w14:textFill>
              </w:rPr>
              <w:t>1</w:t>
            </w:r>
            <w:r>
              <w:rPr>
                <w:rStyle w:val="48"/>
                <w:rFonts w:hint="eastAsia" w:ascii="宋体" w:hAnsi="宋体" w:eastAsia="宋体" w:cs="宋体"/>
                <w:color w:val="000000" w:themeColor="text1"/>
                <w:sz w:val="28"/>
                <w:szCs w:val="28"/>
                <w:highlight w:val="none"/>
                <w14:textFill>
                  <w14:solidFill>
                    <w14:schemeClr w14:val="tx1"/>
                  </w14:solidFill>
                </w14:textFill>
              </w:rPr>
              <w:t>0000.00</w:t>
            </w:r>
          </w:p>
        </w:tc>
      </w:tr>
      <w:tr w14:paraId="01BA96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jc w:val="center"/>
        </w:trPr>
        <w:tc>
          <w:tcPr>
            <w:tcW w:w="4608" w:type="dxa"/>
          </w:tcPr>
          <w:p w14:paraId="1FAA4243">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2. 轻量级一二维水动力模型封装应用</w:t>
            </w:r>
          </w:p>
        </w:tc>
        <w:tc>
          <w:tcPr>
            <w:tcW w:w="1080" w:type="dxa"/>
            <w:vAlign w:val="center"/>
          </w:tcPr>
          <w:p w14:paraId="5CD6F677">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项</w:t>
            </w:r>
          </w:p>
        </w:tc>
        <w:tc>
          <w:tcPr>
            <w:tcW w:w="1110" w:type="dxa"/>
            <w:vAlign w:val="center"/>
          </w:tcPr>
          <w:p w14:paraId="2A98B697">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1</w:t>
            </w:r>
          </w:p>
        </w:tc>
        <w:tc>
          <w:tcPr>
            <w:tcW w:w="3471" w:type="dxa"/>
            <w:shd w:val="clear" w:color="auto" w:fill="auto"/>
            <w:vAlign w:val="center"/>
          </w:tcPr>
          <w:p w14:paraId="0FEB499E">
            <w:pPr>
              <w:keepNext w:val="0"/>
              <w:keepLines w:val="0"/>
              <w:pageBreakBefore w:val="0"/>
              <w:widowControl/>
              <w:kinsoku/>
              <w:wordWrap/>
              <w:overflowPunct/>
              <w:topLinePunct w:val="0"/>
              <w:autoSpaceDE/>
              <w:autoSpaceDN/>
              <w:bidi w:val="0"/>
              <w:adjustRightInd/>
              <w:snapToGrid/>
              <w:spacing w:after="0" w:line="240" w:lineRule="atLeast"/>
              <w:jc w:val="center"/>
              <w:textAlignment w:val="center"/>
              <w:rPr>
                <w:rFonts w:hint="eastAsia" w:ascii="宋体" w:hAnsi="宋体" w:eastAsia="宋体" w:cs="宋体"/>
                <w:snapToGrid w:val="0"/>
                <w:color w:val="000000" w:themeColor="text1"/>
                <w:kern w:val="0"/>
                <w:sz w:val="28"/>
                <w:szCs w:val="28"/>
                <w:highlight w:val="none"/>
                <w:lang w:val="en-US" w:eastAsia="en-US" w:bidi="ar-SA"/>
                <w14:textFill>
                  <w14:solidFill>
                    <w14:schemeClr w14:val="tx1"/>
                  </w14:solidFill>
                </w14:textFill>
              </w:rPr>
            </w:pPr>
            <w:r>
              <w:rPr>
                <w:rStyle w:val="48"/>
                <w:rFonts w:hint="eastAsia" w:ascii="宋体" w:hAnsi="宋体" w:cs="宋体"/>
                <w:color w:val="000000" w:themeColor="text1"/>
                <w:sz w:val="28"/>
                <w:szCs w:val="28"/>
                <w:highlight w:val="none"/>
                <w:lang w:val="en-US" w:eastAsia="zh-CN"/>
                <w14:textFill>
                  <w14:solidFill>
                    <w14:schemeClr w14:val="tx1"/>
                  </w14:solidFill>
                </w14:textFill>
              </w:rPr>
              <w:t>11</w:t>
            </w:r>
            <w:r>
              <w:rPr>
                <w:rStyle w:val="48"/>
                <w:rFonts w:hint="eastAsia" w:ascii="宋体" w:hAnsi="宋体" w:eastAsia="宋体" w:cs="宋体"/>
                <w:color w:val="000000" w:themeColor="text1"/>
                <w:sz w:val="28"/>
                <w:szCs w:val="28"/>
                <w:highlight w:val="none"/>
                <w14:textFill>
                  <w14:solidFill>
                    <w14:schemeClr w14:val="tx1"/>
                  </w14:solidFill>
                </w14:textFill>
              </w:rPr>
              <w:t>0000.00</w:t>
            </w:r>
          </w:p>
        </w:tc>
      </w:tr>
      <w:tr w14:paraId="63AFDF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jc w:val="center"/>
        </w:trPr>
        <w:tc>
          <w:tcPr>
            <w:tcW w:w="4608" w:type="dxa"/>
          </w:tcPr>
          <w:p w14:paraId="0F361011">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3. 水动力过程模拟</w:t>
            </w:r>
          </w:p>
        </w:tc>
        <w:tc>
          <w:tcPr>
            <w:tcW w:w="1080" w:type="dxa"/>
            <w:vAlign w:val="center"/>
          </w:tcPr>
          <w:p w14:paraId="2026C884">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项</w:t>
            </w:r>
          </w:p>
        </w:tc>
        <w:tc>
          <w:tcPr>
            <w:tcW w:w="1110" w:type="dxa"/>
            <w:vAlign w:val="center"/>
          </w:tcPr>
          <w:p w14:paraId="5FDFDD45">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1</w:t>
            </w:r>
          </w:p>
        </w:tc>
        <w:tc>
          <w:tcPr>
            <w:tcW w:w="3471" w:type="dxa"/>
            <w:shd w:val="clear" w:color="auto" w:fill="auto"/>
            <w:vAlign w:val="center"/>
          </w:tcPr>
          <w:p w14:paraId="753A77CD">
            <w:pPr>
              <w:keepNext w:val="0"/>
              <w:keepLines w:val="0"/>
              <w:pageBreakBefore w:val="0"/>
              <w:widowControl/>
              <w:kinsoku/>
              <w:wordWrap/>
              <w:overflowPunct/>
              <w:topLinePunct w:val="0"/>
              <w:autoSpaceDE/>
              <w:autoSpaceDN/>
              <w:bidi w:val="0"/>
              <w:adjustRightInd/>
              <w:snapToGrid/>
              <w:spacing w:after="0" w:line="240" w:lineRule="atLeast"/>
              <w:jc w:val="center"/>
              <w:textAlignment w:val="center"/>
              <w:rPr>
                <w:rFonts w:hint="eastAsia" w:ascii="宋体" w:hAnsi="宋体" w:eastAsia="宋体" w:cs="宋体"/>
                <w:snapToGrid w:val="0"/>
                <w:color w:val="000000" w:themeColor="text1"/>
                <w:kern w:val="0"/>
                <w:sz w:val="28"/>
                <w:szCs w:val="28"/>
                <w:highlight w:val="none"/>
                <w:lang w:val="en-US" w:eastAsia="en-US" w:bidi="ar-SA"/>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180000.00</w:t>
            </w:r>
          </w:p>
        </w:tc>
      </w:tr>
      <w:tr w14:paraId="1AF2C7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jc w:val="center"/>
        </w:trPr>
        <w:tc>
          <w:tcPr>
            <w:tcW w:w="4608" w:type="dxa"/>
          </w:tcPr>
          <w:p w14:paraId="227826FE">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4. 动态可视化展示</w:t>
            </w:r>
          </w:p>
        </w:tc>
        <w:tc>
          <w:tcPr>
            <w:tcW w:w="1080" w:type="dxa"/>
            <w:vAlign w:val="center"/>
          </w:tcPr>
          <w:p w14:paraId="02C6BAA5">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项</w:t>
            </w:r>
          </w:p>
        </w:tc>
        <w:tc>
          <w:tcPr>
            <w:tcW w:w="1110" w:type="dxa"/>
            <w:vAlign w:val="center"/>
          </w:tcPr>
          <w:p w14:paraId="03D23803">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1</w:t>
            </w:r>
          </w:p>
        </w:tc>
        <w:tc>
          <w:tcPr>
            <w:tcW w:w="3471" w:type="dxa"/>
            <w:shd w:val="clear" w:color="auto" w:fill="auto"/>
            <w:vAlign w:val="center"/>
          </w:tcPr>
          <w:p w14:paraId="7EFBFA19">
            <w:pPr>
              <w:keepNext w:val="0"/>
              <w:keepLines w:val="0"/>
              <w:pageBreakBefore w:val="0"/>
              <w:widowControl/>
              <w:kinsoku/>
              <w:wordWrap/>
              <w:overflowPunct/>
              <w:topLinePunct w:val="0"/>
              <w:autoSpaceDE/>
              <w:autoSpaceDN/>
              <w:bidi w:val="0"/>
              <w:adjustRightInd/>
              <w:snapToGrid/>
              <w:spacing w:after="0" w:line="240" w:lineRule="atLeast"/>
              <w:jc w:val="center"/>
              <w:textAlignment w:val="center"/>
              <w:rPr>
                <w:rFonts w:hint="eastAsia" w:ascii="宋体" w:hAnsi="宋体" w:eastAsia="宋体" w:cs="宋体"/>
                <w:snapToGrid w:val="0"/>
                <w:color w:val="000000" w:themeColor="text1"/>
                <w:kern w:val="0"/>
                <w:sz w:val="28"/>
                <w:szCs w:val="28"/>
                <w:highlight w:val="none"/>
                <w:lang w:val="en-US" w:eastAsia="en-US" w:bidi="ar-SA"/>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80000.00</w:t>
            </w:r>
          </w:p>
        </w:tc>
      </w:tr>
      <w:tr w14:paraId="05DE58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jc w:val="center"/>
        </w:trPr>
        <w:tc>
          <w:tcPr>
            <w:tcW w:w="4608" w:type="dxa"/>
          </w:tcPr>
          <w:p w14:paraId="5E8A9D26">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5.</w:t>
            </w:r>
            <w:bookmarkStart w:id="2" w:name="_Hlk113563034"/>
            <w:r>
              <w:rPr>
                <w:rStyle w:val="48"/>
                <w:rFonts w:hint="eastAsia" w:ascii="宋体" w:hAnsi="宋体" w:eastAsia="宋体" w:cs="宋体"/>
                <w:color w:val="000000" w:themeColor="text1"/>
                <w:sz w:val="24"/>
                <w:szCs w:val="24"/>
                <w:highlight w:val="none"/>
                <w14:textFill>
                  <w14:solidFill>
                    <w14:schemeClr w14:val="tx1"/>
                  </w14:solidFill>
                </w14:textFill>
              </w:rPr>
              <w:t xml:space="preserve"> </w:t>
            </w:r>
            <w:bookmarkEnd w:id="2"/>
            <w:r>
              <w:rPr>
                <w:rStyle w:val="48"/>
                <w:rFonts w:hint="eastAsia" w:ascii="宋体" w:hAnsi="宋体" w:eastAsia="宋体" w:cs="宋体"/>
                <w:color w:val="000000" w:themeColor="text1"/>
                <w:sz w:val="24"/>
                <w:szCs w:val="24"/>
                <w:highlight w:val="none"/>
                <w14:textFill>
                  <w14:solidFill>
                    <w14:schemeClr w14:val="tx1"/>
                  </w14:solidFill>
                </w14:textFill>
              </w:rPr>
              <w:t>业务接口集成</w:t>
            </w:r>
          </w:p>
        </w:tc>
        <w:tc>
          <w:tcPr>
            <w:tcW w:w="1080" w:type="dxa"/>
            <w:vAlign w:val="center"/>
          </w:tcPr>
          <w:p w14:paraId="59837987">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项</w:t>
            </w:r>
          </w:p>
        </w:tc>
        <w:tc>
          <w:tcPr>
            <w:tcW w:w="1110" w:type="dxa"/>
            <w:vAlign w:val="center"/>
          </w:tcPr>
          <w:p w14:paraId="3DF07482">
            <w:pPr>
              <w:pageBreakBefore w:val="0"/>
              <w:kinsoku/>
              <w:wordWrap/>
              <w:overflowPunct/>
              <w:topLinePunct w:val="0"/>
              <w:autoSpaceDE/>
              <w:autoSpaceDN/>
              <w:bidi w:val="0"/>
              <w:adjustRightInd/>
              <w:snapToGrid/>
              <w:spacing w:after="0" w:line="360" w:lineRule="auto"/>
              <w:jc w:val="center"/>
              <w:rPr>
                <w:rStyle w:val="48"/>
                <w:rFonts w:hint="eastAsia" w:ascii="宋体" w:hAnsi="宋体" w:eastAsia="宋体" w:cs="宋体"/>
                <w:color w:val="000000" w:themeColor="text1"/>
                <w:sz w:val="24"/>
                <w:szCs w:val="24"/>
                <w:highlight w:val="none"/>
                <w14:textFill>
                  <w14:solidFill>
                    <w14:schemeClr w14:val="tx1"/>
                  </w14:solidFill>
                </w14:textFill>
              </w:rPr>
            </w:pPr>
            <w:r>
              <w:rPr>
                <w:rStyle w:val="48"/>
                <w:rFonts w:hint="eastAsia" w:ascii="宋体" w:hAnsi="宋体" w:eastAsia="宋体" w:cs="宋体"/>
                <w:color w:val="000000" w:themeColor="text1"/>
                <w:sz w:val="24"/>
                <w:szCs w:val="24"/>
                <w:highlight w:val="none"/>
                <w14:textFill>
                  <w14:solidFill>
                    <w14:schemeClr w14:val="tx1"/>
                  </w14:solidFill>
                </w14:textFill>
              </w:rPr>
              <w:t>1</w:t>
            </w:r>
          </w:p>
        </w:tc>
        <w:tc>
          <w:tcPr>
            <w:tcW w:w="3471" w:type="dxa"/>
            <w:shd w:val="clear" w:color="auto" w:fill="auto"/>
            <w:vAlign w:val="center"/>
          </w:tcPr>
          <w:p w14:paraId="1873590B">
            <w:pPr>
              <w:keepNext w:val="0"/>
              <w:keepLines w:val="0"/>
              <w:pageBreakBefore w:val="0"/>
              <w:widowControl/>
              <w:kinsoku/>
              <w:wordWrap/>
              <w:overflowPunct/>
              <w:topLinePunct w:val="0"/>
              <w:autoSpaceDE/>
              <w:autoSpaceDN/>
              <w:bidi w:val="0"/>
              <w:adjustRightInd/>
              <w:snapToGrid/>
              <w:spacing w:after="0" w:line="240" w:lineRule="atLeast"/>
              <w:jc w:val="center"/>
              <w:textAlignment w:val="center"/>
              <w:rPr>
                <w:rFonts w:hint="eastAsia" w:ascii="宋体" w:hAnsi="宋体" w:eastAsia="宋体" w:cs="宋体"/>
                <w:snapToGrid w:val="0"/>
                <w:color w:val="000000" w:themeColor="text1"/>
                <w:kern w:val="0"/>
                <w:sz w:val="28"/>
                <w:szCs w:val="28"/>
                <w:highlight w:val="none"/>
                <w:lang w:val="en-US" w:eastAsia="en-US" w:bidi="ar-SA"/>
                <w14:textFill>
                  <w14:solidFill>
                    <w14:schemeClr w14:val="tx1"/>
                  </w14:solidFill>
                </w14:textFill>
              </w:rPr>
            </w:pPr>
            <w:r>
              <w:rPr>
                <w:rStyle w:val="48"/>
                <w:rFonts w:hint="eastAsia" w:ascii="宋体" w:hAnsi="宋体" w:cs="宋体"/>
                <w:color w:val="000000" w:themeColor="text1"/>
                <w:sz w:val="28"/>
                <w:szCs w:val="28"/>
                <w:highlight w:val="none"/>
                <w:lang w:val="en-US" w:eastAsia="zh-CN"/>
                <w14:textFill>
                  <w14:solidFill>
                    <w14:schemeClr w14:val="tx1"/>
                  </w14:solidFill>
                </w14:textFill>
              </w:rPr>
              <w:t>2</w:t>
            </w:r>
            <w:r>
              <w:rPr>
                <w:rStyle w:val="48"/>
                <w:rFonts w:hint="eastAsia" w:ascii="宋体" w:hAnsi="宋体" w:eastAsia="宋体" w:cs="宋体"/>
                <w:color w:val="000000" w:themeColor="text1"/>
                <w:sz w:val="28"/>
                <w:szCs w:val="28"/>
                <w:highlight w:val="none"/>
                <w14:textFill>
                  <w14:solidFill>
                    <w14:schemeClr w14:val="tx1"/>
                  </w14:solidFill>
                </w14:textFill>
              </w:rPr>
              <w:t>0000.00</w:t>
            </w:r>
          </w:p>
        </w:tc>
      </w:tr>
    </w:tbl>
    <w:p w14:paraId="03746B84">
      <w:pPr>
        <w:pStyle w:val="5"/>
        <w:pageBreakBefore w:val="0"/>
        <w:kinsoku/>
        <w:wordWrap/>
        <w:overflowPunct/>
        <w:topLinePunct w:val="0"/>
        <w:autoSpaceDE/>
        <w:autoSpaceDN/>
        <w:bidi w:val="0"/>
        <w:adjustRightInd/>
        <w:snapToGrid/>
        <w:spacing w:after="0" w:line="360" w:lineRule="auto"/>
        <w:ind w:left="0" w:leftChars="0" w:firstLine="482" w:firstLineChars="200"/>
        <w:rPr>
          <w:rFonts w:hint="eastAsia" w:ascii="宋体" w:hAnsi="宋体" w:eastAsia="宋体" w:cs="宋体"/>
          <w:color w:val="000000" w:themeColor="text1"/>
          <w:sz w:val="24"/>
          <w:szCs w:val="24"/>
          <w:highlight w:val="none"/>
          <w14:textFill>
            <w14:solidFill>
              <w14:schemeClr w14:val="tx1"/>
            </w14:solidFill>
          </w14:textFill>
        </w:rPr>
      </w:pPr>
      <w:bookmarkStart w:id="3" w:name="_Toc18476"/>
      <w:r>
        <w:rPr>
          <w:rFonts w:hint="eastAsia" w:ascii="宋体" w:hAnsi="宋体" w:eastAsia="宋体" w:cs="宋体"/>
          <w:color w:val="000000" w:themeColor="text1"/>
          <w:sz w:val="24"/>
          <w:szCs w:val="24"/>
          <w:highlight w:val="none"/>
          <w14:textFill>
            <w14:solidFill>
              <w14:schemeClr w14:val="tx1"/>
            </w14:solidFill>
          </w14:textFill>
        </w:rPr>
        <w:t>（二）项目技术要求</w:t>
      </w:r>
      <w:bookmarkEnd w:id="3"/>
    </w:p>
    <w:p w14:paraId="67E6E32B">
      <w:pPr>
        <w:pageBreakBefore w:val="0"/>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构建一二维水动力模型</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建模业务流程</w:t>
      </w:r>
      <w:r>
        <w:rPr>
          <w:rStyle w:val="48"/>
          <w:rFonts w:hint="eastAsia" w:ascii="宋体" w:hAnsi="宋体" w:eastAsia="宋体" w:cs="宋体"/>
          <w:color w:val="000000" w:themeColor="text1"/>
          <w:sz w:val="28"/>
          <w:szCs w:val="28"/>
          <w:highlight w:val="none"/>
          <w14:textFill>
            <w14:solidFill>
              <w14:schemeClr w14:val="tx1"/>
            </w14:solidFill>
          </w14:textFill>
        </w:rPr>
        <w:t>，通过多源数据高效接入与预处理、轻量级一二维水动力模型封装应用、水动力过程模拟、动态可视化展示和业务接口集成，实现中小河流洪水淹没范围与水深分析计算</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展示</w:t>
      </w:r>
      <w:r>
        <w:rPr>
          <w:rStyle w:val="48"/>
          <w:rFonts w:hint="eastAsia" w:ascii="宋体" w:hAnsi="宋体" w:eastAsia="宋体" w:cs="宋体"/>
          <w:color w:val="000000" w:themeColor="text1"/>
          <w:sz w:val="28"/>
          <w:szCs w:val="28"/>
          <w:highlight w:val="none"/>
          <w14:textFill>
            <w14:solidFill>
              <w14:schemeClr w14:val="tx1"/>
            </w14:solidFill>
          </w14:textFill>
        </w:rPr>
        <w:t>。</w:t>
      </w:r>
    </w:p>
    <w:p w14:paraId="74251078">
      <w:pPr>
        <w:pStyle w:val="52"/>
        <w:pageBreakBefore w:val="0"/>
        <w:numPr>
          <w:ilvl w:val="0"/>
          <w:numId w:val="1"/>
        </w:numPr>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多源数据高效接入与预处理</w:t>
      </w:r>
    </w:p>
    <w:p w14:paraId="47BE7FDF">
      <w:pPr>
        <w:pageBreakBefore w:val="0"/>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数据兼容性要求：需兼容气象降水预报数据、实况降雨数据、水位流量实测数据、地形高程数据（含DEM数据、实测地形点数据）等多源异构数据，支持各类数据的标准化接入，适配不同格式、不同来源的数据接口，确保数据接入的通用性和扩展性。</w:t>
      </w:r>
    </w:p>
    <w:p w14:paraId="482DA159">
      <w:pPr>
        <w:pageBreakBefore w:val="0"/>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数据处理功能：需实现多源数据的高效接入、自动化质量控制及标准化处理。其中，质量控制需具备数据异常值检测、缺失值补全、数据一致性校验等功能，可自动识别无效数据并进行标记或修正；标准化处理需将各类异构数据转换为统一格式、统一坐标系、统一精度的标准化数据，消除数据差异，为后续水动力模型计算提供可靠、规范的输入数据支撑，确保模型模拟精度。</w:t>
      </w:r>
    </w:p>
    <w:p w14:paraId="05D58AEF">
      <w:pPr>
        <w:pStyle w:val="52"/>
        <w:pageBreakBefore w:val="0"/>
        <w:numPr>
          <w:ilvl w:val="0"/>
          <w:numId w:val="1"/>
        </w:numPr>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轻量级一二维水动力模型封装应用</w:t>
      </w:r>
    </w:p>
    <w:p w14:paraId="3B4E1E89">
      <w:pPr>
        <w:pageBreakBefore w:val="0"/>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模型集成要求：集成适配中小河流流域小、汇流快、洪水突发特性的一维与二维水动力模型，实现两大模型无缝衔接、协同运行，覆盖洪水演进全流程模拟需求</w:t>
      </w:r>
      <w:r>
        <w:rPr>
          <w:rStyle w:val="48"/>
          <w:rFonts w:hint="eastAsia" w:ascii="宋体" w:hAnsi="宋体" w:cs="宋体"/>
          <w:color w:val="000000" w:themeColor="text1"/>
          <w:sz w:val="28"/>
          <w:szCs w:val="28"/>
          <w:highlight w:val="none"/>
          <w:lang w:eastAsia="zh-CN"/>
          <w14:textFill>
            <w14:solidFill>
              <w14:schemeClr w14:val="tx1"/>
            </w14:solidFill>
          </w14:textFill>
        </w:rPr>
        <w:t>，支持一二维耦合水动力模型构建，适配</w:t>
      </w:r>
      <w:r>
        <w:rPr>
          <w:rStyle w:val="48"/>
          <w:rFonts w:hint="eastAsia" w:ascii="宋体" w:hAnsi="宋体" w:cs="宋体"/>
          <w:color w:val="000000" w:themeColor="text1"/>
          <w:sz w:val="28"/>
          <w:szCs w:val="28"/>
          <w:highlight w:val="none"/>
          <w:lang w:val="en-US" w:eastAsia="zh-CN"/>
          <w14:textFill>
            <w14:solidFill>
              <w14:schemeClr w14:val="tx1"/>
            </w14:solidFill>
          </w14:textFill>
        </w:rPr>
        <w:t>全省大部</w:t>
      </w:r>
      <w:r>
        <w:rPr>
          <w:rStyle w:val="48"/>
          <w:rFonts w:hint="eastAsia" w:ascii="宋体" w:hAnsi="宋体" w:cs="宋体"/>
          <w:color w:val="000000" w:themeColor="text1"/>
          <w:sz w:val="28"/>
          <w:szCs w:val="28"/>
          <w:highlight w:val="none"/>
          <w:lang w:eastAsia="zh-CN"/>
          <w14:textFill>
            <w14:solidFill>
              <w14:schemeClr w14:val="tx1"/>
            </w14:solidFill>
          </w14:textFill>
        </w:rPr>
        <w:t>中小河流地形</w:t>
      </w:r>
      <w:r>
        <w:rPr>
          <w:rStyle w:val="48"/>
          <w:rFonts w:hint="eastAsia" w:ascii="宋体" w:hAnsi="宋体" w:eastAsia="宋体" w:cs="宋体"/>
          <w:color w:val="000000" w:themeColor="text1"/>
          <w:sz w:val="28"/>
          <w:szCs w:val="28"/>
          <w:highlight w:val="none"/>
          <w14:textFill>
            <w14:solidFill>
              <w14:schemeClr w14:val="tx1"/>
            </w14:solidFill>
          </w14:textFill>
        </w:rPr>
        <w:t>。</w:t>
      </w:r>
    </w:p>
    <w:p w14:paraId="5652E81D">
      <w:pPr>
        <w:pageBreakBefore w:val="0"/>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一维河网模型主要针对一维水动力问题研发，应具备以下要求：</w:t>
      </w:r>
    </w:p>
    <w:p w14:paraId="300DE9A8">
      <w:pPr>
        <w:pageBreakBefore w:val="0"/>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1）一维河网模型有强大的河流模拟能力，可以处理</w:t>
      </w:r>
      <w:r>
        <w:rPr>
          <w:rStyle w:val="48"/>
          <w:rFonts w:hint="eastAsia" w:ascii="宋体" w:hAnsi="宋体" w:cs="宋体"/>
          <w:color w:val="000000" w:themeColor="text1"/>
          <w:sz w:val="28"/>
          <w:szCs w:val="28"/>
          <w:highlight w:val="none"/>
          <w:lang w:val="en-US" w:eastAsia="zh-CN"/>
          <w14:textFill>
            <w14:solidFill>
              <w14:schemeClr w14:val="tx1"/>
            </w14:solidFill>
          </w14:textFill>
        </w:rPr>
        <w:t>多</w:t>
      </w:r>
      <w:r>
        <w:rPr>
          <w:rStyle w:val="48"/>
          <w:rFonts w:hint="eastAsia" w:ascii="宋体" w:hAnsi="宋体" w:eastAsia="宋体" w:cs="宋体"/>
          <w:color w:val="000000" w:themeColor="text1"/>
          <w:sz w:val="28"/>
          <w:szCs w:val="28"/>
          <w:highlight w:val="none"/>
          <w14:textFill>
            <w14:solidFill>
              <w14:schemeClr w14:val="tx1"/>
            </w14:solidFill>
          </w14:textFill>
        </w:rPr>
        <w:t>条河网。</w:t>
      </w:r>
    </w:p>
    <w:p w14:paraId="4D91C534">
      <w:pPr>
        <w:pageBreakBefore w:val="0"/>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2）一维河网模型可模拟多种水工建筑物，包括通用堰、堰闸</w:t>
      </w:r>
      <w:r>
        <w:rPr>
          <w:rStyle w:val="48"/>
          <w:rFonts w:hint="eastAsia" w:ascii="宋体" w:hAnsi="宋体" w:cs="宋体"/>
          <w:color w:val="000000" w:themeColor="text1"/>
          <w:sz w:val="28"/>
          <w:szCs w:val="28"/>
          <w:highlight w:val="none"/>
          <w:lang w:eastAsia="zh-CN"/>
          <w14:textFill>
            <w14:solidFill>
              <w14:schemeClr w14:val="tx1"/>
            </w14:solidFill>
          </w14:textFill>
        </w:rPr>
        <w:t>等</w:t>
      </w:r>
      <w:r>
        <w:rPr>
          <w:rStyle w:val="48"/>
          <w:rFonts w:hint="eastAsia" w:ascii="宋体" w:hAnsi="宋体" w:eastAsia="宋体" w:cs="宋体"/>
          <w:color w:val="000000" w:themeColor="text1"/>
          <w:sz w:val="28"/>
          <w:szCs w:val="28"/>
          <w:highlight w:val="none"/>
          <w14:textFill>
            <w14:solidFill>
              <w14:schemeClr w14:val="tx1"/>
            </w14:solidFill>
          </w14:textFill>
        </w:rPr>
        <w:t>。</w:t>
      </w:r>
    </w:p>
    <w:p w14:paraId="1A2BFF1B">
      <w:pPr>
        <w:pageBreakBefore w:val="0"/>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3）一维河网模型可以单独使用，也可以和二维网格模型耦合使用。</w:t>
      </w:r>
    </w:p>
    <w:p w14:paraId="4CCB276C">
      <w:pPr>
        <w:pageBreakBefore w:val="0"/>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4）一维河网模型可实时查询河道水位信息、过程数据、河段信息、断面信息。</w:t>
      </w:r>
    </w:p>
    <w:p w14:paraId="78370D65">
      <w:pPr>
        <w:pageBreakBefore w:val="0"/>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一维河网模型要素包括一维河网和水文序列，一维河网包括河网、零维区域、联系要素、断面节点，水文序列包括水文站网和时间序列。</w:t>
      </w:r>
    </w:p>
    <w:p w14:paraId="54271A8F">
      <w:pPr>
        <w:pStyle w:val="8"/>
        <w:rPr>
          <w:rFonts w:hint="eastAsia" w:ascii="黑体" w:hAnsi="黑体" w:eastAsia="黑体" w:cs="黑体"/>
          <w:szCs w:val="24"/>
        </w:rPr>
      </w:pPr>
      <w:r>
        <w:rPr>
          <w:rFonts w:hint="eastAsia" w:ascii="黑体" w:hAnsi="黑体" w:eastAsia="黑体" w:cs="黑体"/>
          <w:szCs w:val="24"/>
        </w:rPr>
        <w:drawing>
          <wp:inline distT="0" distB="0" distL="0" distR="0">
            <wp:extent cx="2775585" cy="2091690"/>
            <wp:effectExtent l="0" t="0" r="571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a:xfrm>
                      <a:off x="0" y="0"/>
                      <a:ext cx="2775585" cy="2091690"/>
                    </a:xfrm>
                    <a:prstGeom prst="rect">
                      <a:avLst/>
                    </a:prstGeom>
                    <a:noFill/>
                    <a:ln>
                      <a:noFill/>
                    </a:ln>
                  </pic:spPr>
                </pic:pic>
              </a:graphicData>
            </a:graphic>
          </wp:inline>
        </w:drawing>
      </w:r>
    </w:p>
    <w:p w14:paraId="5E9C6E20">
      <w:pPr>
        <w:pStyle w:val="8"/>
        <w:rPr>
          <w:rFonts w:hint="eastAsia" w:ascii="黑体" w:hAnsi="黑体" w:eastAsia="黑体" w:cs="黑体"/>
          <w:szCs w:val="24"/>
        </w:rPr>
      </w:pPr>
      <w:r>
        <w:rPr>
          <w:rFonts w:hint="eastAsia" w:ascii="黑体" w:hAnsi="黑体" w:eastAsia="黑体" w:cs="黑体"/>
          <w:szCs w:val="24"/>
        </w:rPr>
        <w:t>图</w:t>
      </w:r>
      <w:r>
        <w:rPr>
          <w:rFonts w:hint="eastAsia" w:ascii="黑体" w:hAnsi="黑体" w:eastAsia="黑体" w:cs="黑体"/>
          <w:szCs w:val="24"/>
          <w:lang w:val="en-US" w:eastAsia="zh-CN"/>
        </w:rPr>
        <w:t>1</w:t>
      </w:r>
      <w:r>
        <w:rPr>
          <w:rFonts w:hint="eastAsia" w:ascii="黑体" w:hAnsi="黑体" w:eastAsia="黑体" w:cs="黑体"/>
          <w:szCs w:val="24"/>
        </w:rPr>
        <w:t xml:space="preserve">   一维河网模型要素</w:t>
      </w:r>
    </w:p>
    <w:p w14:paraId="3085AA95">
      <w:pPr>
        <w:pStyle w:val="7"/>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一维河网模型控制方程采用圣维南方程组：</w:t>
      </w:r>
    </w:p>
    <w:p w14:paraId="107F5C71">
      <w:pPr>
        <w:pStyle w:val="7"/>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m:oMath>
        <m:sSub>
          <m:sSubP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sSubPr>
          <m:e>
            <m:acc>
              <m:accPr>
                <m:chr m:val="⃑"/>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accP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U</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acc>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sub>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t</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sub>
        </m:sSub>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m:t>
        </m:r>
        <m:sSub>
          <m:sSubP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sSubPr>
          <m:e>
            <m:acc>
              <m:accPr>
                <m:chr m:val="⃑"/>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accP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F</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acc>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sub>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x</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sub>
        </m:sSub>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m:t>
        </m:r>
        <m:acc>
          <m:accPr>
            <m:chr m:val="⃑"/>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accP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S</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acc>
      </m:oMath>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ab/>
      </w:r>
    </w:p>
    <w:p w14:paraId="0EF111D2">
      <w:pPr>
        <w:pStyle w:val="7"/>
        <w:keepNext w:val="0"/>
        <w:keepLines w:val="0"/>
        <w:pageBreakBefore w:val="0"/>
        <w:widowControl w:val="0"/>
        <w:kinsoku/>
        <w:wordWrap/>
        <w:overflowPunct/>
        <w:topLinePunct w:val="0"/>
        <w:autoSpaceDE/>
        <w:autoSpaceDN/>
        <w:bidi w:val="0"/>
        <w:adjustRightInd/>
        <w:snapToGrid/>
        <w:spacing w:after="0" w:line="360" w:lineRule="auto"/>
        <w:textAlignment w:val="auto"/>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式中，</w:t>
      </w:r>
    </w:p>
    <w:p w14:paraId="725AC7D2">
      <w:pPr>
        <w:pStyle w:val="7"/>
        <w:keepNext w:val="0"/>
        <w:keepLines w:val="0"/>
        <w:pageBreakBefore w:val="0"/>
        <w:widowControl w:val="0"/>
        <w:kinsoku/>
        <w:wordWrap/>
        <w:overflowPunct/>
        <w:topLinePunct w:val="0"/>
        <w:autoSpaceDE/>
        <w:autoSpaceDN/>
        <w:bidi w:val="0"/>
        <w:adjustRightInd/>
        <w:snapToGrid/>
        <w:spacing w:after="0" w:line="360" w:lineRule="auto"/>
        <w:jc w:val="center"/>
        <w:textAlignment w:val="auto"/>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m:oMathPara>
        <m:oMath>
          <m:acc>
            <m:accPr>
              <m:chr m:val="⃑"/>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accP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U</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acc>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m:t>
          </m:r>
          <m:d>
            <m:dP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dPr>
            <m:e>
              <m:m>
                <m:mPr>
                  <m:mcs>
                    <m:mc>
                      <m:mcPr>
                        <m:count m:val="1"/>
                        <m:mcJc m:val="center"/>
                      </m:mcPr>
                    </m:mc>
                  </m:mcs>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mPr>
                <m:m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A</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mr>
                <m:m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Q</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mr>
              </m:m>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d>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,  </m:t>
          </m:r>
          <m:acc>
            <m:accPr>
              <m:chr m:val="⃑"/>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accP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F</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acc>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m:t>
          </m:r>
          <m:d>
            <m:dP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dPr>
            <m:e>
              <m:m>
                <m:mPr>
                  <m:mcs>
                    <m:mc>
                      <m:mcPr>
                        <m:count m:val="1"/>
                        <m:mcJc m:val="center"/>
                      </m:mcPr>
                    </m:mc>
                  </m:mcs>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mPr>
                <m:m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Au</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mr>
                <m:m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Auu</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mr>
              </m:m>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d>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,  </m:t>
          </m:r>
          <m:acc>
            <m:accPr>
              <m:chr m:val="⃑"/>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accP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S</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acc>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m:t>
          </m:r>
          <m:d>
            <m:dP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dPr>
            <m:e>
              <m:m>
                <m:mPr>
                  <m:mcs>
                    <m:mc>
                      <m:mcPr>
                        <m:count m:val="1"/>
                        <m:mcJc m:val="center"/>
                      </m:mcPr>
                    </m:mc>
                  </m:mcs>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mPr>
                <m:m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0</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mr>
                <m:m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−gA</m:t>
                    </m:r>
                    <m:f>
                      <m:fP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fPr>
                      <m:num>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∂ζ</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num>
                      <m:den>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∂x</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den>
                    </m:f>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−gA</m:t>
                    </m:r>
                    <m:f>
                      <m:fP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fPr>
                      <m:num>
                        <m:sSup>
                          <m:sSupP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sSupP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n</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sup>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2</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sup>
                        </m:sSup>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u</m:t>
                        </m:r>
                        <m:d>
                          <m:dPr>
                            <m:begChr m:val="|"/>
                            <m:endChr m:val="|"/>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dP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u</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d>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num>
                      <m:den>
                        <m:sSup>
                          <m:sSupP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sSupPr>
                          <m:e>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R</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sup>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4/3</m:t>
                            </m:r>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sup>
                        </m:sSup>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den>
                    </m:f>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mr>
              </m:m>
              <m:ctrl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ctrlPr>
            </m:e>
          </m:d>
        </m:oMath>
      </m:oMathPara>
    </w:p>
    <w:p w14:paraId="47192723">
      <w:pPr>
        <w:pStyle w:val="7"/>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其中，</w:t>
      </w:r>
      <m:oMath>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A</m:t>
        </m:r>
      </m:oMath>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为过水断面面积，</w:t>
      </w:r>
      <m:oMath>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u</m:t>
        </m:r>
      </m:oMath>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为断面平均流速，</w:t>
      </w:r>
      <m:oMath>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ζ</m:t>
        </m:r>
      </m:oMath>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为水位，</w:t>
      </w:r>
      <m:oMath>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n</m:t>
        </m:r>
      </m:oMath>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为糙率，</w:t>
      </w:r>
      <m:oMath>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R</m:t>
        </m:r>
      </m:oMath>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为水动力半径，</w:t>
      </w:r>
      <m:oMath>
        <m:r>
          <m:rPr>
            <m:sty m:val="p"/>
          </m:rPr>
          <w:rPr>
            <w:rStyle w:val="48"/>
            <w:rFonts w:hint="eastAsia" w:ascii="Cambria Math" w:hAnsi="Cambria Math" w:eastAsia="宋体"/>
            <w:color w:val="000000" w:themeColor="text1"/>
            <w:kern w:val="2"/>
            <w:sz w:val="28"/>
            <w:szCs w:val="28"/>
            <w:highlight w:val="none"/>
            <w:lang w:val="en-US" w:eastAsia="zh-CN" w:bidi="ar-SA"/>
            <w14:textFill>
              <w14:solidFill>
                <w14:schemeClr w14:val="tx1"/>
              </w14:solidFill>
            </w14:textFill>
          </w:rPr>
          <m:t>g</m:t>
        </m:r>
      </m:oMath>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为重力加速度。</w:t>
      </w:r>
    </w:p>
    <w:p w14:paraId="25AB9145">
      <w:pPr>
        <w:pStyle w:val="7"/>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二维水动力模型主要是针对二维河道的水动力问题研发的。二维网格模型应具备以下特点：</w:t>
      </w:r>
    </w:p>
    <w:p w14:paraId="6FFA698B">
      <w:pPr>
        <w:pStyle w:val="7"/>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1）二维网格模型能够计算大的水面间断。</w:t>
      </w:r>
    </w:p>
    <w:p w14:paraId="65DDDFA6">
      <w:pPr>
        <w:pStyle w:val="7"/>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2）二维网格模型考虑孔隙率，使用大尺度网格考虑房屋等影响。</w:t>
      </w:r>
    </w:p>
    <w:p w14:paraId="1503C182">
      <w:pPr>
        <w:pStyle w:val="7"/>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3）二维网格模型具有强大的网格剖分引擎。</w:t>
      </w:r>
    </w:p>
    <w:p w14:paraId="0FA078ED">
      <w:pPr>
        <w:pStyle w:val="7"/>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4）二维网格模型可以单独使用，也可以和一维河网模型耦合使用。</w:t>
      </w:r>
    </w:p>
    <w:p w14:paraId="6DF5BB79">
      <w:pPr>
        <w:pStyle w:val="7"/>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5）可添加</w:t>
      </w:r>
      <w:r>
        <w:rPr>
          <w:rStyle w:val="48"/>
          <w:rFonts w:hint="eastAsia" w:hAnsi="宋体"/>
          <w:color w:val="000000" w:themeColor="text1"/>
          <w:kern w:val="2"/>
          <w:sz w:val="28"/>
          <w:szCs w:val="28"/>
          <w:highlight w:val="none"/>
          <w:lang w:val="en-US" w:eastAsia="zh-CN" w:bidi="ar-SA"/>
          <w14:textFill>
            <w14:solidFill>
              <w14:schemeClr w14:val="tx1"/>
            </w14:solidFill>
          </w14:textFill>
        </w:rPr>
        <w:t>部分</w: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建筑物。</w:t>
      </w:r>
    </w:p>
    <w:p w14:paraId="73DBA876">
      <w:pPr>
        <w:pStyle w:val="7"/>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6）可输出洪水到达时间数据、导出洪水风险图数据、导出淹没过程数据、输出指定时刻数据、查询河道断面数据、查看流场信息。</w:t>
      </w:r>
    </w:p>
    <w:p w14:paraId="4AEEA203">
      <w:pPr>
        <w:pStyle w:val="7"/>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二维网格模型要素包括二维网格和时间序列，二维网格包括节点、边元、单元、建筑、控制点、控制断面。</w:t>
      </w:r>
    </w:p>
    <w:p w14:paraId="37EE047F">
      <w:pPr>
        <w:pStyle w:val="53"/>
        <w:spacing w:beforeLines="0" w:afterLines="0"/>
        <w:ind w:firstLine="0" w:firstLineChars="0"/>
        <w:textAlignment w:val="center"/>
        <w:rPr>
          <w:rFonts w:ascii="宋体" w:hAnsi="宋体" w:eastAsia="宋体" w:cs="宋体"/>
          <w:sz w:val="28"/>
          <w:szCs w:val="28"/>
        </w:rPr>
      </w:pPr>
      <w:r>
        <w:rPr>
          <w:rFonts w:hint="eastAsia" w:ascii="宋体" w:hAnsi="宋体" w:eastAsia="宋体" w:cs="宋体"/>
          <w:sz w:val="28"/>
          <w:szCs w:val="28"/>
        </w:rPr>
        <w:drawing>
          <wp:inline distT="0" distB="0" distL="0" distR="0">
            <wp:extent cx="3096895" cy="2413635"/>
            <wp:effectExtent l="0" t="0" r="8255" b="571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3098492" cy="2415004"/>
                    </a:xfrm>
                    <a:prstGeom prst="rect">
                      <a:avLst/>
                    </a:prstGeom>
                    <a:noFill/>
                    <a:ln>
                      <a:noFill/>
                    </a:ln>
                  </pic:spPr>
                </pic:pic>
              </a:graphicData>
            </a:graphic>
          </wp:inline>
        </w:drawing>
      </w:r>
    </w:p>
    <w:p w14:paraId="40457F8A">
      <w:pPr>
        <w:pStyle w:val="8"/>
        <w:rPr>
          <w:rFonts w:hint="eastAsia" w:ascii="黑体" w:hAnsi="黑体" w:eastAsia="黑体" w:cs="黑体"/>
          <w:szCs w:val="24"/>
          <w:lang w:val="en-US" w:eastAsia="zh-CN"/>
        </w:rPr>
      </w:pPr>
      <w:r>
        <w:rPr>
          <w:rFonts w:hint="eastAsia" w:ascii="黑体" w:hAnsi="黑体" w:eastAsia="黑体" w:cs="黑体"/>
          <w:szCs w:val="24"/>
          <w:lang w:val="en-US" w:eastAsia="zh-CN"/>
        </w:rPr>
        <w:t>图2  二维网格模型要素</w:t>
      </w:r>
    </w:p>
    <w:p w14:paraId="3DFAA8BD">
      <w:pPr>
        <w:pStyle w:val="7"/>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二维模型控制方程采用守恒型二维浅水方程：</w:t>
      </w:r>
    </w:p>
    <w:tbl>
      <w:tblPr>
        <w:tblStyle w:val="22"/>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623"/>
      </w:tblGrid>
      <w:tr w14:paraId="320C06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6623" w:type="dxa"/>
            <w:shd w:val="clear" w:color="auto" w:fill="auto"/>
            <w:vAlign w:val="center"/>
          </w:tcPr>
          <w:p w14:paraId="287F2B0F">
            <w:pPr>
              <w:pStyle w:val="7"/>
              <w:widowControl w:val="0"/>
              <w:jc w:val="both"/>
              <w:rPr>
                <w:rFonts w:hint="eastAsia"/>
                <w:sz w:val="24"/>
                <w:szCs w:val="32"/>
              </w:rPr>
            </w:pPr>
            <w:r>
              <w:rPr>
                <w:rFonts w:hint="eastAsia"/>
                <w:sz w:val="24"/>
                <w:szCs w:val="32"/>
              </w:rPr>
              <w:object>
                <v:shape id="_x0000_i1025" o:spt="75" type="#_x0000_t75" style="height:20.5pt;width:153pt;" o:ole="t" filled="f" o:preferrelative="t" stroked="f" coordsize="21600,21600">
                  <v:path/>
                  <v:fill on="f" focussize="0,0"/>
                  <v:stroke on="f" joinstyle="miter"/>
                  <v:imagedata r:id="rId8" o:title=""/>
                  <o:lock v:ext="edit" aspectratio="t"/>
                  <w10:wrap type="none"/>
                  <w10:anchorlock/>
                </v:shape>
                <o:OLEObject Type="Embed" ProgID="Equation.DSMT4" ShapeID="_x0000_i1025" DrawAspect="Content" ObjectID="_1468075725" r:id="rId7">
                  <o:LockedField>false</o:LockedField>
                </o:OLEObject>
              </w:object>
            </w:r>
          </w:p>
        </w:tc>
      </w:tr>
      <w:tr w14:paraId="25E023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6623" w:type="dxa"/>
            <w:shd w:val="clear" w:color="auto" w:fill="auto"/>
            <w:vAlign w:val="center"/>
          </w:tcPr>
          <w:p w14:paraId="0FF777C4">
            <w:pPr>
              <w:pStyle w:val="7"/>
              <w:widowControl w:val="0"/>
              <w:jc w:val="both"/>
              <w:rPr>
                <w:rFonts w:hint="eastAsia"/>
                <w:sz w:val="24"/>
                <w:szCs w:val="32"/>
              </w:rPr>
            </w:pPr>
            <w:r>
              <w:rPr>
                <w:rFonts w:hint="eastAsia"/>
                <w:sz w:val="24"/>
                <w:szCs w:val="32"/>
              </w:rPr>
              <w:object>
                <v:shape id="_x0000_i1026" o:spt="75" type="#_x0000_t75" style="height:188.5pt;width:249.5pt;" o:ole="t" filled="f" o:preferrelative="t" stroked="f" coordsize="21600,21600">
                  <v:path/>
                  <v:fill on="f" focussize="0,0"/>
                  <v:stroke on="f" joinstyle="miter"/>
                  <v:imagedata r:id="rId10" o:title=""/>
                  <o:lock v:ext="edit" aspectratio="t"/>
                  <w10:wrap type="none"/>
                  <w10:anchorlock/>
                </v:shape>
                <o:OLEObject Type="Embed" ProgID="Equation.DSMT4" ShapeID="_x0000_i1026" DrawAspect="Content" ObjectID="_1468075726" r:id="rId9">
                  <o:LockedField>false</o:LockedField>
                </o:OLEObject>
              </w:object>
            </w:r>
          </w:p>
        </w:tc>
      </w:tr>
    </w:tbl>
    <w:p w14:paraId="1E8F82BA">
      <w:pPr>
        <w:pStyle w:val="7"/>
        <w:keepNext w:val="0"/>
        <w:keepLines w:val="0"/>
        <w:pageBreakBefore w:val="0"/>
        <w:widowControl w:val="0"/>
        <w:kinsoku/>
        <w:wordWrap/>
        <w:overflowPunct/>
        <w:topLinePunct w:val="0"/>
        <w:autoSpaceDE/>
        <w:autoSpaceDN/>
        <w:bidi w:val="0"/>
        <w:adjustRightInd/>
        <w:snapToGrid/>
        <w:spacing w:after="0" w:line="360" w:lineRule="auto"/>
        <w:ind w:left="0" w:leftChars="0" w:firstLine="560" w:firstLineChars="200"/>
        <w:textAlignment w:val="auto"/>
        <w:rPr>
          <w:rStyle w:val="48"/>
          <w:rFonts w:hint="eastAsia" w:hAnsi="宋体"/>
          <w:color w:val="000000" w:themeColor="text1"/>
          <w:kern w:val="2"/>
          <w:sz w:val="28"/>
          <w:szCs w:val="28"/>
          <w:highlight w:val="none"/>
          <w:lang w:val="en-US" w:eastAsia="zh-CN" w:bidi="ar-SA"/>
          <w14:textFill>
            <w14:solidFill>
              <w14:schemeClr w14:val="tx1"/>
            </w14:solidFill>
          </w14:textFill>
        </w:rPr>
      </w:pP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式中，</w: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object>
          <v:shape id="_x0000_i1027" o:spt="75" type="#_x0000_t75" style="height:12.5pt;width:6.5pt;" o:ole="t" filled="f" o:preferrelative="t" stroked="f" coordsize="21600,21600">
            <v:path/>
            <v:fill on="f" focussize="0,0"/>
            <v:stroke on="f" joinstyle="miter"/>
            <v:imagedata r:id="rId12" o:title=""/>
            <o:lock v:ext="edit" aspectratio="t"/>
            <w10:wrap type="none"/>
            <w10:anchorlock/>
          </v:shape>
          <o:OLEObject Type="Embed" ProgID="Equation.DSMT4" ShapeID="_x0000_i1027" DrawAspect="Content" ObjectID="_1468075727" r:id="rId11">
            <o:LockedField>false</o:LockedField>
          </o:OLEObject>
        </w:objec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为水深；</w: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object>
          <v:shape id="_x0000_i1028" o:spt="75" type="#_x0000_t75" style="height:12.5pt;width:6.5pt;" o:ole="t" filled="f" o:preferrelative="t" stroked="f" coordsize="21600,21600">
            <v:path/>
            <v:fill on="f" focussize="0,0"/>
            <v:stroke on="f" joinstyle="miter"/>
            <v:imagedata r:id="rId14" o:title=""/>
            <o:lock v:ext="edit" aspectratio="t"/>
            <w10:wrap type="none"/>
            <w10:anchorlock/>
          </v:shape>
          <o:OLEObject Type="Embed" ProgID="Equation.DSMT4" ShapeID="_x0000_i1028" DrawAspect="Content" ObjectID="_1468075728" r:id="rId13">
            <o:LockedField>false</o:LockedField>
          </o:OLEObject>
        </w:objec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w: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object>
          <v:shape id="_x0000_i1029" o:spt="75" type="#_x0000_t75" style="height:12.5pt;width:6.5pt;" o:ole="t" filled="f" o:preferrelative="t" stroked="f" coordsize="21600,21600">
            <v:path/>
            <v:fill on="f" focussize="0,0"/>
            <v:stroke on="f" joinstyle="miter"/>
            <v:imagedata r:id="rId16" o:title=""/>
            <o:lock v:ext="edit" aspectratio="t"/>
            <w10:wrap type="none"/>
            <w10:anchorlock/>
          </v:shape>
          <o:OLEObject Type="Embed" ProgID="Equation.DSMT4" ShapeID="_x0000_i1029" DrawAspect="Content" ObjectID="_1468075729" r:id="rId15">
            <o:LockedField>false</o:LockedField>
          </o:OLEObject>
        </w:objec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方向的流速；</w: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object>
          <v:shape id="_x0000_i1030" o:spt="75" type="#_x0000_t75" style="height:12.5pt;width:6.5pt;" o:ole="t" filled="f" o:preferrelative="t" stroked="f" coordsize="21600,21600">
            <v:path/>
            <v:fill on="f" focussize="0,0"/>
            <v:stroke on="f" joinstyle="miter"/>
            <v:imagedata r:id="rId18" o:title=""/>
            <o:lock v:ext="edit" aspectratio="t"/>
            <w10:wrap type="none"/>
            <w10:anchorlock/>
          </v:shape>
          <o:OLEObject Type="Embed" ProgID="Equation.3" ShapeID="_x0000_i1030" DrawAspect="Content" ObjectID="_1468075730" r:id="rId17">
            <o:LockedField>false</o:LockedField>
          </o:OLEObject>
        </w:objec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w: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object>
          <v:shape id="_x0000_i1031" o:spt="75" type="#_x0000_t75" style="height:12.5pt;width:12.5pt;" o:ole="t" filled="f" o:preferrelative="t" stroked="f" coordsize="21600,21600">
            <v:path/>
            <v:fill on="f" focussize="0,0"/>
            <v:stroke on="f" joinstyle="miter"/>
            <v:imagedata r:id="rId20" o:title=""/>
            <o:lock v:ext="edit" aspectratio="t"/>
            <w10:wrap type="none"/>
            <w10:anchorlock/>
          </v:shape>
          <o:OLEObject Type="Embed" ProgID="Equation.3" ShapeID="_x0000_i1031" DrawAspect="Content" ObjectID="_1468075731" r:id="rId19">
            <o:LockedField>false</o:LockedField>
          </o:OLEObject>
        </w:objec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方向的流速；</w: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object>
          <v:shape id="_x0000_i1032" o:spt="75" type="#_x0000_t75" style="height:20.5pt;width:12.5pt;" o:ole="t" filled="f" o:preferrelative="t" stroked="f" coordsize="21600,21600">
            <v:path/>
            <v:fill on="f" focussize="0,0"/>
            <v:stroke on="f" joinstyle="miter"/>
            <v:imagedata r:id="rId22" o:title=""/>
            <o:lock v:ext="edit" aspectratio="t"/>
            <w10:wrap type="none"/>
            <w10:anchorlock/>
          </v:shape>
          <o:OLEObject Type="Embed" ProgID="Equation.3" ShapeID="_x0000_i1032" DrawAspect="Content" ObjectID="_1468075732" r:id="rId21">
            <o:LockedField>false</o:LockedField>
          </o:OLEObject>
        </w:objec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为水面大气压力；</w: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object>
          <v:shape id="_x0000_i1033" o:spt="75" type="#_x0000_t75" style="height:19pt;width:12.5pt;" o:ole="t" filled="f" o:preferrelative="t" stroked="f" coordsize="21600,21600">
            <v:path/>
            <v:fill on="f" focussize="0,0"/>
            <v:stroke on="f" joinstyle="miter"/>
            <v:imagedata r:id="rId24" o:title=""/>
            <o:lock v:ext="edit" aspectratio="t"/>
            <w10:wrap type="none"/>
            <w10:anchorlock/>
          </v:shape>
          <o:OLEObject Type="Embed" ProgID="Equation.3" ShapeID="_x0000_i1033" DrawAspect="Content" ObjectID="_1468075733" r:id="rId23">
            <o:LockedField>false</o:LockedField>
          </o:OLEObject>
        </w:objec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为床面底高程；</w: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object>
          <v:shape id="_x0000_i1034" o:spt="75" type="#_x0000_t75" style="height:20.5pt;width:12.5pt;" o:ole="t" filled="f" o:preferrelative="t" stroked="f" coordsize="21600,21600">
            <v:path/>
            <v:fill on="f" focussize="0,0"/>
            <v:stroke on="f" joinstyle="miter"/>
            <v:imagedata r:id="rId26" o:title=""/>
            <o:lock v:ext="edit" aspectratio="t"/>
            <w10:wrap type="none"/>
            <w10:anchorlock/>
          </v:shape>
          <o:OLEObject Type="Embed" ProgID="Equation.3" ShapeID="_x0000_i1034" DrawAspect="Content" ObjectID="_1468075734" r:id="rId25">
            <o:LockedField>false</o:LockedField>
          </o:OLEObject>
        </w:objec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w: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object>
          <v:shape id="_x0000_i1035" o:spt="75" type="#_x0000_t75" style="height:20.5pt;width:12.5pt;" o:ole="t" filled="f" o:preferrelative="t" stroked="f" coordsize="21600,21600">
            <v:path/>
            <v:fill on="f" focussize="0,0"/>
            <v:stroke on="f" joinstyle="miter"/>
            <v:imagedata r:id="rId28" o:title=""/>
            <o:lock v:ext="edit" aspectratio="t"/>
            <w10:wrap type="none"/>
            <w10:anchorlock/>
          </v:shape>
          <o:OLEObject Type="Embed" ProgID="Equation.3" ShapeID="_x0000_i1035" DrawAspect="Content" ObjectID="_1468075735" r:id="rId27">
            <o:LockedField>false</o:LockedField>
          </o:OLEObject>
        </w:object>
      </w:r>
      <w:r>
        <w:rPr>
          <w:rStyle w:val="48"/>
          <w:rFonts w:hint="eastAsia" w:hAnsi="宋体" w:eastAsia="宋体"/>
          <w:color w:val="000000" w:themeColor="text1"/>
          <w:kern w:val="2"/>
          <w:sz w:val="28"/>
          <w:szCs w:val="28"/>
          <w:highlight w:val="none"/>
          <w:lang w:val="en-US" w:eastAsia="zh-CN" w:bidi="ar-SA"/>
          <w14:textFill>
            <w14:solidFill>
              <w14:schemeClr w14:val="tx1"/>
            </w14:solidFill>
          </w14:textFill>
        </w:rPr>
        <w:t>为风载的作用力</w:t>
      </w:r>
      <w:r>
        <w:rPr>
          <w:rStyle w:val="48"/>
          <w:rFonts w:hint="eastAsia" w:hAnsi="宋体"/>
          <w:color w:val="000000" w:themeColor="text1"/>
          <w:kern w:val="2"/>
          <w:sz w:val="28"/>
          <w:szCs w:val="28"/>
          <w:highlight w:val="none"/>
          <w:lang w:val="en-US" w:eastAsia="zh-CN" w:bidi="ar-SA"/>
          <w14:textFill>
            <w14:solidFill>
              <w14:schemeClr w14:val="tx1"/>
            </w14:solidFill>
          </w14:textFill>
        </w:rPr>
        <w:t>。</w:t>
      </w:r>
    </w:p>
    <w:p w14:paraId="63D9E61B">
      <w:pPr>
        <w:keepNext w:val="0"/>
        <w:keepLines w:val="0"/>
        <w:pageBreakBefore w:val="0"/>
        <w:widowControl/>
        <w:kinsoku/>
        <w:wordWrap/>
        <w:overflowPunct/>
        <w:topLinePunct w:val="0"/>
        <w:autoSpaceDE/>
        <w:autoSpaceDN/>
        <w:bidi w:val="0"/>
        <w:adjustRightInd/>
        <w:snapToGrid/>
        <w:spacing w:after="0" w:line="360" w:lineRule="auto"/>
        <w:ind w:left="0" w:leftChars="0" w:firstLine="560" w:firstLineChars="200"/>
        <w:jc w:val="left"/>
        <w:textAlignment w:val="auto"/>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pP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耦合模型原理</w:t>
      </w:r>
    </w:p>
    <w:p w14:paraId="722A30DB">
      <w:pPr>
        <w:keepNext w:val="0"/>
        <w:keepLines w:val="0"/>
        <w:pageBreakBefore w:val="0"/>
        <w:widowControl/>
        <w:kinsoku/>
        <w:wordWrap/>
        <w:overflowPunct/>
        <w:topLinePunct w:val="0"/>
        <w:autoSpaceDE/>
        <w:autoSpaceDN/>
        <w:bidi w:val="0"/>
        <w:adjustRightInd/>
        <w:snapToGrid/>
        <w:spacing w:after="0" w:line="360" w:lineRule="auto"/>
        <w:ind w:left="0" w:leftChars="0" w:firstLine="560" w:firstLineChars="200"/>
        <w:jc w:val="left"/>
        <w:textAlignment w:val="auto"/>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pP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一、二维模型在水平方向的耦合连接，即地表一、二维模型耦合，主要是针对河道与地面的水流交换问题</w:t>
      </w:r>
      <w:r>
        <w:rPr>
          <w:rStyle w:val="48"/>
          <w:rFonts w:hint="eastAsia" w:ascii="宋体" w:hAnsi="宋体" w:cs="宋体"/>
          <w:color w:val="000000" w:themeColor="text1"/>
          <w:sz w:val="28"/>
          <w:szCs w:val="28"/>
          <w:highlight w:val="none"/>
          <w:lang w:val="en-US" w:eastAsia="zh-CN"/>
          <w14:textFill>
            <w14:solidFill>
              <w14:schemeClr w14:val="tx1"/>
            </w14:solidFill>
          </w14:textFill>
        </w:rPr>
        <w:t>，</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一维河道断面与二维网格共享同一坐标系，自动识别河道-淹没区连接点。见</w:t>
      </w:r>
      <w:r>
        <w:rPr>
          <w:rStyle w:val="48"/>
          <w:rFonts w:hint="eastAsia" w:ascii="宋体" w:hAnsi="宋体" w:cs="宋体"/>
          <w:color w:val="000000" w:themeColor="text1"/>
          <w:sz w:val="28"/>
          <w:szCs w:val="28"/>
          <w:highlight w:val="none"/>
          <w:lang w:val="en-US" w:eastAsia="zh-CN"/>
          <w14:textFill>
            <w14:solidFill>
              <w14:schemeClr w14:val="tx1"/>
            </w14:solidFill>
          </w14:textFill>
        </w:rPr>
        <w:t>图3</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根据水流交换方式的不同，地表一、二维耦合可以分为两种连接：侧向连接和正向连接。侧向连接是指水流从河道两岸流向二维区域或者从二维模型计算区域经由两岸流入河道，而正向连接则通常是指水流通过河道两端与二维计算区域进行水流交换。</w:t>
      </w:r>
    </w:p>
    <w:p w14:paraId="7A9BD938">
      <w:pPr>
        <w:keepNext w:val="0"/>
        <w:keepLines w:val="0"/>
        <w:pageBreakBefore w:val="0"/>
        <w:widowControl/>
        <w:kinsoku/>
        <w:wordWrap/>
        <w:overflowPunct/>
        <w:topLinePunct w:val="0"/>
        <w:autoSpaceDE/>
        <w:autoSpaceDN/>
        <w:bidi w:val="0"/>
        <w:adjustRightInd/>
        <w:snapToGrid/>
        <w:spacing w:after="0" w:line="360" w:lineRule="auto"/>
        <w:ind w:left="0" w:leftChars="0" w:firstLine="560" w:firstLineChars="200"/>
        <w:jc w:val="center"/>
        <w:textAlignment w:val="auto"/>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pP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drawing>
          <wp:inline distT="0" distB="0" distL="0" distR="0">
            <wp:extent cx="4008120" cy="1884045"/>
            <wp:effectExtent l="0" t="0" r="11430" b="190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29"/>
                    <a:stretch>
                      <a:fillRect/>
                    </a:stretch>
                  </pic:blipFill>
                  <pic:spPr>
                    <a:xfrm>
                      <a:off x="0" y="0"/>
                      <a:ext cx="4011163" cy="1885474"/>
                    </a:xfrm>
                    <a:prstGeom prst="rect">
                      <a:avLst/>
                    </a:prstGeom>
                  </pic:spPr>
                </pic:pic>
              </a:graphicData>
            </a:graphic>
          </wp:inline>
        </w:drawing>
      </w:r>
    </w:p>
    <w:p w14:paraId="1B12D451">
      <w:pPr>
        <w:pStyle w:val="8"/>
        <w:rPr>
          <w:rFonts w:hint="eastAsia" w:ascii="黑体" w:hAnsi="黑体" w:eastAsia="黑体" w:cs="黑体"/>
          <w:szCs w:val="24"/>
          <w:lang w:val="en-US" w:eastAsia="zh-CN"/>
        </w:rPr>
      </w:pPr>
      <w:r>
        <w:rPr>
          <w:rFonts w:hint="eastAsia" w:ascii="黑体" w:hAnsi="黑体" w:eastAsia="黑体" w:cs="黑体"/>
          <w:szCs w:val="24"/>
          <w:lang w:val="en-US" w:eastAsia="zh-CN"/>
        </w:rPr>
        <w:t>图 3 水平方向水流交换的两种连接方式</w:t>
      </w:r>
    </w:p>
    <w:p w14:paraId="61D151AA">
      <w:pPr>
        <w:keepNext w:val="0"/>
        <w:keepLines w:val="0"/>
        <w:pageBreakBefore w:val="0"/>
        <w:widowControl/>
        <w:kinsoku/>
        <w:wordWrap/>
        <w:overflowPunct/>
        <w:topLinePunct w:val="0"/>
        <w:autoSpaceDE/>
        <w:autoSpaceDN/>
        <w:bidi w:val="0"/>
        <w:adjustRightInd/>
        <w:snapToGrid/>
        <w:spacing w:after="0" w:line="360" w:lineRule="auto"/>
        <w:ind w:left="0" w:leftChars="0" w:firstLine="560" w:firstLineChars="200"/>
        <w:jc w:val="left"/>
        <w:textAlignment w:val="auto"/>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pP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常用的水平连接计算方法包括堰流公式法，水量平衡法，黎曼问题法，互相提供边界法等。堰流公式法采用堰流公式计算交换流量，具有形式简单的优点，水量平衡法通过流入流出耦合区域的水量平衡关系来迭代求解耦合区域的水位，能够保证耦合区域水量守恒，黎曼问题法通过构建一维黎曼问题来求解数值通量，优势是可以较为方便地计算动量交换，互相提供边界法采用一、二维模型互为对方提供边界条件的思想，方法的优点是无需额外的计算，比较容易实现，一般用来计算水平连接中的正向连接。</w:t>
      </w:r>
    </w:p>
    <w:p w14:paraId="0ABF88B0">
      <w:pPr>
        <w:keepNext w:val="0"/>
        <w:keepLines w:val="0"/>
        <w:pageBreakBefore w:val="0"/>
        <w:widowControl/>
        <w:kinsoku/>
        <w:wordWrap/>
        <w:overflowPunct/>
        <w:topLinePunct w:val="0"/>
        <w:autoSpaceDE/>
        <w:autoSpaceDN/>
        <w:bidi w:val="0"/>
        <w:adjustRightInd/>
        <w:snapToGrid/>
        <w:spacing w:after="0" w:line="360" w:lineRule="auto"/>
        <w:ind w:left="0" w:leftChars="0" w:firstLine="560" w:firstLineChars="200"/>
        <w:jc w:val="left"/>
        <w:textAlignment w:val="auto"/>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pP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如</w:t>
      </w:r>
      <w:r>
        <w:rPr>
          <w:rStyle w:val="48"/>
          <w:rFonts w:hint="eastAsia" w:ascii="宋体" w:hAnsi="宋体" w:cs="宋体"/>
          <w:color w:val="000000" w:themeColor="text1"/>
          <w:sz w:val="28"/>
          <w:szCs w:val="28"/>
          <w:highlight w:val="none"/>
          <w:lang w:val="en-US" w:eastAsia="zh-CN"/>
          <w14:textFill>
            <w14:solidFill>
              <w14:schemeClr w14:val="tx1"/>
            </w14:solidFill>
          </w14:textFill>
        </w:rPr>
        <w:t>图4</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所示，侧向连接即河道通过两岸与二维计算区域进行水流交换，处理这种连接类型的关键是计算两个模型在耦合边界处的交换水量。</w:t>
      </w:r>
    </w:p>
    <w:p w14:paraId="365318E5">
      <w:pPr>
        <w:keepNext w:val="0"/>
        <w:keepLines w:val="0"/>
        <w:pageBreakBefore w:val="0"/>
        <w:widowControl/>
        <w:kinsoku/>
        <w:wordWrap/>
        <w:overflowPunct/>
        <w:topLinePunct w:val="0"/>
        <w:autoSpaceDE/>
        <w:autoSpaceDN/>
        <w:bidi w:val="0"/>
        <w:adjustRightInd/>
        <w:snapToGrid/>
        <w:spacing w:after="0" w:line="360" w:lineRule="auto"/>
        <w:ind w:left="0" w:leftChars="0" w:firstLine="560" w:firstLineChars="200"/>
        <w:jc w:val="center"/>
        <w:textAlignment w:val="auto"/>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pP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drawing>
          <wp:inline distT="0" distB="0" distL="0" distR="0">
            <wp:extent cx="2539365" cy="1683385"/>
            <wp:effectExtent l="0" t="0" r="13335" b="12065"/>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30"/>
                    <a:stretch>
                      <a:fillRect/>
                    </a:stretch>
                  </pic:blipFill>
                  <pic:spPr>
                    <a:xfrm>
                      <a:off x="0" y="0"/>
                      <a:ext cx="2548016" cy="1689059"/>
                    </a:xfrm>
                    <a:prstGeom prst="rect">
                      <a:avLst/>
                    </a:prstGeom>
                  </pic:spPr>
                </pic:pic>
              </a:graphicData>
            </a:graphic>
          </wp:inline>
        </w:drawing>
      </w:r>
    </w:p>
    <w:p w14:paraId="35CE54A7">
      <w:pPr>
        <w:pStyle w:val="8"/>
        <w:rPr>
          <w:rFonts w:hint="eastAsia" w:ascii="黑体" w:hAnsi="黑体" w:eastAsia="黑体" w:cs="黑体"/>
          <w:szCs w:val="24"/>
          <w:lang w:val="en-US" w:eastAsia="zh-CN"/>
        </w:rPr>
      </w:pPr>
      <w:r>
        <w:rPr>
          <w:rFonts w:hint="eastAsia" w:ascii="黑体" w:hAnsi="黑体" w:eastAsia="黑体" w:cs="黑体"/>
          <w:szCs w:val="24"/>
          <w:lang w:val="en-US" w:eastAsia="zh-CN"/>
        </w:rPr>
        <w:t>图4 侧向连接示意图</w:t>
      </w:r>
    </w:p>
    <w:p w14:paraId="73B76A58">
      <w:pPr>
        <w:keepNext w:val="0"/>
        <w:keepLines w:val="0"/>
        <w:pageBreakBefore w:val="0"/>
        <w:widowControl/>
        <w:kinsoku/>
        <w:wordWrap/>
        <w:overflowPunct/>
        <w:topLinePunct w:val="0"/>
        <w:autoSpaceDE/>
        <w:autoSpaceDN/>
        <w:bidi w:val="0"/>
        <w:adjustRightInd/>
        <w:snapToGrid/>
        <w:spacing w:after="0" w:line="360" w:lineRule="auto"/>
        <w:ind w:left="0" w:leftChars="0" w:firstLine="560" w:firstLineChars="200"/>
        <w:jc w:val="left"/>
        <w:textAlignment w:val="auto"/>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pP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一、二维模型水流交换均通过一、二维模型水流交换均通过从源项中加入或者扣除对应的交换水量来实现。由于采用源项交换的方式，二维模型在交换边界上的网格边均设为固边界，即不过水边界，一维模型在此处则无需作任何处理。假设某时刻河道与二维区域通过侧向交换的方式交换的流量为</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object>
          <v:shape id="_x0000_i1036" o:spt="75" type="#_x0000_t75" style="height:18.5pt;width:12.3pt;" o:ole="t" filled="f" o:preferrelative="t" stroked="f" coordsize="21600,21600">
            <v:path/>
            <v:fill on="f" focussize="0,0"/>
            <v:stroke on="f" joinstyle="miter"/>
            <v:imagedata r:id="rId32" o:title=""/>
            <o:lock v:ext="edit" aspectratio="t"/>
            <w10:wrap type="none"/>
            <w10:anchorlock/>
          </v:shape>
          <o:OLEObject Type="Embed" ProgID="Equation.DSMT4" ShapeID="_x0000_i1036" DrawAspect="Content" ObjectID="_1468075736" r:id="rId31">
            <o:LockedField>false</o:LockedField>
          </o:OLEObject>
        </w:objec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，采用堰流公式近似计算交换流量。</w:t>
      </w:r>
    </w:p>
    <w:p w14:paraId="4E41916C">
      <w:pPr>
        <w:keepNext w:val="0"/>
        <w:keepLines w:val="0"/>
        <w:pageBreakBefore w:val="0"/>
        <w:widowControl/>
        <w:kinsoku/>
        <w:wordWrap/>
        <w:overflowPunct/>
        <w:topLinePunct w:val="0"/>
        <w:autoSpaceDE/>
        <w:autoSpaceDN/>
        <w:bidi w:val="0"/>
        <w:adjustRightInd/>
        <w:snapToGrid/>
        <w:spacing w:after="0" w:line="360" w:lineRule="auto"/>
        <w:ind w:left="0" w:leftChars="0" w:firstLine="560" w:firstLineChars="200"/>
        <w:jc w:val="left"/>
        <w:textAlignment w:val="auto"/>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pP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如</w:t>
      </w:r>
      <w:r>
        <w:rPr>
          <w:rStyle w:val="48"/>
          <w:rFonts w:hint="eastAsia" w:ascii="宋体" w:hAnsi="宋体" w:cs="宋体"/>
          <w:color w:val="000000" w:themeColor="text1"/>
          <w:sz w:val="28"/>
          <w:szCs w:val="28"/>
          <w:highlight w:val="none"/>
          <w:lang w:val="en-US" w:eastAsia="zh-CN"/>
          <w14:textFill>
            <w14:solidFill>
              <w14:schemeClr w14:val="tx1"/>
            </w14:solidFill>
          </w14:textFill>
        </w:rPr>
        <w:t>图5</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所示，正向连接即水流通过河道两端与二维区域进行水流交换，处理这种连接关系的关键是计算连接处两个模型的边界条件。采用一、二维模型互为对方提供边界条件的方式进行两个模型正向连接的耦合。</w:t>
      </w:r>
    </w:p>
    <w:p w14:paraId="038323B8">
      <w:pPr>
        <w:pStyle w:val="2"/>
        <w:jc w:val="center"/>
        <w:rPr>
          <w:rFonts w:hint="eastAsia"/>
          <w:lang w:val="en-US" w:eastAsia="zh-CN"/>
        </w:rPr>
      </w:pPr>
      <w:r>
        <w:rPr>
          <w:rFonts w:hint="eastAsia" w:ascii="宋体" w:hAnsi="宋体" w:cs="宋体"/>
          <w:szCs w:val="24"/>
        </w:rPr>
        <w:drawing>
          <wp:inline distT="0" distB="0" distL="0" distR="0">
            <wp:extent cx="3035935" cy="2348230"/>
            <wp:effectExtent l="0" t="0" r="12065" b="1397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33"/>
                    <a:stretch>
                      <a:fillRect/>
                    </a:stretch>
                  </pic:blipFill>
                  <pic:spPr>
                    <a:xfrm>
                      <a:off x="0" y="0"/>
                      <a:ext cx="3040737" cy="2352068"/>
                    </a:xfrm>
                    <a:prstGeom prst="rect">
                      <a:avLst/>
                    </a:prstGeom>
                  </pic:spPr>
                </pic:pic>
              </a:graphicData>
            </a:graphic>
          </wp:inline>
        </w:drawing>
      </w:r>
    </w:p>
    <w:p w14:paraId="48BFD815">
      <w:pPr>
        <w:pStyle w:val="8"/>
        <w:rPr>
          <w:rFonts w:hint="eastAsia" w:ascii="黑体" w:hAnsi="黑体" w:eastAsia="黑体" w:cs="黑体"/>
          <w:szCs w:val="24"/>
        </w:rPr>
      </w:pPr>
      <w:r>
        <w:rPr>
          <w:rFonts w:hint="eastAsia" w:ascii="黑体" w:hAnsi="黑体" w:eastAsia="黑体" w:cs="黑体"/>
          <w:szCs w:val="24"/>
        </w:rPr>
        <w:t xml:space="preserve">图 </w:t>
      </w:r>
      <w:r>
        <w:rPr>
          <w:rFonts w:hint="eastAsia" w:ascii="黑体" w:hAnsi="黑体" w:eastAsia="黑体" w:cs="黑体"/>
          <w:szCs w:val="24"/>
          <w:lang w:val="en-US" w:eastAsia="zh-CN"/>
        </w:rPr>
        <w:t>5</w:t>
      </w:r>
      <w:r>
        <w:rPr>
          <w:rFonts w:hint="eastAsia" w:ascii="黑体" w:hAnsi="黑体" w:eastAsia="黑体" w:cs="黑体"/>
          <w:szCs w:val="24"/>
        </w:rPr>
        <w:t xml:space="preserve"> 正向连接示意图</w:t>
      </w:r>
    </w:p>
    <w:p w14:paraId="793895A6">
      <w:pPr>
        <w:pageBreakBefore w:val="0"/>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参数与效率优化：结合中小河流区域地形、水文、下垫面实际条件，优化模型参数，同步通过算法及并行计算提升效率，实现小时级洪水演进模拟，满足应急预报时效要求，实现轻量化部署运行。</w:t>
      </w:r>
    </w:p>
    <w:p w14:paraId="17734B7B">
      <w:pPr>
        <w:pStyle w:val="52"/>
        <w:pageBreakBefore w:val="0"/>
        <w:numPr>
          <w:ilvl w:val="0"/>
          <w:numId w:val="1"/>
        </w:numPr>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水动力过程模拟</w:t>
      </w:r>
    </w:p>
    <w:p w14:paraId="1830E139">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实现不同边界条件下洪水过程模拟，计算淹没范围、水位、流速等核心参数</w:t>
      </w:r>
      <w:r>
        <w:rPr>
          <w:rStyle w:val="48"/>
          <w:rFonts w:hint="eastAsia" w:ascii="宋体" w:hAnsi="宋体" w:cs="宋体"/>
          <w:color w:val="000000" w:themeColor="text1"/>
          <w:sz w:val="28"/>
          <w:szCs w:val="28"/>
          <w:highlight w:val="none"/>
          <w:lang w:eastAsia="zh-CN"/>
          <w14:textFill>
            <w14:solidFill>
              <w14:schemeClr w14:val="tx1"/>
            </w14:solidFill>
          </w14:textFill>
        </w:rPr>
        <w:t>。</w:t>
      </w:r>
      <w:r>
        <w:rPr>
          <w:rStyle w:val="48"/>
          <w:rFonts w:hint="eastAsia" w:ascii="宋体" w:hAnsi="宋体" w:eastAsia="宋体" w:cs="宋体"/>
          <w:color w:val="000000" w:themeColor="text1"/>
          <w:sz w:val="28"/>
          <w:szCs w:val="28"/>
          <w:highlight w:val="none"/>
          <w14:textFill>
            <w14:solidFill>
              <w14:schemeClr w14:val="tx1"/>
            </w14:solidFill>
          </w14:textFill>
        </w:rPr>
        <w:t>一维河道模型采用基于有限体积法求解一维圣维南方程组，可方便模拟陡坡河道、急流、大型河网等各种复杂流态或情景，同时能够考虑各种不同的水工建筑物（堰、闸和坝等）。一维水动力模型构建应支持断面处理、河道中心线处理、上下游边界条件设置、河道糙率设置等功能。</w:t>
      </w:r>
      <w:r>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t>其中每个断面匹配到河流空间模型上的相应位置，并与河道中心线垂直，输入横断面起点距与对应高程值，主滩分界、左右堤顶设置；对计算区域内的居民地、道路、耕地、河流等地物设置不同的糙率，以反映二维计算区下垫面对洪水演进的影响。</w:t>
      </w:r>
    </w:p>
    <w:p w14:paraId="181C03D3">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lang w:val="en-US" w:eastAsia="zh-CN"/>
          <w14:textFill>
            <w14:solidFill>
              <w14:schemeClr w14:val="tx1"/>
            </w14:solidFill>
          </w14:textFill>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5"/>
        <w:gridCol w:w="849"/>
        <w:gridCol w:w="5954"/>
      </w:tblGrid>
      <w:tr w14:paraId="5D1A5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jc w:val="center"/>
        </w:trPr>
        <w:tc>
          <w:tcPr>
            <w:tcW w:w="1095" w:type="dxa"/>
            <w:shd w:val="clear" w:color="auto" w:fill="D8D8D8" w:themeFill="background1" w:themeFillShade="D9"/>
            <w:vAlign w:val="center"/>
          </w:tcPr>
          <w:p w14:paraId="6212CB1D">
            <w:pPr>
              <w:widowControl w:val="0"/>
              <w:spacing w:line="240" w:lineRule="auto"/>
              <w:jc w:val="center"/>
              <w:rPr>
                <w:rFonts w:hint="eastAsia" w:ascii="宋体" w:hAnsi="宋体" w:cs="宋体"/>
                <w:sz w:val="21"/>
                <w:szCs w:val="20"/>
              </w:rPr>
            </w:pPr>
            <w:r>
              <w:rPr>
                <w:rFonts w:hint="eastAsia" w:ascii="宋体" w:hAnsi="宋体" w:cs="宋体"/>
                <w:sz w:val="21"/>
                <w:szCs w:val="20"/>
              </w:rPr>
              <w:t>土地利用类型</w:t>
            </w:r>
          </w:p>
        </w:tc>
        <w:tc>
          <w:tcPr>
            <w:tcW w:w="849" w:type="dxa"/>
            <w:shd w:val="clear" w:color="auto" w:fill="D8D8D8" w:themeFill="background1" w:themeFillShade="D9"/>
            <w:vAlign w:val="center"/>
          </w:tcPr>
          <w:p w14:paraId="69A146CC">
            <w:pPr>
              <w:widowControl w:val="0"/>
              <w:spacing w:line="240" w:lineRule="auto"/>
              <w:jc w:val="center"/>
              <w:rPr>
                <w:rFonts w:hint="eastAsia" w:ascii="宋体" w:hAnsi="宋体" w:cs="宋体"/>
                <w:sz w:val="21"/>
                <w:szCs w:val="20"/>
              </w:rPr>
            </w:pPr>
            <w:r>
              <w:rPr>
                <w:rFonts w:hint="eastAsia" w:ascii="宋体" w:hAnsi="宋体" w:cs="宋体"/>
                <w:sz w:val="21"/>
                <w:szCs w:val="20"/>
              </w:rPr>
              <w:t>糙率n</w:t>
            </w:r>
          </w:p>
        </w:tc>
        <w:tc>
          <w:tcPr>
            <w:tcW w:w="5954" w:type="dxa"/>
            <w:shd w:val="clear" w:color="auto" w:fill="D8D8D8" w:themeFill="background1" w:themeFillShade="D9"/>
            <w:vAlign w:val="center"/>
          </w:tcPr>
          <w:p w14:paraId="51E60D71">
            <w:pPr>
              <w:widowControl w:val="0"/>
              <w:spacing w:line="240" w:lineRule="auto"/>
              <w:jc w:val="center"/>
              <w:rPr>
                <w:rFonts w:hint="eastAsia" w:ascii="宋体" w:hAnsi="宋体" w:cs="宋体"/>
                <w:sz w:val="21"/>
                <w:szCs w:val="20"/>
              </w:rPr>
            </w:pPr>
            <w:r>
              <w:rPr>
                <w:rFonts w:hint="eastAsia" w:ascii="宋体" w:hAnsi="宋体" w:cs="宋体"/>
                <w:sz w:val="21"/>
                <w:szCs w:val="20"/>
              </w:rPr>
              <w:t>备注</w:t>
            </w:r>
          </w:p>
        </w:tc>
      </w:tr>
      <w:tr w14:paraId="7630E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1095" w:type="dxa"/>
            <w:vAlign w:val="center"/>
          </w:tcPr>
          <w:p w14:paraId="67B8D655">
            <w:pPr>
              <w:widowControl w:val="0"/>
              <w:spacing w:line="240" w:lineRule="auto"/>
              <w:jc w:val="center"/>
              <w:rPr>
                <w:rFonts w:hint="eastAsia" w:ascii="宋体" w:hAnsi="宋体" w:cs="宋体"/>
                <w:sz w:val="21"/>
                <w:szCs w:val="20"/>
              </w:rPr>
            </w:pPr>
            <w:r>
              <w:rPr>
                <w:rFonts w:hint="eastAsia" w:ascii="宋体" w:hAnsi="宋体" w:cs="宋体"/>
                <w:sz w:val="21"/>
                <w:szCs w:val="20"/>
              </w:rPr>
              <w:t>居民地</w:t>
            </w:r>
          </w:p>
        </w:tc>
        <w:tc>
          <w:tcPr>
            <w:tcW w:w="849" w:type="dxa"/>
            <w:vAlign w:val="center"/>
          </w:tcPr>
          <w:p w14:paraId="38F74F46">
            <w:pPr>
              <w:widowControl w:val="0"/>
              <w:spacing w:line="240" w:lineRule="auto"/>
              <w:jc w:val="center"/>
              <w:rPr>
                <w:rFonts w:hint="eastAsia" w:ascii="宋体" w:hAnsi="宋体" w:cs="宋体"/>
                <w:sz w:val="21"/>
                <w:szCs w:val="20"/>
              </w:rPr>
            </w:pPr>
            <w:r>
              <w:rPr>
                <w:rFonts w:hint="eastAsia" w:ascii="宋体" w:hAnsi="宋体" w:cs="宋体"/>
                <w:sz w:val="21"/>
                <w:szCs w:val="20"/>
              </w:rPr>
              <w:t>0.07</w:t>
            </w:r>
          </w:p>
        </w:tc>
        <w:tc>
          <w:tcPr>
            <w:tcW w:w="5954" w:type="dxa"/>
            <w:vAlign w:val="center"/>
          </w:tcPr>
          <w:p w14:paraId="7F74C48A">
            <w:pPr>
              <w:widowControl w:val="0"/>
              <w:spacing w:line="240" w:lineRule="auto"/>
              <w:jc w:val="center"/>
              <w:rPr>
                <w:rFonts w:hint="eastAsia" w:ascii="宋体" w:hAnsi="宋体" w:cs="宋体"/>
                <w:sz w:val="21"/>
                <w:szCs w:val="20"/>
              </w:rPr>
            </w:pPr>
            <w:r>
              <w:rPr>
                <w:rFonts w:hint="eastAsia" w:ascii="宋体" w:hAnsi="宋体" w:cs="宋体"/>
                <w:sz w:val="21"/>
                <w:szCs w:val="20"/>
              </w:rPr>
              <w:t>村庄、城镇房屋等</w:t>
            </w:r>
          </w:p>
        </w:tc>
      </w:tr>
      <w:tr w14:paraId="42059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1095" w:type="dxa"/>
            <w:vAlign w:val="center"/>
          </w:tcPr>
          <w:p w14:paraId="3CAAD45A">
            <w:pPr>
              <w:widowControl w:val="0"/>
              <w:spacing w:line="240" w:lineRule="auto"/>
              <w:jc w:val="center"/>
              <w:rPr>
                <w:rFonts w:hint="eastAsia" w:ascii="宋体" w:hAnsi="宋体" w:cs="宋体"/>
                <w:sz w:val="21"/>
                <w:szCs w:val="20"/>
              </w:rPr>
            </w:pPr>
            <w:r>
              <w:rPr>
                <w:rFonts w:hint="eastAsia" w:ascii="宋体" w:hAnsi="宋体" w:cs="宋体"/>
                <w:sz w:val="21"/>
                <w:szCs w:val="20"/>
              </w:rPr>
              <w:t>树丛</w:t>
            </w:r>
          </w:p>
        </w:tc>
        <w:tc>
          <w:tcPr>
            <w:tcW w:w="849" w:type="dxa"/>
            <w:vAlign w:val="center"/>
          </w:tcPr>
          <w:p w14:paraId="07C44067">
            <w:pPr>
              <w:widowControl w:val="0"/>
              <w:spacing w:line="240" w:lineRule="auto"/>
              <w:jc w:val="center"/>
              <w:rPr>
                <w:rFonts w:hint="eastAsia" w:ascii="宋体" w:hAnsi="宋体" w:cs="宋体"/>
                <w:sz w:val="21"/>
                <w:szCs w:val="20"/>
              </w:rPr>
            </w:pPr>
            <w:r>
              <w:rPr>
                <w:rFonts w:hint="eastAsia" w:ascii="宋体" w:hAnsi="宋体" w:cs="宋体"/>
                <w:sz w:val="21"/>
                <w:szCs w:val="20"/>
              </w:rPr>
              <w:t>0.065</w:t>
            </w:r>
          </w:p>
        </w:tc>
        <w:tc>
          <w:tcPr>
            <w:tcW w:w="5954" w:type="dxa"/>
            <w:vAlign w:val="center"/>
          </w:tcPr>
          <w:p w14:paraId="28E98715">
            <w:pPr>
              <w:widowControl w:val="0"/>
              <w:spacing w:line="240" w:lineRule="auto"/>
              <w:jc w:val="center"/>
              <w:rPr>
                <w:rFonts w:hint="eastAsia" w:ascii="宋体" w:hAnsi="宋体" w:cs="宋体"/>
                <w:sz w:val="21"/>
                <w:szCs w:val="20"/>
              </w:rPr>
            </w:pPr>
            <w:r>
              <w:rPr>
                <w:rFonts w:hint="eastAsia" w:ascii="宋体" w:hAnsi="宋体" w:cs="宋体"/>
                <w:sz w:val="21"/>
                <w:szCs w:val="20"/>
              </w:rPr>
              <w:t>幼林、竹林、成林、灌木林、果园、茶园、橡胶园、用材林地、防护林、果蔬、林用地等</w:t>
            </w:r>
          </w:p>
        </w:tc>
      </w:tr>
      <w:tr w14:paraId="117B2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3" w:hRule="atLeast"/>
          <w:jc w:val="center"/>
        </w:trPr>
        <w:tc>
          <w:tcPr>
            <w:tcW w:w="1095" w:type="dxa"/>
            <w:vAlign w:val="center"/>
          </w:tcPr>
          <w:p w14:paraId="0EA37E84">
            <w:pPr>
              <w:widowControl w:val="0"/>
              <w:spacing w:line="240" w:lineRule="auto"/>
              <w:jc w:val="center"/>
              <w:rPr>
                <w:rFonts w:ascii="宋体" w:hAnsi="宋体" w:cs="宋体"/>
                <w:sz w:val="21"/>
                <w:szCs w:val="20"/>
              </w:rPr>
            </w:pPr>
            <w:r>
              <w:rPr>
                <w:rFonts w:hint="eastAsia" w:ascii="宋体" w:hAnsi="宋体" w:cs="宋体"/>
                <w:sz w:val="21"/>
                <w:szCs w:val="20"/>
              </w:rPr>
              <w:t>旱田</w:t>
            </w:r>
          </w:p>
        </w:tc>
        <w:tc>
          <w:tcPr>
            <w:tcW w:w="849" w:type="dxa"/>
            <w:vAlign w:val="center"/>
          </w:tcPr>
          <w:p w14:paraId="52985448">
            <w:pPr>
              <w:widowControl w:val="0"/>
              <w:spacing w:line="240" w:lineRule="auto"/>
              <w:jc w:val="center"/>
              <w:rPr>
                <w:rFonts w:ascii="宋体" w:hAnsi="宋体" w:cs="宋体"/>
                <w:sz w:val="21"/>
                <w:szCs w:val="20"/>
              </w:rPr>
            </w:pPr>
            <w:r>
              <w:rPr>
                <w:rFonts w:hint="eastAsia" w:ascii="宋体" w:hAnsi="宋体" w:cs="宋体"/>
                <w:sz w:val="21"/>
                <w:szCs w:val="20"/>
              </w:rPr>
              <w:t>0.06</w:t>
            </w:r>
          </w:p>
        </w:tc>
        <w:tc>
          <w:tcPr>
            <w:tcW w:w="5954" w:type="dxa"/>
            <w:vAlign w:val="center"/>
          </w:tcPr>
          <w:p w14:paraId="42358354">
            <w:pPr>
              <w:widowControl w:val="0"/>
              <w:spacing w:line="240" w:lineRule="auto"/>
              <w:jc w:val="center"/>
              <w:rPr>
                <w:rFonts w:ascii="宋体" w:hAnsi="宋体" w:cs="宋体"/>
                <w:sz w:val="21"/>
                <w:szCs w:val="20"/>
              </w:rPr>
            </w:pPr>
            <w:r>
              <w:rPr>
                <w:rFonts w:hint="eastAsia" w:ascii="宋体" w:hAnsi="宋体" w:cs="宋体"/>
                <w:sz w:val="21"/>
                <w:szCs w:val="20"/>
              </w:rPr>
              <w:t>旱地、城市绿地、草地、高草地、版荒草地、菜地、天然草地、人工牧场、人工绿地、荒草地、农用地、台田、田梗、砂堤、戈壁滩、盐碱地等</w:t>
            </w:r>
          </w:p>
        </w:tc>
      </w:tr>
      <w:tr w14:paraId="3B536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095" w:type="dxa"/>
            <w:vAlign w:val="center"/>
          </w:tcPr>
          <w:p w14:paraId="55967A1F">
            <w:pPr>
              <w:widowControl w:val="0"/>
              <w:spacing w:line="240" w:lineRule="auto"/>
              <w:jc w:val="center"/>
              <w:rPr>
                <w:rFonts w:ascii="宋体" w:hAnsi="宋体" w:cs="宋体"/>
                <w:sz w:val="21"/>
                <w:szCs w:val="20"/>
              </w:rPr>
            </w:pPr>
            <w:r>
              <w:rPr>
                <w:rFonts w:hint="eastAsia" w:ascii="宋体" w:hAnsi="宋体" w:cs="宋体"/>
                <w:sz w:val="21"/>
                <w:szCs w:val="20"/>
              </w:rPr>
              <w:t>水田</w:t>
            </w:r>
          </w:p>
        </w:tc>
        <w:tc>
          <w:tcPr>
            <w:tcW w:w="849" w:type="dxa"/>
            <w:vAlign w:val="center"/>
          </w:tcPr>
          <w:p w14:paraId="794E0207">
            <w:pPr>
              <w:widowControl w:val="0"/>
              <w:spacing w:line="240" w:lineRule="auto"/>
              <w:jc w:val="center"/>
              <w:rPr>
                <w:rFonts w:ascii="宋体" w:hAnsi="宋体" w:cs="宋体"/>
                <w:sz w:val="21"/>
                <w:szCs w:val="20"/>
              </w:rPr>
            </w:pPr>
            <w:r>
              <w:rPr>
                <w:rFonts w:hint="eastAsia" w:ascii="宋体" w:hAnsi="宋体" w:cs="宋体"/>
                <w:sz w:val="21"/>
                <w:szCs w:val="20"/>
              </w:rPr>
              <w:t>0.05</w:t>
            </w:r>
          </w:p>
        </w:tc>
        <w:tc>
          <w:tcPr>
            <w:tcW w:w="5954" w:type="dxa"/>
            <w:vAlign w:val="center"/>
          </w:tcPr>
          <w:p w14:paraId="5EDCB93B">
            <w:pPr>
              <w:widowControl w:val="0"/>
              <w:spacing w:line="240" w:lineRule="auto"/>
              <w:jc w:val="center"/>
              <w:rPr>
                <w:rFonts w:ascii="宋体" w:hAnsi="宋体" w:cs="宋体"/>
                <w:sz w:val="21"/>
                <w:szCs w:val="20"/>
              </w:rPr>
            </w:pPr>
            <w:r>
              <w:rPr>
                <w:rFonts w:hint="eastAsia" w:ascii="宋体" w:hAnsi="宋体" w:cs="宋体"/>
                <w:sz w:val="21"/>
                <w:szCs w:val="20"/>
              </w:rPr>
              <w:t>稻田、水生作物、沼泽地、盐田盐场等</w:t>
            </w:r>
          </w:p>
        </w:tc>
      </w:tr>
      <w:tr w14:paraId="28A131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095" w:type="dxa"/>
            <w:vAlign w:val="center"/>
          </w:tcPr>
          <w:p w14:paraId="47B58D16">
            <w:pPr>
              <w:widowControl w:val="0"/>
              <w:spacing w:line="240" w:lineRule="auto"/>
              <w:jc w:val="center"/>
              <w:rPr>
                <w:rFonts w:ascii="宋体" w:hAnsi="宋体" w:cs="宋体"/>
                <w:sz w:val="21"/>
                <w:szCs w:val="20"/>
              </w:rPr>
            </w:pPr>
            <w:r>
              <w:rPr>
                <w:rFonts w:hint="eastAsia" w:ascii="宋体" w:hAnsi="宋体" w:cs="宋体"/>
                <w:sz w:val="21"/>
                <w:szCs w:val="20"/>
              </w:rPr>
              <w:t>空地</w:t>
            </w:r>
          </w:p>
        </w:tc>
        <w:tc>
          <w:tcPr>
            <w:tcW w:w="849" w:type="dxa"/>
            <w:vAlign w:val="center"/>
          </w:tcPr>
          <w:p w14:paraId="432A2A11">
            <w:pPr>
              <w:widowControl w:val="0"/>
              <w:spacing w:line="240" w:lineRule="auto"/>
              <w:jc w:val="center"/>
              <w:rPr>
                <w:rFonts w:ascii="宋体" w:hAnsi="宋体" w:cs="宋体"/>
                <w:sz w:val="21"/>
                <w:szCs w:val="20"/>
              </w:rPr>
            </w:pPr>
            <w:r>
              <w:rPr>
                <w:rFonts w:hint="eastAsia" w:ascii="宋体" w:hAnsi="宋体" w:cs="宋体"/>
                <w:sz w:val="21"/>
                <w:szCs w:val="20"/>
              </w:rPr>
              <w:t>0.035</w:t>
            </w:r>
          </w:p>
        </w:tc>
        <w:tc>
          <w:tcPr>
            <w:tcW w:w="5954" w:type="dxa"/>
            <w:vAlign w:val="center"/>
          </w:tcPr>
          <w:p w14:paraId="6728261C">
            <w:pPr>
              <w:widowControl w:val="0"/>
              <w:spacing w:line="240" w:lineRule="auto"/>
              <w:jc w:val="center"/>
              <w:rPr>
                <w:rFonts w:ascii="宋体" w:hAnsi="宋体" w:cs="宋体"/>
                <w:sz w:val="21"/>
                <w:szCs w:val="20"/>
              </w:rPr>
            </w:pPr>
            <w:r>
              <w:rPr>
                <w:rFonts w:hint="eastAsia" w:ascii="宋体" w:hAnsi="宋体" w:cs="宋体"/>
                <w:sz w:val="21"/>
                <w:szCs w:val="20"/>
              </w:rPr>
              <w:t>防火带</w:t>
            </w:r>
          </w:p>
        </w:tc>
      </w:tr>
    </w:tbl>
    <w:p w14:paraId="41D26BE2">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二维水动力模型采用有限体积法对二维浅水方程进行数值离散，通过近似黎曼解进行控制单元界面上通量计算，采用二阶数值重构法对变量进行空间插值，采用并行计算在不降低精度条件下实现高速运算。二维水动力模型采用精细化建模方式，充分利用高精度地形数据</w:t>
      </w:r>
      <w:r>
        <w:rPr>
          <w:rStyle w:val="48"/>
          <w:rFonts w:hint="eastAsia" w:ascii="宋体" w:hAnsi="宋体" w:cs="宋体"/>
          <w:color w:val="000000" w:themeColor="text1"/>
          <w:sz w:val="28"/>
          <w:szCs w:val="28"/>
          <w:highlight w:val="none"/>
          <w:lang w:eastAsia="zh-CN"/>
          <w14:textFill>
            <w14:solidFill>
              <w14:schemeClr w14:val="tx1"/>
            </w14:solidFill>
          </w14:textFill>
        </w:rPr>
        <w:t>，对二维计算区域网格进行高程赋值</w:t>
      </w:r>
      <w:r>
        <w:rPr>
          <w:rStyle w:val="48"/>
          <w:rFonts w:hint="eastAsia" w:ascii="宋体" w:hAnsi="宋体" w:eastAsia="宋体" w:cs="宋体"/>
          <w:color w:val="000000" w:themeColor="text1"/>
          <w:sz w:val="28"/>
          <w:szCs w:val="28"/>
          <w:highlight w:val="none"/>
          <w14:textFill>
            <w14:solidFill>
              <w14:schemeClr w14:val="tx1"/>
            </w14:solidFill>
          </w14:textFill>
        </w:rPr>
        <w:t>。</w:t>
      </w:r>
    </w:p>
    <w:p w14:paraId="59C10D33">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二维水动力模型构建应支持网格精细化剖分、网格糙率设置、上下游边界条件设置、网格质量检查等功能</w:t>
      </w:r>
      <w:r>
        <w:rPr>
          <w:rStyle w:val="48"/>
          <w:rFonts w:hint="eastAsia" w:ascii="宋体" w:hAnsi="宋体" w:cs="宋体"/>
          <w:color w:val="000000" w:themeColor="text1"/>
          <w:sz w:val="28"/>
          <w:szCs w:val="28"/>
          <w:highlight w:val="none"/>
          <w:lang w:eastAsia="zh-CN"/>
          <w14:textFill>
            <w14:solidFill>
              <w14:schemeClr w14:val="tx1"/>
            </w14:solidFill>
          </w14:textFill>
        </w:rPr>
        <w:t>，</w:t>
      </w:r>
      <w:r>
        <w:rPr>
          <w:rStyle w:val="48"/>
          <w:rFonts w:hint="eastAsia" w:ascii="宋体" w:hAnsi="宋体" w:cs="宋体"/>
          <w:color w:val="000000" w:themeColor="text1"/>
          <w:sz w:val="28"/>
          <w:szCs w:val="28"/>
          <w:highlight w:val="none"/>
          <w:lang w:val="en-US" w:eastAsia="zh-CN"/>
          <w14:textFill>
            <w14:solidFill>
              <w14:schemeClr w14:val="tx1"/>
            </w14:solidFill>
          </w14:textFill>
        </w:rPr>
        <w:t>主要参数包括干湿边界中干湿阈值设置、库朗数（CFL）设置、洪水判断参数设置和功能控制参数设置</w:t>
      </w:r>
      <w:r>
        <w:rPr>
          <w:rStyle w:val="48"/>
          <w:rFonts w:hint="eastAsia" w:ascii="宋体" w:hAnsi="宋体" w:eastAsia="宋体" w:cs="宋体"/>
          <w:color w:val="000000" w:themeColor="text1"/>
          <w:sz w:val="28"/>
          <w:szCs w:val="28"/>
          <w:highlight w:val="none"/>
          <w14:textFill>
            <w14:solidFill>
              <w14:schemeClr w14:val="tx1"/>
            </w14:solidFill>
          </w14:textFill>
        </w:rPr>
        <w:t>。</w:t>
      </w:r>
    </w:p>
    <w:p w14:paraId="465FE364">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一、二维模型引擎能够满足以下需求：</w:t>
      </w:r>
    </w:p>
    <w:p w14:paraId="19A1DDBE">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lang w:eastAsia="zh-CN"/>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（1）适用范围：一维河网模型能够满足</w:t>
      </w:r>
      <w:r>
        <w:rPr>
          <w:rStyle w:val="48"/>
          <w:rFonts w:hint="eastAsia" w:ascii="宋体" w:hAnsi="宋体" w:cs="宋体"/>
          <w:color w:val="000000" w:themeColor="text1"/>
          <w:sz w:val="28"/>
          <w:szCs w:val="28"/>
          <w:highlight w:val="none"/>
          <w:lang w:val="en-US" w:eastAsia="zh-CN"/>
          <w14:textFill>
            <w14:solidFill>
              <w14:schemeClr w14:val="tx1"/>
            </w14:solidFill>
          </w14:textFill>
        </w:rPr>
        <w:t>223条中小河流</w:t>
      </w:r>
      <w:r>
        <w:rPr>
          <w:rStyle w:val="48"/>
          <w:rFonts w:hint="eastAsia" w:ascii="宋体" w:hAnsi="宋体" w:eastAsia="宋体" w:cs="宋体"/>
          <w:color w:val="000000" w:themeColor="text1"/>
          <w:sz w:val="28"/>
          <w:szCs w:val="28"/>
          <w:highlight w:val="none"/>
          <w14:textFill>
            <w14:solidFill>
              <w14:schemeClr w14:val="tx1"/>
            </w14:solidFill>
          </w14:textFill>
        </w:rPr>
        <w:t>流域河道洪水模拟，二维水动力模型能够满足</w:t>
      </w:r>
      <w:r>
        <w:rPr>
          <w:rStyle w:val="48"/>
          <w:rFonts w:hint="eastAsia" w:ascii="宋体" w:hAnsi="宋体" w:cs="宋体"/>
          <w:color w:val="000000" w:themeColor="text1"/>
          <w:sz w:val="28"/>
          <w:szCs w:val="28"/>
          <w:highlight w:val="none"/>
          <w:lang w:val="en-US" w:eastAsia="zh-CN"/>
          <w14:textFill>
            <w14:solidFill>
              <w14:schemeClr w14:val="tx1"/>
            </w14:solidFill>
          </w14:textFill>
        </w:rPr>
        <w:t>223条中小河流</w:t>
      </w:r>
      <w:r>
        <w:rPr>
          <w:rStyle w:val="48"/>
          <w:rFonts w:hint="eastAsia" w:ascii="宋体" w:hAnsi="宋体" w:eastAsia="宋体" w:cs="宋体"/>
          <w:color w:val="000000" w:themeColor="text1"/>
          <w:sz w:val="28"/>
          <w:szCs w:val="28"/>
          <w:highlight w:val="none"/>
          <w14:textFill>
            <w14:solidFill>
              <w14:schemeClr w14:val="tx1"/>
            </w14:solidFill>
          </w14:textFill>
        </w:rPr>
        <w:t>流域</w:t>
      </w:r>
      <w:r>
        <w:rPr>
          <w:rStyle w:val="48"/>
          <w:rFonts w:hint="eastAsia" w:ascii="宋体" w:hAnsi="宋体" w:cs="宋体"/>
          <w:color w:val="000000" w:themeColor="text1"/>
          <w:sz w:val="28"/>
          <w:szCs w:val="28"/>
          <w:highlight w:val="none"/>
          <w:lang w:val="en-US" w:eastAsia="zh-CN"/>
          <w14:textFill>
            <w14:solidFill>
              <w14:schemeClr w14:val="tx1"/>
            </w14:solidFill>
          </w14:textFill>
        </w:rPr>
        <w:t>河段</w:t>
      </w:r>
      <w:r>
        <w:rPr>
          <w:rStyle w:val="48"/>
          <w:rFonts w:hint="eastAsia" w:ascii="宋体" w:hAnsi="宋体" w:eastAsia="宋体" w:cs="宋体"/>
          <w:color w:val="000000" w:themeColor="text1"/>
          <w:sz w:val="28"/>
          <w:szCs w:val="28"/>
          <w:highlight w:val="none"/>
          <w14:textFill>
            <w14:solidFill>
              <w14:schemeClr w14:val="tx1"/>
            </w14:solidFill>
          </w14:textFill>
        </w:rPr>
        <w:t>洪水</w:t>
      </w:r>
      <w:r>
        <w:rPr>
          <w:rStyle w:val="48"/>
          <w:rFonts w:hint="eastAsia" w:ascii="宋体" w:hAnsi="宋体" w:cs="宋体"/>
          <w:color w:val="000000" w:themeColor="text1"/>
          <w:sz w:val="28"/>
          <w:szCs w:val="28"/>
          <w:highlight w:val="none"/>
          <w:lang w:val="en-US" w:eastAsia="zh-CN"/>
          <w14:textFill>
            <w14:solidFill>
              <w14:schemeClr w14:val="tx1"/>
            </w14:solidFill>
          </w14:textFill>
        </w:rPr>
        <w:t>淹没风险</w:t>
      </w:r>
      <w:r>
        <w:rPr>
          <w:rStyle w:val="48"/>
          <w:rFonts w:hint="eastAsia" w:ascii="宋体" w:hAnsi="宋体" w:eastAsia="宋体" w:cs="宋体"/>
          <w:color w:val="000000" w:themeColor="text1"/>
          <w:sz w:val="28"/>
          <w:szCs w:val="28"/>
          <w:highlight w:val="none"/>
          <w14:textFill>
            <w14:solidFill>
              <w14:schemeClr w14:val="tx1"/>
            </w14:solidFill>
          </w14:textFill>
        </w:rPr>
        <w:t>分析。基于全省中小河流分类</w:t>
      </w:r>
      <w:r>
        <w:rPr>
          <w:rStyle w:val="48"/>
          <w:rFonts w:hint="eastAsia" w:ascii="宋体" w:hAnsi="宋体" w:cs="宋体"/>
          <w:color w:val="000000" w:themeColor="text1"/>
          <w:sz w:val="28"/>
          <w:szCs w:val="28"/>
          <w:highlight w:val="none"/>
          <w:lang w:val="en-US" w:eastAsia="zh-CN"/>
          <w14:textFill>
            <w14:solidFill>
              <w14:schemeClr w14:val="tx1"/>
            </w14:solidFill>
          </w14:textFill>
        </w:rPr>
        <w:t>水文分区</w:t>
      </w:r>
      <w:r>
        <w:rPr>
          <w:rStyle w:val="48"/>
          <w:rFonts w:hint="eastAsia" w:ascii="宋体" w:hAnsi="宋体" w:eastAsia="宋体" w:cs="宋体"/>
          <w:color w:val="000000" w:themeColor="text1"/>
          <w:sz w:val="28"/>
          <w:szCs w:val="28"/>
          <w:highlight w:val="none"/>
          <w14:textFill>
            <w14:solidFill>
              <w14:schemeClr w14:val="tx1"/>
            </w14:solidFill>
          </w14:textFill>
        </w:rPr>
        <w:t>，内置参数库，按</w:t>
      </w:r>
      <w:r>
        <w:rPr>
          <w:rStyle w:val="48"/>
          <w:rFonts w:hint="eastAsia" w:ascii="宋体" w:hAnsi="宋体" w:cs="宋体"/>
          <w:color w:val="000000" w:themeColor="text1"/>
          <w:sz w:val="28"/>
          <w:szCs w:val="28"/>
          <w:highlight w:val="none"/>
          <w:lang w:val="en-US" w:eastAsia="zh-CN"/>
          <w14:textFill>
            <w14:solidFill>
              <w14:schemeClr w14:val="tx1"/>
            </w14:solidFill>
          </w14:textFill>
        </w:rPr>
        <w:t>所在分区的位置</w:t>
      </w:r>
      <w:r>
        <w:rPr>
          <w:rStyle w:val="48"/>
          <w:rFonts w:hint="eastAsia" w:ascii="宋体" w:hAnsi="宋体" w:eastAsia="宋体" w:cs="宋体"/>
          <w:color w:val="000000" w:themeColor="text1"/>
          <w:sz w:val="28"/>
          <w:szCs w:val="28"/>
          <w:highlight w:val="none"/>
          <w14:textFill>
            <w14:solidFill>
              <w14:schemeClr w14:val="tx1"/>
            </w14:solidFill>
          </w14:textFill>
        </w:rPr>
        <w:t>一键调用，减少率定工作量</w:t>
      </w:r>
      <w:r>
        <w:rPr>
          <w:rStyle w:val="48"/>
          <w:rFonts w:hint="eastAsia" w:ascii="宋体" w:hAnsi="宋体" w:cs="宋体"/>
          <w:color w:val="000000" w:themeColor="text1"/>
          <w:sz w:val="28"/>
          <w:szCs w:val="28"/>
          <w:highlight w:val="none"/>
          <w:lang w:eastAsia="zh-CN"/>
          <w14:textFill>
            <w14:solidFill>
              <w14:schemeClr w14:val="tx1"/>
            </w14:solidFill>
          </w14:textFill>
        </w:rPr>
        <w:t>。</w:t>
      </w:r>
    </w:p>
    <w:p w14:paraId="323268F2">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（2）实时分析计算：水文水动力预报分析应通过并行加速、分布式并行等技术实现</w:t>
      </w:r>
      <w:r>
        <w:rPr>
          <w:rStyle w:val="48"/>
          <w:rFonts w:hint="eastAsia" w:ascii="宋体" w:hAnsi="宋体" w:cs="宋体"/>
          <w:color w:val="000000" w:themeColor="text1"/>
          <w:sz w:val="28"/>
          <w:szCs w:val="28"/>
          <w:highlight w:val="none"/>
          <w:lang w:val="en-US" w:eastAsia="zh-CN"/>
          <w14:textFill>
            <w14:solidFill>
              <w14:schemeClr w14:val="tx1"/>
            </w14:solidFill>
          </w14:textFill>
        </w:rPr>
        <w:t>小时</w:t>
      </w:r>
      <w:r>
        <w:rPr>
          <w:rStyle w:val="48"/>
          <w:rFonts w:hint="eastAsia" w:ascii="宋体" w:hAnsi="宋体" w:eastAsia="宋体" w:cs="宋体"/>
          <w:color w:val="000000" w:themeColor="text1"/>
          <w:sz w:val="28"/>
          <w:szCs w:val="28"/>
          <w:highlight w:val="none"/>
          <w14:textFill>
            <w14:solidFill>
              <w14:schemeClr w14:val="tx1"/>
            </w14:solidFill>
          </w14:textFill>
        </w:rPr>
        <w:t>级计算。</w:t>
      </w:r>
    </w:p>
    <w:p w14:paraId="12B310B3">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（3）模型通用性：模型引擎具有通用性和可扩展性，方便系统集成及推广。</w:t>
      </w:r>
    </w:p>
    <w:p w14:paraId="55F8CB49">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lang w:eastAsia="zh-CN"/>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（4）建模软件工具：能提供独立和完备的二维网格剖分工具，能够适应研究区域复杂内部边界情况下的网格剖分需求。支持导入DEM（SRTM/ASTER GDEM）、河道断面（CAD/CSV）、土地利用（遥感解译图），自动生成一维河道网络（提取河网中心线+断面插值）与二维非结构网格</w:t>
      </w:r>
      <w:r>
        <w:rPr>
          <w:rStyle w:val="48"/>
          <w:rFonts w:hint="eastAsia" w:ascii="宋体" w:hAnsi="宋体" w:cs="宋体"/>
          <w:color w:val="000000" w:themeColor="text1"/>
          <w:sz w:val="28"/>
          <w:szCs w:val="28"/>
          <w:highlight w:val="none"/>
          <w:lang w:eastAsia="zh-CN"/>
          <w14:textFill>
            <w14:solidFill>
              <w14:schemeClr w14:val="tx1"/>
            </w14:solidFill>
          </w14:textFill>
        </w:rPr>
        <w:t>，自动识别河道与淹没区交界区域，推荐耦合断面位置（如河道出口、支流汇入点），可手动调整，生成“一二维耦合模型配置文件”。</w:t>
      </w:r>
    </w:p>
    <w:p w14:paraId="0C8AD37B">
      <w:pPr>
        <w:pStyle w:val="52"/>
        <w:pageBreakBefore w:val="0"/>
        <w:numPr>
          <w:ilvl w:val="0"/>
          <w:numId w:val="1"/>
        </w:numPr>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动态可视化展示</w:t>
      </w:r>
    </w:p>
    <w:p w14:paraId="638D0D0B">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lang w:eastAsia="zh-CN"/>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根据沟道洪水建模、洪水淹没建模、耦合建模所建立的一二维耦合水动力模型，提供二维动态可视化展示，实时渲染洪水演进全过程，支持时间轴控制</w:t>
      </w:r>
      <w:r>
        <w:rPr>
          <w:rStyle w:val="48"/>
          <w:rFonts w:hint="eastAsia" w:ascii="宋体" w:hAnsi="宋体" w:cs="宋体"/>
          <w:color w:val="000000" w:themeColor="text1"/>
          <w:sz w:val="28"/>
          <w:szCs w:val="28"/>
          <w:highlight w:val="none"/>
          <w:lang w:eastAsia="zh-CN"/>
          <w14:textFill>
            <w14:solidFill>
              <w14:schemeClr w14:val="tx1"/>
            </w14:solidFill>
          </w14:textFill>
        </w:rPr>
        <w:t>，保证流畅性；支持多视角切换、缩放查看，允许用户自定义图层管理，适配大屏、PC端设备显示</w:t>
      </w:r>
      <w:r>
        <w:rPr>
          <w:rStyle w:val="48"/>
          <w:rFonts w:hint="eastAsia" w:ascii="宋体" w:hAnsi="宋体" w:eastAsia="宋体" w:cs="宋体"/>
          <w:color w:val="000000" w:themeColor="text1"/>
          <w:sz w:val="28"/>
          <w:szCs w:val="28"/>
          <w:highlight w:val="none"/>
          <w:lang w:eastAsia="zh-CN"/>
          <w14:textFill>
            <w14:solidFill>
              <w14:schemeClr w14:val="tx1"/>
            </w14:solidFill>
          </w14:textFill>
        </w:rPr>
        <w:t>。</w:t>
      </w:r>
    </w:p>
    <w:p w14:paraId="76C66070">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可视化功能要求：需提供二维动态可视化展示功能，直观呈现洪水演进全过程，支持可视化内容的实时更新与动态回放。</w:t>
      </w:r>
    </w:p>
    <w:p w14:paraId="11AB9C9E">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展示内容要求：可视化展示需涵盖洪水淹没范围、水位时空分布、流速时空分布等核心信息，可清晰呈现洪峰推进轨迹、淹没区域变化、重点区域（城镇、堤防、低洼易涝区）淹没情况，支持多视角切换、缩放查看，便于相关人员快速掌握洪水演进态势，提升应急处置的直观性和高效性。</w:t>
      </w:r>
    </w:p>
    <w:p w14:paraId="5F170F0C">
      <w:pPr>
        <w:pStyle w:val="52"/>
        <w:pageBreakBefore w:val="0"/>
        <w:numPr>
          <w:ilvl w:val="0"/>
          <w:numId w:val="1"/>
        </w:numPr>
        <w:kinsoku/>
        <w:wordWrap/>
        <w:overflowPunct/>
        <w:topLinePunct w:val="0"/>
        <w:autoSpaceDE/>
        <w:autoSpaceDN/>
        <w:bidi w:val="0"/>
        <w:adjustRightInd/>
        <w:snapToGrid/>
        <w:spacing w:after="0" w:line="360" w:lineRule="auto"/>
        <w:ind w:left="0" w:leftChars="0" w:firstLine="560" w:firstLineChars="200"/>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业务接口集成</w:t>
      </w:r>
    </w:p>
    <w:p w14:paraId="65FE61EE">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接口标准化要求：需采用标准化API接口设计，确保接口的通用性、兼容性和安全性，接口技术规范需符合行业相关标准及江西本地水利业务系统接入要求。</w:t>
      </w:r>
    </w:p>
    <w:p w14:paraId="7A7A69F2">
      <w:pPr>
        <w:pageBreakBefore w:val="0"/>
        <w:widowControl/>
        <w:kinsoku/>
        <w:wordWrap/>
        <w:overflowPunct/>
        <w:topLinePunct w:val="0"/>
        <w:autoSpaceDE/>
        <w:autoSpaceDN/>
        <w:bidi w:val="0"/>
        <w:adjustRightInd/>
        <w:snapToGrid/>
        <w:spacing w:after="0" w:line="360" w:lineRule="auto"/>
        <w:ind w:left="0" w:leftChars="0" w:firstLine="560" w:firstLineChars="200"/>
        <w:jc w:val="left"/>
        <w:rPr>
          <w:rStyle w:val="48"/>
          <w:rFonts w:hint="eastAsia" w:ascii="宋体" w:hAnsi="宋体" w:eastAsia="宋体" w:cs="宋体"/>
          <w:color w:val="000000" w:themeColor="text1"/>
          <w:sz w:val="28"/>
          <w:szCs w:val="28"/>
          <w:highlight w:val="none"/>
          <w14:textFill>
            <w14:solidFill>
              <w14:schemeClr w14:val="tx1"/>
            </w14:solidFill>
          </w14:textFill>
        </w:rPr>
      </w:pPr>
      <w:r>
        <w:rPr>
          <w:rStyle w:val="48"/>
          <w:rFonts w:hint="eastAsia" w:ascii="宋体" w:hAnsi="宋体" w:eastAsia="宋体" w:cs="宋体"/>
          <w:color w:val="000000" w:themeColor="text1"/>
          <w:sz w:val="28"/>
          <w:szCs w:val="28"/>
          <w:highlight w:val="none"/>
          <w14:textFill>
            <w14:solidFill>
              <w14:schemeClr w14:val="tx1"/>
            </w14:solidFill>
          </w14:textFill>
        </w:rPr>
        <w:t>系统对接要求：需实现与江西水情服务系统、中小河流洪水预警系统的无缝对接，支持水动力模拟结果、模拟方案构建成果的共享共用，能够将模拟数据实时推送至上述系统，同时可接收系统反馈的基础数据、预警信息等，实现业务数据互通、协同联动，提升中小河流洪水防御业务的一体化水平。</w:t>
      </w:r>
    </w:p>
    <w:p w14:paraId="1F214CAD">
      <w:pPr>
        <w:pStyle w:val="20"/>
        <w:ind w:firstLine="300"/>
        <w:rPr>
          <w:rFonts w:hint="eastAsia"/>
          <w:color w:val="auto"/>
          <w:lang w:eastAsia="zh-CN"/>
        </w:rPr>
      </w:pPr>
      <w:bookmarkStart w:id="4" w:name="_GoBack"/>
      <w:bookmarkEnd w:id="4"/>
    </w:p>
    <w:sectPr>
      <w:footerReference r:id="rId3" w:type="default"/>
      <w:pgSz w:w="11906" w:h="16839"/>
      <w:pgMar w:top="1066" w:right="1304" w:bottom="98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5B01C6A-22AB-4467-A6B4-EAD04011FE2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方正小标宋简体">
    <w:altName w:val="黑体"/>
    <w:panose1 w:val="02010601030101010101"/>
    <w:charset w:val="86"/>
    <w:family w:val="auto"/>
    <w:pitch w:val="default"/>
    <w:sig w:usb0="00000000" w:usb1="00000000" w:usb2="00000010" w:usb3="00000000" w:csb0="00040000" w:csb1="00000000"/>
  </w:font>
  <w:font w:name="Cambria Math">
    <w:panose1 w:val="02040503050406030204"/>
    <w:charset w:val="00"/>
    <w:family w:val="roman"/>
    <w:pitch w:val="default"/>
    <w:sig w:usb0="E00006FF" w:usb1="420024FF" w:usb2="02000000" w:usb3="00000000" w:csb0="2000019F" w:csb1="00000000"/>
    <w:embedRegular r:id="rId2" w:fontKey="{9F149DBD-3B72-4960-9C22-4EE25BE03BD2}"/>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539202">
    <w:pPr>
      <w:pStyle w:val="14"/>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42CE405">
                          <w:pPr>
                            <w:pStyle w:val="14"/>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1Ob0EtAgAAV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1Ob0EtAgAAVwQAAA4AAAAAAAAAAQAgAAAAHwEAAGRycy9lMm9Eb2MueG1sUEsFBgAAAAAG&#10;AAYAWQEAAL4FAAAAAA==&#10;">
              <v:fill on="f" focussize="0,0"/>
              <v:stroke on="f" weight="0.5pt"/>
              <v:imagedata o:title=""/>
              <o:lock v:ext="edit" aspectratio="f"/>
              <v:textbox inset="0mm,0mm,0mm,0mm" style="mso-fit-shape-to-text:t;">
                <w:txbxContent>
                  <w:p w14:paraId="242CE405">
                    <w:pPr>
                      <w:pStyle w:val="14"/>
                    </w:pPr>
                    <w:r>
                      <w:fldChar w:fldCharType="begin"/>
                    </w:r>
                    <w:r>
                      <w:instrText xml:space="preserve"> PAGE  \* MERGEFORMAT </w:instrText>
                    </w:r>
                    <w:r>
                      <w:fldChar w:fldCharType="separate"/>
                    </w:r>
                    <w:r>
                      <w:t>61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B33BD8"/>
    <w:multiLevelType w:val="multilevel"/>
    <w:tmpl w:val="5AB33BD8"/>
    <w:lvl w:ilvl="0" w:tentative="0">
      <w:start w:val="1"/>
      <w:numFmt w:val="decimal"/>
      <w:lvlText w:val="%1）"/>
      <w:lvlJc w:val="left"/>
      <w:pPr>
        <w:ind w:left="994" w:hanging="432"/>
      </w:pPr>
      <w:rPr>
        <w:rFonts w:hint="default" w:cs="宋体"/>
      </w:rPr>
    </w:lvl>
    <w:lvl w:ilvl="1" w:tentative="0">
      <w:start w:val="1"/>
      <w:numFmt w:val="lowerLetter"/>
      <w:lvlText w:val="%2)"/>
      <w:lvlJc w:val="left"/>
      <w:pPr>
        <w:ind w:left="1402" w:hanging="420"/>
      </w:pPr>
    </w:lvl>
    <w:lvl w:ilvl="2" w:tentative="0">
      <w:start w:val="1"/>
      <w:numFmt w:val="lowerRoman"/>
      <w:lvlText w:val="%3."/>
      <w:lvlJc w:val="right"/>
      <w:pPr>
        <w:ind w:left="1822" w:hanging="420"/>
      </w:pPr>
    </w:lvl>
    <w:lvl w:ilvl="3" w:tentative="0">
      <w:start w:val="1"/>
      <w:numFmt w:val="decimal"/>
      <w:lvlText w:val="%4."/>
      <w:lvlJc w:val="left"/>
      <w:pPr>
        <w:ind w:left="2242" w:hanging="420"/>
      </w:pPr>
    </w:lvl>
    <w:lvl w:ilvl="4" w:tentative="0">
      <w:start w:val="1"/>
      <w:numFmt w:val="lowerLetter"/>
      <w:lvlText w:val="%5)"/>
      <w:lvlJc w:val="left"/>
      <w:pPr>
        <w:ind w:left="2662" w:hanging="420"/>
      </w:pPr>
    </w:lvl>
    <w:lvl w:ilvl="5" w:tentative="0">
      <w:start w:val="1"/>
      <w:numFmt w:val="lowerRoman"/>
      <w:lvlText w:val="%6."/>
      <w:lvlJc w:val="right"/>
      <w:pPr>
        <w:ind w:left="3082" w:hanging="420"/>
      </w:pPr>
    </w:lvl>
    <w:lvl w:ilvl="6" w:tentative="0">
      <w:start w:val="1"/>
      <w:numFmt w:val="decimal"/>
      <w:lvlText w:val="%7."/>
      <w:lvlJc w:val="left"/>
      <w:pPr>
        <w:ind w:left="3502" w:hanging="420"/>
      </w:pPr>
    </w:lvl>
    <w:lvl w:ilvl="7" w:tentative="0">
      <w:start w:val="1"/>
      <w:numFmt w:val="lowerLetter"/>
      <w:lvlText w:val="%8)"/>
      <w:lvlJc w:val="left"/>
      <w:pPr>
        <w:ind w:left="3922" w:hanging="420"/>
      </w:pPr>
    </w:lvl>
    <w:lvl w:ilvl="8" w:tentative="0">
      <w:start w:val="1"/>
      <w:numFmt w:val="lowerRoman"/>
      <w:lvlText w:val="%9."/>
      <w:lvlJc w:val="right"/>
      <w:pPr>
        <w:ind w:left="434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displayBackgroundShape w:val="1"/>
  <w:embedTrueTypeFonts/>
  <w:saveSubsetFonts/>
  <w:bordersDoNotSurroundHeader w:val="1"/>
  <w:bordersDoNotSurroundFooter w:val="1"/>
  <w:documentProtection w:enforcement="0"/>
  <w:defaultTabStop w:val="421"/>
  <w:noPunctuationKerning w:val="1"/>
  <w:characterSpacingControl w:val="doNotCompress"/>
  <w:compat>
    <w:spaceForUL/>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740AB"/>
    <w:rsid w:val="001C19A8"/>
    <w:rsid w:val="0022384E"/>
    <w:rsid w:val="00242EDE"/>
    <w:rsid w:val="0031198B"/>
    <w:rsid w:val="00357462"/>
    <w:rsid w:val="003C376A"/>
    <w:rsid w:val="003E7AEE"/>
    <w:rsid w:val="00412A37"/>
    <w:rsid w:val="004E6C2D"/>
    <w:rsid w:val="005D75BC"/>
    <w:rsid w:val="006308AB"/>
    <w:rsid w:val="00696DCD"/>
    <w:rsid w:val="00787A5C"/>
    <w:rsid w:val="007E67FB"/>
    <w:rsid w:val="007E7821"/>
    <w:rsid w:val="00847DE1"/>
    <w:rsid w:val="008627B5"/>
    <w:rsid w:val="008826C5"/>
    <w:rsid w:val="009719E1"/>
    <w:rsid w:val="009A7715"/>
    <w:rsid w:val="00A95A9A"/>
    <w:rsid w:val="00AE60C8"/>
    <w:rsid w:val="00B47EC6"/>
    <w:rsid w:val="00B8739F"/>
    <w:rsid w:val="00BA31E0"/>
    <w:rsid w:val="00C57E89"/>
    <w:rsid w:val="00CD47AB"/>
    <w:rsid w:val="00D07A1D"/>
    <w:rsid w:val="00D6521D"/>
    <w:rsid w:val="00E4718F"/>
    <w:rsid w:val="00F72BE7"/>
    <w:rsid w:val="013D404E"/>
    <w:rsid w:val="014707D5"/>
    <w:rsid w:val="0183453D"/>
    <w:rsid w:val="01C0501B"/>
    <w:rsid w:val="01D856D2"/>
    <w:rsid w:val="01E178D6"/>
    <w:rsid w:val="01F176F8"/>
    <w:rsid w:val="023D46EC"/>
    <w:rsid w:val="02F62DEB"/>
    <w:rsid w:val="03A14F29"/>
    <w:rsid w:val="044D1E30"/>
    <w:rsid w:val="047C47B6"/>
    <w:rsid w:val="04F64D19"/>
    <w:rsid w:val="04FA27AC"/>
    <w:rsid w:val="052B325D"/>
    <w:rsid w:val="055600A9"/>
    <w:rsid w:val="05F07017"/>
    <w:rsid w:val="062D088E"/>
    <w:rsid w:val="06877F17"/>
    <w:rsid w:val="06F25881"/>
    <w:rsid w:val="07501AC6"/>
    <w:rsid w:val="076566A7"/>
    <w:rsid w:val="079A2F4B"/>
    <w:rsid w:val="07B64740"/>
    <w:rsid w:val="081F5E69"/>
    <w:rsid w:val="0893590C"/>
    <w:rsid w:val="08D800EA"/>
    <w:rsid w:val="08D86F1C"/>
    <w:rsid w:val="098C4275"/>
    <w:rsid w:val="099C2AD0"/>
    <w:rsid w:val="09E36E7B"/>
    <w:rsid w:val="0A5474C3"/>
    <w:rsid w:val="0A5F7AD5"/>
    <w:rsid w:val="0A630BD7"/>
    <w:rsid w:val="0AAA50E9"/>
    <w:rsid w:val="0ABB6AF5"/>
    <w:rsid w:val="0B212C64"/>
    <w:rsid w:val="0B3C7C36"/>
    <w:rsid w:val="0B614FF2"/>
    <w:rsid w:val="0B8D0492"/>
    <w:rsid w:val="0BCE5A19"/>
    <w:rsid w:val="0BD25EA5"/>
    <w:rsid w:val="0C027923"/>
    <w:rsid w:val="0C1E16F8"/>
    <w:rsid w:val="0C3B4061"/>
    <w:rsid w:val="0C4F6BDA"/>
    <w:rsid w:val="0D9E6F5F"/>
    <w:rsid w:val="0DB63714"/>
    <w:rsid w:val="0DBF7C0D"/>
    <w:rsid w:val="0DD264ED"/>
    <w:rsid w:val="0DD809E2"/>
    <w:rsid w:val="0DE84CCE"/>
    <w:rsid w:val="0E045967"/>
    <w:rsid w:val="0E306947"/>
    <w:rsid w:val="0E52340E"/>
    <w:rsid w:val="0E7A2A88"/>
    <w:rsid w:val="0EAA115A"/>
    <w:rsid w:val="0F8346BB"/>
    <w:rsid w:val="0FA80009"/>
    <w:rsid w:val="0FAD17DF"/>
    <w:rsid w:val="0FAE5D7D"/>
    <w:rsid w:val="107F306E"/>
    <w:rsid w:val="10D80401"/>
    <w:rsid w:val="114948FA"/>
    <w:rsid w:val="119D0D43"/>
    <w:rsid w:val="11CB5781"/>
    <w:rsid w:val="121E36B7"/>
    <w:rsid w:val="126757A9"/>
    <w:rsid w:val="128B5679"/>
    <w:rsid w:val="1292624E"/>
    <w:rsid w:val="12955EB0"/>
    <w:rsid w:val="129C0FBA"/>
    <w:rsid w:val="129D2A07"/>
    <w:rsid w:val="139F6FB4"/>
    <w:rsid w:val="143E0B0F"/>
    <w:rsid w:val="14B561ED"/>
    <w:rsid w:val="14F13A81"/>
    <w:rsid w:val="1538599A"/>
    <w:rsid w:val="155802A4"/>
    <w:rsid w:val="158B0678"/>
    <w:rsid w:val="15A703A2"/>
    <w:rsid w:val="16A356CC"/>
    <w:rsid w:val="173418E5"/>
    <w:rsid w:val="17342109"/>
    <w:rsid w:val="178E538D"/>
    <w:rsid w:val="17D60801"/>
    <w:rsid w:val="182E6B2B"/>
    <w:rsid w:val="18363C5F"/>
    <w:rsid w:val="186009B5"/>
    <w:rsid w:val="18846779"/>
    <w:rsid w:val="18C97898"/>
    <w:rsid w:val="18E4551E"/>
    <w:rsid w:val="18E84F59"/>
    <w:rsid w:val="18F643B3"/>
    <w:rsid w:val="19241D0A"/>
    <w:rsid w:val="193E2DCB"/>
    <w:rsid w:val="196206F1"/>
    <w:rsid w:val="198158BA"/>
    <w:rsid w:val="19DB5E7F"/>
    <w:rsid w:val="19F33BB6"/>
    <w:rsid w:val="1A551963"/>
    <w:rsid w:val="1AAF3BB2"/>
    <w:rsid w:val="1AD0292A"/>
    <w:rsid w:val="1AF44F33"/>
    <w:rsid w:val="1B1E113A"/>
    <w:rsid w:val="1B4548E5"/>
    <w:rsid w:val="1B702014"/>
    <w:rsid w:val="1B8F6D81"/>
    <w:rsid w:val="1BD32665"/>
    <w:rsid w:val="1BD47A17"/>
    <w:rsid w:val="1D085BCA"/>
    <w:rsid w:val="1D74500E"/>
    <w:rsid w:val="1DD800C0"/>
    <w:rsid w:val="1E43791C"/>
    <w:rsid w:val="1EB678A8"/>
    <w:rsid w:val="1F274302"/>
    <w:rsid w:val="1F2952CA"/>
    <w:rsid w:val="1FAB6CE1"/>
    <w:rsid w:val="20026D16"/>
    <w:rsid w:val="206155F1"/>
    <w:rsid w:val="207F650F"/>
    <w:rsid w:val="20B54DB2"/>
    <w:rsid w:val="21042B4C"/>
    <w:rsid w:val="210A6AC5"/>
    <w:rsid w:val="213A566A"/>
    <w:rsid w:val="21444A90"/>
    <w:rsid w:val="2195298B"/>
    <w:rsid w:val="21CE72BA"/>
    <w:rsid w:val="22072FB3"/>
    <w:rsid w:val="22112B50"/>
    <w:rsid w:val="224433AA"/>
    <w:rsid w:val="22791318"/>
    <w:rsid w:val="22A85555"/>
    <w:rsid w:val="22FD3CF7"/>
    <w:rsid w:val="23056708"/>
    <w:rsid w:val="234D0A23"/>
    <w:rsid w:val="23746473"/>
    <w:rsid w:val="239F4625"/>
    <w:rsid w:val="23B5012E"/>
    <w:rsid w:val="23C04A55"/>
    <w:rsid w:val="248E1514"/>
    <w:rsid w:val="249C6E84"/>
    <w:rsid w:val="25076D21"/>
    <w:rsid w:val="25533D7B"/>
    <w:rsid w:val="25823163"/>
    <w:rsid w:val="25E2090D"/>
    <w:rsid w:val="25F37706"/>
    <w:rsid w:val="26BE3321"/>
    <w:rsid w:val="2722776F"/>
    <w:rsid w:val="27457A1B"/>
    <w:rsid w:val="274B704D"/>
    <w:rsid w:val="279C2686"/>
    <w:rsid w:val="27EF1D1C"/>
    <w:rsid w:val="28042C4F"/>
    <w:rsid w:val="280660E7"/>
    <w:rsid w:val="28706D19"/>
    <w:rsid w:val="28CF7D70"/>
    <w:rsid w:val="291F3D28"/>
    <w:rsid w:val="29DA5D7B"/>
    <w:rsid w:val="29F02881"/>
    <w:rsid w:val="29F24928"/>
    <w:rsid w:val="2A071140"/>
    <w:rsid w:val="2AB2711F"/>
    <w:rsid w:val="2AC967C3"/>
    <w:rsid w:val="2B020E86"/>
    <w:rsid w:val="2B0F5B99"/>
    <w:rsid w:val="2B5C1158"/>
    <w:rsid w:val="2B6C5691"/>
    <w:rsid w:val="2B797C93"/>
    <w:rsid w:val="2BDA2720"/>
    <w:rsid w:val="2BE93C1A"/>
    <w:rsid w:val="2BED313B"/>
    <w:rsid w:val="2C695F59"/>
    <w:rsid w:val="2CA90A4C"/>
    <w:rsid w:val="2CE90E48"/>
    <w:rsid w:val="2CF55C1F"/>
    <w:rsid w:val="2D5B1D46"/>
    <w:rsid w:val="2D665E74"/>
    <w:rsid w:val="2D99286E"/>
    <w:rsid w:val="2DA9678E"/>
    <w:rsid w:val="2DBB4BC6"/>
    <w:rsid w:val="2DF41412"/>
    <w:rsid w:val="2DF84522"/>
    <w:rsid w:val="2E234DC0"/>
    <w:rsid w:val="2E27059C"/>
    <w:rsid w:val="2E2B0E5E"/>
    <w:rsid w:val="2E5545FD"/>
    <w:rsid w:val="2E575FCC"/>
    <w:rsid w:val="2E693B84"/>
    <w:rsid w:val="2E8645F4"/>
    <w:rsid w:val="2EB108A7"/>
    <w:rsid w:val="2ED9380E"/>
    <w:rsid w:val="2F3C1896"/>
    <w:rsid w:val="2F5F3B7C"/>
    <w:rsid w:val="2FAD15F5"/>
    <w:rsid w:val="2FB63E0A"/>
    <w:rsid w:val="2FC17E5A"/>
    <w:rsid w:val="30136908"/>
    <w:rsid w:val="302A2D00"/>
    <w:rsid w:val="305E1890"/>
    <w:rsid w:val="30677FAE"/>
    <w:rsid w:val="30FF6F51"/>
    <w:rsid w:val="31104BF6"/>
    <w:rsid w:val="31353885"/>
    <w:rsid w:val="314D409C"/>
    <w:rsid w:val="31526CE7"/>
    <w:rsid w:val="316B62D0"/>
    <w:rsid w:val="318178A1"/>
    <w:rsid w:val="31AC0DC2"/>
    <w:rsid w:val="31BA459C"/>
    <w:rsid w:val="31C55E0D"/>
    <w:rsid w:val="31E76326"/>
    <w:rsid w:val="31FE5396"/>
    <w:rsid w:val="321C6AB4"/>
    <w:rsid w:val="3233535A"/>
    <w:rsid w:val="323572F6"/>
    <w:rsid w:val="3292724F"/>
    <w:rsid w:val="329A3D4F"/>
    <w:rsid w:val="32BE2A91"/>
    <w:rsid w:val="33074498"/>
    <w:rsid w:val="330D4250"/>
    <w:rsid w:val="33525E3B"/>
    <w:rsid w:val="33694DA7"/>
    <w:rsid w:val="338843DC"/>
    <w:rsid w:val="33AE791F"/>
    <w:rsid w:val="33F26834"/>
    <w:rsid w:val="3408478C"/>
    <w:rsid w:val="34325184"/>
    <w:rsid w:val="346E1C27"/>
    <w:rsid w:val="34DF14AF"/>
    <w:rsid w:val="34F27B67"/>
    <w:rsid w:val="351F5B3F"/>
    <w:rsid w:val="3522571C"/>
    <w:rsid w:val="35591BE5"/>
    <w:rsid w:val="35FE0154"/>
    <w:rsid w:val="36064E50"/>
    <w:rsid w:val="362863AF"/>
    <w:rsid w:val="36597105"/>
    <w:rsid w:val="36844F22"/>
    <w:rsid w:val="36D178DD"/>
    <w:rsid w:val="37AF0454"/>
    <w:rsid w:val="37D05C01"/>
    <w:rsid w:val="384E10B3"/>
    <w:rsid w:val="38590496"/>
    <w:rsid w:val="38613F89"/>
    <w:rsid w:val="3899102A"/>
    <w:rsid w:val="38B12F90"/>
    <w:rsid w:val="38B62F41"/>
    <w:rsid w:val="38E34C6A"/>
    <w:rsid w:val="39012FAB"/>
    <w:rsid w:val="39225E0E"/>
    <w:rsid w:val="398A76FF"/>
    <w:rsid w:val="39A352DB"/>
    <w:rsid w:val="39D440DC"/>
    <w:rsid w:val="39D96E5F"/>
    <w:rsid w:val="3A1B5E20"/>
    <w:rsid w:val="3A6B125E"/>
    <w:rsid w:val="3A954F3B"/>
    <w:rsid w:val="3ACC4E51"/>
    <w:rsid w:val="3AD218BA"/>
    <w:rsid w:val="3B163B4E"/>
    <w:rsid w:val="3B7E51F7"/>
    <w:rsid w:val="3B8811A4"/>
    <w:rsid w:val="3BAC10D3"/>
    <w:rsid w:val="3BC6514F"/>
    <w:rsid w:val="3C0F220A"/>
    <w:rsid w:val="3C267544"/>
    <w:rsid w:val="3C8C6D91"/>
    <w:rsid w:val="3CD44D29"/>
    <w:rsid w:val="3CDE029E"/>
    <w:rsid w:val="3D36354C"/>
    <w:rsid w:val="3D3831E2"/>
    <w:rsid w:val="3DBB413B"/>
    <w:rsid w:val="3DC93A44"/>
    <w:rsid w:val="3DD11BB1"/>
    <w:rsid w:val="3DED4811"/>
    <w:rsid w:val="3E1D6EB4"/>
    <w:rsid w:val="3E1F3CAD"/>
    <w:rsid w:val="3E292C29"/>
    <w:rsid w:val="3E417CA1"/>
    <w:rsid w:val="3E78615B"/>
    <w:rsid w:val="3E8E35FE"/>
    <w:rsid w:val="3E8F22E6"/>
    <w:rsid w:val="3F19434D"/>
    <w:rsid w:val="3F261A88"/>
    <w:rsid w:val="3F984C13"/>
    <w:rsid w:val="40271DD6"/>
    <w:rsid w:val="41015B84"/>
    <w:rsid w:val="410C362B"/>
    <w:rsid w:val="428E7BE1"/>
    <w:rsid w:val="42B20B36"/>
    <w:rsid w:val="42FB66C8"/>
    <w:rsid w:val="43192944"/>
    <w:rsid w:val="43394480"/>
    <w:rsid w:val="447255E6"/>
    <w:rsid w:val="44B30D3B"/>
    <w:rsid w:val="44CD7E13"/>
    <w:rsid w:val="453A628D"/>
    <w:rsid w:val="454B2248"/>
    <w:rsid w:val="456B28EB"/>
    <w:rsid w:val="45B61DB8"/>
    <w:rsid w:val="45D2152F"/>
    <w:rsid w:val="45EE0F95"/>
    <w:rsid w:val="45F42F70"/>
    <w:rsid w:val="45F85626"/>
    <w:rsid w:val="462273F5"/>
    <w:rsid w:val="466556B5"/>
    <w:rsid w:val="46710516"/>
    <w:rsid w:val="467529A8"/>
    <w:rsid w:val="4692195B"/>
    <w:rsid w:val="46B609DC"/>
    <w:rsid w:val="470E15D4"/>
    <w:rsid w:val="47234C6F"/>
    <w:rsid w:val="47E36768"/>
    <w:rsid w:val="4810142F"/>
    <w:rsid w:val="48142C67"/>
    <w:rsid w:val="484162BE"/>
    <w:rsid w:val="48643D4D"/>
    <w:rsid w:val="487D7E3E"/>
    <w:rsid w:val="489624DB"/>
    <w:rsid w:val="48967192"/>
    <w:rsid w:val="489A6313"/>
    <w:rsid w:val="48A95C04"/>
    <w:rsid w:val="48CE0A5C"/>
    <w:rsid w:val="4949445D"/>
    <w:rsid w:val="495A3295"/>
    <w:rsid w:val="49B51BAE"/>
    <w:rsid w:val="4A1225DB"/>
    <w:rsid w:val="4A442B3D"/>
    <w:rsid w:val="4A5E47CC"/>
    <w:rsid w:val="4A7E09CA"/>
    <w:rsid w:val="4A884CC6"/>
    <w:rsid w:val="4AA55BC3"/>
    <w:rsid w:val="4ABC7D85"/>
    <w:rsid w:val="4AC97E97"/>
    <w:rsid w:val="4BA3693A"/>
    <w:rsid w:val="4C254B4B"/>
    <w:rsid w:val="4C676E45"/>
    <w:rsid w:val="4D07114B"/>
    <w:rsid w:val="4D403EDA"/>
    <w:rsid w:val="4D954046"/>
    <w:rsid w:val="4E202AF3"/>
    <w:rsid w:val="4E5E7FDF"/>
    <w:rsid w:val="4E6D29C4"/>
    <w:rsid w:val="4E7A06F8"/>
    <w:rsid w:val="4E9A0D74"/>
    <w:rsid w:val="4F282F37"/>
    <w:rsid w:val="4F701691"/>
    <w:rsid w:val="4FAA2095"/>
    <w:rsid w:val="4FC60E49"/>
    <w:rsid w:val="4FCD31AD"/>
    <w:rsid w:val="4FF52C71"/>
    <w:rsid w:val="503A7A08"/>
    <w:rsid w:val="50512976"/>
    <w:rsid w:val="5052092F"/>
    <w:rsid w:val="5055041F"/>
    <w:rsid w:val="509A51EA"/>
    <w:rsid w:val="509E3ED1"/>
    <w:rsid w:val="50B44F07"/>
    <w:rsid w:val="514E559A"/>
    <w:rsid w:val="51D610EC"/>
    <w:rsid w:val="51E92988"/>
    <w:rsid w:val="520E62B8"/>
    <w:rsid w:val="528312E8"/>
    <w:rsid w:val="529A4BA7"/>
    <w:rsid w:val="52B50FFA"/>
    <w:rsid w:val="52BB3578"/>
    <w:rsid w:val="52C31E67"/>
    <w:rsid w:val="52DA54E7"/>
    <w:rsid w:val="52E468A6"/>
    <w:rsid w:val="52E8669F"/>
    <w:rsid w:val="531F42E7"/>
    <w:rsid w:val="53D6797D"/>
    <w:rsid w:val="53E775E0"/>
    <w:rsid w:val="54723052"/>
    <w:rsid w:val="54BC690A"/>
    <w:rsid w:val="54FD5330"/>
    <w:rsid w:val="55132EB9"/>
    <w:rsid w:val="55E101CF"/>
    <w:rsid w:val="55F00828"/>
    <w:rsid w:val="56174AC2"/>
    <w:rsid w:val="56431446"/>
    <w:rsid w:val="56C12F72"/>
    <w:rsid w:val="56E5591B"/>
    <w:rsid w:val="56E8059A"/>
    <w:rsid w:val="57091C60"/>
    <w:rsid w:val="57631674"/>
    <w:rsid w:val="5794495B"/>
    <w:rsid w:val="57A500D0"/>
    <w:rsid w:val="57C351F2"/>
    <w:rsid w:val="57C6432D"/>
    <w:rsid w:val="57D4431F"/>
    <w:rsid w:val="58532224"/>
    <w:rsid w:val="586903C5"/>
    <w:rsid w:val="58711142"/>
    <w:rsid w:val="588726B7"/>
    <w:rsid w:val="58F57085"/>
    <w:rsid w:val="593212FE"/>
    <w:rsid w:val="59590F80"/>
    <w:rsid w:val="59A732EE"/>
    <w:rsid w:val="59C3464B"/>
    <w:rsid w:val="59DE2BBE"/>
    <w:rsid w:val="5A28151F"/>
    <w:rsid w:val="5A410A6F"/>
    <w:rsid w:val="5A4A2677"/>
    <w:rsid w:val="5AC55338"/>
    <w:rsid w:val="5B3F45CC"/>
    <w:rsid w:val="5BC17152"/>
    <w:rsid w:val="5C157C52"/>
    <w:rsid w:val="5C432399"/>
    <w:rsid w:val="5C65447A"/>
    <w:rsid w:val="5CCD039C"/>
    <w:rsid w:val="5CE05C01"/>
    <w:rsid w:val="5D067F46"/>
    <w:rsid w:val="5D670D19"/>
    <w:rsid w:val="5DEA6484"/>
    <w:rsid w:val="5E2A0506"/>
    <w:rsid w:val="5F816B3B"/>
    <w:rsid w:val="5F8A2976"/>
    <w:rsid w:val="5F8B5C0B"/>
    <w:rsid w:val="5FB9070F"/>
    <w:rsid w:val="5FE039CC"/>
    <w:rsid w:val="600E7957"/>
    <w:rsid w:val="603067A0"/>
    <w:rsid w:val="606D70BF"/>
    <w:rsid w:val="60C87067"/>
    <w:rsid w:val="60D137C0"/>
    <w:rsid w:val="60EB4FAC"/>
    <w:rsid w:val="611C2FBF"/>
    <w:rsid w:val="613D03AF"/>
    <w:rsid w:val="615269E1"/>
    <w:rsid w:val="622C1128"/>
    <w:rsid w:val="62840C9B"/>
    <w:rsid w:val="62E95123"/>
    <w:rsid w:val="63753EA0"/>
    <w:rsid w:val="63923347"/>
    <w:rsid w:val="63A60D41"/>
    <w:rsid w:val="63C45248"/>
    <w:rsid w:val="63C6035F"/>
    <w:rsid w:val="646E0F66"/>
    <w:rsid w:val="64912F7B"/>
    <w:rsid w:val="649A1D1D"/>
    <w:rsid w:val="64E04304"/>
    <w:rsid w:val="659B691E"/>
    <w:rsid w:val="65D242C5"/>
    <w:rsid w:val="65D43361"/>
    <w:rsid w:val="65F10142"/>
    <w:rsid w:val="66124991"/>
    <w:rsid w:val="662D4F6B"/>
    <w:rsid w:val="66770C98"/>
    <w:rsid w:val="66E10C4D"/>
    <w:rsid w:val="67035B0B"/>
    <w:rsid w:val="676236F6"/>
    <w:rsid w:val="67D22629"/>
    <w:rsid w:val="68442F0B"/>
    <w:rsid w:val="685D140B"/>
    <w:rsid w:val="68D47A7B"/>
    <w:rsid w:val="68DF193E"/>
    <w:rsid w:val="68E84E3F"/>
    <w:rsid w:val="68F76E5C"/>
    <w:rsid w:val="69455133"/>
    <w:rsid w:val="69937B96"/>
    <w:rsid w:val="69C2222A"/>
    <w:rsid w:val="69DF21C2"/>
    <w:rsid w:val="6A3757AC"/>
    <w:rsid w:val="6A62031D"/>
    <w:rsid w:val="6A701523"/>
    <w:rsid w:val="6AC1406F"/>
    <w:rsid w:val="6B4120C8"/>
    <w:rsid w:val="6B58506D"/>
    <w:rsid w:val="6B79224C"/>
    <w:rsid w:val="6B8E33C6"/>
    <w:rsid w:val="6B9B5986"/>
    <w:rsid w:val="6BDD42B9"/>
    <w:rsid w:val="6BE84649"/>
    <w:rsid w:val="6C085287"/>
    <w:rsid w:val="6C401523"/>
    <w:rsid w:val="6C7D0E73"/>
    <w:rsid w:val="6CD00EA6"/>
    <w:rsid w:val="6CE6131C"/>
    <w:rsid w:val="6D1A2C05"/>
    <w:rsid w:val="6D313420"/>
    <w:rsid w:val="6DDB7D5E"/>
    <w:rsid w:val="6DDD5A51"/>
    <w:rsid w:val="6DE51FC5"/>
    <w:rsid w:val="6E042F01"/>
    <w:rsid w:val="6E9047F2"/>
    <w:rsid w:val="6EA15698"/>
    <w:rsid w:val="6EA231BA"/>
    <w:rsid w:val="6ED30F77"/>
    <w:rsid w:val="6F3A3E03"/>
    <w:rsid w:val="6F482D42"/>
    <w:rsid w:val="6FA523D2"/>
    <w:rsid w:val="6FAA57D6"/>
    <w:rsid w:val="6FDE58E3"/>
    <w:rsid w:val="701045B5"/>
    <w:rsid w:val="701C133B"/>
    <w:rsid w:val="703D37EB"/>
    <w:rsid w:val="70BF5715"/>
    <w:rsid w:val="712D6B22"/>
    <w:rsid w:val="71305754"/>
    <w:rsid w:val="715B4B81"/>
    <w:rsid w:val="717B055E"/>
    <w:rsid w:val="71B16C93"/>
    <w:rsid w:val="724F0F1D"/>
    <w:rsid w:val="729C3F60"/>
    <w:rsid w:val="729E26DA"/>
    <w:rsid w:val="72D4516E"/>
    <w:rsid w:val="7301390F"/>
    <w:rsid w:val="73070F3B"/>
    <w:rsid w:val="73B07EB2"/>
    <w:rsid w:val="73ED585D"/>
    <w:rsid w:val="741E6BF6"/>
    <w:rsid w:val="74257F85"/>
    <w:rsid w:val="747607E0"/>
    <w:rsid w:val="74885165"/>
    <w:rsid w:val="751000FD"/>
    <w:rsid w:val="757A7E5C"/>
    <w:rsid w:val="75E01033"/>
    <w:rsid w:val="76065B94"/>
    <w:rsid w:val="768C7E47"/>
    <w:rsid w:val="76B15B00"/>
    <w:rsid w:val="76BB01D4"/>
    <w:rsid w:val="76D56593"/>
    <w:rsid w:val="775A1CF3"/>
    <w:rsid w:val="77624692"/>
    <w:rsid w:val="778446AD"/>
    <w:rsid w:val="77845FB9"/>
    <w:rsid w:val="77DF59B7"/>
    <w:rsid w:val="783F4636"/>
    <w:rsid w:val="78AE6557"/>
    <w:rsid w:val="78E75FB4"/>
    <w:rsid w:val="794949B1"/>
    <w:rsid w:val="79F151EA"/>
    <w:rsid w:val="79FE1404"/>
    <w:rsid w:val="7A043533"/>
    <w:rsid w:val="7A4B1055"/>
    <w:rsid w:val="7A63567B"/>
    <w:rsid w:val="7A7F4E68"/>
    <w:rsid w:val="7ADC47C3"/>
    <w:rsid w:val="7B4B6523"/>
    <w:rsid w:val="7B764AA9"/>
    <w:rsid w:val="7BD07335"/>
    <w:rsid w:val="7BD227A0"/>
    <w:rsid w:val="7C07399B"/>
    <w:rsid w:val="7C2D5E41"/>
    <w:rsid w:val="7C7F0961"/>
    <w:rsid w:val="7CA010C3"/>
    <w:rsid w:val="7CA34E54"/>
    <w:rsid w:val="7CCE6A29"/>
    <w:rsid w:val="7CF33270"/>
    <w:rsid w:val="7D02603F"/>
    <w:rsid w:val="7D2C2B03"/>
    <w:rsid w:val="7D4A280A"/>
    <w:rsid w:val="7D7550E8"/>
    <w:rsid w:val="7DC205F3"/>
    <w:rsid w:val="7E146C66"/>
    <w:rsid w:val="7E1D3989"/>
    <w:rsid w:val="7E261D0D"/>
    <w:rsid w:val="7E6E437D"/>
    <w:rsid w:val="7ED61979"/>
    <w:rsid w:val="7F051133"/>
    <w:rsid w:val="7F150C8C"/>
    <w:rsid w:val="7F61079B"/>
    <w:rsid w:val="7FC50E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qFormat="1" w:uiPriority="99"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4">
    <w:name w:val="heading 1"/>
    <w:basedOn w:val="1"/>
    <w:next w:val="1"/>
    <w:qFormat/>
    <w:uiPriority w:val="0"/>
    <w:pPr>
      <w:keepNext/>
      <w:keepLines/>
      <w:widowControl w:val="0"/>
      <w:spacing w:before="340" w:after="330" w:line="578" w:lineRule="auto"/>
      <w:jc w:val="both"/>
      <w:outlineLvl w:val="0"/>
    </w:pPr>
    <w:rPr>
      <w:rFonts w:ascii="Times New Roman" w:hAnsi="Times New Roman" w:eastAsia="宋体" w:cs="Times New Roman"/>
      <w:b/>
      <w:bCs/>
      <w:kern w:val="44"/>
      <w:sz w:val="44"/>
      <w:szCs w:val="24"/>
    </w:rPr>
  </w:style>
  <w:style w:type="paragraph" w:styleId="5">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6">
    <w:name w:val="heading 4"/>
    <w:basedOn w:val="1"/>
    <w:next w:val="1"/>
    <w:link w:val="35"/>
    <w:semiHidden/>
    <w:unhideWhenUsed/>
    <w:qFormat/>
    <w:uiPriority w:val="0"/>
    <w:pPr>
      <w:keepNext/>
      <w:keepLines/>
      <w:spacing w:before="280" w:after="290" w:line="372" w:lineRule="auto"/>
      <w:outlineLvl w:val="3"/>
    </w:pPr>
    <w:rPr>
      <w:rFonts w:eastAsia="黑体"/>
      <w:b/>
      <w:sz w:val="28"/>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Normal Indent"/>
    <w:basedOn w:val="1"/>
    <w:unhideWhenUsed/>
    <w:qFormat/>
    <w:uiPriority w:val="99"/>
    <w:pPr>
      <w:spacing w:line="360" w:lineRule="auto"/>
      <w:ind w:firstLine="420" w:firstLineChars="200"/>
    </w:pPr>
    <w:rPr>
      <w:sz w:val="28"/>
      <w:szCs w:val="30"/>
    </w:rPr>
  </w:style>
  <w:style w:type="paragraph" w:styleId="7">
    <w:name w:val="table of authorities"/>
    <w:basedOn w:val="1"/>
    <w:next w:val="1"/>
    <w:unhideWhenUsed/>
    <w:qFormat/>
    <w:uiPriority w:val="99"/>
    <w:pPr>
      <w:ind w:left="420" w:leftChars="200"/>
    </w:pPr>
  </w:style>
  <w:style w:type="paragraph" w:styleId="8">
    <w:name w:val="caption"/>
    <w:basedOn w:val="1"/>
    <w:next w:val="1"/>
    <w:unhideWhenUsed/>
    <w:qFormat/>
    <w:uiPriority w:val="0"/>
    <w:pPr>
      <w:jc w:val="center"/>
    </w:pPr>
    <w:rPr>
      <w:rFonts w:eastAsia="黑体" w:cstheme="majorBidi"/>
      <w:szCs w:val="20"/>
    </w:rPr>
  </w:style>
  <w:style w:type="paragraph" w:styleId="9">
    <w:name w:val="annotation text"/>
    <w:basedOn w:val="1"/>
    <w:qFormat/>
    <w:uiPriority w:val="0"/>
  </w:style>
  <w:style w:type="paragraph" w:styleId="10">
    <w:name w:val="Body Text Indent"/>
    <w:basedOn w:val="1"/>
    <w:next w:val="11"/>
    <w:unhideWhenUsed/>
    <w:qFormat/>
    <w:uiPriority w:val="99"/>
    <w:pPr>
      <w:spacing w:after="120"/>
      <w:ind w:left="420" w:leftChars="200"/>
    </w:pPr>
    <w:rPr>
      <w:rFonts w:eastAsia="微软雅黑"/>
      <w:sz w:val="24"/>
      <w:szCs w:val="20"/>
    </w:rPr>
  </w:style>
  <w:style w:type="paragraph" w:styleId="11">
    <w:name w:val="Body Text First Indent 2"/>
    <w:basedOn w:val="10"/>
    <w:qFormat/>
    <w:uiPriority w:val="0"/>
    <w:pPr>
      <w:ind w:firstLine="420"/>
    </w:pPr>
  </w:style>
  <w:style w:type="paragraph" w:styleId="12">
    <w:name w:val="toc 3"/>
    <w:basedOn w:val="1"/>
    <w:next w:val="1"/>
    <w:qFormat/>
    <w:uiPriority w:val="0"/>
    <w:pPr>
      <w:ind w:left="840" w:leftChars="400"/>
    </w:pPr>
  </w:style>
  <w:style w:type="paragraph" w:styleId="13">
    <w:name w:val="Plain Text"/>
    <w:basedOn w:val="1"/>
    <w:qFormat/>
    <w:uiPriority w:val="0"/>
    <w:rPr>
      <w:rFonts w:ascii="宋体" w:hAnsi="Courier New"/>
      <w:sz w:val="20"/>
    </w:rPr>
  </w:style>
  <w:style w:type="paragraph" w:styleId="14">
    <w:name w:val="footer"/>
    <w:basedOn w:val="1"/>
    <w:qFormat/>
    <w:uiPriority w:val="0"/>
    <w:pPr>
      <w:tabs>
        <w:tab w:val="center" w:pos="4153"/>
        <w:tab w:val="right" w:pos="8306"/>
      </w:tabs>
    </w:pPr>
    <w:rPr>
      <w:sz w:val="18"/>
    </w:rPr>
  </w:style>
  <w:style w:type="paragraph" w:styleId="1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6">
    <w:name w:val="toc 1"/>
    <w:basedOn w:val="1"/>
    <w:next w:val="1"/>
    <w:qFormat/>
    <w:uiPriority w:val="0"/>
  </w:style>
  <w:style w:type="paragraph" w:styleId="17">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8">
    <w:name w:val="toc 2"/>
    <w:basedOn w:val="1"/>
    <w:next w:val="1"/>
    <w:qFormat/>
    <w:uiPriority w:val="0"/>
    <w:pPr>
      <w:ind w:left="420" w:leftChars="200"/>
    </w:pPr>
  </w:style>
  <w:style w:type="paragraph" w:styleId="19">
    <w:name w:val="Normal (Web)"/>
    <w:basedOn w:val="1"/>
    <w:qFormat/>
    <w:uiPriority w:val="0"/>
    <w:pPr>
      <w:spacing w:before="100" w:beforeAutospacing="1" w:after="100" w:afterAutospacing="1"/>
    </w:pPr>
    <w:rPr>
      <w:rFonts w:ascii="宋体" w:hAnsi="宋体" w:eastAsia="宋体" w:cs="宋体"/>
      <w:sz w:val="24"/>
    </w:rPr>
  </w:style>
  <w:style w:type="paragraph" w:styleId="20">
    <w:name w:val="Body Text First Indent"/>
    <w:basedOn w:val="2"/>
    <w:qFormat/>
    <w:uiPriority w:val="0"/>
    <w:pPr>
      <w:ind w:firstLine="420" w:firstLineChars="100"/>
    </w:p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basedOn w:val="23"/>
    <w:qFormat/>
    <w:uiPriority w:val="0"/>
    <w:rPr>
      <w:b/>
    </w:rPr>
  </w:style>
  <w:style w:type="character" w:styleId="25">
    <w:name w:val="page number"/>
    <w:basedOn w:val="23"/>
    <w:qFormat/>
    <w:uiPriority w:val="99"/>
    <w:rPr>
      <w:rFonts w:cs="Times New Roman"/>
    </w:rPr>
  </w:style>
  <w:style w:type="character" w:styleId="26">
    <w:name w:val="Emphasis"/>
    <w:qFormat/>
    <w:uiPriority w:val="0"/>
  </w:style>
  <w:style w:type="character" w:styleId="27">
    <w:name w:val="Hyperlink"/>
    <w:basedOn w:val="23"/>
    <w:qFormat/>
    <w:uiPriority w:val="0"/>
    <w:rPr>
      <w:color w:val="0000FF"/>
      <w:u w:val="single"/>
    </w:rPr>
  </w:style>
  <w:style w:type="character" w:styleId="28">
    <w:name w:val="annotation reference"/>
    <w:unhideWhenUsed/>
    <w:qFormat/>
    <w:uiPriority w:val="0"/>
    <w:rPr>
      <w:sz w:val="21"/>
      <w:szCs w:val="21"/>
    </w:rPr>
  </w:style>
  <w:style w:type="paragraph" w:customStyle="1" w:styleId="29">
    <w:name w:val="正文缩进1"/>
    <w:basedOn w:val="1"/>
    <w:qFormat/>
    <w:uiPriority w:val="0"/>
    <w:pPr>
      <w:ind w:firstLine="420" w:firstLineChars="200"/>
    </w:pPr>
  </w:style>
  <w:style w:type="table" w:customStyle="1" w:styleId="30">
    <w:name w:val="Table Normal"/>
    <w:semiHidden/>
    <w:unhideWhenUsed/>
    <w:qFormat/>
    <w:uiPriority w:val="0"/>
    <w:tblPr>
      <w:tblCellMar>
        <w:top w:w="0" w:type="dxa"/>
        <w:left w:w="0" w:type="dxa"/>
        <w:bottom w:w="0" w:type="dxa"/>
        <w:right w:w="0" w:type="dxa"/>
      </w:tblCellMar>
    </w:tblPr>
  </w:style>
  <w:style w:type="paragraph" w:customStyle="1" w:styleId="31">
    <w:name w:val="Table Text"/>
    <w:basedOn w:val="1"/>
    <w:semiHidden/>
    <w:qFormat/>
    <w:uiPriority w:val="0"/>
  </w:style>
  <w:style w:type="paragraph" w:customStyle="1" w:styleId="32">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33">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34">
    <w:name w:val="Body text|2"/>
    <w:basedOn w:val="1"/>
    <w:qFormat/>
    <w:uiPriority w:val="0"/>
    <w:pPr>
      <w:widowControl w:val="0"/>
    </w:pPr>
    <w:rPr>
      <w:rFonts w:ascii="宋体" w:hAnsi="宋体" w:eastAsia="宋体" w:cs="宋体"/>
      <w:sz w:val="26"/>
      <w:szCs w:val="26"/>
      <w:lang w:val="zh-TW" w:eastAsia="zh-TW" w:bidi="zh-TW"/>
    </w:rPr>
  </w:style>
  <w:style w:type="character" w:customStyle="1" w:styleId="35">
    <w:name w:val="标题 4 字符"/>
    <w:link w:val="6"/>
    <w:qFormat/>
    <w:uiPriority w:val="0"/>
    <w:rPr>
      <w:rFonts w:ascii="Arial" w:hAnsi="Arial" w:eastAsia="黑体"/>
      <w:b/>
      <w:sz w:val="28"/>
    </w:rPr>
  </w:style>
  <w:style w:type="paragraph" w:customStyle="1" w:styleId="36">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7">
    <w:name w:val="样式1"/>
    <w:basedOn w:val="4"/>
    <w:qFormat/>
    <w:uiPriority w:val="0"/>
    <w:pPr>
      <w:spacing w:before="240" w:after="240" w:line="440" w:lineRule="exact"/>
      <w:jc w:val="center"/>
    </w:pPr>
    <w:rPr>
      <w:rFonts w:eastAsia="楷体"/>
      <w:sz w:val="36"/>
      <w:szCs w:val="28"/>
    </w:rPr>
  </w:style>
  <w:style w:type="character" w:customStyle="1" w:styleId="38">
    <w:name w:val="font31"/>
    <w:qFormat/>
    <w:uiPriority w:val="0"/>
    <w:rPr>
      <w:rFonts w:hint="eastAsia" w:ascii="宋体" w:hAnsi="宋体" w:eastAsia="宋体" w:cs="宋体"/>
      <w:color w:val="000000"/>
      <w:sz w:val="21"/>
      <w:szCs w:val="21"/>
      <w:u w:val="none"/>
    </w:rPr>
  </w:style>
  <w:style w:type="paragraph" w:customStyle="1" w:styleId="39">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40">
    <w:name w:val="font41"/>
    <w:qFormat/>
    <w:uiPriority w:val="0"/>
    <w:rPr>
      <w:rFonts w:hint="eastAsia" w:ascii="仿宋" w:hAnsi="仿宋" w:eastAsia="仿宋" w:cs="仿宋"/>
      <w:color w:val="000000"/>
      <w:sz w:val="24"/>
      <w:szCs w:val="24"/>
      <w:u w:val="none"/>
    </w:rPr>
  </w:style>
  <w:style w:type="table" w:customStyle="1" w:styleId="41">
    <w:name w:val="_Style 14"/>
    <w:basedOn w:val="42"/>
    <w:qFormat/>
    <w:uiPriority w:val="0"/>
  </w:style>
  <w:style w:type="table" w:customStyle="1" w:styleId="42">
    <w:name w:val="TableNormal"/>
    <w:qFormat/>
    <w:uiPriority w:val="0"/>
    <w:tblPr>
      <w:tblCellMar>
        <w:top w:w="100" w:type="dxa"/>
        <w:left w:w="100" w:type="dxa"/>
        <w:bottom w:w="100" w:type="dxa"/>
        <w:right w:w="100" w:type="dxa"/>
      </w:tblCellMar>
    </w:tblPr>
  </w:style>
  <w:style w:type="table" w:customStyle="1" w:styleId="43">
    <w:name w:val="_Style 15"/>
    <w:basedOn w:val="42"/>
    <w:qFormat/>
    <w:uiPriority w:val="0"/>
  </w:style>
  <w:style w:type="paragraph" w:customStyle="1" w:styleId="44">
    <w:name w:val="WPSOffice手动目录 1"/>
    <w:qFormat/>
    <w:uiPriority w:val="0"/>
    <w:rPr>
      <w:rFonts w:ascii="Times New Roman" w:hAnsi="Times New Roman" w:eastAsia="宋体" w:cs="Times New Roman"/>
      <w:lang w:val="en-US" w:eastAsia="zh-CN" w:bidi="ar-SA"/>
    </w:rPr>
  </w:style>
  <w:style w:type="paragraph" w:customStyle="1" w:styleId="45">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46">
    <w:name w:val="WPSOffice手动目录 3"/>
    <w:qFormat/>
    <w:uiPriority w:val="0"/>
    <w:pPr>
      <w:ind w:left="400" w:leftChars="400"/>
    </w:pPr>
    <w:rPr>
      <w:rFonts w:ascii="Times New Roman" w:hAnsi="Times New Roman" w:eastAsia="宋体" w:cs="Times New Roman"/>
      <w:lang w:val="en-US" w:eastAsia="zh-CN" w:bidi="ar-SA"/>
    </w:rPr>
  </w:style>
  <w:style w:type="paragraph" w:customStyle="1" w:styleId="47">
    <w:name w:val="Revision"/>
    <w:hidden/>
    <w:unhideWhenUsed/>
    <w:qFormat/>
    <w:uiPriority w:val="99"/>
    <w:rPr>
      <w:rFonts w:ascii="Arial" w:hAnsi="Arial" w:eastAsia="Arial" w:cs="Arial"/>
      <w:snapToGrid w:val="0"/>
      <w:color w:val="000000"/>
      <w:sz w:val="21"/>
      <w:szCs w:val="21"/>
      <w:lang w:val="en-US" w:eastAsia="en-US" w:bidi="ar-SA"/>
    </w:rPr>
  </w:style>
  <w:style w:type="character" w:customStyle="1" w:styleId="48">
    <w:name w:val="Body text (2)_"/>
    <w:link w:val="49"/>
    <w:qFormat/>
    <w:locked/>
    <w:uiPriority w:val="99"/>
    <w:rPr>
      <w:rFonts w:ascii="宋体" w:cs="宋体"/>
      <w:kern w:val="0"/>
      <w:sz w:val="26"/>
      <w:szCs w:val="26"/>
    </w:rPr>
  </w:style>
  <w:style w:type="paragraph" w:customStyle="1" w:styleId="49">
    <w:name w:val="Body text (2)"/>
    <w:basedOn w:val="1"/>
    <w:link w:val="48"/>
    <w:qFormat/>
    <w:uiPriority w:val="99"/>
    <w:pPr>
      <w:shd w:val="clear" w:color="auto" w:fill="FFFFFF"/>
      <w:spacing w:line="542" w:lineRule="exact"/>
      <w:jc w:val="distribute"/>
    </w:pPr>
    <w:rPr>
      <w:rFonts w:ascii="宋体" w:cs="宋体"/>
      <w:kern w:val="0"/>
      <w:sz w:val="26"/>
      <w:szCs w:val="26"/>
    </w:rPr>
  </w:style>
  <w:style w:type="character" w:customStyle="1" w:styleId="50">
    <w:name w:val="font11"/>
    <w:basedOn w:val="23"/>
    <w:qFormat/>
    <w:uiPriority w:val="0"/>
    <w:rPr>
      <w:rFonts w:hint="eastAsia" w:ascii="宋体" w:hAnsi="宋体" w:eastAsia="宋体" w:cs="宋体"/>
      <w:color w:val="000000"/>
      <w:sz w:val="24"/>
      <w:szCs w:val="24"/>
      <w:u w:val="none"/>
    </w:rPr>
  </w:style>
  <w:style w:type="character" w:customStyle="1" w:styleId="51">
    <w:name w:val="font21"/>
    <w:basedOn w:val="23"/>
    <w:qFormat/>
    <w:uiPriority w:val="0"/>
    <w:rPr>
      <w:rFonts w:hint="default" w:ascii="Times New Roman" w:hAnsi="Times New Roman" w:cs="Times New Roman"/>
      <w:color w:val="000000"/>
      <w:sz w:val="24"/>
      <w:szCs w:val="24"/>
      <w:u w:val="none"/>
    </w:rPr>
  </w:style>
  <w:style w:type="paragraph" w:styleId="52">
    <w:name w:val="List Paragraph"/>
    <w:basedOn w:val="1"/>
    <w:qFormat/>
    <w:uiPriority w:val="99"/>
    <w:pPr>
      <w:ind w:firstLine="420" w:firstLineChars="200"/>
    </w:pPr>
  </w:style>
  <w:style w:type="paragraph" w:customStyle="1" w:styleId="53">
    <w:name w:val="表头"/>
    <w:basedOn w:val="1"/>
    <w:qFormat/>
    <w:uiPriority w:val="0"/>
    <w:pPr>
      <w:spacing w:beforeLines="20" w:afterLines="20"/>
      <w:ind w:firstLine="200" w:firstLineChars="200"/>
      <w:jc w:val="center"/>
    </w:pPr>
    <w:rPr>
      <w:rFonts w:eastAsia="黑体" w:cs="Times New Roman"/>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2.bin"/><Relationship Id="rId8" Type="http://schemas.openxmlformats.org/officeDocument/2006/relationships/image" Target="media/image3.wmf"/><Relationship Id="rId7" Type="http://schemas.openxmlformats.org/officeDocument/2006/relationships/oleObject" Target="embeddings/oleObject1.bin"/><Relationship Id="rId6" Type="http://schemas.openxmlformats.org/officeDocument/2006/relationships/image" Target="media/image2.png"/><Relationship Id="rId5" Type="http://schemas.openxmlformats.org/officeDocument/2006/relationships/image" Target="media/image1.emf"/><Relationship Id="rId4" Type="http://schemas.openxmlformats.org/officeDocument/2006/relationships/theme" Target="theme/theme1.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image" Target="media/image17.png"/><Relationship Id="rId32" Type="http://schemas.openxmlformats.org/officeDocument/2006/relationships/image" Target="media/image16.wmf"/><Relationship Id="rId31" Type="http://schemas.openxmlformats.org/officeDocument/2006/relationships/oleObject" Target="embeddings/oleObject12.bin"/><Relationship Id="rId30" Type="http://schemas.openxmlformats.org/officeDocument/2006/relationships/image" Target="media/image15.png"/><Relationship Id="rId3" Type="http://schemas.openxmlformats.org/officeDocument/2006/relationships/footer" Target="footer1.xml"/><Relationship Id="rId29" Type="http://schemas.openxmlformats.org/officeDocument/2006/relationships/image" Target="media/image14.png"/><Relationship Id="rId28" Type="http://schemas.openxmlformats.org/officeDocument/2006/relationships/image" Target="media/image13.wmf"/><Relationship Id="rId27" Type="http://schemas.openxmlformats.org/officeDocument/2006/relationships/oleObject" Target="embeddings/oleObject11.bin"/><Relationship Id="rId26" Type="http://schemas.openxmlformats.org/officeDocument/2006/relationships/image" Target="media/image12.wmf"/><Relationship Id="rId25" Type="http://schemas.openxmlformats.org/officeDocument/2006/relationships/oleObject" Target="embeddings/oleObject10.bin"/><Relationship Id="rId24" Type="http://schemas.openxmlformats.org/officeDocument/2006/relationships/image" Target="media/image11.wmf"/><Relationship Id="rId23" Type="http://schemas.openxmlformats.org/officeDocument/2006/relationships/oleObject" Target="embeddings/oleObject9.bin"/><Relationship Id="rId22" Type="http://schemas.openxmlformats.org/officeDocument/2006/relationships/image" Target="media/image10.wmf"/><Relationship Id="rId21" Type="http://schemas.openxmlformats.org/officeDocument/2006/relationships/oleObject" Target="embeddings/oleObject8.bin"/><Relationship Id="rId20" Type="http://schemas.openxmlformats.org/officeDocument/2006/relationships/image" Target="media/image9.wmf"/><Relationship Id="rId2" Type="http://schemas.openxmlformats.org/officeDocument/2006/relationships/settings" Target="settings.xml"/><Relationship Id="rId19" Type="http://schemas.openxmlformats.org/officeDocument/2006/relationships/oleObject" Target="embeddings/oleObject7.bin"/><Relationship Id="rId18" Type="http://schemas.openxmlformats.org/officeDocument/2006/relationships/image" Target="media/image8.wmf"/><Relationship Id="rId17" Type="http://schemas.openxmlformats.org/officeDocument/2006/relationships/oleObject" Target="embeddings/oleObject6.bin"/><Relationship Id="rId16" Type="http://schemas.openxmlformats.org/officeDocument/2006/relationships/image" Target="media/image7.wmf"/><Relationship Id="rId15" Type="http://schemas.openxmlformats.org/officeDocument/2006/relationships/oleObject" Target="embeddings/oleObject5.bin"/><Relationship Id="rId14" Type="http://schemas.openxmlformats.org/officeDocument/2006/relationships/image" Target="media/image6.wmf"/><Relationship Id="rId13" Type="http://schemas.openxmlformats.org/officeDocument/2006/relationships/oleObject" Target="embeddings/oleObject4.bin"/><Relationship Id="rId12" Type="http://schemas.openxmlformats.org/officeDocument/2006/relationships/image" Target="media/image5.wmf"/><Relationship Id="rId11" Type="http://schemas.openxmlformats.org/officeDocument/2006/relationships/oleObject" Target="embeddings/oleObject3.bin"/><Relationship Id="rId10" Type="http://schemas.openxmlformats.org/officeDocument/2006/relationships/image" Target="media/image4.wmf"/><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6856</Words>
  <Characters>7500</Characters>
  <Lines>1651</Lines>
  <Paragraphs>1481</Paragraphs>
  <TotalTime>59</TotalTime>
  <ScaleCrop>false</ScaleCrop>
  <LinksUpToDate>false</LinksUpToDate>
  <CharactersWithSpaces>7875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lenovo</cp:lastModifiedBy>
  <cp:lastPrinted>2026-01-19T01:43:00Z</cp:lastPrinted>
  <dcterms:modified xsi:type="dcterms:W3CDTF">2026-05-26T08:58:37Z</dcterms:modified>
  <dc:title>政府采购招标文件</dc:title>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2052-12.1.0.25865</vt:lpwstr>
  </property>
  <property fmtid="{D5CDD505-2E9C-101B-9397-08002B2CF9AE}" pid="5" name="ICV">
    <vt:lpwstr>40B226246714404AAFF4707452B783C0</vt:lpwstr>
  </property>
  <property fmtid="{D5CDD505-2E9C-101B-9397-08002B2CF9AE}" pid="6" name="KSOTemplateDocerSaveRecord">
    <vt:lpwstr>eyJoZGlkIjoiYjM0ZGM1MDgzZDQ1MTVhY2IyMDk2NzRiOTU4YTRmZGUiLCJ1c2VySWQiOiIyNTI4MTk2NDgifQ==</vt:lpwstr>
  </property>
</Properties>
</file>