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DE1BA4">
      <w:pPr>
        <w:pStyle w:val="4"/>
        <w:keepNext w:val="0"/>
        <w:keepLines w:val="0"/>
        <w:pageBreakBefore w:val="0"/>
        <w:widowControl w:val="0"/>
        <w:wordWrap/>
        <w:overflowPunct/>
        <w:topLinePunct w:val="0"/>
        <w:bidi w:val="0"/>
        <w:adjustRightInd w:val="0"/>
        <w:spacing w:line="440" w:lineRule="exact"/>
        <w:jc w:val="both"/>
        <w:rPr>
          <w:rFonts w:hint="eastAsia" w:asciiTheme="minorEastAsia" w:hAnsiTheme="minorEastAsia" w:eastAsiaTheme="minorEastAsia" w:cstheme="minorEastAsia"/>
          <w:b/>
          <w:bCs/>
          <w:color w:val="auto"/>
          <w:kern w:val="2"/>
          <w:lang w:val="en-US" w:eastAsia="zh-CN"/>
        </w:rPr>
      </w:pPr>
      <w:r>
        <w:rPr>
          <w:rFonts w:hint="eastAsia" w:asciiTheme="minorEastAsia" w:hAnsiTheme="minorEastAsia" w:eastAsiaTheme="minorEastAsia" w:cstheme="minorEastAsia"/>
          <w:b/>
          <w:bCs/>
          <w:color w:val="auto"/>
          <w:kern w:val="2"/>
          <w:lang w:val="en-US" w:eastAsia="zh-CN"/>
        </w:rPr>
        <w:t>（一）项目概况</w:t>
      </w:r>
    </w:p>
    <w:p w14:paraId="10F83121">
      <w:pPr>
        <w:pStyle w:val="4"/>
        <w:keepNext w:val="0"/>
        <w:keepLines w:val="0"/>
        <w:pageBreakBefore w:val="0"/>
        <w:widowControl w:val="0"/>
        <w:kinsoku/>
        <w:wordWrap/>
        <w:overflowPunct/>
        <w:topLinePunct w:val="0"/>
        <w:autoSpaceDE w:val="0"/>
        <w:autoSpaceDN w:val="0"/>
        <w:bidi w:val="0"/>
        <w:adjustRightInd w:val="0"/>
        <w:snapToGrid/>
        <w:spacing w:line="440" w:lineRule="exact"/>
        <w:ind w:firstLine="480" w:firstLineChars="200"/>
        <w:jc w:val="both"/>
        <w:textAlignment w:val="auto"/>
        <w:rPr>
          <w:rFonts w:hint="eastAsia" w:asciiTheme="minorEastAsia" w:hAnsiTheme="minorEastAsia" w:eastAsiaTheme="minorEastAsia" w:cstheme="minorEastAsia"/>
          <w:b w:val="0"/>
          <w:bCs w:val="0"/>
          <w:color w:val="auto"/>
          <w:kern w:val="2"/>
          <w:highlight w:val="none"/>
          <w:lang w:val="en-US" w:eastAsia="zh-CN"/>
        </w:rPr>
      </w:pPr>
      <w:r>
        <w:rPr>
          <w:rFonts w:hint="eastAsia" w:asciiTheme="minorEastAsia" w:hAnsiTheme="minorEastAsia" w:eastAsiaTheme="minorEastAsia" w:cstheme="minorEastAsia"/>
          <w:b w:val="0"/>
          <w:bCs w:val="0"/>
          <w:color w:val="auto"/>
          <w:kern w:val="2"/>
          <w:highlight w:val="none"/>
          <w:lang w:val="en-US" w:eastAsia="zh-CN"/>
        </w:rPr>
        <w:t>按照《江西省赣西国土绿化示范项目实施方案》的工作要求，</w:t>
      </w:r>
      <w:r>
        <w:rPr>
          <w:rFonts w:hint="eastAsia" w:ascii="宋体" w:hAnsi="宋体" w:eastAsia="宋体" w:cs="宋体"/>
          <w:color w:val="auto"/>
          <w:spacing w:val="0"/>
          <w:position w:val="0"/>
          <w:sz w:val="24"/>
          <w:szCs w:val="24"/>
          <w:lang w:val="en-US" w:eastAsia="zh-CN"/>
        </w:rPr>
        <w:t>营造林总面积</w:t>
      </w:r>
      <w:r>
        <w:rPr>
          <w:rFonts w:hint="default" w:ascii="宋体" w:hAnsi="宋体" w:eastAsia="宋体" w:cs="宋体"/>
          <w:color w:val="auto"/>
          <w:spacing w:val="0"/>
          <w:position w:val="0"/>
          <w:sz w:val="24"/>
          <w:szCs w:val="24"/>
          <w:lang w:val="en-US" w:eastAsia="zh-CN"/>
        </w:rPr>
        <w:t>15826</w:t>
      </w:r>
      <w:r>
        <w:rPr>
          <w:rFonts w:hint="eastAsia" w:ascii="宋体" w:hAnsi="宋体" w:eastAsia="宋体" w:cs="宋体"/>
          <w:color w:val="auto"/>
          <w:spacing w:val="0"/>
          <w:position w:val="0"/>
          <w:sz w:val="24"/>
          <w:szCs w:val="24"/>
          <w:lang w:val="en-US" w:eastAsia="zh-CN"/>
        </w:rPr>
        <w:t>亩，其中：森林质量提升</w:t>
      </w:r>
      <w:r>
        <w:rPr>
          <w:rFonts w:hint="default" w:ascii="宋体" w:hAnsi="宋体" w:eastAsia="宋体" w:cs="宋体"/>
          <w:color w:val="auto"/>
          <w:spacing w:val="0"/>
          <w:position w:val="0"/>
          <w:sz w:val="24"/>
          <w:szCs w:val="24"/>
          <w:lang w:val="en-US" w:eastAsia="zh-CN"/>
        </w:rPr>
        <w:t>15710</w:t>
      </w:r>
      <w:r>
        <w:rPr>
          <w:rFonts w:hint="eastAsia" w:ascii="宋体" w:hAnsi="宋体" w:eastAsia="宋体" w:cs="宋体"/>
          <w:color w:val="auto"/>
          <w:spacing w:val="0"/>
          <w:position w:val="0"/>
          <w:sz w:val="24"/>
          <w:szCs w:val="24"/>
          <w:lang w:val="en-US" w:eastAsia="zh-CN"/>
        </w:rPr>
        <w:t xml:space="preserve">亩，包括中幼林抚育 </w:t>
      </w:r>
      <w:r>
        <w:rPr>
          <w:rFonts w:hint="default" w:ascii="宋体" w:hAnsi="宋体" w:eastAsia="宋体" w:cs="宋体"/>
          <w:color w:val="auto"/>
          <w:spacing w:val="0"/>
          <w:position w:val="0"/>
          <w:sz w:val="24"/>
          <w:szCs w:val="24"/>
          <w:lang w:val="en-US" w:eastAsia="zh-CN"/>
        </w:rPr>
        <w:t>11713</w:t>
      </w:r>
      <w:r>
        <w:rPr>
          <w:rFonts w:hint="eastAsia" w:ascii="宋体" w:hAnsi="宋体" w:eastAsia="宋体" w:cs="宋体"/>
          <w:color w:val="auto"/>
          <w:spacing w:val="0"/>
          <w:position w:val="0"/>
          <w:sz w:val="24"/>
          <w:szCs w:val="24"/>
          <w:lang w:val="en-US" w:eastAsia="zh-CN"/>
        </w:rPr>
        <w:t>亩和退化林修复</w:t>
      </w:r>
      <w:r>
        <w:rPr>
          <w:rFonts w:hint="default" w:ascii="宋体" w:hAnsi="宋体" w:eastAsia="宋体" w:cs="宋体"/>
          <w:color w:val="auto"/>
          <w:spacing w:val="0"/>
          <w:position w:val="0"/>
          <w:sz w:val="24"/>
          <w:szCs w:val="24"/>
          <w:lang w:val="en-US" w:eastAsia="zh-CN"/>
        </w:rPr>
        <w:t>3997</w:t>
      </w:r>
      <w:r>
        <w:rPr>
          <w:rFonts w:hint="eastAsia" w:ascii="宋体" w:hAnsi="宋体" w:eastAsia="宋体" w:cs="宋体"/>
          <w:color w:val="auto"/>
          <w:spacing w:val="0"/>
          <w:position w:val="0"/>
          <w:sz w:val="24"/>
          <w:szCs w:val="24"/>
          <w:lang w:val="en-US" w:eastAsia="zh-CN"/>
        </w:rPr>
        <w:t>亩；人工造林</w:t>
      </w:r>
      <w:r>
        <w:rPr>
          <w:rFonts w:hint="default" w:ascii="宋体" w:hAnsi="宋体" w:eastAsia="宋体" w:cs="宋体"/>
          <w:color w:val="auto"/>
          <w:spacing w:val="0"/>
          <w:position w:val="0"/>
          <w:sz w:val="24"/>
          <w:szCs w:val="24"/>
          <w:lang w:val="en-US" w:eastAsia="zh-CN"/>
        </w:rPr>
        <w:t>116</w:t>
      </w:r>
      <w:r>
        <w:rPr>
          <w:rFonts w:hint="eastAsia" w:ascii="宋体" w:hAnsi="宋体" w:eastAsia="宋体" w:cs="宋体"/>
          <w:color w:val="auto"/>
          <w:spacing w:val="0"/>
          <w:position w:val="0"/>
          <w:sz w:val="24"/>
          <w:szCs w:val="24"/>
          <w:lang w:val="en-US" w:eastAsia="zh-CN"/>
        </w:rPr>
        <w:t>亩；配套建设作业便道</w:t>
      </w:r>
      <w:r>
        <w:rPr>
          <w:rFonts w:hint="default" w:ascii="宋体" w:hAnsi="宋体" w:eastAsia="宋体" w:cs="宋体"/>
          <w:color w:val="auto"/>
          <w:spacing w:val="0"/>
          <w:position w:val="0"/>
          <w:sz w:val="24"/>
          <w:szCs w:val="24"/>
          <w:lang w:val="en-US" w:eastAsia="zh-CN"/>
        </w:rPr>
        <w:t>164</w:t>
      </w:r>
      <w:r>
        <w:rPr>
          <w:rFonts w:hint="eastAsia" w:ascii="宋体" w:hAnsi="宋体" w:eastAsia="宋体" w:cs="宋体"/>
          <w:color w:val="auto"/>
          <w:spacing w:val="0"/>
          <w:position w:val="0"/>
          <w:sz w:val="24"/>
          <w:szCs w:val="24"/>
          <w:lang w:val="en-US" w:eastAsia="zh-CN"/>
        </w:rPr>
        <w:t>公里。</w:t>
      </w:r>
    </w:p>
    <w:p w14:paraId="120CE769">
      <w:pPr>
        <w:pStyle w:val="4"/>
        <w:keepNext w:val="0"/>
        <w:keepLines w:val="0"/>
        <w:pageBreakBefore w:val="0"/>
        <w:widowControl w:val="0"/>
        <w:numPr>
          <w:ilvl w:val="0"/>
          <w:numId w:val="1"/>
        </w:numPr>
        <w:kinsoku/>
        <w:wordWrap/>
        <w:overflowPunct/>
        <w:topLinePunct w:val="0"/>
        <w:autoSpaceDE w:val="0"/>
        <w:autoSpaceDN w:val="0"/>
        <w:bidi w:val="0"/>
        <w:adjustRightInd w:val="0"/>
        <w:snapToGrid/>
        <w:spacing w:line="440" w:lineRule="exact"/>
        <w:jc w:val="both"/>
        <w:textAlignment w:val="auto"/>
        <w:rPr>
          <w:rFonts w:hint="eastAsia" w:asciiTheme="minorEastAsia" w:hAnsiTheme="minorEastAsia" w:eastAsiaTheme="minorEastAsia" w:cstheme="minorEastAsia"/>
          <w:b/>
          <w:bCs/>
          <w:color w:val="auto"/>
          <w:kern w:val="2"/>
          <w:highlight w:val="none"/>
          <w:lang w:val="en-US" w:eastAsia="zh-CN"/>
        </w:rPr>
      </w:pPr>
      <w:r>
        <w:rPr>
          <w:rFonts w:hint="eastAsia" w:asciiTheme="minorEastAsia" w:hAnsiTheme="minorEastAsia" w:eastAsiaTheme="minorEastAsia" w:cstheme="minorEastAsia"/>
          <w:b/>
          <w:bCs/>
          <w:color w:val="auto"/>
          <w:kern w:val="2"/>
          <w:highlight w:val="none"/>
          <w:lang w:val="en-US" w:eastAsia="zh-CN"/>
        </w:rPr>
        <w:t>项目建设地点</w:t>
      </w:r>
    </w:p>
    <w:p w14:paraId="23A75BC3">
      <w:pPr>
        <w:pStyle w:val="4"/>
        <w:keepNext w:val="0"/>
        <w:keepLines w:val="0"/>
        <w:pageBreakBefore w:val="0"/>
        <w:widowControl w:val="0"/>
        <w:kinsoku/>
        <w:wordWrap/>
        <w:overflowPunct/>
        <w:topLinePunct w:val="0"/>
        <w:autoSpaceDE w:val="0"/>
        <w:autoSpaceDN w:val="0"/>
        <w:bidi w:val="0"/>
        <w:adjustRightInd w:val="0"/>
        <w:snapToGrid/>
        <w:spacing w:line="440" w:lineRule="exact"/>
        <w:ind w:firstLine="480" w:firstLineChars="200"/>
        <w:jc w:val="both"/>
        <w:textAlignment w:val="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项目涉及赤山镇、东源乡、鸡冠山乡、金山镇、上栗镇、桐木镇、杨岐乡、长平乡、国有上栗县鸡冠营林林场、上栗县青溪营林林场等10 个乡镇（林场）单位</w:t>
      </w:r>
    </w:p>
    <w:p w14:paraId="794FF040">
      <w:pPr>
        <w:pStyle w:val="4"/>
        <w:keepNext w:val="0"/>
        <w:keepLines w:val="0"/>
        <w:pageBreakBefore w:val="0"/>
        <w:widowControl w:val="0"/>
        <w:kinsoku/>
        <w:wordWrap/>
        <w:overflowPunct/>
        <w:topLinePunct w:val="0"/>
        <w:autoSpaceDE w:val="0"/>
        <w:autoSpaceDN w:val="0"/>
        <w:bidi w:val="0"/>
        <w:adjustRightInd w:val="0"/>
        <w:snapToGrid/>
        <w:spacing w:line="440" w:lineRule="exact"/>
        <w:jc w:val="both"/>
        <w:textAlignment w:val="auto"/>
        <w:rPr>
          <w:rFonts w:hint="eastAsia" w:asciiTheme="minorEastAsia" w:hAnsiTheme="minorEastAsia" w:eastAsiaTheme="minorEastAsia" w:cstheme="minorEastAsia"/>
          <w:b/>
          <w:bCs/>
          <w:color w:val="auto"/>
          <w:kern w:val="2"/>
          <w:lang w:val="en-US" w:eastAsia="zh-CN"/>
        </w:rPr>
      </w:pPr>
      <w:r>
        <w:rPr>
          <w:rFonts w:hint="eastAsia" w:asciiTheme="minorEastAsia" w:hAnsiTheme="minorEastAsia" w:eastAsiaTheme="minorEastAsia" w:cstheme="minorEastAsia"/>
          <w:b/>
          <w:bCs/>
          <w:color w:val="auto"/>
          <w:kern w:val="2"/>
          <w:lang w:val="en-US" w:eastAsia="zh-CN"/>
        </w:rPr>
        <w:t>（三）</w:t>
      </w:r>
      <w:r>
        <w:rPr>
          <w:rFonts w:hint="eastAsia" w:asciiTheme="minorEastAsia" w:hAnsiTheme="minorEastAsia" w:eastAsiaTheme="minorEastAsia" w:cstheme="minorEastAsia"/>
          <w:b/>
          <w:bCs/>
          <w:snapToGrid/>
          <w:color w:val="auto"/>
          <w:kern w:val="2"/>
          <w:sz w:val="24"/>
          <w:szCs w:val="24"/>
          <w:highlight w:val="none"/>
          <w:lang w:val="en-US" w:eastAsia="zh-CN" w:bidi="ar-SA"/>
        </w:rPr>
        <w:t>监理单位服务职责（包含但不限于）</w:t>
      </w:r>
    </w:p>
    <w:p w14:paraId="56AAA1ED">
      <w:pPr>
        <w:pStyle w:val="5"/>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服务范围包括实施全过程的</w:t>
      </w:r>
      <w:r>
        <w:rPr>
          <w:rFonts w:hint="eastAsia" w:asciiTheme="minorEastAsia" w:hAnsiTheme="minorEastAsia" w:cstheme="minorEastAsia"/>
          <w:b w:val="0"/>
          <w:bCs w:val="0"/>
          <w:snapToGrid/>
          <w:color w:val="auto"/>
          <w:kern w:val="2"/>
          <w:sz w:val="24"/>
          <w:szCs w:val="24"/>
          <w:highlight w:val="none"/>
          <w:lang w:val="en-US" w:eastAsia="zh-CN" w:bidi="ar-SA"/>
        </w:rPr>
        <w:t>监理</w:t>
      </w: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服务。建设监理，包括项目施工全过程监管，保障施工质量符合验收标准，提供造价咨询等服务，严格控制项目成本；主要包含但不限于实现项目施工前作业图斑和技术措施计划上图，施工中进度监管和监理反馈,施工后质量核验和效果展示等功能；施工前、施工中、施工后进行影像记录，并按照业主需求制作图册和视频资料，以便全面记录和展示项目进程、建设效果；派驻人员负责资金使用的日常审核、凭证查验、进度款支付建议等，保障资金合理使用；负责项目全过程资料的收集、初审、整理、立卷和归档工作，确保资料完整有序；派驻现场巡查员，施工期间应全程入驻现场，核查工程进度、苗木质量、施工规范等，并与书面资料进行交叉验证，及时发现问题并解决。此外，还包括在授权范围内组织竣工验收及协助移交、中期评估、后期评价管理、全过程资金使用的监督管理、内审内控管理及资料档案收集归档等工作，全方位保障项目顺利推进。</w:t>
      </w:r>
    </w:p>
    <w:p w14:paraId="7AE06A3C">
      <w:pPr>
        <w:pStyle w:val="5"/>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1、小班现场核查</w:t>
      </w:r>
    </w:p>
    <w:p w14:paraId="1219F88F">
      <w:pPr>
        <w:pStyle w:val="5"/>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施工前：及时了解掌握项目涉及的所有小班现状，拍摄、制作详细的施工前影像资料，为后续施工提供基础参考。</w:t>
      </w:r>
    </w:p>
    <w:p w14:paraId="5A47EF34">
      <w:pPr>
        <w:pStyle w:val="5"/>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施工中：全程深入小班现场，检查施工进度是否符合计划安排，施工是否符合设计技术规范要求。重点核查采伐质量、山场清理、苗木的规格、植穴规格、种植密度、施肥量</w:t>
      </w:r>
      <w:r>
        <w:rPr>
          <w:rFonts w:hint="eastAsia" w:asciiTheme="minorEastAsia" w:hAnsiTheme="minorEastAsia" w:cstheme="minorEastAsia"/>
          <w:b w:val="0"/>
          <w:bCs w:val="0"/>
          <w:snapToGrid/>
          <w:color w:val="auto"/>
          <w:kern w:val="2"/>
          <w:sz w:val="24"/>
          <w:szCs w:val="24"/>
          <w:highlight w:val="none"/>
          <w:lang w:val="en-US" w:eastAsia="zh-CN" w:bidi="ar-SA"/>
        </w:rPr>
        <w:t>、</w:t>
      </w: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作业便道规格等情况。同时，对施工过程中的关键节点和重要变化进行影像记录，及时发现并记录施工中出现的问题，对施工单位提交的资金支付申请进行审核把关，准确核验工程完成面积、质量等关键信息。</w:t>
      </w:r>
    </w:p>
    <w:p w14:paraId="0F942084">
      <w:pPr>
        <w:pStyle w:val="5"/>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施工后：在项目竣工后，再次对小班进行全面核查，评估施工效果是否达到预期目标。检查苗木的成活率、生长状况等。对比施工前、施工中的影像资料，分析项目实施前后的变化情况，制作完整的施工后影像资料，为项目验收提供直观依据。</w:t>
      </w:r>
    </w:p>
    <w:p w14:paraId="73725CBE">
      <w:pPr>
        <w:pStyle w:val="5"/>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2、建设监理</w:t>
      </w:r>
    </w:p>
    <w:p w14:paraId="2E5DB9B3">
      <w:pPr>
        <w:pStyle w:val="5"/>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资金审核：派驻人员负责资金使用的日常审核、凭证查验、进度款支付建议等，保障资金合理使用；负责项目全过程资料的收集、初审、整理、立卷和归档工作，确保资料完整有序。</w:t>
      </w:r>
    </w:p>
    <w:p w14:paraId="4D126EC6">
      <w:pPr>
        <w:pStyle w:val="5"/>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合同管理：参与合同的起草、签订等工作，确保合同条款清晰、明确，符合法律法规和项目实际需求。在合同执行过程中，密切跟踪合同双方的履约情况，及时发现并解决合同纠纷，维护采购人的合法权益。定期对合同执行情况进行评估和总结，为后续项目合同管理提供经验参考。</w:t>
      </w:r>
    </w:p>
    <w:p w14:paraId="7BD69F4B">
      <w:pPr>
        <w:pStyle w:val="5"/>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进度管控：审核施工单位提交的施工总进度计划和月、周进度计划，制定详细的进度控制方案。通过定期召开进度协调会议、现场巡查等方式，及时掌握工程实际进度情况，对比计划进度，分析偏差原因，督促施工单位采取有效的赶工措施，确保项目按时竣工。</w:t>
      </w:r>
    </w:p>
    <w:p w14:paraId="405F5D07">
      <w:pPr>
        <w:pStyle w:val="5"/>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投资把控：建立健全投资控制体系，对项目资金的使用进行严格监督和管理。根据工程进度和合同约定，审核施工单位的工程款支付申请，确保资金支付合理、合规。定期对项目投资情况进行分析和总结，及时发现并纠正投资偏差，提高资金使用效率。</w:t>
      </w:r>
    </w:p>
    <w:p w14:paraId="5A34AA5A">
      <w:pPr>
        <w:pStyle w:val="5"/>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设计管理：在施工过程中，协助采购人处理设计变更事宜，组织设计单位、施工单位等相关各方进行沟通协调，确保设计变更的合理性和可行性，避免因设计变更导致工程延误和造价增加。</w:t>
      </w:r>
    </w:p>
    <w:p w14:paraId="591DEA13">
      <w:pPr>
        <w:pStyle w:val="5"/>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综合协调管理：组织召开项目协调会议，协调采购人、施工单位、设计单位等各方之间的关系，及时解决项目实施过程中出现的各种问题和矛盾。建立有效的沟通机制，确保信息传递及时、准确，保障项目顺利推进。</w:t>
      </w:r>
    </w:p>
    <w:p w14:paraId="5C5042D7">
      <w:pPr>
        <w:pStyle w:val="5"/>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安全管理：审查施工单位的安全生产许可证和安全生产规章制度，制定监理安全工作方案。定期对施工现场进行安全检查，重点检查施工人员的安全防护措施、施工设备的安全运行状况、施工现场的临时用电安全等，及时发现并消除安全隐患。对安全事故进行调查分析，提出处理意见和改进措施，督促施工单位落实安全生产责任。</w:t>
      </w:r>
    </w:p>
    <w:p w14:paraId="041009EA">
      <w:pPr>
        <w:pStyle w:val="5"/>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质量控制：制定详细的质量控制计划和质量检验标准，对工程施工质量进行全过程监督。从原材料的进场检验、构配件的质量检查到各分项工程、分部工程的质量验收，严格把关，确保工程质量符合国家和地方相关标准及设计要求。对质量问题及时下达整改通知，跟踪复查整改结果，对不合格工程坚决要求返工处理。</w:t>
      </w:r>
    </w:p>
    <w:p w14:paraId="3E0E4CBE">
      <w:pPr>
        <w:pStyle w:val="5"/>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文明施工监管：监督施工单位按照文明施工的要求进行现场管理，检查施工现场的环境卫生、材料堆放、临时设施搭建等情况，督促施工单位做到工完场清，减少施工对周边环境和居民生活的影响。对文明施工不达标的情况，及时提出整改要求，确保施工现场整洁、有序。</w:t>
      </w:r>
    </w:p>
    <w:p w14:paraId="451264BE">
      <w:pPr>
        <w:pStyle w:val="5"/>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环境保护监管：审查施工单位的环境保护措施和方案，监督施工单位在施工过程中落实生态保护和环境污染防治措施。检查施工现场的扬尘控制、噪声控制、废水处理、固体废弃物处理等情况，确保施工活动不对周边生态环境造成破坏，严格遵守国家和地方的环境保护法律法规。</w:t>
      </w:r>
    </w:p>
    <w:p w14:paraId="6DBF52AF">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baseline"/>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bCs/>
          <w:snapToGrid/>
          <w:color w:val="auto"/>
          <w:kern w:val="2"/>
          <w:sz w:val="24"/>
          <w:szCs w:val="24"/>
          <w:highlight w:val="none"/>
          <w:lang w:val="en-US" w:eastAsia="zh-CN" w:bidi="ar-SA"/>
        </w:rPr>
        <w:t>四）监理单位人员配置要求：</w:t>
      </w:r>
    </w:p>
    <w:p w14:paraId="1323A7B6">
      <w:pPr>
        <w:pStyle w:val="5"/>
        <w:keepNext w:val="0"/>
        <w:keepLines w:val="0"/>
        <w:pageBreakBefore w:val="0"/>
        <w:widowControl/>
        <w:kinsoku/>
        <w:wordWrap/>
        <w:overflowPunct/>
        <w:topLinePunct w:val="0"/>
        <w:autoSpaceDE/>
        <w:autoSpaceDN/>
        <w:bidi w:val="0"/>
        <w:adjustRightInd/>
        <w:snapToGrid/>
        <w:spacing w:line="420" w:lineRule="exact"/>
        <w:ind w:firstLine="442"/>
        <w:textAlignment w:val="auto"/>
        <w:rPr>
          <w:rFonts w:hint="eastAsia" w:ascii="宋体" w:hAnsi="宋体" w:eastAsia="宋体" w:cs="宋体"/>
          <w:sz w:val="24"/>
          <w:szCs w:val="24"/>
          <w:lang w:eastAsia="zh-CN"/>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人员配置要求：由于本项目工作量大、专业性强，要求投标人配备相应的专业服务团队，确保项目技术及进度满足采购人需求。</w:t>
      </w:r>
      <w:r>
        <w:rPr>
          <w:rFonts w:hint="eastAsia" w:asciiTheme="minorEastAsia" w:hAnsiTheme="minorEastAsia" w:cstheme="minorEastAsia"/>
          <w:b w:val="0"/>
          <w:bCs w:val="0"/>
          <w:snapToGrid/>
          <w:color w:val="auto"/>
          <w:kern w:val="2"/>
          <w:sz w:val="24"/>
          <w:szCs w:val="24"/>
          <w:highlight w:val="none"/>
          <w:lang w:val="en-US" w:eastAsia="zh-CN" w:bidi="ar-SA"/>
        </w:rPr>
        <w:t>总监1人</w:t>
      </w: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，并提交满足该项要求的承诺函</w:t>
      </w:r>
      <w:r>
        <w:rPr>
          <w:rFonts w:hint="eastAsia" w:asciiTheme="minorEastAsia" w:hAnsiTheme="minorEastAsia" w:cstheme="minorEastAsia"/>
          <w:b w:val="0"/>
          <w:bCs w:val="0"/>
          <w:snapToGrid/>
          <w:color w:val="auto"/>
          <w:kern w:val="2"/>
          <w:sz w:val="24"/>
          <w:szCs w:val="24"/>
          <w:highlight w:val="none"/>
          <w:lang w:val="en-US" w:eastAsia="zh-CN" w:bidi="ar-SA"/>
        </w:rPr>
        <w:t>（自拟）</w:t>
      </w: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w:t>
      </w:r>
      <w:r>
        <w:rPr>
          <w:rFonts w:hint="eastAsia" w:asciiTheme="minorEastAsia" w:hAnsiTheme="minorEastAsia" w:cstheme="minorEastAsia"/>
          <w:b w:val="0"/>
          <w:bCs w:val="0"/>
          <w:snapToGrid/>
          <w:color w:val="auto"/>
          <w:kern w:val="2"/>
          <w:sz w:val="24"/>
          <w:szCs w:val="24"/>
          <w:highlight w:val="none"/>
          <w:lang w:val="en-US" w:eastAsia="zh-CN" w:bidi="ar-SA"/>
        </w:rPr>
        <w:t>总监工程师须具备下列条件之一：（1）</w:t>
      </w:r>
      <w:r>
        <w:rPr>
          <w:rFonts w:ascii="宋体" w:hAnsi="宋体" w:eastAsia="宋体" w:cs="宋体"/>
          <w:sz w:val="24"/>
          <w:szCs w:val="24"/>
        </w:rPr>
        <w:t>持有注册专业为农林工程，由中华人民共和国人力资源社会保障部和住房和城市建设部用印的监理工程师执业资格证书的人员</w:t>
      </w:r>
      <w:r>
        <w:rPr>
          <w:rFonts w:hint="eastAsia" w:ascii="宋体" w:hAnsi="宋体" w:eastAsia="宋体" w:cs="宋体"/>
          <w:sz w:val="24"/>
          <w:szCs w:val="24"/>
          <w:lang w:val="en-US" w:eastAsia="zh-CN"/>
        </w:rPr>
        <w:t>。（2）</w:t>
      </w:r>
      <w:r>
        <w:rPr>
          <w:rFonts w:ascii="宋体" w:hAnsi="宋体" w:eastAsia="宋体" w:cs="宋体"/>
          <w:sz w:val="24"/>
          <w:szCs w:val="24"/>
        </w:rPr>
        <w:t>持有注册专业非农林工程</w:t>
      </w:r>
      <w:r>
        <w:rPr>
          <w:rFonts w:hint="eastAsia" w:ascii="宋体" w:hAnsi="宋体" w:eastAsia="宋体" w:cs="宋体"/>
          <w:sz w:val="24"/>
          <w:szCs w:val="24"/>
          <w:lang w:val="en-US" w:eastAsia="zh-CN"/>
        </w:rPr>
        <w:t>或</w:t>
      </w:r>
      <w:r>
        <w:rPr>
          <w:rFonts w:ascii="宋体" w:hAnsi="宋体" w:eastAsia="宋体" w:cs="宋体"/>
          <w:sz w:val="24"/>
          <w:szCs w:val="24"/>
        </w:rPr>
        <w:t>由中华人民共和国人力资源社会保障部、住房和城市建设部、交通运输部、水利部用印的监理工程师执业资格证书,并从事营造林工程监理工作两年以上的人员</w:t>
      </w:r>
      <w:r>
        <w:rPr>
          <w:rFonts w:hint="eastAsia" w:ascii="宋体" w:hAnsi="宋体" w:eastAsia="宋体" w:cs="宋体"/>
          <w:sz w:val="24"/>
          <w:szCs w:val="24"/>
          <w:lang w:val="en-US" w:eastAsia="zh-CN"/>
        </w:rPr>
        <w:t>。（3）</w:t>
      </w:r>
      <w:r>
        <w:rPr>
          <w:rFonts w:ascii="宋体" w:hAnsi="宋体" w:eastAsia="宋体" w:cs="宋体"/>
          <w:sz w:val="24"/>
          <w:szCs w:val="24"/>
        </w:rPr>
        <w:t>持有林业专业高级技术职称证书并持有中国林业工程建设协会</w:t>
      </w:r>
      <w:r>
        <w:rPr>
          <w:rFonts w:hint="eastAsia" w:ascii="宋体" w:hAnsi="宋体" w:eastAsia="宋体" w:cs="宋体"/>
          <w:sz w:val="24"/>
          <w:szCs w:val="24"/>
          <w:lang w:val="en-US" w:eastAsia="zh-CN"/>
        </w:rPr>
        <w:t>或林学会</w:t>
      </w:r>
      <w:r>
        <w:rPr>
          <w:rFonts w:ascii="宋体" w:hAnsi="宋体" w:eastAsia="宋体" w:cs="宋体"/>
          <w:sz w:val="24"/>
          <w:szCs w:val="24"/>
        </w:rPr>
        <w:t>颁发的《营造林工程监理工程师培训合格证书》的人员</w:t>
      </w:r>
      <w:r>
        <w:rPr>
          <w:rFonts w:hint="eastAsia" w:ascii="宋体" w:hAnsi="宋体" w:eastAsia="宋体" w:cs="宋体"/>
          <w:sz w:val="24"/>
          <w:szCs w:val="24"/>
          <w:lang w:eastAsia="zh-CN"/>
        </w:rPr>
        <w:t>。</w:t>
      </w:r>
    </w:p>
    <w:p w14:paraId="44D2522B">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napToGrid/>
          <w:color w:val="auto"/>
          <w:sz w:val="24"/>
          <w:szCs w:val="24"/>
          <w:lang w:val="en-US" w:eastAsia="zh-CN"/>
        </w:rPr>
      </w:pPr>
      <w:r>
        <w:rPr>
          <w:rFonts w:hint="eastAsia" w:ascii="宋体" w:hAnsi="宋体" w:eastAsia="宋体" w:cs="宋体"/>
          <w:snapToGrid/>
          <w:color w:val="auto"/>
          <w:sz w:val="24"/>
          <w:szCs w:val="24"/>
          <w:lang w:val="en-US" w:eastAsia="zh-CN"/>
        </w:rPr>
        <w:t>监理人员4人，须具备下列条件之一：（1）取得中国林业工程建设协会《营造林工程监理员培训合格证书》或</w:t>
      </w:r>
      <w:r>
        <w:rPr>
          <w:rFonts w:ascii="宋体" w:hAnsi="宋体" w:eastAsia="宋体" w:cs="宋体"/>
          <w:sz w:val="24"/>
          <w:szCs w:val="24"/>
        </w:rPr>
        <w:t>《营造林工程监理工程师培训合格证书》</w:t>
      </w:r>
      <w:r>
        <w:rPr>
          <w:rFonts w:hint="eastAsia" w:ascii="宋体" w:hAnsi="宋体" w:eastAsia="宋体" w:cs="宋体"/>
          <w:snapToGrid/>
          <w:color w:val="auto"/>
          <w:sz w:val="24"/>
          <w:szCs w:val="24"/>
          <w:lang w:val="en-US" w:eastAsia="zh-CN"/>
        </w:rPr>
        <w:t>，具有中专以上学历;（2）取得住房和城乡建设部、交通运输部、水利部等国家行业主管部门或省级以上国家林草管理部门颁发的监理员证书，从事林业工程建设相关业务工作不少于1年。</w:t>
      </w:r>
    </w:p>
    <w:p w14:paraId="08A0E6B3">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E72B3F7"/>
    <w:multiLevelType w:val="singleLevel"/>
    <w:tmpl w:val="4E72B3F7"/>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331ED7"/>
    <w:rsid w:val="27331E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5">
    <w:name w:val="null3"/>
    <w:hidden/>
    <w:qFormat/>
    <w:uiPriority w:val="0"/>
    <w:rPr>
      <w:rFonts w:hint="eastAsia" w:asciiTheme="minorHAnsi" w:hAnsiTheme="minorHAnsi" w:eastAsiaTheme="minorEastAsia" w:cstheme="minorBidi"/>
      <w:lang w:val="en-US" w:eastAsia="zh-Han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2026-05-26T09:03:00Z</dcterms:created>
  <dc:creator>PC</dc:creator>
  <cp:lastModifiedBy>PC</cp:lastModifiedBy>
  <dcterms:modified xsi:type="dcterms:W3CDTF">2026-05-26T09:04:23Z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25D94F54BF1944FFB56F0B0CB0599C95_11</vt:lpwstr>
  </property>
  <property fmtid="{D5CDD505-2E9C-101B-9397-08002B2CF9AE}" pid="4" name="KSOTemplateDocerSaveRecord">
    <vt:lpwstr>eyJoZGlkIjoiOGQwMjJmZWExMmM2MzVmZDQwOWQ1NDQwNzE0NGRjZjAiLCJ1c2VySWQiOiI0MDk3MDcxOTEifQ==</vt:lpwstr>
  </property>
</Properties>
</file>