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A3A74F">
      <w:pPr>
        <w:spacing w:afterLines="50" w:line="520" w:lineRule="exact"/>
        <w:jc w:val="center"/>
        <w:rPr>
          <w:rFonts w:hint="default" w:ascii="黑体" w:hAnsi="黑体" w:eastAsia="黑体"/>
          <w:b/>
          <w:bCs/>
          <w:kern w:val="0"/>
          <w:sz w:val="48"/>
          <w:szCs w:val="48"/>
          <w:highlight w:val="none"/>
          <w:lang w:val="en-US" w:eastAsia="zh-CN"/>
        </w:rPr>
      </w:pPr>
      <w:r>
        <w:rPr>
          <w:rFonts w:hint="eastAsia" w:ascii="黑体" w:hAnsi="黑体" w:eastAsia="黑体"/>
          <w:b/>
          <w:bCs/>
          <w:kern w:val="0"/>
          <w:sz w:val="48"/>
          <w:szCs w:val="48"/>
          <w:highlight w:val="none"/>
          <w:lang w:eastAsia="zh-CN"/>
        </w:rPr>
        <w:t>宁都县妇幼保健院智能化部分材料采购项目</w:t>
      </w:r>
      <w:r>
        <w:rPr>
          <w:rFonts w:hint="eastAsia" w:ascii="黑体" w:hAnsi="黑体" w:eastAsia="黑体"/>
          <w:b/>
          <w:bCs/>
          <w:kern w:val="0"/>
          <w:sz w:val="48"/>
          <w:szCs w:val="48"/>
          <w:highlight w:val="none"/>
          <w:lang w:val="en-US" w:eastAsia="zh-CN"/>
        </w:rPr>
        <w:t>的</w:t>
      </w:r>
    </w:p>
    <w:p w14:paraId="687D3543">
      <w:pPr>
        <w:spacing w:afterLines="50" w:line="520" w:lineRule="exact"/>
        <w:jc w:val="center"/>
        <w:rPr>
          <w:rFonts w:ascii="黑体" w:hAnsi="黑体" w:eastAsia="黑体"/>
          <w:b/>
          <w:bCs/>
          <w:kern w:val="0"/>
          <w:sz w:val="48"/>
          <w:szCs w:val="48"/>
          <w:highlight w:val="none"/>
        </w:rPr>
      </w:pPr>
      <w:r>
        <w:rPr>
          <w:rFonts w:hint="eastAsia" w:ascii="黑体" w:hAnsi="黑体" w:eastAsia="黑体"/>
          <w:b/>
          <w:bCs/>
          <w:kern w:val="0"/>
          <w:sz w:val="48"/>
          <w:szCs w:val="48"/>
          <w:highlight w:val="none"/>
          <w:lang w:val="en-US" w:eastAsia="zh-CN"/>
        </w:rPr>
        <w:t>采购</w:t>
      </w:r>
      <w:r>
        <w:rPr>
          <w:rFonts w:hint="eastAsia" w:ascii="黑体" w:hAnsi="黑体" w:eastAsia="黑体"/>
          <w:b/>
          <w:bCs/>
          <w:kern w:val="0"/>
          <w:sz w:val="48"/>
          <w:szCs w:val="48"/>
          <w:highlight w:val="none"/>
        </w:rPr>
        <w:t>需</w:t>
      </w:r>
      <w:r>
        <w:rPr>
          <w:rFonts w:ascii="黑体" w:hAnsi="黑体" w:eastAsia="黑体"/>
          <w:b/>
          <w:bCs/>
          <w:kern w:val="0"/>
          <w:sz w:val="48"/>
          <w:szCs w:val="48"/>
          <w:highlight w:val="none"/>
        </w:rPr>
        <w:t>求</w:t>
      </w:r>
    </w:p>
    <w:p w14:paraId="4ADBFAFE">
      <w:pPr>
        <w:pageBreakBefore w:val="0"/>
        <w:widowControl w:val="0"/>
        <w:kinsoku/>
        <w:wordWrap/>
        <w:overflowPunct/>
        <w:topLinePunct w:val="0"/>
        <w:bidi w:val="0"/>
        <w:spacing w:before="78" w:line="219" w:lineRule="auto"/>
        <w:jc w:val="center"/>
        <w:outlineLvl w:val="9"/>
        <w:rPr>
          <w:color w:val="auto"/>
          <w:sz w:val="20"/>
          <w:szCs w:val="20"/>
          <w:highlight w:val="none"/>
          <w:lang w:eastAsia="zh-CN"/>
        </w:rPr>
      </w:pPr>
      <w:r>
        <w:rPr>
          <w:rFonts w:ascii="宋体" w:hAnsi="宋体" w:eastAsia="宋体" w:cs="宋体"/>
          <w:b/>
          <w:bCs/>
          <w:color w:val="auto"/>
          <w:spacing w:val="-6"/>
          <w:sz w:val="28"/>
          <w:szCs w:val="28"/>
          <w:highlight w:val="none"/>
          <w:lang w:eastAsia="zh-CN"/>
        </w:rPr>
        <w:t>商务条件</w:t>
      </w:r>
    </w:p>
    <w:p w14:paraId="23A6BCF3">
      <w:pPr>
        <w:keepNext w:val="0"/>
        <w:keepLines w:val="0"/>
        <w:pageBreakBefore w:val="0"/>
        <w:widowControl/>
        <w:kinsoku w:val="0"/>
        <w:wordWrap/>
        <w:overflowPunct/>
        <w:topLinePunct w:val="0"/>
        <w:autoSpaceDE w:val="0"/>
        <w:autoSpaceDN w:val="0"/>
        <w:bidi w:val="0"/>
        <w:adjustRightInd w:val="0"/>
        <w:snapToGrid w:val="0"/>
        <w:spacing w:line="480" w:lineRule="exact"/>
        <w:ind w:firstLine="540" w:firstLineChars="200"/>
        <w:textAlignment w:val="baseline"/>
        <w:outlineLvl w:val="9"/>
        <w:rPr>
          <w:rFonts w:hint="eastAsia" w:ascii="宋体" w:hAnsi="宋体"/>
          <w:color w:val="auto"/>
          <w:kern w:val="0"/>
          <w:sz w:val="27"/>
          <w:szCs w:val="27"/>
          <w:highlight w:val="none"/>
          <w:lang w:val="en-US" w:eastAsia="zh-CN"/>
        </w:rPr>
      </w:pPr>
      <w:r>
        <w:rPr>
          <w:rFonts w:hint="eastAsia" w:ascii="宋体" w:hAnsi="宋体"/>
          <w:color w:val="auto"/>
          <w:kern w:val="0"/>
          <w:sz w:val="27"/>
          <w:szCs w:val="27"/>
          <w:highlight w:val="none"/>
          <w:lang w:val="en-US" w:eastAsia="zh-CN"/>
        </w:rPr>
        <w:t>（一）响应供应商须提供全新、原装国产品牌，并符合国家、行业质量标准的货物。</w:t>
      </w:r>
    </w:p>
    <w:p w14:paraId="1B0F052B">
      <w:pPr>
        <w:keepNext w:val="0"/>
        <w:keepLines w:val="0"/>
        <w:pageBreakBefore w:val="0"/>
        <w:widowControl/>
        <w:kinsoku w:val="0"/>
        <w:wordWrap/>
        <w:overflowPunct/>
        <w:topLinePunct w:val="0"/>
        <w:autoSpaceDE w:val="0"/>
        <w:autoSpaceDN w:val="0"/>
        <w:bidi w:val="0"/>
        <w:adjustRightInd w:val="0"/>
        <w:snapToGrid w:val="0"/>
        <w:spacing w:line="480" w:lineRule="exact"/>
        <w:ind w:firstLine="540" w:firstLineChars="200"/>
        <w:textAlignment w:val="baseline"/>
        <w:outlineLvl w:val="9"/>
        <w:rPr>
          <w:rFonts w:hint="eastAsia" w:ascii="宋体" w:hAnsi="宋体"/>
          <w:color w:val="auto"/>
          <w:kern w:val="0"/>
          <w:sz w:val="27"/>
          <w:szCs w:val="27"/>
          <w:highlight w:val="none"/>
          <w:lang w:val="en-US" w:eastAsia="zh-CN"/>
        </w:rPr>
      </w:pPr>
      <w:r>
        <w:rPr>
          <w:rFonts w:hint="eastAsia" w:ascii="宋体" w:hAnsi="宋体"/>
          <w:color w:val="auto"/>
          <w:kern w:val="0"/>
          <w:sz w:val="27"/>
          <w:szCs w:val="27"/>
          <w:highlight w:val="none"/>
          <w:lang w:val="en-US" w:eastAsia="zh-CN"/>
        </w:rPr>
        <w:t>（二）所投货物必须提供壹年的质保期(货物另有超过壹年规定的，按其规定执行)。</w:t>
      </w:r>
    </w:p>
    <w:p w14:paraId="2544F7F0">
      <w:pPr>
        <w:keepNext w:val="0"/>
        <w:keepLines w:val="0"/>
        <w:pageBreakBefore w:val="0"/>
        <w:widowControl/>
        <w:kinsoku w:val="0"/>
        <w:wordWrap/>
        <w:overflowPunct/>
        <w:topLinePunct w:val="0"/>
        <w:autoSpaceDE w:val="0"/>
        <w:autoSpaceDN w:val="0"/>
        <w:bidi w:val="0"/>
        <w:adjustRightInd w:val="0"/>
        <w:snapToGrid w:val="0"/>
        <w:spacing w:line="480" w:lineRule="exact"/>
        <w:ind w:firstLine="540" w:firstLineChars="200"/>
        <w:textAlignment w:val="baseline"/>
        <w:outlineLvl w:val="9"/>
        <w:rPr>
          <w:rFonts w:hint="eastAsia" w:ascii="宋体" w:hAnsi="宋体"/>
          <w:color w:val="auto"/>
          <w:kern w:val="0"/>
          <w:sz w:val="27"/>
          <w:szCs w:val="27"/>
          <w:highlight w:val="none"/>
          <w:lang w:val="en-US" w:eastAsia="zh-CN"/>
        </w:rPr>
      </w:pPr>
      <w:r>
        <w:rPr>
          <w:rFonts w:hint="eastAsia" w:ascii="宋体" w:hAnsi="宋体"/>
          <w:color w:val="auto"/>
          <w:kern w:val="0"/>
          <w:sz w:val="27"/>
          <w:szCs w:val="27"/>
          <w:highlight w:val="none"/>
          <w:lang w:val="en-US" w:eastAsia="zh-CN"/>
        </w:rPr>
        <w:t>（三）采购人有权拒绝接受任何不合格的货物和服务，由此产生的费用及相关后果均由响应供应商自行承担。采购人有权要求成交供应商在成交信息发布后5日内提供（上网行为管理、服务器、会议一体机、核心交换机等软硬件产品）至采购单位现场演示，针对招标文件参数条款进行逐条演示校对，样机不能通过技术测试与投标文件不符的（或演示结果）视为虚假承诺，未按时提供设备演示或演示功能与招标文件参数不符的中标无效。签订合同前需提供所投产品的检测报告相关佐证材料原件备查，未能提供或提供虚假检测报告相关佐证材料的作废标处理。同时视为虚假响应，用户有权报政府采购监督管理部门及相关司法机关进行处理，并依据招标法追究其法律责任，由此产生的一切后果及法律责任由成交供应商承担。由此导致整批货物被拒收和索赔，以及其它相关损失一律由中标人负责。</w:t>
      </w:r>
    </w:p>
    <w:p w14:paraId="74D27761">
      <w:pPr>
        <w:keepNext w:val="0"/>
        <w:keepLines w:val="0"/>
        <w:pageBreakBefore w:val="0"/>
        <w:widowControl/>
        <w:kinsoku w:val="0"/>
        <w:wordWrap/>
        <w:overflowPunct/>
        <w:topLinePunct w:val="0"/>
        <w:autoSpaceDE w:val="0"/>
        <w:autoSpaceDN w:val="0"/>
        <w:bidi w:val="0"/>
        <w:adjustRightInd w:val="0"/>
        <w:snapToGrid w:val="0"/>
        <w:spacing w:line="480" w:lineRule="exact"/>
        <w:ind w:firstLine="540" w:firstLineChars="200"/>
        <w:textAlignment w:val="baseline"/>
        <w:outlineLvl w:val="9"/>
        <w:rPr>
          <w:rFonts w:hint="eastAsia" w:ascii="宋体" w:hAnsi="宋体"/>
          <w:color w:val="auto"/>
          <w:kern w:val="0"/>
          <w:sz w:val="27"/>
          <w:szCs w:val="27"/>
          <w:highlight w:val="none"/>
          <w:lang w:val="en-US" w:eastAsia="zh-CN"/>
        </w:rPr>
      </w:pPr>
      <w:r>
        <w:rPr>
          <w:rFonts w:hint="eastAsia" w:ascii="宋体" w:hAnsi="宋体"/>
          <w:color w:val="auto"/>
          <w:kern w:val="0"/>
          <w:sz w:val="27"/>
          <w:szCs w:val="27"/>
          <w:highlight w:val="none"/>
          <w:lang w:val="en-US" w:eastAsia="zh-CN"/>
        </w:rPr>
        <w:t>（四）最高限价：本项目最高限价为1157980元，投标报价高于1157980元不予评审。</w:t>
      </w:r>
    </w:p>
    <w:p w14:paraId="3D20E26C">
      <w:pPr>
        <w:keepNext w:val="0"/>
        <w:keepLines w:val="0"/>
        <w:pageBreakBefore w:val="0"/>
        <w:widowControl/>
        <w:kinsoku w:val="0"/>
        <w:wordWrap/>
        <w:overflowPunct/>
        <w:topLinePunct w:val="0"/>
        <w:autoSpaceDE w:val="0"/>
        <w:autoSpaceDN w:val="0"/>
        <w:bidi w:val="0"/>
        <w:adjustRightInd w:val="0"/>
        <w:snapToGrid w:val="0"/>
        <w:spacing w:line="480" w:lineRule="exact"/>
        <w:ind w:firstLine="540" w:firstLineChars="200"/>
        <w:textAlignment w:val="baseline"/>
        <w:outlineLvl w:val="9"/>
        <w:rPr>
          <w:rFonts w:hint="eastAsia" w:ascii="宋体" w:hAnsi="宋体"/>
          <w:color w:val="auto"/>
          <w:kern w:val="0"/>
          <w:sz w:val="27"/>
          <w:szCs w:val="27"/>
          <w:highlight w:val="none"/>
          <w:lang w:val="en-US" w:eastAsia="zh-CN"/>
        </w:rPr>
      </w:pPr>
      <w:r>
        <w:rPr>
          <w:rFonts w:hint="eastAsia" w:ascii="宋体" w:hAnsi="宋体"/>
          <w:color w:val="auto"/>
          <w:kern w:val="0"/>
          <w:sz w:val="27"/>
          <w:szCs w:val="27"/>
          <w:highlight w:val="none"/>
          <w:lang w:val="en-US" w:eastAsia="zh-CN"/>
        </w:rPr>
        <w:t>（五）交付时间：响应供应商自行前往项目所在地实地查看施工环境及施工条件，因项目需要，成交供应商中标后5日内必须与采购单位签订合同，逾期将按照每日中标金额3</w:t>
      </w:r>
      <w:r>
        <w:rPr>
          <w:rFonts w:hint="default" w:ascii="宋体" w:hAnsi="宋体"/>
          <w:color w:val="auto"/>
          <w:kern w:val="0"/>
          <w:sz w:val="27"/>
          <w:szCs w:val="27"/>
          <w:highlight w:val="none"/>
          <w:lang w:val="en-US" w:eastAsia="zh-CN"/>
        </w:rPr>
        <w:t>‰</w:t>
      </w:r>
      <w:r>
        <w:rPr>
          <w:rFonts w:hint="eastAsia" w:ascii="宋体" w:hAnsi="宋体"/>
          <w:color w:val="auto"/>
          <w:kern w:val="0"/>
          <w:sz w:val="27"/>
          <w:szCs w:val="27"/>
          <w:highlight w:val="none"/>
          <w:lang w:val="en-US" w:eastAsia="zh-CN"/>
        </w:rPr>
        <w:t>处罚违约金，逾期20日未签订合同的作自动放弃成交处理，用户有权报政府采购监督管理部门及相关司法机关进行处理，并依据招标法追究其法律责任，由此产生的一切后果及法律责任由成交供应商承担。由此导致整批货物被拒收和索赔，以及其它相关损失一律由中标人负责。签订合同后15日内交付使用，否则不予验收。</w:t>
      </w:r>
    </w:p>
    <w:p w14:paraId="30A7775D">
      <w:pPr>
        <w:keepNext w:val="0"/>
        <w:keepLines w:val="0"/>
        <w:pageBreakBefore w:val="0"/>
        <w:widowControl/>
        <w:kinsoku w:val="0"/>
        <w:wordWrap/>
        <w:overflowPunct/>
        <w:topLinePunct w:val="0"/>
        <w:autoSpaceDE w:val="0"/>
        <w:autoSpaceDN w:val="0"/>
        <w:bidi w:val="0"/>
        <w:adjustRightInd w:val="0"/>
        <w:snapToGrid w:val="0"/>
        <w:spacing w:line="480" w:lineRule="exact"/>
        <w:ind w:firstLine="540" w:firstLineChars="200"/>
        <w:textAlignment w:val="baseline"/>
        <w:outlineLvl w:val="9"/>
        <w:rPr>
          <w:rFonts w:hint="eastAsia" w:ascii="宋体" w:hAnsi="宋体"/>
          <w:color w:val="auto"/>
          <w:kern w:val="0"/>
          <w:sz w:val="27"/>
          <w:szCs w:val="27"/>
          <w:highlight w:val="none"/>
          <w:lang w:val="en-US" w:eastAsia="zh-CN"/>
        </w:rPr>
      </w:pPr>
      <w:r>
        <w:rPr>
          <w:rFonts w:hint="eastAsia" w:ascii="宋体" w:hAnsi="宋体"/>
          <w:color w:val="auto"/>
          <w:kern w:val="0"/>
          <w:sz w:val="27"/>
          <w:szCs w:val="27"/>
          <w:highlight w:val="none"/>
          <w:lang w:val="en-US" w:eastAsia="zh-CN"/>
        </w:rPr>
        <w:t>（六）为保障设备的售后服务：投标供应商所投上网行为管理、服务器、会议一体机须提供制造商针对本项目的授权书及售后服务承诺函原件并加盖制造商及投标公司公章（未提供或提供不符合的按未实质性响应处理）。</w:t>
      </w:r>
    </w:p>
    <w:p w14:paraId="7AA82F88">
      <w:pPr>
        <w:keepNext w:val="0"/>
        <w:keepLines w:val="0"/>
        <w:pageBreakBefore w:val="0"/>
        <w:widowControl/>
        <w:kinsoku w:val="0"/>
        <w:wordWrap/>
        <w:overflowPunct/>
        <w:topLinePunct w:val="0"/>
        <w:autoSpaceDE w:val="0"/>
        <w:autoSpaceDN w:val="0"/>
        <w:bidi w:val="0"/>
        <w:adjustRightInd w:val="0"/>
        <w:snapToGrid w:val="0"/>
        <w:spacing w:line="480" w:lineRule="exact"/>
        <w:ind w:firstLine="540" w:firstLineChars="200"/>
        <w:textAlignment w:val="baseline"/>
        <w:outlineLvl w:val="9"/>
        <w:rPr>
          <w:rFonts w:hint="eastAsia" w:ascii="宋体" w:hAnsi="宋体"/>
          <w:color w:val="auto"/>
          <w:kern w:val="0"/>
          <w:sz w:val="27"/>
          <w:szCs w:val="27"/>
          <w:highlight w:val="none"/>
          <w:lang w:val="en-US" w:eastAsia="zh-CN"/>
        </w:rPr>
      </w:pPr>
      <w:r>
        <w:rPr>
          <w:rFonts w:hint="eastAsia" w:ascii="宋体" w:hAnsi="宋体"/>
          <w:color w:val="auto"/>
          <w:kern w:val="0"/>
          <w:sz w:val="27"/>
          <w:szCs w:val="27"/>
          <w:highlight w:val="none"/>
          <w:lang w:val="en-US" w:eastAsia="zh-CN"/>
        </w:rPr>
        <w:t>（七）成交供应商签订合同时需根据投标总金额的5%向采购单位缴纳履约保证金，所有采购物品履约完成后经专家验收合格后5个工作日内一次性无息退还。</w:t>
      </w:r>
    </w:p>
    <w:p w14:paraId="19229F54">
      <w:pPr>
        <w:keepNext w:val="0"/>
        <w:keepLines w:val="0"/>
        <w:pageBreakBefore w:val="0"/>
        <w:widowControl/>
        <w:kinsoku w:val="0"/>
        <w:wordWrap/>
        <w:overflowPunct/>
        <w:topLinePunct w:val="0"/>
        <w:autoSpaceDE w:val="0"/>
        <w:autoSpaceDN w:val="0"/>
        <w:bidi w:val="0"/>
        <w:adjustRightInd w:val="0"/>
        <w:snapToGrid w:val="0"/>
        <w:spacing w:line="480" w:lineRule="exact"/>
        <w:ind w:firstLine="540" w:firstLineChars="200"/>
        <w:textAlignment w:val="baseline"/>
        <w:outlineLvl w:val="9"/>
        <w:rPr>
          <w:rFonts w:hint="eastAsia" w:ascii="宋体" w:hAnsi="宋体"/>
          <w:color w:val="auto"/>
          <w:kern w:val="0"/>
          <w:sz w:val="27"/>
          <w:szCs w:val="27"/>
          <w:highlight w:val="none"/>
          <w:lang w:val="en-US" w:eastAsia="zh-CN"/>
        </w:rPr>
      </w:pPr>
      <w:r>
        <w:rPr>
          <w:rFonts w:hint="eastAsia" w:ascii="宋体" w:hAnsi="宋体"/>
          <w:color w:val="auto"/>
          <w:kern w:val="0"/>
          <w:sz w:val="27"/>
          <w:szCs w:val="27"/>
          <w:highlight w:val="none"/>
          <w:lang w:val="en-US" w:eastAsia="zh-CN"/>
        </w:rPr>
        <w:t>（八）付款方式：根据财政经费安排在签订合同后壹年内付清。</w:t>
      </w:r>
    </w:p>
    <w:p w14:paraId="311A3D15">
      <w:pPr>
        <w:pStyle w:val="2"/>
        <w:rPr>
          <w:rFonts w:hint="eastAsia" w:ascii="宋体" w:hAnsi="宋体"/>
          <w:color w:val="auto"/>
          <w:kern w:val="0"/>
          <w:sz w:val="27"/>
          <w:szCs w:val="27"/>
          <w:highlight w:val="none"/>
          <w:lang w:val="en-US" w:eastAsia="zh-CN"/>
        </w:rPr>
      </w:pPr>
    </w:p>
    <w:p w14:paraId="46A2F05B">
      <w:pPr>
        <w:rPr>
          <w:rFonts w:hint="eastAsia" w:ascii="宋体" w:hAnsi="宋体"/>
          <w:color w:val="auto"/>
          <w:kern w:val="0"/>
          <w:sz w:val="27"/>
          <w:szCs w:val="27"/>
          <w:highlight w:val="none"/>
          <w:lang w:val="en-US" w:eastAsia="zh-CN"/>
        </w:rPr>
      </w:pPr>
    </w:p>
    <w:p w14:paraId="4BDE5A11">
      <w:pPr>
        <w:pStyle w:val="2"/>
        <w:rPr>
          <w:rFonts w:hint="eastAsia" w:ascii="宋体" w:hAnsi="宋体"/>
          <w:color w:val="auto"/>
          <w:kern w:val="0"/>
          <w:sz w:val="27"/>
          <w:szCs w:val="27"/>
          <w:highlight w:val="none"/>
          <w:lang w:val="en-US" w:eastAsia="zh-CN"/>
        </w:rPr>
      </w:pPr>
    </w:p>
    <w:p w14:paraId="070E9AAC">
      <w:pPr>
        <w:rPr>
          <w:rFonts w:hint="eastAsia" w:ascii="宋体" w:hAnsi="宋体"/>
          <w:color w:val="auto"/>
          <w:kern w:val="0"/>
          <w:sz w:val="27"/>
          <w:szCs w:val="27"/>
          <w:highlight w:val="none"/>
          <w:lang w:val="en-US" w:eastAsia="zh-CN"/>
        </w:rPr>
      </w:pPr>
    </w:p>
    <w:p w14:paraId="52BC6A64">
      <w:pPr>
        <w:pStyle w:val="2"/>
        <w:rPr>
          <w:rFonts w:hint="eastAsia" w:ascii="宋体" w:hAnsi="宋体"/>
          <w:color w:val="auto"/>
          <w:kern w:val="0"/>
          <w:sz w:val="27"/>
          <w:szCs w:val="27"/>
          <w:highlight w:val="none"/>
          <w:lang w:val="en-US" w:eastAsia="zh-CN"/>
        </w:rPr>
      </w:pPr>
    </w:p>
    <w:p w14:paraId="68DE209D">
      <w:pPr>
        <w:rPr>
          <w:rFonts w:hint="eastAsia" w:ascii="宋体" w:hAnsi="宋体"/>
          <w:color w:val="auto"/>
          <w:kern w:val="0"/>
          <w:sz w:val="27"/>
          <w:szCs w:val="27"/>
          <w:highlight w:val="none"/>
          <w:lang w:val="en-US" w:eastAsia="zh-CN"/>
        </w:rPr>
      </w:pPr>
    </w:p>
    <w:p w14:paraId="138821CE">
      <w:pPr>
        <w:pStyle w:val="2"/>
        <w:rPr>
          <w:rFonts w:hint="eastAsia" w:ascii="宋体" w:hAnsi="宋体"/>
          <w:color w:val="auto"/>
          <w:kern w:val="0"/>
          <w:sz w:val="27"/>
          <w:szCs w:val="27"/>
          <w:highlight w:val="none"/>
          <w:lang w:val="en-US" w:eastAsia="zh-CN"/>
        </w:rPr>
      </w:pPr>
    </w:p>
    <w:p w14:paraId="31348AAC">
      <w:pPr>
        <w:rPr>
          <w:rFonts w:hint="eastAsia" w:ascii="宋体" w:hAnsi="宋体"/>
          <w:color w:val="auto"/>
          <w:kern w:val="0"/>
          <w:sz w:val="27"/>
          <w:szCs w:val="27"/>
          <w:highlight w:val="none"/>
          <w:lang w:val="en-US" w:eastAsia="zh-CN"/>
        </w:rPr>
      </w:pPr>
    </w:p>
    <w:p w14:paraId="13129653">
      <w:pPr>
        <w:pStyle w:val="2"/>
        <w:rPr>
          <w:rFonts w:hint="eastAsia" w:ascii="宋体" w:hAnsi="宋体"/>
          <w:color w:val="auto"/>
          <w:kern w:val="0"/>
          <w:sz w:val="27"/>
          <w:szCs w:val="27"/>
          <w:highlight w:val="none"/>
          <w:lang w:val="en-US" w:eastAsia="zh-CN"/>
        </w:rPr>
      </w:pPr>
    </w:p>
    <w:p w14:paraId="43050833">
      <w:pPr>
        <w:rPr>
          <w:rFonts w:hint="eastAsia" w:ascii="宋体" w:hAnsi="宋体"/>
          <w:color w:val="auto"/>
          <w:kern w:val="0"/>
          <w:sz w:val="27"/>
          <w:szCs w:val="27"/>
          <w:highlight w:val="none"/>
          <w:lang w:val="en-US" w:eastAsia="zh-CN"/>
        </w:rPr>
      </w:pPr>
    </w:p>
    <w:p w14:paraId="0ECA4858">
      <w:pPr>
        <w:pStyle w:val="2"/>
        <w:rPr>
          <w:rFonts w:hint="eastAsia" w:ascii="宋体" w:hAnsi="宋体"/>
          <w:color w:val="auto"/>
          <w:kern w:val="0"/>
          <w:sz w:val="27"/>
          <w:szCs w:val="27"/>
          <w:highlight w:val="none"/>
          <w:lang w:val="en-US" w:eastAsia="zh-CN"/>
        </w:rPr>
      </w:pPr>
    </w:p>
    <w:p w14:paraId="4FB8BDE6">
      <w:pPr>
        <w:rPr>
          <w:rFonts w:hint="eastAsia" w:ascii="宋体" w:hAnsi="宋体"/>
          <w:color w:val="auto"/>
          <w:kern w:val="0"/>
          <w:sz w:val="27"/>
          <w:szCs w:val="27"/>
          <w:highlight w:val="none"/>
          <w:lang w:val="en-US" w:eastAsia="zh-CN"/>
        </w:rPr>
      </w:pPr>
    </w:p>
    <w:p w14:paraId="52EA0F1C">
      <w:pPr>
        <w:pStyle w:val="2"/>
        <w:rPr>
          <w:rFonts w:hint="eastAsia" w:ascii="宋体" w:hAnsi="宋体"/>
          <w:color w:val="auto"/>
          <w:kern w:val="0"/>
          <w:sz w:val="27"/>
          <w:szCs w:val="27"/>
          <w:highlight w:val="none"/>
          <w:lang w:val="en-US" w:eastAsia="zh-CN"/>
        </w:rPr>
      </w:pPr>
    </w:p>
    <w:p w14:paraId="11704E91">
      <w:pPr>
        <w:rPr>
          <w:rFonts w:hint="eastAsia"/>
          <w:highlight w:val="none"/>
          <w:lang w:val="en-US" w:eastAsia="zh-CN"/>
        </w:rPr>
      </w:pPr>
    </w:p>
    <w:p w14:paraId="02F0A582">
      <w:pPr>
        <w:rPr>
          <w:highlight w:val="none"/>
        </w:rPr>
        <w:sectPr>
          <w:footerReference r:id="rId3" w:type="default"/>
          <w:pgSz w:w="11906" w:h="16838"/>
          <w:pgMar w:top="1134" w:right="1134" w:bottom="1134" w:left="1134" w:header="851" w:footer="992" w:gutter="0"/>
          <w:cols w:space="425" w:num="1"/>
          <w:docGrid w:type="lines" w:linePitch="312" w:charSpace="0"/>
        </w:sectPr>
      </w:pPr>
    </w:p>
    <w:p w14:paraId="5602F45F">
      <w:pPr>
        <w:spacing w:line="360" w:lineRule="auto"/>
        <w:ind w:firstLine="4800" w:firstLineChars="1500"/>
      </w:pPr>
      <w:r>
        <w:rPr>
          <w:rFonts w:hint="eastAsia" w:ascii="宋体" w:hAnsi="宋体"/>
          <w:kern w:val="0"/>
          <w:sz w:val="32"/>
          <w:szCs w:val="32"/>
          <w:lang w:val="en-US" w:eastAsia="zh-CN"/>
        </w:rPr>
        <w:t>宁都县妇幼保健院智能化部分材料采购清单</w:t>
      </w:r>
    </w:p>
    <w:p w14:paraId="77E79BA4">
      <w:pPr>
        <w:rPr>
          <w:rFonts w:hint="default" w:eastAsiaTheme="minorEastAsia"/>
          <w:lang w:val="en-US" w:eastAsia="zh-CN"/>
        </w:rPr>
      </w:pPr>
      <w:r>
        <w:rPr>
          <w:rFonts w:hint="eastAsia"/>
          <w:lang w:val="en-US" w:eastAsia="zh-CN"/>
        </w:rPr>
        <w:t xml:space="preserve">                                           </w:t>
      </w:r>
    </w:p>
    <w:tbl>
      <w:tblPr>
        <w:tblStyle w:val="7"/>
        <w:tblW w:w="146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1320"/>
        <w:gridCol w:w="8000"/>
        <w:gridCol w:w="900"/>
        <w:gridCol w:w="900"/>
        <w:gridCol w:w="1130"/>
        <w:gridCol w:w="1003"/>
        <w:gridCol w:w="699"/>
      </w:tblGrid>
      <w:tr w14:paraId="5761D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698" w:type="dxa"/>
            <w:vAlign w:val="center"/>
          </w:tcPr>
          <w:p w14:paraId="500DDCD7">
            <w:pPr>
              <w:widowControl w:val="0"/>
              <w:jc w:val="center"/>
              <w:outlineLvl w:val="9"/>
              <w:rPr>
                <w:rFonts w:hint="eastAsia" w:eastAsiaTheme="minor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序号</w:t>
            </w:r>
          </w:p>
        </w:tc>
        <w:tc>
          <w:tcPr>
            <w:tcW w:w="1320" w:type="dxa"/>
            <w:vAlign w:val="center"/>
          </w:tcPr>
          <w:p w14:paraId="57ADA91E">
            <w:pPr>
              <w:widowControl w:val="0"/>
              <w:jc w:val="center"/>
              <w:outlineLvl w:val="9"/>
              <w:rPr>
                <w:rFonts w:hint="default" w:eastAsiaTheme="minor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货物名称</w:t>
            </w:r>
          </w:p>
        </w:tc>
        <w:tc>
          <w:tcPr>
            <w:tcW w:w="8000" w:type="dxa"/>
            <w:vAlign w:val="center"/>
          </w:tcPr>
          <w:p w14:paraId="6D18A6DC">
            <w:pPr>
              <w:widowControl w:val="0"/>
              <w:jc w:val="center"/>
              <w:outlineLvl w:val="9"/>
              <w:rPr>
                <w:rFonts w:hint="default" w:eastAsiaTheme="minor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规格参数</w:t>
            </w:r>
          </w:p>
        </w:tc>
        <w:tc>
          <w:tcPr>
            <w:tcW w:w="900" w:type="dxa"/>
            <w:vAlign w:val="center"/>
          </w:tcPr>
          <w:p w14:paraId="2659DB0D">
            <w:pPr>
              <w:widowControl w:val="0"/>
              <w:jc w:val="center"/>
              <w:outlineLvl w:val="9"/>
              <w:rPr>
                <w:rFonts w:hint="eastAsia" w:eastAsiaTheme="minor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数量</w:t>
            </w:r>
          </w:p>
        </w:tc>
        <w:tc>
          <w:tcPr>
            <w:tcW w:w="900" w:type="dxa"/>
            <w:vAlign w:val="center"/>
          </w:tcPr>
          <w:p w14:paraId="19AED8AC">
            <w:pPr>
              <w:widowControl w:val="0"/>
              <w:jc w:val="center"/>
              <w:outlineLvl w:val="9"/>
              <w:rPr>
                <w:rFonts w:hint="eastAsia" w:eastAsiaTheme="minor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单位</w:t>
            </w:r>
          </w:p>
        </w:tc>
        <w:tc>
          <w:tcPr>
            <w:tcW w:w="1130" w:type="dxa"/>
            <w:vAlign w:val="center"/>
          </w:tcPr>
          <w:p w14:paraId="2252C9F3">
            <w:pPr>
              <w:widowControl w:val="0"/>
              <w:jc w:val="center"/>
              <w:outlineLvl w:val="9"/>
              <w:rPr>
                <w:rFonts w:hint="eastAsia" w:eastAsiaTheme="minor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单价</w:t>
            </w:r>
          </w:p>
        </w:tc>
        <w:tc>
          <w:tcPr>
            <w:tcW w:w="1003" w:type="dxa"/>
            <w:vAlign w:val="center"/>
          </w:tcPr>
          <w:p w14:paraId="1DCCB56F">
            <w:pPr>
              <w:widowControl w:val="0"/>
              <w:jc w:val="center"/>
              <w:outlineLvl w:val="9"/>
              <w:rPr>
                <w:rFonts w:hint="default" w:eastAsiaTheme="minor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小计</w:t>
            </w:r>
          </w:p>
        </w:tc>
        <w:tc>
          <w:tcPr>
            <w:tcW w:w="699" w:type="dxa"/>
            <w:vAlign w:val="center"/>
          </w:tcPr>
          <w:p w14:paraId="0EEDD293">
            <w:pPr>
              <w:widowControl w:val="0"/>
              <w:jc w:val="center"/>
              <w:outlineLvl w:val="9"/>
              <w:rPr>
                <w:rFonts w:hint="default"/>
                <w:color w:val="auto"/>
                <w:sz w:val="24"/>
                <w:szCs w:val="24"/>
                <w:highlight w:val="none"/>
                <w:vertAlign w:val="baseline"/>
                <w:lang w:val="en-US" w:eastAsia="zh-CN"/>
              </w:rPr>
            </w:pPr>
            <w:r>
              <w:rPr>
                <w:rFonts w:hint="eastAsia"/>
                <w:color w:val="auto"/>
                <w:sz w:val="24"/>
                <w:szCs w:val="24"/>
                <w:highlight w:val="none"/>
                <w:vertAlign w:val="baseline"/>
                <w:lang w:val="en-US" w:eastAsia="zh-CN"/>
              </w:rPr>
              <w:t>备注</w:t>
            </w:r>
          </w:p>
        </w:tc>
      </w:tr>
      <w:tr w14:paraId="6E86F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8" w:type="dxa"/>
            <w:vAlign w:val="center"/>
          </w:tcPr>
          <w:p w14:paraId="660206F4">
            <w:pPr>
              <w:keepNext w:val="0"/>
              <w:keepLines w:val="0"/>
              <w:widowControl/>
              <w:suppressLineNumbers w:val="0"/>
              <w:jc w:val="center"/>
              <w:textAlignment w:val="center"/>
              <w:outlineLvl w:val="9"/>
              <w:rPr>
                <w:rFonts w:hint="eastAsia"/>
                <w:color w:val="auto"/>
                <w:sz w:val="24"/>
                <w:szCs w:val="24"/>
                <w:highlight w:val="none"/>
                <w:vertAlign w:val="baseline"/>
                <w:lang w:val="en-US" w:eastAsia="zh-CN"/>
              </w:rPr>
            </w:pPr>
            <w:r>
              <w:rPr>
                <w:rFonts w:hint="eastAsia" w:ascii="宋体" w:hAnsi="宋体" w:eastAsia="宋体" w:cs="宋体"/>
                <w:i w:val="0"/>
                <w:iCs w:val="0"/>
                <w:color w:val="auto"/>
                <w:kern w:val="0"/>
                <w:sz w:val="24"/>
                <w:szCs w:val="24"/>
                <w:highlight w:val="none"/>
                <w:u w:val="none"/>
                <w:lang w:val="en-US" w:eastAsia="zh-CN" w:bidi="ar"/>
              </w:rPr>
              <w:t>1</w:t>
            </w:r>
          </w:p>
        </w:tc>
        <w:tc>
          <w:tcPr>
            <w:tcW w:w="1320" w:type="dxa"/>
            <w:vAlign w:val="center"/>
          </w:tcPr>
          <w:p w14:paraId="6D1BDC61">
            <w:pPr>
              <w:keepNext w:val="0"/>
              <w:keepLines w:val="0"/>
              <w:widowControl/>
              <w:suppressLineNumbers w:val="0"/>
              <w:jc w:val="center"/>
              <w:textAlignment w:val="center"/>
              <w:outlineLvl w:val="9"/>
              <w:rPr>
                <w:rFonts w:hint="eastAsia"/>
                <w:color w:val="auto"/>
                <w:sz w:val="24"/>
                <w:szCs w:val="24"/>
                <w:highlight w:val="none"/>
                <w:vertAlign w:val="baseline"/>
                <w:lang w:val="en-US" w:eastAsia="zh-CN"/>
              </w:rPr>
            </w:pPr>
            <w:r>
              <w:rPr>
                <w:rFonts w:hint="eastAsia" w:ascii="宋体" w:hAnsi="宋体" w:eastAsia="宋体" w:cs="宋体"/>
                <w:i w:val="0"/>
                <w:iCs w:val="0"/>
                <w:color w:val="auto"/>
                <w:kern w:val="0"/>
                <w:sz w:val="24"/>
                <w:szCs w:val="24"/>
                <w:highlight w:val="none"/>
                <w:u w:val="none"/>
                <w:lang w:val="en-US" w:eastAsia="zh-CN" w:bidi="ar"/>
              </w:rPr>
              <w:t>上网行为管理</w:t>
            </w:r>
          </w:p>
        </w:tc>
        <w:tc>
          <w:tcPr>
            <w:tcW w:w="8000" w:type="dxa"/>
            <w:vAlign w:val="center"/>
          </w:tcPr>
          <w:p w14:paraId="6CD41332">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1、标准2U机箱，交流电源；并发连接数≥16万，每秒新建连接数≥15000,≥400M带宽/2500人网络环境使用；标准配置≥6个10/100/1000M自适应电口，≥2个扩展槽，≥1T硬盘；</w:t>
            </w:r>
          </w:p>
          <w:p w14:paraId="4ED636B6">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2、支持网关模式、镜像模式、网桥模式以及多路桥接等模式，可根据客户环境灵活部署；</w:t>
            </w:r>
          </w:p>
          <w:p w14:paraId="40F65802">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3、具备物理硬件Bypass按钮，便于设备巡检、设备故障时管理员无需重启、关机、断电即可恢复网络通畅；</w:t>
            </w:r>
          </w:p>
          <w:p w14:paraId="3B00E2A8">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4、终端监控支持自动识别网络中终端的IP地址、MAC地址、终端类型、操作系统、终端厂商和网卡厂商等信息，支持对网络接入的终端进行可视化管理；</w:t>
            </w:r>
          </w:p>
          <w:p w14:paraId="41FDB371">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5、支持IP管理功能，能够自动扫描发现网络中已占用的IP地址，支持图形化展示某个IP地址的在线状态、当前使用者、MAC地址和活跃时间；</w:t>
            </w:r>
          </w:p>
          <w:p w14:paraId="5D9EC71F">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6、支持业务系统访问及API接口进行双向扫描、通过敏感信息、安全漏洞、行为接口、自定义接口规则等识别并标识数据及传输风险；</w:t>
            </w:r>
          </w:p>
          <w:p w14:paraId="74D94C20">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7、支持网页管理功能，支持搜索关键字、网址访问、网页内容关键、发帖内容等多种类型的审计与管理；</w:t>
            </w:r>
          </w:p>
          <w:p w14:paraId="56123D3B">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8、支持对TIM和百度网盘的PC客户端外发文件进行关键字过滤和封堵；支持对企业微信Windows版客户端和钉钉的聊天内容、外发文件等内容进行审计；</w:t>
            </w:r>
          </w:p>
          <w:p w14:paraId="5B351076">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9、支持审计和控制Oracle,MySql,SqlServer,PostgreSQL等数据库的访问与操作，包括添加、删除、修改、查询等；</w:t>
            </w:r>
          </w:p>
          <w:p w14:paraId="399EC84E">
            <w:pPr>
              <w:keepNext w:val="0"/>
              <w:keepLines w:val="0"/>
              <w:widowControl/>
              <w:suppressLineNumbers w:val="0"/>
              <w:jc w:val="left"/>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10、支持终端用户账号绑定手机号码、微信号，绑定后可以通过手机验证码或微信扫码实现上网快捷登录认证，提高用网便捷性；</w:t>
            </w:r>
          </w:p>
          <w:p w14:paraId="16A70EA5">
            <w:pPr>
              <w:keepNext w:val="0"/>
              <w:keepLines w:val="0"/>
              <w:widowControl/>
              <w:suppressLineNumbers w:val="0"/>
              <w:jc w:val="left"/>
              <w:textAlignment w:val="center"/>
              <w:outlineLvl w:val="9"/>
              <w:rPr>
                <w:rFonts w:hint="eastAsia"/>
                <w:color w:val="auto"/>
                <w:sz w:val="24"/>
                <w:szCs w:val="24"/>
                <w:highlight w:val="none"/>
                <w:vertAlign w:val="baseline"/>
                <w:lang w:val="en-US" w:eastAsia="zh-CN"/>
              </w:rPr>
            </w:pPr>
            <w:r>
              <w:rPr>
                <w:rFonts w:hint="eastAsia" w:ascii="宋体" w:hAnsi="宋体" w:eastAsia="宋体" w:cs="宋体"/>
                <w:i w:val="0"/>
                <w:iCs w:val="0"/>
                <w:color w:val="auto"/>
                <w:kern w:val="0"/>
                <w:sz w:val="24"/>
                <w:szCs w:val="24"/>
                <w:highlight w:val="none"/>
                <w:u w:val="none"/>
                <w:lang w:val="en-US" w:eastAsia="zh-CN" w:bidi="ar"/>
              </w:rPr>
              <w:t>11、含三年硬件续保服务和三年软件版本与特征库升级服务（含软件版本升级服务，提供应用协议库、URL特征库和审计特征库的定期更新服务）。</w:t>
            </w:r>
          </w:p>
        </w:tc>
        <w:tc>
          <w:tcPr>
            <w:tcW w:w="900" w:type="dxa"/>
            <w:vAlign w:val="center"/>
          </w:tcPr>
          <w:p w14:paraId="25DD9F57">
            <w:pPr>
              <w:keepNext w:val="0"/>
              <w:keepLines w:val="0"/>
              <w:widowControl/>
              <w:suppressLineNumbers w:val="0"/>
              <w:jc w:val="center"/>
              <w:textAlignment w:val="center"/>
              <w:outlineLvl w:val="9"/>
              <w:rPr>
                <w:rFonts w:hint="eastAsia"/>
                <w:color w:val="auto"/>
                <w:sz w:val="24"/>
                <w:szCs w:val="24"/>
                <w:highlight w:val="none"/>
                <w:vertAlign w:val="baseline"/>
                <w:lang w:val="en-US" w:eastAsia="zh-CN"/>
              </w:rPr>
            </w:pPr>
            <w:r>
              <w:rPr>
                <w:rFonts w:hint="eastAsia" w:ascii="宋体" w:hAnsi="宋体" w:eastAsia="宋体" w:cs="宋体"/>
                <w:i w:val="0"/>
                <w:iCs w:val="0"/>
                <w:color w:val="auto"/>
                <w:kern w:val="0"/>
                <w:sz w:val="24"/>
                <w:szCs w:val="24"/>
                <w:highlight w:val="none"/>
                <w:u w:val="none"/>
                <w:lang w:val="en-US" w:eastAsia="zh-CN" w:bidi="ar"/>
              </w:rPr>
              <w:t>1</w:t>
            </w:r>
          </w:p>
        </w:tc>
        <w:tc>
          <w:tcPr>
            <w:tcW w:w="900" w:type="dxa"/>
            <w:vAlign w:val="center"/>
          </w:tcPr>
          <w:p w14:paraId="761ADDA2">
            <w:pPr>
              <w:keepNext w:val="0"/>
              <w:keepLines w:val="0"/>
              <w:widowControl/>
              <w:suppressLineNumbers w:val="0"/>
              <w:jc w:val="center"/>
              <w:textAlignment w:val="center"/>
              <w:outlineLvl w:val="9"/>
              <w:rPr>
                <w:rFonts w:hint="eastAsia"/>
                <w:color w:val="auto"/>
                <w:sz w:val="24"/>
                <w:szCs w:val="24"/>
                <w:highlight w:val="none"/>
                <w:vertAlign w:val="baseline"/>
                <w:lang w:val="en-US" w:eastAsia="zh-CN"/>
              </w:rPr>
            </w:pPr>
            <w:r>
              <w:rPr>
                <w:rFonts w:hint="eastAsia" w:ascii="宋体" w:hAnsi="宋体" w:eastAsia="宋体" w:cs="宋体"/>
                <w:i w:val="0"/>
                <w:iCs w:val="0"/>
                <w:color w:val="auto"/>
                <w:kern w:val="0"/>
                <w:sz w:val="24"/>
                <w:szCs w:val="24"/>
                <w:highlight w:val="none"/>
                <w:u w:val="none"/>
                <w:lang w:val="en-US" w:eastAsia="zh-CN" w:bidi="ar"/>
              </w:rPr>
              <w:t>台</w:t>
            </w:r>
          </w:p>
        </w:tc>
        <w:tc>
          <w:tcPr>
            <w:tcW w:w="1130" w:type="dxa"/>
            <w:vAlign w:val="center"/>
          </w:tcPr>
          <w:p w14:paraId="2B37BFBA">
            <w:pPr>
              <w:keepNext w:val="0"/>
              <w:keepLines w:val="0"/>
              <w:widowControl/>
              <w:suppressLineNumbers w:val="0"/>
              <w:jc w:val="center"/>
              <w:textAlignment w:val="center"/>
              <w:outlineLvl w:val="9"/>
              <w:rPr>
                <w:rFonts w:hint="default"/>
                <w:color w:val="auto"/>
                <w:sz w:val="24"/>
                <w:szCs w:val="24"/>
                <w:highlight w:val="none"/>
                <w:vertAlign w:val="baseline"/>
                <w:lang w:val="en-US" w:eastAsia="zh-CN"/>
              </w:rPr>
            </w:pPr>
          </w:p>
        </w:tc>
        <w:tc>
          <w:tcPr>
            <w:tcW w:w="1003" w:type="dxa"/>
            <w:vAlign w:val="center"/>
          </w:tcPr>
          <w:p w14:paraId="7D8AB689">
            <w:pPr>
              <w:keepNext w:val="0"/>
              <w:keepLines w:val="0"/>
              <w:widowControl/>
              <w:suppressLineNumbers w:val="0"/>
              <w:jc w:val="center"/>
              <w:textAlignment w:val="center"/>
              <w:outlineLvl w:val="9"/>
              <w:rPr>
                <w:rFonts w:hint="default"/>
                <w:color w:val="auto"/>
                <w:sz w:val="24"/>
                <w:szCs w:val="24"/>
                <w:highlight w:val="none"/>
                <w:vertAlign w:val="baseline"/>
                <w:lang w:val="en-US" w:eastAsia="zh-CN"/>
              </w:rPr>
            </w:pPr>
          </w:p>
        </w:tc>
        <w:tc>
          <w:tcPr>
            <w:tcW w:w="699" w:type="dxa"/>
            <w:vAlign w:val="center"/>
          </w:tcPr>
          <w:p w14:paraId="436E9735">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核心产品</w:t>
            </w:r>
          </w:p>
        </w:tc>
      </w:tr>
      <w:tr w14:paraId="6BB4F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698" w:type="dxa"/>
            <w:vAlign w:val="center"/>
          </w:tcPr>
          <w:p w14:paraId="788A3205">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50370B0C">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4AD82C51">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16F47CBA">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5F44EC3B">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565CC761">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657AF4C9">
            <w:pPr>
              <w:pStyle w:val="2"/>
              <w:widowControl w:val="0"/>
              <w:jc w:val="center"/>
              <w:outlineLvl w:val="9"/>
              <w:rPr>
                <w:rFonts w:hint="eastAsia" w:ascii="宋体" w:hAnsi="宋体" w:eastAsia="宋体" w:cs="宋体"/>
                <w:i w:val="0"/>
                <w:iCs w:val="0"/>
                <w:color w:val="auto"/>
                <w:kern w:val="0"/>
                <w:sz w:val="24"/>
                <w:szCs w:val="24"/>
                <w:highlight w:val="none"/>
                <w:u w:val="none"/>
                <w:lang w:val="en-US" w:eastAsia="zh-CN" w:bidi="ar"/>
              </w:rPr>
            </w:pPr>
          </w:p>
          <w:p w14:paraId="06084712">
            <w:pPr>
              <w:widowControl w:val="0"/>
              <w:jc w:val="center"/>
              <w:outlineLvl w:val="9"/>
              <w:rPr>
                <w:rFonts w:hint="eastAsia" w:ascii="宋体" w:hAnsi="宋体" w:eastAsia="宋体" w:cs="宋体"/>
                <w:i w:val="0"/>
                <w:iCs w:val="0"/>
                <w:color w:val="auto"/>
                <w:kern w:val="0"/>
                <w:sz w:val="24"/>
                <w:szCs w:val="24"/>
                <w:highlight w:val="none"/>
                <w:u w:val="none"/>
                <w:lang w:val="en-US" w:eastAsia="zh-CN" w:bidi="ar"/>
              </w:rPr>
            </w:pPr>
          </w:p>
          <w:p w14:paraId="16E84795">
            <w:pPr>
              <w:pStyle w:val="2"/>
              <w:widowControl w:val="0"/>
              <w:jc w:val="center"/>
              <w:outlineLvl w:val="9"/>
              <w:rPr>
                <w:rFonts w:hint="eastAsia"/>
                <w:color w:val="auto"/>
                <w:highlight w:val="none"/>
                <w:lang w:val="en-US" w:eastAsia="zh-CN"/>
              </w:rPr>
            </w:pPr>
          </w:p>
          <w:p w14:paraId="1AB391F4">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19714FD9">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w:t>
            </w:r>
          </w:p>
          <w:p w14:paraId="766BF555">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5BE17CCC">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3908047F">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p>
          <w:p w14:paraId="76B66F25">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738E4BFC">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6C9EC319">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6EE88C40">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3811F3CB">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00F0278C">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39412D76">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p>
        </w:tc>
        <w:tc>
          <w:tcPr>
            <w:tcW w:w="1320" w:type="dxa"/>
            <w:vAlign w:val="center"/>
          </w:tcPr>
          <w:p w14:paraId="157DBD10">
            <w:pPr>
              <w:keepNext w:val="0"/>
              <w:keepLines w:val="0"/>
              <w:widowControl/>
              <w:suppressLineNumbers w:val="0"/>
              <w:jc w:val="both"/>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服务器</w:t>
            </w:r>
          </w:p>
        </w:tc>
        <w:tc>
          <w:tcPr>
            <w:tcW w:w="8000" w:type="dxa"/>
            <w:vAlign w:val="center"/>
          </w:tcPr>
          <w:p w14:paraId="13D7B539">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1.外型：19英寸工业标准2U机架式服务器；</w:t>
            </w:r>
          </w:p>
          <w:p w14:paraId="318044A7">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2. 处理器：配置≥1*Intel至强6330；</w:t>
            </w:r>
          </w:p>
          <w:p w14:paraId="1C9AF840">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3. 芯片组：Intel C741A芯片组；</w:t>
            </w:r>
          </w:p>
          <w:p w14:paraId="5CB778F1">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4. 内存：配置≥64GB 4800MHz，最大支持≥8TB内存扩展或最大支持32根内存插槽，支持最多16条 Intel® Optane™ 300 系列持久内存； </w:t>
            </w:r>
          </w:p>
          <w:p w14:paraId="2CC2485A">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5. 硬盘：配置≥2块4T企业级机械硬盘，最多20个3.5寸大容量硬盘或40个2.5寸硬盘，最多支持32个NVMe驱动器，支持2个M.2 SSD（SATA或者NVMe）；</w:t>
            </w:r>
          </w:p>
          <w:p w14:paraId="08478209">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6. RAID功能：阵列卡配2GB缓存，支持0/1/10/5/50 RAID级别，可选RAID 6/60, 最大支持8GB闪存；</w:t>
            </w:r>
          </w:p>
          <w:p w14:paraId="7C982DA8">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7. 网卡：选配支持2个OCP 3.0 网卡，1个专用的管理端口，可选双口万兆或四口万兆控制器。 </w:t>
            </w:r>
          </w:p>
          <w:p w14:paraId="29B225D7">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8. 附件：上架导轨；</w:t>
            </w:r>
          </w:p>
          <w:p w14:paraId="18244915">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9. 电源：实配电源输出功率≥2*550W 80+铂金电源，1+1热插拔冗余电源；</w:t>
            </w:r>
          </w:p>
          <w:p w14:paraId="25D3A989">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10. 扩展能力：支持12个PCIe（6个5.0插槽 + 6个4.0插槽），2个OCP 3.0插槽支持NCSI，可支持多种存储模块、I/O模块、网络模块、GPU模块，最大支持4个双宽GPU卡或者12个单宽GPU卡。</w:t>
            </w:r>
          </w:p>
          <w:p w14:paraId="7C5C5B76">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11. 管理软件：提供统一的管理平台，支持同品牌服务器的硬件配置、微码、操作系统的统一管理，支持批量推送操作系统、批量配置服务器UEFI（BIOS）、批量裸机操作系统支持（Redhat Enterprise Linux 7 Update 9以上、SUSE Linux Enterprise 12以上、Windows Sever 2016以上、VMware ESXi 6.7以上，并提供相应文档； </w:t>
            </w:r>
          </w:p>
          <w:p w14:paraId="436340AB">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12. 随机软件：提供服务器导航软件和机架规划管理工具软件，用于服务器操作系统安装和规划服务器部署。</w:t>
            </w:r>
          </w:p>
        </w:tc>
        <w:tc>
          <w:tcPr>
            <w:tcW w:w="900" w:type="dxa"/>
            <w:vAlign w:val="center"/>
          </w:tcPr>
          <w:p w14:paraId="41FB3BCE">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w:t>
            </w:r>
          </w:p>
        </w:tc>
        <w:tc>
          <w:tcPr>
            <w:tcW w:w="900" w:type="dxa"/>
            <w:vAlign w:val="center"/>
          </w:tcPr>
          <w:p w14:paraId="13F1B2B9">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台</w:t>
            </w:r>
          </w:p>
        </w:tc>
        <w:tc>
          <w:tcPr>
            <w:tcW w:w="1130" w:type="dxa"/>
            <w:vAlign w:val="center"/>
          </w:tcPr>
          <w:p w14:paraId="33CF6A36">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p>
        </w:tc>
        <w:tc>
          <w:tcPr>
            <w:tcW w:w="1003" w:type="dxa"/>
            <w:vAlign w:val="center"/>
          </w:tcPr>
          <w:p w14:paraId="54238012">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p>
        </w:tc>
        <w:tc>
          <w:tcPr>
            <w:tcW w:w="699" w:type="dxa"/>
            <w:vAlign w:val="center"/>
          </w:tcPr>
          <w:p w14:paraId="3D38068D">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核心产品</w:t>
            </w:r>
          </w:p>
        </w:tc>
      </w:tr>
      <w:tr w14:paraId="44D6B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8" w:type="dxa"/>
            <w:vAlign w:val="center"/>
          </w:tcPr>
          <w:p w14:paraId="62B95B1C">
            <w:pPr>
              <w:pStyle w:val="2"/>
              <w:widowControl w:val="0"/>
              <w:jc w:val="center"/>
              <w:outlineLvl w:val="9"/>
              <w:rPr>
                <w:rFonts w:hint="default" w:ascii="宋体" w:hAnsi="宋体" w:cs="宋体"/>
                <w:color w:val="auto"/>
                <w:kern w:val="0"/>
                <w:sz w:val="24"/>
                <w:highlight w:val="none"/>
                <w:lang w:val="en-US" w:eastAsia="zh-CN" w:bidi="ar"/>
              </w:rPr>
            </w:pPr>
            <w:r>
              <w:rPr>
                <w:rFonts w:hint="eastAsia" w:ascii="宋体" w:hAnsi="宋体" w:cs="宋体"/>
                <w:color w:val="auto"/>
                <w:kern w:val="0"/>
                <w:sz w:val="24"/>
                <w:highlight w:val="none"/>
                <w:lang w:val="en-US" w:eastAsia="zh-CN" w:bidi="ar"/>
              </w:rPr>
              <w:t>3</w:t>
            </w:r>
          </w:p>
        </w:tc>
        <w:tc>
          <w:tcPr>
            <w:tcW w:w="1320" w:type="dxa"/>
            <w:vAlign w:val="center"/>
          </w:tcPr>
          <w:p w14:paraId="22AAE0C5">
            <w:pPr>
              <w:pStyle w:val="2"/>
              <w:widowControl w:val="0"/>
              <w:jc w:val="center"/>
              <w:outlineLvl w:val="9"/>
              <w:rPr>
                <w:rFonts w:hint="default" w:ascii="宋体" w:hAnsi="宋体" w:cs="宋体"/>
                <w:color w:val="auto"/>
                <w:kern w:val="0"/>
                <w:sz w:val="24"/>
                <w:highlight w:val="none"/>
                <w:lang w:val="en-US" w:eastAsia="zh-CN" w:bidi="ar"/>
              </w:rPr>
            </w:pPr>
            <w:r>
              <w:rPr>
                <w:rFonts w:hint="eastAsia" w:ascii="宋体" w:hAnsi="宋体" w:cs="宋体"/>
                <w:color w:val="auto"/>
                <w:kern w:val="0"/>
                <w:sz w:val="24"/>
                <w:highlight w:val="none"/>
                <w:lang w:val="en-US" w:eastAsia="zh-CN" w:bidi="ar"/>
              </w:rPr>
              <w:t>会议一体机</w:t>
            </w:r>
          </w:p>
        </w:tc>
        <w:tc>
          <w:tcPr>
            <w:tcW w:w="8000" w:type="dxa"/>
            <w:shd w:val="clear" w:color="auto" w:fill="auto"/>
            <w:vAlign w:val="top"/>
          </w:tcPr>
          <w:p w14:paraId="3BEF60D6">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一、基本要求</w:t>
            </w:r>
          </w:p>
          <w:p w14:paraId="482C4D7E">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1.整机采用一体设计，外部无任何可见内部功能模块连接线。边角采用弧形设计，表面无尖锐边缘或凸起。</w:t>
            </w:r>
          </w:p>
          <w:p w14:paraId="1DB38D1B">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2.整机采用全金属外壳设计，边框为金属一体成型。</w:t>
            </w:r>
          </w:p>
          <w:p w14:paraId="1D0CF68F">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3.整机屏幕边缘采用金属圆角包边防护，整机背板采用金属材质，有效屏蔽内部电路器件辐射；防潮耐盐雾蚀锈，适应多种教学环境。</w:t>
            </w:r>
          </w:p>
          <w:p w14:paraId="2C72AF32">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4.整机屏幕采用86英寸液晶显示器。整机采用超高清LED液晶显示屏，显示比例16:9，分辨率3840×2160。</w:t>
            </w:r>
          </w:p>
          <w:p w14:paraId="22D63CB6">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5.整机嵌入式芯片CPU≥8核，主频≥1.6GHz，内存≥2GB，存储空间≥32GB。</w:t>
            </w:r>
          </w:p>
          <w:p w14:paraId="5BDD7488">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6.钢化玻璃表面硬度≥9H。</w:t>
            </w:r>
          </w:p>
          <w:p w14:paraId="726887BF">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7.采用红外触控技术，支持Windows系统中进行40点或以上触控，支持Android系统中进行40点或以上触控。</w:t>
            </w:r>
          </w:p>
          <w:p w14:paraId="3E74B110">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8.从内部Android通道切换到内部PC通道后，触摸框在1s内达到可触控状态。从内部PC通道切换到外部通道后，触摸框在3s内达到可触控状态。</w:t>
            </w:r>
          </w:p>
          <w:p w14:paraId="6B408F80">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9.长时间无人使用屏幕自动息屏。</w:t>
            </w:r>
          </w:p>
          <w:p w14:paraId="0C9859E1">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10.部署单根网线可实现Android、Windows系统双系统有线网络连通。</w:t>
            </w:r>
          </w:p>
          <w:p w14:paraId="161C907B">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11.整机能感应并自动调节屏幕亮度来达到在不同光照环境下的不同亮度显示效果。此功能可自行开启或关闭。</w:t>
            </w:r>
          </w:p>
          <w:p w14:paraId="6D233C1E">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12.整机设备内置2.2声道扬声器，前朝向发声，12W高音扬声器2个，上朝向30W中低音扬声器2个，最大功率≥84W。</w:t>
            </w:r>
          </w:p>
          <w:p w14:paraId="68BDFDE4">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13.整机可选择高级音效设置，支持在左右声道平衡显示范围中进行更改；中低频段显示调节范围125Hz～1KHz，高频段显示调节范围 2KHz～16KHz，分贝显示-12dB～12dB 调节范围。</w:t>
            </w:r>
          </w:p>
          <w:p w14:paraId="48114F81">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14.内置摄像头、麦克风无需外接线材连接，无任何可见外接线材及模块化拼接痕迹，未占用整机设备端口。</w:t>
            </w:r>
          </w:p>
          <w:p w14:paraId="029EF88E">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15.支持标准、听力、观影和AI空间感知音效模式，AI空间感知音效模式可通过内置麦克风采集室内物理环境声音，自动生成符合当前室内物理环境的频段、音量、音效。</w:t>
            </w:r>
          </w:p>
          <w:p w14:paraId="2D0296B1">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16.整机色域覆盖率（NTSC）≥72%。</w:t>
            </w:r>
          </w:p>
          <w:p w14:paraId="4696C2CF">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17.整机影院模式下具备AI环绕声功能，支持三挡强弱调节。</w:t>
            </w:r>
          </w:p>
          <w:p w14:paraId="434BA9AA">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18.整机听力模式下具备AI人声语言增强功能，支持2挡强弱调节。扩声系统语言传输指数（STIPA）≥0.65。</w:t>
            </w:r>
          </w:p>
          <w:p w14:paraId="2F9F6AEC">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19.整机上边框内置非独立摄像头，采用一体化集成设计，支持输出4:3、16:9⽐例的图⽚和视频，支持拍摄≥1600 万像素数的照片和视频，支持输出 4k 分辨率的视频。</w:t>
            </w:r>
          </w:p>
          <w:p w14:paraId="45AE1F8C">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二、内置电脑</w:t>
            </w:r>
          </w:p>
          <w:p w14:paraId="4936D9AD">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1.采用模块化电脑方案，抽拉内置卡扣式设计，无需工具即可维护拆卸，连接接口≤40 pin，连接接口传输速率不低于万兆。</w:t>
            </w:r>
          </w:p>
          <w:p w14:paraId="7555A2CB">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2.处理器：Intel Core i5十二代或以上。</w:t>
            </w:r>
          </w:p>
          <w:p w14:paraId="078A067A">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3.内存：16G DDR4或以上配置；</w:t>
            </w:r>
          </w:p>
          <w:p w14:paraId="3FA476AC">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4.硬盘：512G或以上SSD固态硬盘。</w:t>
            </w:r>
          </w:p>
          <w:p w14:paraId="1DEFBD9B">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5.具有独立非外扩展的电脑USB接口：电脑上至少2个USB3.0接口；</w:t>
            </w:r>
          </w:p>
          <w:p w14:paraId="12BC5410">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6.具有独立非外扩展的视频输出接口：≥1路HDMI 。</w:t>
            </w:r>
          </w:p>
          <w:p w14:paraId="2615CE52">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三、管家</w:t>
            </w:r>
            <w:r>
              <w:rPr>
                <w:rFonts w:hint="eastAsia" w:ascii="宋体" w:hAnsi="宋体" w:eastAsia="宋体" w:cs="宋体"/>
                <w:i w:val="0"/>
                <w:iCs w:val="0"/>
                <w:snapToGrid w:val="0"/>
                <w:color w:val="auto"/>
                <w:kern w:val="0"/>
                <w:sz w:val="24"/>
                <w:szCs w:val="24"/>
                <w:highlight w:val="none"/>
                <w:u w:val="none"/>
                <w:lang w:val="en-US" w:eastAsia="zh-Hans" w:bidi="ar"/>
              </w:rPr>
              <w:t>软件</w:t>
            </w:r>
            <w:r>
              <w:rPr>
                <w:rFonts w:hint="eastAsia" w:ascii="宋体" w:hAnsi="宋体" w:eastAsia="宋体" w:cs="宋体"/>
                <w:i w:val="0"/>
                <w:iCs w:val="0"/>
                <w:snapToGrid w:val="0"/>
                <w:color w:val="auto"/>
                <w:kern w:val="0"/>
                <w:sz w:val="24"/>
                <w:szCs w:val="24"/>
                <w:highlight w:val="none"/>
                <w:u w:val="none"/>
                <w:lang w:val="en-US" w:eastAsia="zh-CN" w:bidi="ar"/>
              </w:rPr>
              <w:t>：</w:t>
            </w:r>
          </w:p>
          <w:p w14:paraId="3F2AFE52">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Hans" w:bidi="ar"/>
              </w:rPr>
            </w:pPr>
            <w:r>
              <w:rPr>
                <w:rFonts w:hint="eastAsia" w:ascii="宋体" w:hAnsi="宋体" w:eastAsia="宋体" w:cs="宋体"/>
                <w:i w:val="0"/>
                <w:iCs w:val="0"/>
                <w:snapToGrid w:val="0"/>
                <w:color w:val="auto"/>
                <w:kern w:val="0"/>
                <w:sz w:val="24"/>
                <w:szCs w:val="24"/>
                <w:highlight w:val="none"/>
                <w:u w:val="none"/>
                <w:lang w:val="en-US" w:eastAsia="zh-Hans" w:bidi="ar"/>
              </w:rPr>
              <w:t>1.系统还原点：支持创设系统还原点，实现磁盘级的系统还原保护，可根据</w:t>
            </w:r>
            <w:r>
              <w:rPr>
                <w:rFonts w:hint="eastAsia" w:ascii="宋体" w:hAnsi="宋体" w:eastAsia="宋体" w:cs="宋体"/>
                <w:i w:val="0"/>
                <w:iCs w:val="0"/>
                <w:snapToGrid w:val="0"/>
                <w:color w:val="auto"/>
                <w:kern w:val="0"/>
                <w:sz w:val="24"/>
                <w:szCs w:val="24"/>
                <w:highlight w:val="none"/>
                <w:u w:val="none"/>
                <w:lang w:val="en-US" w:eastAsia="zh-CN" w:bidi="ar"/>
              </w:rPr>
              <w:t>用户</w:t>
            </w:r>
            <w:r>
              <w:rPr>
                <w:rFonts w:hint="eastAsia" w:ascii="宋体" w:hAnsi="宋体" w:eastAsia="宋体" w:cs="宋体"/>
                <w:i w:val="0"/>
                <w:iCs w:val="0"/>
                <w:snapToGrid w:val="0"/>
                <w:color w:val="auto"/>
                <w:kern w:val="0"/>
                <w:sz w:val="24"/>
                <w:szCs w:val="24"/>
                <w:highlight w:val="none"/>
                <w:u w:val="none"/>
                <w:lang w:val="en-US" w:eastAsia="zh-Hans" w:bidi="ar"/>
              </w:rPr>
              <w:t>需要自由选择磁盘分区设立还原点、取消还原点。</w:t>
            </w:r>
          </w:p>
          <w:p w14:paraId="28941C50">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Hans" w:bidi="ar"/>
              </w:rPr>
            </w:pPr>
            <w:r>
              <w:rPr>
                <w:rFonts w:hint="eastAsia" w:ascii="宋体" w:hAnsi="宋体" w:eastAsia="宋体" w:cs="宋体"/>
                <w:i w:val="0"/>
                <w:iCs w:val="0"/>
                <w:snapToGrid w:val="0"/>
                <w:color w:val="auto"/>
                <w:kern w:val="0"/>
                <w:sz w:val="24"/>
                <w:szCs w:val="24"/>
                <w:highlight w:val="none"/>
                <w:u w:val="none"/>
                <w:lang w:val="en-US" w:eastAsia="zh-Hans" w:bidi="ar"/>
              </w:rPr>
              <w:t>2.病毒查杀：支持对外接移动存储设备进行病毒检查，可根据</w:t>
            </w:r>
            <w:r>
              <w:rPr>
                <w:rFonts w:hint="eastAsia" w:ascii="宋体" w:hAnsi="宋体" w:eastAsia="宋体" w:cs="宋体"/>
                <w:i w:val="0"/>
                <w:iCs w:val="0"/>
                <w:snapToGrid w:val="0"/>
                <w:color w:val="auto"/>
                <w:kern w:val="0"/>
                <w:sz w:val="24"/>
                <w:szCs w:val="24"/>
                <w:highlight w:val="none"/>
                <w:u w:val="none"/>
                <w:lang w:val="en-US" w:eastAsia="zh-CN" w:bidi="ar"/>
              </w:rPr>
              <w:t>用户</w:t>
            </w:r>
            <w:r>
              <w:rPr>
                <w:rFonts w:hint="eastAsia" w:ascii="宋体" w:hAnsi="宋体" w:eastAsia="宋体" w:cs="宋体"/>
                <w:i w:val="0"/>
                <w:iCs w:val="0"/>
                <w:snapToGrid w:val="0"/>
                <w:color w:val="auto"/>
                <w:kern w:val="0"/>
                <w:sz w:val="24"/>
                <w:szCs w:val="24"/>
                <w:highlight w:val="none"/>
                <w:u w:val="none"/>
                <w:lang w:val="en-US" w:eastAsia="zh-Hans" w:bidi="ar"/>
              </w:rPr>
              <w:t>行为选择即时杀毒、定期查杀病毒，确保</w:t>
            </w:r>
            <w:r>
              <w:rPr>
                <w:rFonts w:hint="eastAsia" w:ascii="宋体" w:hAnsi="宋体" w:eastAsia="宋体" w:cs="宋体"/>
                <w:i w:val="0"/>
                <w:iCs w:val="0"/>
                <w:snapToGrid w:val="0"/>
                <w:color w:val="auto"/>
                <w:kern w:val="0"/>
                <w:sz w:val="24"/>
                <w:szCs w:val="24"/>
                <w:highlight w:val="none"/>
                <w:u w:val="none"/>
                <w:lang w:val="en-US" w:eastAsia="zh-CN" w:bidi="ar"/>
              </w:rPr>
              <w:t>使用</w:t>
            </w:r>
            <w:r>
              <w:rPr>
                <w:rFonts w:hint="eastAsia" w:ascii="宋体" w:hAnsi="宋体" w:eastAsia="宋体" w:cs="宋体"/>
                <w:i w:val="0"/>
                <w:iCs w:val="0"/>
                <w:snapToGrid w:val="0"/>
                <w:color w:val="auto"/>
                <w:kern w:val="0"/>
                <w:sz w:val="24"/>
                <w:szCs w:val="24"/>
                <w:highlight w:val="none"/>
                <w:u w:val="none"/>
                <w:lang w:val="en-US" w:eastAsia="zh-Hans" w:bidi="ar"/>
              </w:rPr>
              <w:t>安全。</w:t>
            </w:r>
          </w:p>
          <w:p w14:paraId="5DCD6979">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Hans" w:bidi="ar"/>
              </w:rPr>
            </w:pPr>
            <w:r>
              <w:rPr>
                <w:rFonts w:hint="eastAsia" w:ascii="宋体" w:hAnsi="宋体" w:eastAsia="宋体" w:cs="宋体"/>
                <w:i w:val="0"/>
                <w:iCs w:val="0"/>
                <w:snapToGrid w:val="0"/>
                <w:color w:val="auto"/>
                <w:kern w:val="0"/>
                <w:sz w:val="24"/>
                <w:szCs w:val="24"/>
                <w:highlight w:val="none"/>
                <w:u w:val="none"/>
                <w:lang w:val="en-US" w:eastAsia="zh-Hans" w:bidi="ar"/>
              </w:rPr>
              <w:t>3.病毒库：病毒库提供针对Zip,RAR，PDF等30余种常用文件格式的扫描，病毒特征库包含不少于</w:t>
            </w:r>
            <w:r>
              <w:rPr>
                <w:rFonts w:hint="eastAsia" w:ascii="宋体" w:hAnsi="宋体" w:eastAsia="宋体" w:cs="宋体"/>
                <w:i w:val="0"/>
                <w:iCs w:val="0"/>
                <w:snapToGrid w:val="0"/>
                <w:color w:val="auto"/>
                <w:kern w:val="0"/>
                <w:sz w:val="24"/>
                <w:szCs w:val="24"/>
                <w:highlight w:val="none"/>
                <w:u w:val="none"/>
                <w:lang w:val="en-US" w:eastAsia="zh-CN" w:bidi="ar"/>
              </w:rPr>
              <w:t>28</w:t>
            </w:r>
            <w:r>
              <w:rPr>
                <w:rFonts w:hint="eastAsia" w:ascii="宋体" w:hAnsi="宋体" w:eastAsia="宋体" w:cs="宋体"/>
                <w:i w:val="0"/>
                <w:iCs w:val="0"/>
                <w:snapToGrid w:val="0"/>
                <w:color w:val="auto"/>
                <w:kern w:val="0"/>
                <w:sz w:val="24"/>
                <w:szCs w:val="24"/>
                <w:highlight w:val="none"/>
                <w:u w:val="none"/>
                <w:lang w:val="en-US" w:eastAsia="zh-Hans" w:bidi="ar"/>
              </w:rPr>
              <w:t>0万个病毒的特征码，可侦测到携带勒索病毒的软件和文件，支持在线实时更新。</w:t>
            </w:r>
          </w:p>
          <w:p w14:paraId="4DCFDD3B">
            <w:pPr>
              <w:pStyle w:val="2"/>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四、软件：</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1、能够为用户提供50T的云存储空间，用户可在个人云空间中上传存储互动文档。</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2、云文档支持插入表格、图片、音视频（m4v、mp3、mp4、oga、ogg、opus、wav、webm）、文档附件（.pdf、.doc、.docx、.xls、.xlsx）</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3、提供模板，预置模板包含表格式、提纲式、集备式、单元设计式等不少于6个。支持校本模板，管理员在管理后台设置校本模板后，用户可在云文档模板调用。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4、整机软件提供物理实验、星球工具、藏文卡片等至少18种工具，可一键插入。同时为方便不同用户使用，工具应支持用户自主设置在首页显示的功能。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5、提供50节党建微课视频，包含革命篇、复兴篇2个篇章。</w:t>
            </w:r>
          </w:p>
        </w:tc>
        <w:tc>
          <w:tcPr>
            <w:tcW w:w="900" w:type="dxa"/>
            <w:vAlign w:val="center"/>
          </w:tcPr>
          <w:p w14:paraId="29430097">
            <w:pPr>
              <w:pStyle w:val="2"/>
              <w:widowControl w:val="0"/>
              <w:jc w:val="center"/>
              <w:outlineLvl w:val="9"/>
              <w:rPr>
                <w:rFonts w:hint="default" w:ascii="宋体" w:hAnsi="宋体" w:cs="宋体"/>
                <w:color w:val="auto"/>
                <w:kern w:val="0"/>
                <w:sz w:val="24"/>
                <w:highlight w:val="none"/>
                <w:lang w:val="en-US" w:eastAsia="zh-CN" w:bidi="ar"/>
              </w:rPr>
            </w:pPr>
            <w:r>
              <w:rPr>
                <w:rFonts w:hint="eastAsia" w:ascii="宋体" w:hAnsi="宋体" w:cs="宋体"/>
                <w:color w:val="auto"/>
                <w:kern w:val="0"/>
                <w:sz w:val="24"/>
                <w:highlight w:val="none"/>
                <w:lang w:val="en-US" w:eastAsia="zh-CN" w:bidi="ar"/>
              </w:rPr>
              <w:t>1</w:t>
            </w:r>
          </w:p>
        </w:tc>
        <w:tc>
          <w:tcPr>
            <w:tcW w:w="900" w:type="dxa"/>
            <w:vAlign w:val="center"/>
          </w:tcPr>
          <w:p w14:paraId="4A555F1A">
            <w:pPr>
              <w:pStyle w:val="2"/>
              <w:widowControl w:val="0"/>
              <w:ind w:firstLine="240" w:firstLineChars="100"/>
              <w:jc w:val="both"/>
              <w:outlineLvl w:val="9"/>
              <w:rPr>
                <w:rFonts w:hint="default" w:ascii="宋体" w:hAnsi="宋体" w:cs="宋体"/>
                <w:color w:val="auto"/>
                <w:kern w:val="0"/>
                <w:sz w:val="24"/>
                <w:highlight w:val="none"/>
                <w:lang w:val="en-US" w:eastAsia="zh-CN" w:bidi="ar"/>
              </w:rPr>
            </w:pPr>
            <w:r>
              <w:rPr>
                <w:rFonts w:hint="eastAsia" w:ascii="宋体" w:hAnsi="宋体" w:cs="宋体"/>
                <w:color w:val="auto"/>
                <w:kern w:val="0"/>
                <w:sz w:val="24"/>
                <w:highlight w:val="none"/>
                <w:lang w:val="en-US" w:eastAsia="zh-CN" w:bidi="ar"/>
              </w:rPr>
              <w:t>台</w:t>
            </w:r>
          </w:p>
        </w:tc>
        <w:tc>
          <w:tcPr>
            <w:tcW w:w="1130" w:type="dxa"/>
            <w:vAlign w:val="center"/>
          </w:tcPr>
          <w:p w14:paraId="0CDC58C1">
            <w:pPr>
              <w:pStyle w:val="2"/>
              <w:widowControl w:val="0"/>
              <w:jc w:val="center"/>
              <w:outlineLvl w:val="9"/>
              <w:rPr>
                <w:rFonts w:hint="default" w:ascii="宋体" w:hAnsi="宋体" w:cs="宋体"/>
                <w:color w:val="auto"/>
                <w:kern w:val="0"/>
                <w:sz w:val="24"/>
                <w:highlight w:val="none"/>
                <w:lang w:val="en-US" w:eastAsia="zh-CN" w:bidi="ar"/>
              </w:rPr>
            </w:pPr>
          </w:p>
        </w:tc>
        <w:tc>
          <w:tcPr>
            <w:tcW w:w="1003" w:type="dxa"/>
            <w:vAlign w:val="center"/>
          </w:tcPr>
          <w:p w14:paraId="23239412">
            <w:pPr>
              <w:pStyle w:val="2"/>
              <w:widowControl w:val="0"/>
              <w:jc w:val="center"/>
              <w:outlineLvl w:val="9"/>
              <w:rPr>
                <w:rFonts w:hint="default" w:ascii="宋体" w:hAnsi="宋体" w:cs="宋体"/>
                <w:color w:val="auto"/>
                <w:kern w:val="0"/>
                <w:sz w:val="24"/>
                <w:highlight w:val="none"/>
                <w:lang w:val="en-US" w:eastAsia="zh-CN" w:bidi="ar"/>
              </w:rPr>
            </w:pPr>
          </w:p>
        </w:tc>
        <w:tc>
          <w:tcPr>
            <w:tcW w:w="699" w:type="dxa"/>
            <w:vAlign w:val="center"/>
          </w:tcPr>
          <w:p w14:paraId="7278B4C3">
            <w:pPr>
              <w:pStyle w:val="2"/>
              <w:widowControl w:val="0"/>
              <w:jc w:val="center"/>
              <w:outlineLvl w:val="9"/>
              <w:rPr>
                <w:rFonts w:hint="eastAsia" w:ascii="宋体" w:hAnsi="宋体" w:cs="宋体"/>
                <w:color w:val="auto"/>
                <w:kern w:val="0"/>
                <w:sz w:val="24"/>
                <w:highlight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核心产品</w:t>
            </w:r>
          </w:p>
        </w:tc>
      </w:tr>
      <w:tr w14:paraId="3EF9C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8" w:type="dxa"/>
            <w:vAlign w:val="center"/>
          </w:tcPr>
          <w:p w14:paraId="64838C02">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p>
          <w:p w14:paraId="6AB4C7D7">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p>
          <w:p w14:paraId="65D37E71">
            <w:pPr>
              <w:pStyle w:val="2"/>
              <w:widowControl w:val="0"/>
              <w:jc w:val="center"/>
              <w:outlineLvl w:val="9"/>
              <w:rPr>
                <w:rFonts w:hint="default"/>
                <w:color w:val="auto"/>
                <w:highlight w:val="none"/>
                <w:lang w:val="en-US" w:eastAsia="zh-CN"/>
              </w:rPr>
            </w:pPr>
          </w:p>
          <w:p w14:paraId="65A83599">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2C19B339">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168001E9">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w:t>
            </w:r>
          </w:p>
        </w:tc>
        <w:tc>
          <w:tcPr>
            <w:tcW w:w="1320" w:type="dxa"/>
            <w:vAlign w:val="center"/>
          </w:tcPr>
          <w:p w14:paraId="64FDA53B">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5448C91D">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687660A7">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642A3B3A">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60AA94FA">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p>
          <w:p w14:paraId="7CF5B8FB">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核心交换机</w:t>
            </w:r>
          </w:p>
        </w:tc>
        <w:tc>
          <w:tcPr>
            <w:tcW w:w="8000" w:type="dxa"/>
            <w:shd w:val="clear" w:color="auto" w:fill="auto"/>
            <w:vAlign w:val="center"/>
          </w:tcPr>
          <w:p w14:paraId="7B0EF239">
            <w:pPr>
              <w:keepNext w:val="0"/>
              <w:keepLines w:val="0"/>
              <w:widowControl/>
              <w:numPr>
                <w:ilvl w:val="0"/>
                <w:numId w:val="1"/>
              </w:numPr>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国产化三层管理型交换机，支持app云管理；</w:t>
            </w:r>
          </w:p>
          <w:p w14:paraId="0A796F9B">
            <w:pPr>
              <w:keepNext w:val="0"/>
              <w:keepLines w:val="0"/>
              <w:widowControl/>
              <w:numPr>
                <w:ilvl w:val="0"/>
                <w:numId w:val="1"/>
              </w:numPr>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交换容量：598Gbps，包转发率:148Mpps；</w:t>
            </w:r>
          </w:p>
          <w:p w14:paraId="6DAB13A5">
            <w:pPr>
              <w:keepNext w:val="0"/>
              <w:keepLines w:val="0"/>
              <w:widowControl/>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3、24×SFP 100/1000Mbps，8×RJ-45 10/100/1000Mbps，4个1/10Gbps SFP+光口；</w:t>
            </w:r>
          </w:p>
          <w:p w14:paraId="6B9FC20C">
            <w:pPr>
              <w:keepNext w:val="0"/>
              <w:keepLines w:val="0"/>
              <w:widowControl/>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4、支持模块化双电源，默认标配单电源：</w:t>
            </w:r>
          </w:p>
          <w:p w14:paraId="200D8394">
            <w:pPr>
              <w:keepNext w:val="0"/>
              <w:keepLines w:val="0"/>
              <w:widowControl/>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5、支持VLAN、ACL、端口镜像、端口隔离，端口聚合等管理功能；</w:t>
            </w:r>
          </w:p>
          <w:p w14:paraId="7DB50ACA">
            <w:pPr>
              <w:keepNext w:val="0"/>
              <w:keepLines w:val="0"/>
              <w:widowControl/>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6、支持STP/RSTP/MSTP/ERPS等环网协议；</w:t>
            </w:r>
          </w:p>
          <w:p w14:paraId="4A3C82E4">
            <w:pPr>
              <w:keepNext w:val="0"/>
              <w:keepLines w:val="0"/>
              <w:widowControl/>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7、支持静态路由、OSPF V2等三层路由协议；</w:t>
            </w:r>
          </w:p>
          <w:p w14:paraId="5BD91D96">
            <w:pPr>
              <w:keepNext w:val="0"/>
              <w:keepLines w:val="0"/>
              <w:widowControl/>
              <w:suppressLineNumbers w:val="0"/>
              <w:jc w:val="left"/>
              <w:textAlignment w:val="center"/>
              <w:outlineLvl w:val="9"/>
              <w:rPr>
                <w:rFonts w:hint="default"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8、工作温度：-10℃～55℃；</w:t>
            </w:r>
          </w:p>
        </w:tc>
        <w:tc>
          <w:tcPr>
            <w:tcW w:w="900" w:type="dxa"/>
            <w:vAlign w:val="center"/>
          </w:tcPr>
          <w:p w14:paraId="05C7C31A">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900" w:type="dxa"/>
            <w:vAlign w:val="center"/>
          </w:tcPr>
          <w:p w14:paraId="68C8EF97">
            <w:pPr>
              <w:keepNext w:val="0"/>
              <w:keepLines w:val="0"/>
              <w:widowControl/>
              <w:suppressLineNumbers w:val="0"/>
              <w:ind w:firstLine="240" w:firstLineChars="100"/>
              <w:jc w:val="both"/>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台</w:t>
            </w:r>
          </w:p>
        </w:tc>
        <w:tc>
          <w:tcPr>
            <w:tcW w:w="1130" w:type="dxa"/>
            <w:vAlign w:val="center"/>
          </w:tcPr>
          <w:p w14:paraId="1A6F616E">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p>
        </w:tc>
        <w:tc>
          <w:tcPr>
            <w:tcW w:w="1003" w:type="dxa"/>
            <w:vAlign w:val="center"/>
          </w:tcPr>
          <w:p w14:paraId="5F8F18CC">
            <w:pPr>
              <w:keepNext w:val="0"/>
              <w:keepLines w:val="0"/>
              <w:widowControl/>
              <w:suppressLineNumbers w:val="0"/>
              <w:jc w:val="center"/>
              <w:textAlignment w:val="center"/>
              <w:outlineLvl w:val="9"/>
              <w:rPr>
                <w:rFonts w:hint="default" w:ascii="宋体" w:hAnsi="宋体" w:eastAsia="宋体" w:cs="宋体"/>
                <w:i w:val="0"/>
                <w:iCs w:val="0"/>
                <w:color w:val="auto"/>
                <w:kern w:val="0"/>
                <w:sz w:val="24"/>
                <w:szCs w:val="24"/>
                <w:highlight w:val="none"/>
                <w:u w:val="none"/>
                <w:lang w:val="en-US" w:eastAsia="zh-CN" w:bidi="ar"/>
              </w:rPr>
            </w:pPr>
          </w:p>
        </w:tc>
        <w:tc>
          <w:tcPr>
            <w:tcW w:w="699" w:type="dxa"/>
            <w:vAlign w:val="center"/>
          </w:tcPr>
          <w:p w14:paraId="3918E05B">
            <w:pPr>
              <w:keepNext w:val="0"/>
              <w:keepLines w:val="0"/>
              <w:widowControl/>
              <w:suppressLineNumbers w:val="0"/>
              <w:jc w:val="center"/>
              <w:textAlignment w:val="center"/>
              <w:outlineLvl w:val="9"/>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核心产品</w:t>
            </w:r>
          </w:p>
        </w:tc>
      </w:tr>
      <w:tr w14:paraId="5BA31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698" w:type="dxa"/>
            <w:vAlign w:val="center"/>
          </w:tcPr>
          <w:p w14:paraId="036FC8B0">
            <w:pPr>
              <w:widowControl w:val="0"/>
              <w:spacing w:line="380" w:lineRule="exact"/>
              <w:jc w:val="center"/>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5</w:t>
            </w:r>
          </w:p>
        </w:tc>
        <w:tc>
          <w:tcPr>
            <w:tcW w:w="1320" w:type="dxa"/>
            <w:vAlign w:val="center"/>
          </w:tcPr>
          <w:p w14:paraId="1304C951">
            <w:pPr>
              <w:keepNext w:val="0"/>
              <w:keepLines w:val="0"/>
              <w:widowControl/>
              <w:suppressLineNumbers w:val="0"/>
              <w:jc w:val="center"/>
              <w:textAlignment w:val="center"/>
              <w:outlineLvl w:val="9"/>
              <w:rPr>
                <w:rFonts w:hint="eastAsia" w:ascii="宋体" w:hAnsi="宋体" w:cs="宋体"/>
                <w:color w:val="auto"/>
                <w:kern w:val="0"/>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六类4对非屏蔽线缆</w:t>
            </w:r>
          </w:p>
        </w:tc>
        <w:tc>
          <w:tcPr>
            <w:tcW w:w="8000" w:type="dxa"/>
            <w:vAlign w:val="center"/>
          </w:tcPr>
          <w:p w14:paraId="1D65C243">
            <w:pPr>
              <w:keepNext w:val="0"/>
              <w:keepLines w:val="0"/>
              <w:widowControl/>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六类非屏蔽双绞线</w:t>
            </w:r>
          </w:p>
        </w:tc>
        <w:tc>
          <w:tcPr>
            <w:tcW w:w="900" w:type="dxa"/>
            <w:vAlign w:val="center"/>
          </w:tcPr>
          <w:p w14:paraId="1D1559C8">
            <w:pPr>
              <w:widowControl w:val="0"/>
              <w:spacing w:line="380" w:lineRule="exact"/>
              <w:jc w:val="both"/>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8500</w:t>
            </w:r>
          </w:p>
        </w:tc>
        <w:tc>
          <w:tcPr>
            <w:tcW w:w="900" w:type="dxa"/>
            <w:vAlign w:val="center"/>
          </w:tcPr>
          <w:p w14:paraId="1EC6E53E">
            <w:pPr>
              <w:widowControl w:val="0"/>
              <w:spacing w:line="380" w:lineRule="exact"/>
              <w:jc w:val="both"/>
              <w:outlineLvl w:val="9"/>
              <w:rPr>
                <w:rFonts w:hint="eastAsia" w:ascii="宋体" w:hAnsi="宋体" w:cs="宋体" w:eastAsiaTheme="minorEastAsia"/>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米</w:t>
            </w:r>
          </w:p>
        </w:tc>
        <w:tc>
          <w:tcPr>
            <w:tcW w:w="1130" w:type="dxa"/>
            <w:vAlign w:val="center"/>
          </w:tcPr>
          <w:p w14:paraId="3BE54E7A">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1003" w:type="dxa"/>
            <w:vAlign w:val="center"/>
          </w:tcPr>
          <w:p w14:paraId="376E85D3">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699" w:type="dxa"/>
            <w:vAlign w:val="center"/>
          </w:tcPr>
          <w:p w14:paraId="33E59640">
            <w:pPr>
              <w:widowControl w:val="0"/>
              <w:spacing w:line="380" w:lineRule="exact"/>
              <w:jc w:val="both"/>
              <w:outlineLvl w:val="9"/>
              <w:rPr>
                <w:rFonts w:hint="eastAsia" w:ascii="宋体" w:hAnsi="宋体" w:cs="宋体"/>
                <w:color w:val="auto"/>
                <w:kern w:val="0"/>
                <w:sz w:val="24"/>
                <w:szCs w:val="24"/>
                <w:highlight w:val="none"/>
                <w:lang w:val="en-US" w:eastAsia="zh-CN"/>
              </w:rPr>
            </w:pPr>
          </w:p>
        </w:tc>
      </w:tr>
      <w:tr w14:paraId="1172C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8" w:type="dxa"/>
            <w:vAlign w:val="center"/>
          </w:tcPr>
          <w:p w14:paraId="27EF263F">
            <w:pPr>
              <w:widowControl w:val="0"/>
              <w:spacing w:line="380" w:lineRule="exact"/>
              <w:jc w:val="center"/>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6</w:t>
            </w:r>
          </w:p>
        </w:tc>
        <w:tc>
          <w:tcPr>
            <w:tcW w:w="1320" w:type="dxa"/>
            <w:vAlign w:val="center"/>
          </w:tcPr>
          <w:p w14:paraId="344C328F">
            <w:pPr>
              <w:keepNext w:val="0"/>
              <w:keepLines w:val="0"/>
              <w:widowControl/>
              <w:suppressLineNumbers w:val="0"/>
              <w:jc w:val="center"/>
              <w:textAlignment w:val="center"/>
              <w:outlineLvl w:val="9"/>
              <w:rPr>
                <w:rFonts w:hint="eastAsia" w:ascii="宋体" w:hAnsi="宋体" w:cs="宋体"/>
                <w:color w:val="auto"/>
                <w:kern w:val="0"/>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电源电缆</w:t>
            </w:r>
          </w:p>
        </w:tc>
        <w:tc>
          <w:tcPr>
            <w:tcW w:w="8000" w:type="dxa"/>
            <w:vAlign w:val="center"/>
          </w:tcPr>
          <w:p w14:paraId="47AF091F">
            <w:pPr>
              <w:keepNext w:val="0"/>
              <w:keepLines w:val="0"/>
              <w:widowControl/>
              <w:suppressLineNumbers w:val="0"/>
              <w:jc w:val="left"/>
              <w:textAlignment w:val="center"/>
              <w:outlineLvl w:val="9"/>
              <w:rPr>
                <w:rFonts w:hint="default"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国标非屏蔽铜缆，2*1.0</w:t>
            </w:r>
          </w:p>
        </w:tc>
        <w:tc>
          <w:tcPr>
            <w:tcW w:w="900" w:type="dxa"/>
            <w:vAlign w:val="center"/>
          </w:tcPr>
          <w:p w14:paraId="38B330FB">
            <w:pPr>
              <w:widowControl w:val="0"/>
              <w:spacing w:line="380" w:lineRule="exact"/>
              <w:jc w:val="both"/>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2000</w:t>
            </w:r>
          </w:p>
        </w:tc>
        <w:tc>
          <w:tcPr>
            <w:tcW w:w="900" w:type="dxa"/>
            <w:vAlign w:val="center"/>
          </w:tcPr>
          <w:p w14:paraId="7A2191E5">
            <w:pPr>
              <w:widowControl w:val="0"/>
              <w:spacing w:line="380" w:lineRule="exact"/>
              <w:jc w:val="both"/>
              <w:outlineLvl w:val="9"/>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米</w:t>
            </w:r>
          </w:p>
        </w:tc>
        <w:tc>
          <w:tcPr>
            <w:tcW w:w="1130" w:type="dxa"/>
            <w:vAlign w:val="center"/>
          </w:tcPr>
          <w:p w14:paraId="273B6FD4">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1003" w:type="dxa"/>
            <w:vAlign w:val="center"/>
          </w:tcPr>
          <w:p w14:paraId="35B93B25">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699" w:type="dxa"/>
            <w:vAlign w:val="center"/>
          </w:tcPr>
          <w:p w14:paraId="62186D34">
            <w:pPr>
              <w:widowControl w:val="0"/>
              <w:spacing w:line="380" w:lineRule="exact"/>
              <w:jc w:val="both"/>
              <w:outlineLvl w:val="9"/>
              <w:rPr>
                <w:rFonts w:hint="eastAsia" w:ascii="宋体" w:hAnsi="宋体" w:cs="宋体"/>
                <w:color w:val="auto"/>
                <w:kern w:val="0"/>
                <w:sz w:val="24"/>
                <w:szCs w:val="24"/>
                <w:highlight w:val="none"/>
                <w:lang w:val="en-US" w:eastAsia="zh-CN"/>
              </w:rPr>
            </w:pPr>
          </w:p>
        </w:tc>
      </w:tr>
      <w:tr w14:paraId="11AED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8" w:type="dxa"/>
            <w:vAlign w:val="center"/>
          </w:tcPr>
          <w:p w14:paraId="2C99E991">
            <w:pPr>
              <w:widowControl w:val="0"/>
              <w:spacing w:line="380" w:lineRule="exact"/>
              <w:jc w:val="center"/>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7</w:t>
            </w:r>
          </w:p>
        </w:tc>
        <w:tc>
          <w:tcPr>
            <w:tcW w:w="1320" w:type="dxa"/>
            <w:vAlign w:val="center"/>
          </w:tcPr>
          <w:p w14:paraId="51BB902F">
            <w:pPr>
              <w:keepNext w:val="0"/>
              <w:keepLines w:val="0"/>
              <w:widowControl/>
              <w:suppressLineNumbers w:val="0"/>
              <w:jc w:val="center"/>
              <w:textAlignment w:val="center"/>
              <w:outlineLvl w:val="9"/>
              <w:rPr>
                <w:rFonts w:hint="eastAsia" w:ascii="宋体" w:hAnsi="宋体" w:cs="宋体"/>
                <w:color w:val="auto"/>
                <w:kern w:val="0"/>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墙地面开槽修补</w:t>
            </w:r>
          </w:p>
        </w:tc>
        <w:tc>
          <w:tcPr>
            <w:tcW w:w="8000" w:type="dxa"/>
            <w:vAlign w:val="center"/>
          </w:tcPr>
          <w:p w14:paraId="05755CDA">
            <w:pPr>
              <w:keepNext w:val="0"/>
              <w:keepLines w:val="0"/>
              <w:widowControl/>
              <w:suppressLineNumbers w:val="0"/>
              <w:jc w:val="left"/>
              <w:textAlignment w:val="center"/>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墙地面开槽及人工修补</w:t>
            </w:r>
          </w:p>
        </w:tc>
        <w:tc>
          <w:tcPr>
            <w:tcW w:w="900" w:type="dxa"/>
            <w:vAlign w:val="center"/>
          </w:tcPr>
          <w:p w14:paraId="2BD43618">
            <w:pPr>
              <w:widowControl w:val="0"/>
              <w:spacing w:line="380" w:lineRule="exact"/>
              <w:jc w:val="both"/>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2500</w:t>
            </w:r>
          </w:p>
        </w:tc>
        <w:tc>
          <w:tcPr>
            <w:tcW w:w="900" w:type="dxa"/>
            <w:vAlign w:val="center"/>
          </w:tcPr>
          <w:p w14:paraId="2A951AFA">
            <w:pPr>
              <w:widowControl w:val="0"/>
              <w:spacing w:line="380" w:lineRule="exact"/>
              <w:jc w:val="both"/>
              <w:outlineLvl w:val="9"/>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米</w:t>
            </w:r>
          </w:p>
        </w:tc>
        <w:tc>
          <w:tcPr>
            <w:tcW w:w="1130" w:type="dxa"/>
            <w:vAlign w:val="center"/>
          </w:tcPr>
          <w:p w14:paraId="485F3657">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1003" w:type="dxa"/>
            <w:vAlign w:val="center"/>
          </w:tcPr>
          <w:p w14:paraId="534DFFCC">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699" w:type="dxa"/>
            <w:vAlign w:val="center"/>
          </w:tcPr>
          <w:p w14:paraId="06C0373F">
            <w:pPr>
              <w:widowControl w:val="0"/>
              <w:spacing w:line="380" w:lineRule="exact"/>
              <w:jc w:val="both"/>
              <w:outlineLvl w:val="9"/>
              <w:rPr>
                <w:rFonts w:hint="eastAsia" w:ascii="宋体" w:hAnsi="宋体" w:cs="宋体"/>
                <w:color w:val="auto"/>
                <w:kern w:val="0"/>
                <w:sz w:val="24"/>
                <w:szCs w:val="24"/>
                <w:highlight w:val="none"/>
                <w:lang w:val="en-US" w:eastAsia="zh-CN"/>
              </w:rPr>
            </w:pPr>
          </w:p>
        </w:tc>
      </w:tr>
      <w:tr w14:paraId="73B7A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8" w:type="dxa"/>
            <w:vAlign w:val="center"/>
          </w:tcPr>
          <w:p w14:paraId="6AFC3345">
            <w:pPr>
              <w:widowControl w:val="0"/>
              <w:spacing w:line="380" w:lineRule="exact"/>
              <w:jc w:val="center"/>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8</w:t>
            </w:r>
          </w:p>
        </w:tc>
        <w:tc>
          <w:tcPr>
            <w:tcW w:w="1320" w:type="dxa"/>
            <w:vAlign w:val="center"/>
          </w:tcPr>
          <w:p w14:paraId="2324A8AA">
            <w:pPr>
              <w:widowControl w:val="0"/>
              <w:spacing w:line="380" w:lineRule="exact"/>
              <w:jc w:val="center"/>
              <w:outlineLvl w:val="9"/>
              <w:rPr>
                <w:rFonts w:hint="eastAsia"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防火桥架</w:t>
            </w:r>
          </w:p>
        </w:tc>
        <w:tc>
          <w:tcPr>
            <w:tcW w:w="8000" w:type="dxa"/>
          </w:tcPr>
          <w:p w14:paraId="2D98E7AA">
            <w:pPr>
              <w:widowControl w:val="0"/>
              <w:numPr>
                <w:ilvl w:val="0"/>
                <w:numId w:val="2"/>
              </w:numPr>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尺寸：宽度：200mm*高度：100mm*板材厚度：1.2mm。</w:t>
            </w:r>
          </w:p>
          <w:p w14:paraId="63135028">
            <w:pPr>
              <w:widowControl w:val="0"/>
              <w:numPr>
                <w:ilvl w:val="0"/>
                <w:numId w:val="2"/>
              </w:numPr>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材质：冷轧低碳钢板（Q235B 为主），表面经酸洗、磷化、静电喷塑预处理后，覆防火涂层。</w:t>
            </w:r>
          </w:p>
          <w:p w14:paraId="23A9E400">
            <w:pPr>
              <w:widowControl w:val="0"/>
              <w:numPr>
                <w:ilvl w:val="0"/>
                <w:numId w:val="2"/>
              </w:numPr>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防火性能：1. 防火等级：常规满足GB 23864-2009《防火封堵材料》 要求。2. 防火涂层：采用水性防火涂料，遇火膨胀形成炭化层，隔绝热源3. 燃烧性能：基材+涂层整体达到不燃性A级。</w:t>
            </w:r>
          </w:p>
          <w:p w14:paraId="7E54F867">
            <w:pPr>
              <w:widowControl w:val="0"/>
              <w:numPr>
                <w:ilvl w:val="0"/>
                <w:numId w:val="2"/>
              </w:numPr>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表面处理:基材预处理：酸洗→磷化→静电喷塑（灰色 / 白色为主，可定制颜色）防火处理：喷覆防火涂料，涂层附着力≥3 级（划格法），耐盐雾性≥480h（中性盐雾试验）。</w:t>
            </w:r>
          </w:p>
        </w:tc>
        <w:tc>
          <w:tcPr>
            <w:tcW w:w="900" w:type="dxa"/>
            <w:vAlign w:val="center"/>
          </w:tcPr>
          <w:p w14:paraId="54FFBBB4">
            <w:pPr>
              <w:widowControl w:val="0"/>
              <w:spacing w:line="380" w:lineRule="exact"/>
              <w:jc w:val="both"/>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2850</w:t>
            </w:r>
          </w:p>
        </w:tc>
        <w:tc>
          <w:tcPr>
            <w:tcW w:w="900" w:type="dxa"/>
            <w:vAlign w:val="center"/>
          </w:tcPr>
          <w:p w14:paraId="31246A58">
            <w:pPr>
              <w:widowControl w:val="0"/>
              <w:spacing w:line="380" w:lineRule="exact"/>
              <w:jc w:val="both"/>
              <w:outlineLvl w:val="9"/>
              <w:rPr>
                <w:rFonts w:hint="eastAsia"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米</w:t>
            </w:r>
          </w:p>
        </w:tc>
        <w:tc>
          <w:tcPr>
            <w:tcW w:w="1130" w:type="dxa"/>
            <w:vAlign w:val="center"/>
          </w:tcPr>
          <w:p w14:paraId="791E4A94">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1003" w:type="dxa"/>
            <w:vAlign w:val="center"/>
          </w:tcPr>
          <w:p w14:paraId="6CE81AFE">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699" w:type="dxa"/>
          </w:tcPr>
          <w:p w14:paraId="5A0B1DD6">
            <w:pPr>
              <w:widowControl w:val="0"/>
              <w:jc w:val="both"/>
              <w:outlineLvl w:val="9"/>
              <w:rPr>
                <w:rFonts w:hint="eastAsia"/>
                <w:color w:val="auto"/>
                <w:sz w:val="24"/>
                <w:szCs w:val="24"/>
                <w:highlight w:val="none"/>
                <w:vertAlign w:val="baseline"/>
                <w:lang w:val="en-US" w:eastAsia="zh-CN"/>
              </w:rPr>
            </w:pPr>
          </w:p>
        </w:tc>
      </w:tr>
      <w:tr w14:paraId="65C1E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698" w:type="dxa"/>
            <w:vAlign w:val="center"/>
          </w:tcPr>
          <w:p w14:paraId="72FF3858">
            <w:pPr>
              <w:widowControl w:val="0"/>
              <w:spacing w:line="380" w:lineRule="exact"/>
              <w:jc w:val="center"/>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9</w:t>
            </w:r>
          </w:p>
        </w:tc>
        <w:tc>
          <w:tcPr>
            <w:tcW w:w="1320" w:type="dxa"/>
            <w:vAlign w:val="center"/>
          </w:tcPr>
          <w:p w14:paraId="742BBBFA">
            <w:pPr>
              <w:widowControl w:val="0"/>
              <w:spacing w:line="380" w:lineRule="exact"/>
              <w:jc w:val="center"/>
              <w:outlineLvl w:val="9"/>
              <w:rPr>
                <w:rFonts w:hint="eastAsia"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配套配件</w:t>
            </w:r>
          </w:p>
        </w:tc>
        <w:tc>
          <w:tcPr>
            <w:tcW w:w="8000" w:type="dxa"/>
          </w:tcPr>
          <w:p w14:paraId="25F691F5">
            <w:pPr>
              <w:widowControl w:val="0"/>
              <w:jc w:val="both"/>
              <w:outlineLvl w:val="9"/>
              <w:rPr>
                <w:rFonts w:hint="default"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垂直上弯、垂直下弯、水平弯三通、水平弯四通、过梁弯、爬坡弯配件均为防火桥架同材质防火处理。以上配件根据安装现场实际需求提供种类。</w:t>
            </w:r>
          </w:p>
        </w:tc>
        <w:tc>
          <w:tcPr>
            <w:tcW w:w="900" w:type="dxa"/>
          </w:tcPr>
          <w:p w14:paraId="0A86EBEB">
            <w:pPr>
              <w:widowControl w:val="0"/>
              <w:spacing w:line="380" w:lineRule="exact"/>
              <w:jc w:val="both"/>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300</w:t>
            </w:r>
          </w:p>
        </w:tc>
        <w:tc>
          <w:tcPr>
            <w:tcW w:w="900" w:type="dxa"/>
          </w:tcPr>
          <w:p w14:paraId="607A9F16">
            <w:pPr>
              <w:widowControl w:val="0"/>
              <w:spacing w:line="380" w:lineRule="exact"/>
              <w:jc w:val="both"/>
              <w:outlineLvl w:val="9"/>
              <w:rPr>
                <w:rFonts w:hint="eastAsia"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个</w:t>
            </w:r>
          </w:p>
        </w:tc>
        <w:tc>
          <w:tcPr>
            <w:tcW w:w="1130" w:type="dxa"/>
          </w:tcPr>
          <w:p w14:paraId="57F688DC">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1003" w:type="dxa"/>
          </w:tcPr>
          <w:p w14:paraId="2ABE177A">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699" w:type="dxa"/>
          </w:tcPr>
          <w:p w14:paraId="30C44778">
            <w:pPr>
              <w:widowControl w:val="0"/>
              <w:jc w:val="both"/>
              <w:outlineLvl w:val="9"/>
              <w:rPr>
                <w:rFonts w:hint="eastAsia"/>
                <w:color w:val="auto"/>
                <w:sz w:val="24"/>
                <w:szCs w:val="24"/>
                <w:highlight w:val="none"/>
                <w:vertAlign w:val="baseline"/>
                <w:lang w:val="en-US" w:eastAsia="zh-CN"/>
              </w:rPr>
            </w:pPr>
          </w:p>
        </w:tc>
      </w:tr>
      <w:tr w14:paraId="77246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8" w:type="dxa"/>
            <w:vAlign w:val="center"/>
          </w:tcPr>
          <w:p w14:paraId="192C643D">
            <w:pPr>
              <w:widowControl w:val="0"/>
              <w:spacing w:line="380" w:lineRule="exact"/>
              <w:jc w:val="center"/>
              <w:outlineLvl w:val="9"/>
              <w:rPr>
                <w:rFonts w:hint="eastAsia" w:ascii="宋体" w:hAnsi="宋体" w:cs="宋体"/>
                <w:color w:val="auto"/>
                <w:kern w:val="0"/>
                <w:sz w:val="24"/>
                <w:szCs w:val="24"/>
                <w:highlight w:val="none"/>
                <w:lang w:val="en-US" w:eastAsia="zh-CN"/>
              </w:rPr>
            </w:pPr>
          </w:p>
          <w:p w14:paraId="2C55D1B1">
            <w:pPr>
              <w:widowControl w:val="0"/>
              <w:spacing w:line="380" w:lineRule="exact"/>
              <w:jc w:val="center"/>
              <w:outlineLvl w:val="9"/>
              <w:rPr>
                <w:rFonts w:hint="eastAsia" w:ascii="宋体" w:hAnsi="宋体" w:cs="宋体"/>
                <w:color w:val="auto"/>
                <w:kern w:val="0"/>
                <w:sz w:val="24"/>
                <w:szCs w:val="24"/>
                <w:highlight w:val="none"/>
                <w:lang w:val="en-US" w:eastAsia="zh-CN"/>
              </w:rPr>
            </w:pPr>
          </w:p>
          <w:p w14:paraId="5520D4EA">
            <w:pPr>
              <w:widowControl w:val="0"/>
              <w:spacing w:line="380" w:lineRule="exact"/>
              <w:jc w:val="center"/>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10</w:t>
            </w:r>
          </w:p>
        </w:tc>
        <w:tc>
          <w:tcPr>
            <w:tcW w:w="1320" w:type="dxa"/>
            <w:vAlign w:val="center"/>
          </w:tcPr>
          <w:p w14:paraId="0CA1C4DE">
            <w:pPr>
              <w:widowControl w:val="0"/>
              <w:spacing w:line="380" w:lineRule="exact"/>
              <w:jc w:val="center"/>
              <w:outlineLvl w:val="9"/>
              <w:rPr>
                <w:rFonts w:hint="eastAsia" w:ascii="宋体" w:hAnsi="宋体" w:cs="宋体"/>
                <w:color w:val="auto"/>
                <w:kern w:val="0"/>
                <w:sz w:val="24"/>
                <w:szCs w:val="24"/>
                <w:highlight w:val="none"/>
                <w:lang w:val="en-US" w:eastAsia="zh-CN"/>
              </w:rPr>
            </w:pPr>
          </w:p>
          <w:p w14:paraId="3C72EF1A">
            <w:pPr>
              <w:widowControl w:val="0"/>
              <w:spacing w:line="380" w:lineRule="exact"/>
              <w:jc w:val="center"/>
              <w:outlineLvl w:val="9"/>
              <w:rPr>
                <w:rFonts w:hint="eastAsia" w:ascii="宋体" w:hAnsi="宋体" w:cs="宋体"/>
                <w:color w:val="auto"/>
                <w:kern w:val="0"/>
                <w:sz w:val="24"/>
                <w:szCs w:val="24"/>
                <w:highlight w:val="none"/>
                <w:lang w:val="en-US" w:eastAsia="zh-CN"/>
              </w:rPr>
            </w:pPr>
          </w:p>
          <w:p w14:paraId="1D5EF937">
            <w:pPr>
              <w:widowControl w:val="0"/>
              <w:spacing w:line="380" w:lineRule="exact"/>
              <w:jc w:val="center"/>
              <w:outlineLvl w:val="9"/>
              <w:rPr>
                <w:rFonts w:hint="eastAsia"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丝杆、横担</w:t>
            </w:r>
          </w:p>
        </w:tc>
        <w:tc>
          <w:tcPr>
            <w:tcW w:w="8000" w:type="dxa"/>
          </w:tcPr>
          <w:p w14:paraId="2390F45A">
            <w:pPr>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丝杆1、材质:Q235B 碳钢（镀锌 / 热浸锌）.</w:t>
            </w:r>
          </w:p>
          <w:p w14:paraId="787A68BD">
            <w:pPr>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2、直径：1. M10 为标配，适配 200×100 桥架≤1.5m 跨距、额定载荷≤50kg/m 的承重需求；2. M8 仅适用于轻载（≤30kg/m）、短跨距（≤1m）场景。</w:t>
            </w:r>
          </w:p>
          <w:p w14:paraId="79A9CF1D">
            <w:pPr>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3、螺纹规格：符合 GB/T 196-2003 螺纹标准，与螺母、吊头完美匹配。</w:t>
            </w:r>
          </w:p>
          <w:p w14:paraId="030F96DD">
            <w:pPr>
              <w:widowControl w:val="0"/>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横担1、材质：Q235B 冷轧钢板（与桥架同基材）厚度≥2.0mm，表面喷防火涂料。</w:t>
            </w:r>
          </w:p>
          <w:p w14:paraId="0E361B2C">
            <w:pPr>
              <w:widowControl w:val="0"/>
              <w:numPr>
                <w:ilvl w:val="0"/>
                <w:numId w:val="3"/>
              </w:numPr>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结构类型：冲压成型无焊接，强度更高，避免焊接点生锈；带腰型孔，方便微调桥架水平位置。</w:t>
            </w:r>
          </w:p>
          <w:p w14:paraId="6A1B0D88">
            <w:pPr>
              <w:widowControl w:val="0"/>
              <w:numPr>
                <w:ilvl w:val="0"/>
                <w:numId w:val="3"/>
              </w:numPr>
              <w:jc w:val="both"/>
              <w:outlineLvl w:val="9"/>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承重性能：单根横担额定载荷≥80kg</w:t>
            </w:r>
          </w:p>
        </w:tc>
        <w:tc>
          <w:tcPr>
            <w:tcW w:w="900" w:type="dxa"/>
          </w:tcPr>
          <w:p w14:paraId="0AB6AEF9">
            <w:pPr>
              <w:widowControl w:val="0"/>
              <w:spacing w:line="380" w:lineRule="exact"/>
              <w:jc w:val="both"/>
              <w:outlineLvl w:val="9"/>
              <w:rPr>
                <w:rFonts w:hint="eastAsia" w:ascii="宋体" w:hAnsi="宋体" w:cs="宋体"/>
                <w:color w:val="auto"/>
                <w:kern w:val="0"/>
                <w:sz w:val="24"/>
                <w:szCs w:val="24"/>
                <w:highlight w:val="none"/>
                <w:lang w:val="en-US" w:eastAsia="zh-CN"/>
              </w:rPr>
            </w:pPr>
          </w:p>
          <w:p w14:paraId="6946F0A4">
            <w:pPr>
              <w:widowControl w:val="0"/>
              <w:spacing w:line="380" w:lineRule="exact"/>
              <w:jc w:val="both"/>
              <w:outlineLvl w:val="9"/>
              <w:rPr>
                <w:rFonts w:hint="eastAsia" w:ascii="宋体" w:hAnsi="宋体" w:cs="宋体"/>
                <w:color w:val="auto"/>
                <w:kern w:val="0"/>
                <w:sz w:val="24"/>
                <w:szCs w:val="24"/>
                <w:highlight w:val="none"/>
                <w:lang w:val="en-US" w:eastAsia="zh-CN"/>
              </w:rPr>
            </w:pPr>
          </w:p>
          <w:p w14:paraId="13F25976">
            <w:pPr>
              <w:widowControl w:val="0"/>
              <w:spacing w:line="380" w:lineRule="exact"/>
              <w:jc w:val="both"/>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1260</w:t>
            </w:r>
          </w:p>
        </w:tc>
        <w:tc>
          <w:tcPr>
            <w:tcW w:w="900" w:type="dxa"/>
            <w:vAlign w:val="center"/>
          </w:tcPr>
          <w:p w14:paraId="04A38367">
            <w:pPr>
              <w:widowControl w:val="0"/>
              <w:spacing w:line="380" w:lineRule="exact"/>
              <w:ind w:firstLine="240" w:firstLineChars="100"/>
              <w:jc w:val="both"/>
              <w:outlineLvl w:val="9"/>
              <w:rPr>
                <w:rFonts w:hint="eastAsia"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根</w:t>
            </w:r>
          </w:p>
        </w:tc>
        <w:tc>
          <w:tcPr>
            <w:tcW w:w="1130" w:type="dxa"/>
            <w:vAlign w:val="center"/>
          </w:tcPr>
          <w:p w14:paraId="48E6F25E">
            <w:pPr>
              <w:widowControl w:val="0"/>
              <w:spacing w:line="380" w:lineRule="exact"/>
              <w:jc w:val="center"/>
              <w:outlineLvl w:val="9"/>
              <w:rPr>
                <w:rFonts w:hint="default" w:ascii="宋体" w:hAnsi="宋体" w:cs="宋体"/>
                <w:color w:val="auto"/>
                <w:kern w:val="0"/>
                <w:sz w:val="24"/>
                <w:szCs w:val="24"/>
                <w:highlight w:val="none"/>
                <w:lang w:val="en-US" w:eastAsia="zh-CN"/>
              </w:rPr>
            </w:pPr>
          </w:p>
        </w:tc>
        <w:tc>
          <w:tcPr>
            <w:tcW w:w="1003" w:type="dxa"/>
            <w:vAlign w:val="center"/>
          </w:tcPr>
          <w:p w14:paraId="7B340B06">
            <w:pPr>
              <w:widowControl w:val="0"/>
              <w:spacing w:line="380" w:lineRule="exact"/>
              <w:jc w:val="center"/>
              <w:outlineLvl w:val="9"/>
              <w:rPr>
                <w:rFonts w:hint="default" w:ascii="宋体" w:hAnsi="宋体" w:cs="宋体"/>
                <w:color w:val="auto"/>
                <w:kern w:val="0"/>
                <w:sz w:val="24"/>
                <w:szCs w:val="24"/>
                <w:highlight w:val="none"/>
                <w:lang w:val="en-US" w:eastAsia="zh-CN"/>
              </w:rPr>
            </w:pPr>
          </w:p>
        </w:tc>
        <w:tc>
          <w:tcPr>
            <w:tcW w:w="699" w:type="dxa"/>
          </w:tcPr>
          <w:p w14:paraId="1C6F8ACE">
            <w:pPr>
              <w:widowControl w:val="0"/>
              <w:jc w:val="both"/>
              <w:outlineLvl w:val="9"/>
              <w:rPr>
                <w:rFonts w:hint="eastAsia"/>
                <w:color w:val="auto"/>
                <w:sz w:val="24"/>
                <w:szCs w:val="24"/>
                <w:highlight w:val="none"/>
                <w:vertAlign w:val="baseline"/>
                <w:lang w:val="en-US" w:eastAsia="zh-CN"/>
              </w:rPr>
            </w:pPr>
          </w:p>
        </w:tc>
      </w:tr>
      <w:tr w14:paraId="310BA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698" w:type="dxa"/>
          </w:tcPr>
          <w:p w14:paraId="3C0980EB">
            <w:pPr>
              <w:widowControl w:val="0"/>
              <w:jc w:val="both"/>
              <w:outlineLvl w:val="9"/>
              <w:rPr>
                <w:rFonts w:hint="default"/>
                <w:color w:val="auto"/>
                <w:sz w:val="24"/>
                <w:szCs w:val="24"/>
                <w:highlight w:val="none"/>
                <w:vertAlign w:val="baseline"/>
                <w:lang w:val="en-US" w:eastAsia="zh-CN"/>
              </w:rPr>
            </w:pPr>
            <w:r>
              <w:rPr>
                <w:rFonts w:hint="eastAsia"/>
                <w:color w:val="auto"/>
                <w:sz w:val="24"/>
                <w:szCs w:val="24"/>
                <w:highlight w:val="none"/>
                <w:vertAlign w:val="baseline"/>
                <w:lang w:val="en-US" w:eastAsia="zh-CN"/>
              </w:rPr>
              <w:t>11</w:t>
            </w:r>
          </w:p>
        </w:tc>
        <w:tc>
          <w:tcPr>
            <w:tcW w:w="1320" w:type="dxa"/>
          </w:tcPr>
          <w:p w14:paraId="340E3B29">
            <w:pPr>
              <w:widowControl w:val="0"/>
              <w:jc w:val="both"/>
              <w:outlineLvl w:val="9"/>
              <w:rPr>
                <w:rFonts w:hint="eastAsia" w:eastAsiaTheme="minor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定制</w:t>
            </w:r>
            <w:r>
              <w:rPr>
                <w:rFonts w:hint="eastAsia"/>
                <w:color w:val="auto"/>
                <w:sz w:val="24"/>
                <w:szCs w:val="24"/>
                <w:highlight w:val="none"/>
                <w:vertAlign w:val="baseline"/>
                <w:lang w:eastAsia="zh-CN"/>
              </w:rPr>
              <w:t>横担</w:t>
            </w:r>
          </w:p>
        </w:tc>
        <w:tc>
          <w:tcPr>
            <w:tcW w:w="8000" w:type="dxa"/>
          </w:tcPr>
          <w:p w14:paraId="62CAD923">
            <w:pPr>
              <w:widowControl w:val="0"/>
              <w:numPr>
                <w:ilvl w:val="0"/>
                <w:numId w:val="0"/>
              </w:numPr>
              <w:jc w:val="both"/>
              <w:outlineLvl w:val="9"/>
              <w:rPr>
                <w:rFonts w:hint="default"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1、材质:5CM*5CM 镀锌角铁焊制，根据现场实际规格制作</w:t>
            </w:r>
          </w:p>
        </w:tc>
        <w:tc>
          <w:tcPr>
            <w:tcW w:w="900" w:type="dxa"/>
          </w:tcPr>
          <w:p w14:paraId="36BD9C84">
            <w:pPr>
              <w:widowControl w:val="0"/>
              <w:spacing w:line="380" w:lineRule="exact"/>
              <w:jc w:val="both"/>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160</w:t>
            </w:r>
          </w:p>
        </w:tc>
        <w:tc>
          <w:tcPr>
            <w:tcW w:w="900" w:type="dxa"/>
          </w:tcPr>
          <w:p w14:paraId="04A45F3F">
            <w:pPr>
              <w:widowControl w:val="0"/>
              <w:spacing w:line="380" w:lineRule="exact"/>
              <w:jc w:val="both"/>
              <w:outlineLvl w:val="9"/>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个</w:t>
            </w:r>
          </w:p>
        </w:tc>
        <w:tc>
          <w:tcPr>
            <w:tcW w:w="1130" w:type="dxa"/>
          </w:tcPr>
          <w:p w14:paraId="241D15FE">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1003" w:type="dxa"/>
          </w:tcPr>
          <w:p w14:paraId="75927157">
            <w:pPr>
              <w:widowControl w:val="0"/>
              <w:spacing w:line="380" w:lineRule="exact"/>
              <w:jc w:val="both"/>
              <w:outlineLvl w:val="9"/>
              <w:rPr>
                <w:rFonts w:hint="default" w:ascii="宋体" w:hAnsi="宋体" w:cs="宋体"/>
                <w:color w:val="auto"/>
                <w:kern w:val="0"/>
                <w:sz w:val="24"/>
                <w:szCs w:val="24"/>
                <w:highlight w:val="none"/>
                <w:lang w:val="en-US" w:eastAsia="zh-CN"/>
              </w:rPr>
            </w:pPr>
          </w:p>
        </w:tc>
        <w:tc>
          <w:tcPr>
            <w:tcW w:w="699" w:type="dxa"/>
          </w:tcPr>
          <w:p w14:paraId="58DB1E7D">
            <w:pPr>
              <w:widowControl w:val="0"/>
              <w:jc w:val="both"/>
              <w:outlineLvl w:val="9"/>
              <w:rPr>
                <w:rFonts w:hint="eastAsia"/>
                <w:color w:val="auto"/>
                <w:sz w:val="24"/>
                <w:szCs w:val="24"/>
                <w:highlight w:val="none"/>
                <w:vertAlign w:val="baseline"/>
                <w:lang w:val="en-US" w:eastAsia="zh-CN"/>
              </w:rPr>
            </w:pPr>
          </w:p>
        </w:tc>
      </w:tr>
      <w:tr w14:paraId="7368A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14650" w:type="dxa"/>
            <w:gridSpan w:val="8"/>
            <w:vAlign w:val="top"/>
          </w:tcPr>
          <w:p w14:paraId="4F1841F6">
            <w:pPr>
              <w:widowControl w:val="0"/>
              <w:ind w:left="6720" w:hanging="6720" w:hangingChars="2400"/>
              <w:jc w:val="center"/>
              <w:outlineLvl w:val="9"/>
              <w:rPr>
                <w:rFonts w:hint="eastAsia"/>
                <w:color w:val="auto"/>
                <w:sz w:val="28"/>
                <w:szCs w:val="28"/>
                <w:highlight w:val="none"/>
                <w:vertAlign w:val="baseline"/>
                <w:lang w:val="en-US" w:eastAsia="zh-CN"/>
              </w:rPr>
            </w:pPr>
            <w:r>
              <w:rPr>
                <w:rFonts w:hint="eastAsia"/>
                <w:color w:val="auto"/>
                <w:sz w:val="28"/>
                <w:szCs w:val="28"/>
                <w:highlight w:val="none"/>
                <w:vertAlign w:val="baseline"/>
                <w:lang w:val="en-US" w:eastAsia="zh-CN"/>
              </w:rPr>
              <w:t xml:space="preserve">                                                                总合计金额：1157980.00元</w:t>
            </w:r>
          </w:p>
        </w:tc>
      </w:tr>
    </w:tbl>
    <w:p w14:paraId="1FDABC19">
      <w:pPr>
        <w:rPr>
          <w:rFonts w:hint="default" w:eastAsiaTheme="minorEastAsia"/>
          <w:lang w:val="en-US" w:eastAsia="zh-CN"/>
        </w:rPr>
      </w:pPr>
      <w:bookmarkStart w:id="0" w:name="_GoBack"/>
      <w:bookmarkEnd w:id="0"/>
    </w:p>
    <w:sectPr>
      <w:pgSz w:w="16838" w:h="11906" w:orient="landscape"/>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128E0">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8CFDC7">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C8CFDC7">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594359"/>
    <w:multiLevelType w:val="singleLevel"/>
    <w:tmpl w:val="E9594359"/>
    <w:lvl w:ilvl="0" w:tentative="0">
      <w:start w:val="1"/>
      <w:numFmt w:val="decimal"/>
      <w:suff w:val="nothing"/>
      <w:lvlText w:val="%1、"/>
      <w:lvlJc w:val="left"/>
    </w:lvl>
  </w:abstractNum>
  <w:abstractNum w:abstractNumId="1">
    <w:nsid w:val="66DCD19C"/>
    <w:multiLevelType w:val="singleLevel"/>
    <w:tmpl w:val="66DCD19C"/>
    <w:lvl w:ilvl="0" w:tentative="0">
      <w:start w:val="2"/>
      <w:numFmt w:val="decimal"/>
      <w:suff w:val="nothing"/>
      <w:lvlText w:val="%1、"/>
      <w:lvlJc w:val="left"/>
    </w:lvl>
  </w:abstractNum>
  <w:abstractNum w:abstractNumId="2">
    <w:nsid w:val="708CEDBE"/>
    <w:multiLevelType w:val="singleLevel"/>
    <w:tmpl w:val="708CEDBE"/>
    <w:lvl w:ilvl="0" w:tentative="0">
      <w:start w:val="1"/>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30115C"/>
    <w:rsid w:val="087C1E01"/>
    <w:rsid w:val="0BE303E7"/>
    <w:rsid w:val="132777CF"/>
    <w:rsid w:val="1377291E"/>
    <w:rsid w:val="16776F00"/>
    <w:rsid w:val="1A034859"/>
    <w:rsid w:val="1F793753"/>
    <w:rsid w:val="230853B5"/>
    <w:rsid w:val="2DBA2B7C"/>
    <w:rsid w:val="2E382087"/>
    <w:rsid w:val="34497F80"/>
    <w:rsid w:val="35D70F58"/>
    <w:rsid w:val="35EB19AF"/>
    <w:rsid w:val="364E03AD"/>
    <w:rsid w:val="36692686"/>
    <w:rsid w:val="3BFA64BE"/>
    <w:rsid w:val="3D5256D0"/>
    <w:rsid w:val="4681438B"/>
    <w:rsid w:val="4849095B"/>
    <w:rsid w:val="52194781"/>
    <w:rsid w:val="53273DBA"/>
    <w:rsid w:val="55E55073"/>
    <w:rsid w:val="58B14D26"/>
    <w:rsid w:val="63413FAE"/>
    <w:rsid w:val="65957221"/>
    <w:rsid w:val="6B022E3D"/>
    <w:rsid w:val="6C6D6BF7"/>
    <w:rsid w:val="741970C9"/>
    <w:rsid w:val="7BFE25EE"/>
    <w:rsid w:val="7E6F340A"/>
    <w:rsid w:val="7F3379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4"/>
    <w:basedOn w:val="1"/>
    <w:next w:val="1"/>
    <w:unhideWhenUsed/>
    <w:qFormat/>
    <w:uiPriority w:val="9"/>
    <w:pPr>
      <w:keepNext/>
      <w:keepLines/>
      <w:spacing w:before="280" w:after="290" w:line="376" w:lineRule="auto"/>
      <w:outlineLvl w:val="3"/>
    </w:pPr>
    <w:rPr>
      <w:rFonts w:ascii="Cambria" w:hAnsi="Cambria" w:eastAsia="宋体" w:cs="Times New Roman"/>
      <w:b/>
      <w:bCs/>
      <w:sz w:val="28"/>
      <w:szCs w:val="28"/>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1"/>
    <w:rPr>
      <w:sz w:val="24"/>
      <w:szCs w:val="24"/>
    </w:rPr>
  </w:style>
  <w:style w:type="paragraph" w:styleId="5">
    <w:name w:val="footer"/>
    <w:basedOn w:val="1"/>
    <w:qFormat/>
    <w:uiPriority w:val="0"/>
    <w:pPr>
      <w:tabs>
        <w:tab w:val="center" w:pos="4153"/>
        <w:tab w:val="right" w:pos="8306"/>
      </w:tabs>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0"/>
    <w:rPr>
      <w:b/>
    </w:rPr>
  </w:style>
  <w:style w:type="table" w:customStyle="1" w:styleId="10">
    <w:name w:val="Table Normal"/>
    <w:semiHidden/>
    <w:unhideWhenUsed/>
    <w:qFormat/>
    <w:uiPriority w:val="0"/>
    <w:tblPr>
      <w:tblCellMar>
        <w:top w:w="0" w:type="dxa"/>
        <w:left w:w="0" w:type="dxa"/>
        <w:bottom w:w="0" w:type="dxa"/>
        <w:right w:w="0" w:type="dxa"/>
      </w:tblCellMar>
    </w:tblPr>
  </w:style>
  <w:style w:type="paragraph" w:customStyle="1" w:styleId="11">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4399</Words>
  <Characters>5228</Characters>
  <Lines>0</Lines>
  <Paragraphs>0</Paragraphs>
  <TotalTime>1</TotalTime>
  <ScaleCrop>false</ScaleCrop>
  <LinksUpToDate>false</LinksUpToDate>
  <CharactersWithSpaces>5421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2026-01-15T07:16:00Z</dcterms:created>
  <dc:creator>Administrator</dc:creator>
  <cp:lastModifiedBy>婷婷</cp:lastModifiedBy>
  <cp:lastPrinted>2026-05-26T00:54:00Z</cp:lastPrinted>
  <dcterms:modified xsi:type="dcterms:W3CDTF">2026-05-26T02:39:03Z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eyJoZGlkIjoiOWI1ZjY5ZTQyMGMxOWYzOWEwNDQ0OWE1MmFkMWNmMmYiLCJ1c2VySWQiOiIyNjA2ODE0MDMifQ==</vt:lpwstr>
  </property>
  <property fmtid="{D5CDD505-2E9C-101B-9397-08002B2CF9AE}" pid="4" name="ICV">
    <vt:lpwstr>7EA77CB4F6664D95A3DA4DCB6FDE963B_13</vt:lpwstr>
  </property>
</Properties>
</file>