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505CE9">
      <w:pPr>
        <w:pageBreakBefore w:val="0"/>
        <w:widowControl w:val="0"/>
        <w:kinsoku/>
        <w:wordWrap w:val="0"/>
        <w:overflowPunct/>
        <w:topLinePunct/>
        <w:autoSpaceDE/>
        <w:autoSpaceDN/>
        <w:bidi w:val="0"/>
        <w:spacing w:before="63" w:line="224" w:lineRule="auto"/>
        <w:jc w:val="center"/>
        <w:rPr>
          <w:rFonts w:hint="eastAsia" w:asciiTheme="majorEastAsia" w:hAnsiTheme="majorEastAsia" w:eastAsiaTheme="majorEastAsia" w:cstheme="majorEastAsia"/>
          <w:color w:val="auto"/>
          <w:spacing w:val="0"/>
          <w:position w:val="0"/>
          <w:sz w:val="31"/>
          <w:szCs w:val="31"/>
          <w:highlight w:val="none"/>
          <w:lang w:eastAsia="zh-CN"/>
        </w:rPr>
      </w:pPr>
      <w:r>
        <w:rPr>
          <w:rFonts w:hint="eastAsia" w:asciiTheme="majorEastAsia" w:hAnsiTheme="majorEastAsia" w:eastAsiaTheme="majorEastAsia" w:cstheme="majorEastAsia"/>
          <w:color w:val="auto"/>
          <w:spacing w:val="0"/>
          <w:position w:val="0"/>
          <w:sz w:val="31"/>
          <w:szCs w:val="31"/>
          <w:highlight w:val="none"/>
          <w:lang w:eastAsia="zh-CN"/>
          <w14:textOutline w14:w="5791" w14:cap="sq" w14:cmpd="sng" w14:algn="ctr">
            <w14:solidFill>
              <w14:srgbClr w14:val="000000"/>
            </w14:solidFill>
            <w14:prstDash w14:val="solid"/>
            <w14:bevel/>
          </w14:textOutline>
        </w:rPr>
        <w:t>第五章</w:t>
      </w:r>
      <w:r>
        <w:rPr>
          <w:rFonts w:hint="eastAsia" w:asciiTheme="majorEastAsia" w:hAnsiTheme="majorEastAsia" w:eastAsiaTheme="majorEastAsia" w:cstheme="majorEastAsia"/>
          <w:color w:val="auto"/>
          <w:spacing w:val="0"/>
          <w:position w:val="0"/>
          <w:sz w:val="31"/>
          <w:szCs w:val="31"/>
          <w:highlight w:val="none"/>
          <w:lang w:eastAsia="zh-CN"/>
        </w:rPr>
        <w:t xml:space="preserve">  </w:t>
      </w:r>
      <w:r>
        <w:rPr>
          <w:rFonts w:hint="eastAsia" w:asciiTheme="majorEastAsia" w:hAnsiTheme="majorEastAsia" w:eastAsiaTheme="majorEastAsia" w:cstheme="majorEastAsia"/>
          <w:color w:val="auto"/>
          <w:spacing w:val="0"/>
          <w:position w:val="0"/>
          <w:sz w:val="31"/>
          <w:szCs w:val="31"/>
          <w:highlight w:val="none"/>
          <w:lang w:eastAsia="zh-CN"/>
          <w14:textOutline w14:w="5791" w14:cap="sq" w14:cmpd="sng" w14:algn="ctr">
            <w14:solidFill>
              <w14:srgbClr w14:val="000000"/>
            </w14:solidFill>
            <w14:prstDash w14:val="solid"/>
            <w14:bevel/>
          </w14:textOutline>
        </w:rPr>
        <w:t>采购需求</w:t>
      </w:r>
    </w:p>
    <w:p w14:paraId="4835DDDE">
      <w:pPr>
        <w:pageBreakBefore w:val="0"/>
        <w:widowControl w:val="0"/>
        <w:kinsoku/>
        <w:wordWrap w:val="0"/>
        <w:overflowPunct/>
        <w:topLinePunct/>
        <w:autoSpaceDE/>
        <w:autoSpaceDN/>
        <w:bidi w:val="0"/>
        <w:spacing w:line="309" w:lineRule="auto"/>
        <w:rPr>
          <w:rFonts w:hint="eastAsia" w:asciiTheme="majorEastAsia" w:hAnsiTheme="majorEastAsia" w:eastAsiaTheme="majorEastAsia" w:cstheme="majorEastAsia"/>
          <w:color w:val="auto"/>
          <w:spacing w:val="0"/>
          <w:position w:val="0"/>
          <w:highlight w:val="none"/>
          <w:lang w:eastAsia="zh-CN"/>
        </w:rPr>
      </w:pPr>
    </w:p>
    <w:p w14:paraId="7A724E34">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（一）投标供应商所提供的服务（技术）内容符合国家、省市规范标准。</w:t>
      </w:r>
    </w:p>
    <w:p w14:paraId="56B305E3">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（二）所有服务产品的知识产权问题，由各投标人自行负责。</w:t>
      </w:r>
    </w:p>
    <w:p w14:paraId="774442C9">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（三）本招标文件提出的是最低限度的要求，属于不允许偏离的实质性要求，投标供应商的方案应达到或优于本招标文件要求，且符合国家有关标准和规范要求。</w:t>
      </w:r>
    </w:p>
    <w:p w14:paraId="6E417B03">
      <w:pPr>
        <w:keepNext w:val="0"/>
        <w:keepLines w:val="0"/>
        <w:pageBreakBefore w:val="0"/>
        <w:kinsoku/>
        <w:wordWrap w:val="0"/>
        <w:overflowPunct/>
        <w:topLinePunct/>
        <w:autoSpaceDE/>
        <w:autoSpaceDN/>
        <w:bidi w:val="0"/>
        <w:spacing w:line="440" w:lineRule="exact"/>
        <w:ind w:firstLine="240" w:firstLineChars="100"/>
        <w:jc w:val="both"/>
        <w:rPr>
          <w:rFonts w:hint="eastAsia" w:asciiTheme="majorEastAsia" w:hAnsiTheme="majorEastAsia" w:eastAsiaTheme="majorEastAsia" w:cstheme="majorEastAsia"/>
          <w:color w:val="auto"/>
          <w:sz w:val="24"/>
          <w:highlight w:val="none"/>
          <w:lang w:eastAsia="zh-CN"/>
        </w:rPr>
      </w:pPr>
      <w:r>
        <w:rPr>
          <w:rFonts w:hint="eastAsia" w:asciiTheme="majorEastAsia" w:hAnsiTheme="majorEastAsia" w:eastAsiaTheme="majorEastAsia" w:cstheme="majorEastAsia"/>
          <w:color w:val="auto"/>
          <w:sz w:val="24"/>
          <w:highlight w:val="none"/>
          <w:lang w:eastAsia="zh-CN"/>
        </w:rPr>
        <w:t>（四）服务及商务要求：</w:t>
      </w:r>
    </w:p>
    <w:p w14:paraId="237DB1E8">
      <w:pPr>
        <w:pageBreakBefore w:val="0"/>
        <w:widowControl w:val="0"/>
        <w:kinsoku/>
        <w:wordWrap w:val="0"/>
        <w:overflowPunct/>
        <w:topLinePunct/>
        <w:autoSpaceDE/>
        <w:autoSpaceDN/>
        <w:bidi w:val="0"/>
        <w:spacing w:before="48" w:line="219" w:lineRule="auto"/>
        <w:jc w:val="center"/>
        <w:outlineLvl w:val="1"/>
        <w:rPr>
          <w:rFonts w:hint="eastAsia" w:asciiTheme="majorEastAsia" w:hAnsiTheme="majorEastAsia" w:eastAsiaTheme="majorEastAsia" w:cstheme="majorEastAsia"/>
          <w:color w:val="auto"/>
          <w:spacing w:val="0"/>
          <w:position w:val="0"/>
          <w:sz w:val="24"/>
          <w:szCs w:val="24"/>
          <w:highlight w:val="none"/>
          <w:lang w:eastAsia="zh-CN"/>
          <w14:textOutline w14:w="4356" w14:cap="sq" w14:cmpd="sng" w14:algn="ctr">
            <w14:solidFill>
              <w14:srgbClr w14:val="000000"/>
            </w14:solidFill>
            <w14:prstDash w14:val="solid"/>
            <w14:bevel/>
          </w14:textOutline>
        </w:rPr>
        <w:sectPr>
          <w:pgSz w:w="11906" w:h="16839"/>
          <w:pgMar w:top="1429" w:right="1786" w:bottom="1429" w:left="1786" w:header="0" w:footer="994" w:gutter="0"/>
          <w:pgNumType w:fmt="decimal"/>
          <w:cols w:space="720" w:num="1"/>
        </w:sectPr>
      </w:pPr>
    </w:p>
    <w:p w14:paraId="4D691EF2">
      <w:pPr>
        <w:keepNext w:val="0"/>
        <w:keepLines w:val="0"/>
        <w:pageBreakBefore w:val="0"/>
        <w:numPr>
          <w:ilvl w:val="0"/>
          <w:numId w:val="0"/>
        </w:numPr>
        <w:tabs>
          <w:tab w:val="left" w:pos="8070"/>
        </w:tabs>
        <w:kinsoku/>
        <w:wordWrap w:val="0"/>
        <w:overflowPunct/>
        <w:topLinePunct/>
        <w:autoSpaceDE/>
        <w:autoSpaceDN/>
        <w:bidi w:val="0"/>
        <w:ind w:firstLine="482" w:firstLineChars="100"/>
        <w:jc w:val="center"/>
        <w:rPr>
          <w:rFonts w:hint="eastAsia" w:asciiTheme="minorEastAsia" w:hAnsiTheme="minorEastAsia" w:eastAsiaTheme="minorEastAsia" w:cstheme="minorEastAsia"/>
          <w:b/>
          <w:bCs/>
          <w:snapToGrid w:val="0"/>
          <w:color w:val="000000"/>
          <w:sz w:val="48"/>
          <w:szCs w:val="48"/>
          <w:highlight w:val="none"/>
          <w:lang w:val="en-US" w:eastAsia="zh-CN" w:bidi="ar-SA"/>
        </w:rPr>
      </w:pPr>
      <w:r>
        <w:rPr>
          <w:rFonts w:hint="eastAsia" w:asciiTheme="minorEastAsia" w:hAnsiTheme="minorEastAsia" w:eastAsiaTheme="minorEastAsia" w:cstheme="minorEastAsia"/>
          <w:b/>
          <w:bCs/>
          <w:snapToGrid w:val="0"/>
          <w:color w:val="000000"/>
          <w:sz w:val="48"/>
          <w:szCs w:val="48"/>
          <w:highlight w:val="none"/>
          <w:lang w:val="en-US" w:eastAsia="zh-CN" w:bidi="ar-SA"/>
        </w:rPr>
        <w:t>品目一：县级+7个乡镇就业之家(品目一)</w:t>
      </w:r>
    </w:p>
    <w:p w14:paraId="51F7290B">
      <w:pPr>
        <w:keepNext w:val="0"/>
        <w:keepLines w:val="0"/>
        <w:pageBreakBefore w:val="0"/>
        <w:numPr>
          <w:ilvl w:val="0"/>
          <w:numId w:val="0"/>
        </w:numPr>
        <w:tabs>
          <w:tab w:val="left" w:pos="8070"/>
        </w:tabs>
        <w:kinsoku/>
        <w:wordWrap w:val="0"/>
        <w:overflowPunct/>
        <w:topLinePunct/>
        <w:autoSpaceDE/>
        <w:autoSpaceDN/>
        <w:bidi w:val="0"/>
        <w:jc w:val="both"/>
        <w:rPr>
          <w:rFonts w:hint="eastAsia" w:asciiTheme="minorEastAsia" w:hAnsiTheme="minorEastAsia" w:eastAsiaTheme="minorEastAsia" w:cstheme="minorEastAsia"/>
          <w:b/>
          <w:snapToGrid/>
          <w:color w:val="auto"/>
          <w:kern w:val="0"/>
          <w:sz w:val="32"/>
          <w:szCs w:val="32"/>
          <w:highlight w:val="none"/>
          <w:lang w:val="en-US" w:eastAsia="zh-CN" w:bidi="ar-SA"/>
        </w:rPr>
      </w:pPr>
    </w:p>
    <w:p w14:paraId="78E4FC13">
      <w:pPr>
        <w:keepNext w:val="0"/>
        <w:keepLines w:val="0"/>
        <w:pageBreakBefore w:val="0"/>
        <w:widowControl w:val="0"/>
        <w:numPr>
          <w:ilvl w:val="0"/>
          <w:numId w:val="0"/>
        </w:numPr>
        <w:kinsoku/>
        <w:wordWrap w:val="0"/>
        <w:overflowPunct/>
        <w:topLinePunct/>
        <w:autoSpaceDE/>
        <w:autoSpaceDN/>
        <w:bidi w:val="0"/>
        <w:spacing w:line="500" w:lineRule="exact"/>
        <w:jc w:val="both"/>
        <w:rPr>
          <w:rFonts w:hint="eastAsia" w:asciiTheme="minorEastAsia" w:hAnsiTheme="minorEastAsia" w:eastAsiaTheme="minorEastAsia" w:cstheme="minorEastAsia"/>
          <w:bCs/>
          <w:color w:val="auto"/>
          <w:kern w:val="0"/>
          <w:sz w:val="27"/>
          <w:szCs w:val="27"/>
          <w:highlight w:val="none"/>
          <w:lang w:val="en-US" w:eastAsia="zh-CN"/>
        </w:rPr>
      </w:pPr>
    </w:p>
    <w:tbl>
      <w:tblPr>
        <w:tblStyle w:val="3"/>
        <w:tblW w:w="1415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40"/>
        <w:gridCol w:w="825"/>
        <w:gridCol w:w="852"/>
        <w:gridCol w:w="1380"/>
        <w:gridCol w:w="10560"/>
      </w:tblGrid>
      <w:tr w14:paraId="060CB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nil"/>
              <w:left w:val="nil"/>
              <w:bottom w:val="nil"/>
              <w:right w:val="nil"/>
            </w:tcBorders>
            <w:shd w:val="clear" w:color="auto" w:fill="auto"/>
            <w:vAlign w:val="center"/>
          </w:tcPr>
          <w:p w14:paraId="41CE432F">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p>
        </w:tc>
        <w:tc>
          <w:tcPr>
            <w:tcW w:w="13617" w:type="dxa"/>
            <w:gridSpan w:val="4"/>
            <w:tcBorders>
              <w:top w:val="nil"/>
              <w:left w:val="nil"/>
              <w:bottom w:val="nil"/>
              <w:right w:val="nil"/>
            </w:tcBorders>
            <w:shd w:val="clear" w:color="auto" w:fill="auto"/>
            <w:vAlign w:val="center"/>
          </w:tcPr>
          <w:p w14:paraId="78274163">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44"/>
                <w:szCs w:val="44"/>
                <w:u w:val="none"/>
              </w:rPr>
            </w:pPr>
            <w:r>
              <w:rPr>
                <w:rFonts w:hint="eastAsia" w:asciiTheme="minorEastAsia" w:hAnsiTheme="minorEastAsia" w:eastAsiaTheme="minorEastAsia" w:cstheme="minorEastAsia"/>
                <w:b/>
                <w:bCs/>
                <w:i w:val="0"/>
                <w:iCs w:val="0"/>
                <w:snapToGrid w:val="0"/>
                <w:color w:val="000000"/>
                <w:kern w:val="0"/>
                <w:sz w:val="44"/>
                <w:szCs w:val="44"/>
                <w:u w:val="none"/>
                <w:lang w:val="en-US" w:eastAsia="zh-CN" w:bidi="ar"/>
              </w:rPr>
              <w:t>定南县县级就业之家市场化运营项目服务清单</w:t>
            </w:r>
          </w:p>
        </w:tc>
      </w:tr>
      <w:tr w14:paraId="66CBB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9361279">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11DDE4B">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指标类别</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DE079">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考核项目</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9A7D1">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考核内容</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3E3F8">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指标说明</w:t>
            </w:r>
          </w:p>
        </w:tc>
      </w:tr>
      <w:tr w14:paraId="60CCC8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2B28ACB">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3A3C25">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基础运营服务</w:t>
            </w:r>
          </w:p>
        </w:tc>
        <w:tc>
          <w:tcPr>
            <w:tcW w:w="8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DFB21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公共就业服务</w:t>
            </w: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5E680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窗口服务</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6D01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按要求配备6名工作人员，</w:t>
            </w: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按照“5+2就业之家”县（区）级就业之家服务事项要求做好13项事项服务以及就业中心相关业务，着装规范，服务优质。提供 8小时内现场咨询及8小时外电话咨询服务，让服务不间断，做到事事有回应，件件有着落。各项服务台账规范整洁，数据真实准确。窗口以良好的服务态度接待引导来访求职人员，指导来访和求职人员使用各自助机和各线上平台、智能化招聘系统，送工入企业参观并全程协助应聘，各项活动会议培训服务，每日与企业对接收集招聘信息，审核编辑并常态化发布，对接全县各级各类就业之家招工送工、招聘信息汇集审核发布等工作，实行一年365天不打烊常态化服务。</w:t>
            </w:r>
          </w:p>
        </w:tc>
      </w:tr>
      <w:tr w14:paraId="2BE20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BCE02CB">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1D4D3A">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EE6AF4">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154F00">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新媒体运营</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C8A7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相关微信公众号、视频号、抖音号内容更新及维护。微信公众号每周发布一次就业创业及人社部门各类信息，每年微信公众号发布信息不少于100条；2.“定南县就业之家”抖音号，每年拍摄相关政策宣传、招聘活动、就业服务等视频不少于12条，拍摄制作入企探岗短视频不少于12条。</w:t>
            </w:r>
          </w:p>
        </w:tc>
      </w:tr>
      <w:tr w14:paraId="719B9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FA66FC1">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377A4">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FF06B">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0775C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招聘信息收集发布</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ACC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每日收集审核整理全县企业招工信息，并同步上传到江西省就业之家平台；2.每月定期筛选审核全县企业招聘信息，发送至全县5+2就业之家微信群，更新张贴至宣传栏；3.对季节性、零工类、家政类岗位同步推送至专业性就业之家，促进信息共享。4.每月在江西省就业之家平台发布本社区用人单位招聘信息不少于30条。</w:t>
            </w:r>
          </w:p>
        </w:tc>
      </w:tr>
      <w:tr w14:paraId="37908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0F82FA5">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47D60A">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4F151">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B23E4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就业之家品牌宣传</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E877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每年开展就业创业政策宣传、“5+2就业之家”品牌推广活动不少于12次，每月不少于1次，节假日等特殊期间按要求增加宣传推广次数；按要求组织至少企业和个体工商户入驻江西就业之家平台，有招聘需求的企业授权至本就业之家。</w:t>
            </w:r>
          </w:p>
        </w:tc>
      </w:tr>
      <w:tr w14:paraId="37677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AB1893C">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8C9298">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E9118E">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913942">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直播招聘</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87C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精心挑选符合本地重点群体需求的岗位，通过常态化直播和滚动轮播方式广泛开展“赣就有位来，就业在定南”等相关主题直播招聘活动。每年开展线上直播带岗或入企直播活动不少于12场。直播带岗每场时长不少于2小时，入企探岗直播时长不少于1小时。</w:t>
            </w:r>
          </w:p>
        </w:tc>
      </w:tr>
      <w:tr w14:paraId="117E1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486AF52">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18FB8">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2BDCF0">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2DF30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就业指导人次</w:t>
            </w:r>
          </w:p>
        </w:tc>
        <w:tc>
          <w:tcPr>
            <w:tcW w:w="1056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4E52F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窗口以良好的服务态度接待引导求职人员，指导求职人员使用各自助机和各线上平台、智能化招聘系统，并利用专业能力为求职者画像，适配符合求职者自身条件的岗位，送工入企业参观并全程协助应聘。（含线上线下）</w:t>
            </w:r>
          </w:p>
        </w:tc>
      </w:tr>
      <w:tr w14:paraId="2EF61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043EC9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051709">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B5A0C">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684F0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就业服务人次</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E2CF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窗口以良好的服务态度接待来访人员，准确清晰弄清服务对象与来意，指导求职人员使用各自助机和各线上平台、智能化招聘系统，送工入企业参观并全程协助应聘；协助来访人员咨询各就业服务事项与就业创业政策；协助中心或企业做好各项活动、会议、培训服务等。（含线上线下）</w:t>
            </w:r>
          </w:p>
        </w:tc>
      </w:tr>
      <w:tr w14:paraId="5CDF6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2FEFC07D">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466B93">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A8615F">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4E5C8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重点群体服务</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00B7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配合县中心开展好重点就业群体服务。根据要求开展重点就业群体（高校毕业生、 登记失业人员、就业困难人员、 返乡农民工等）的就业状况调查和就业意愿分析，并做好岗位推荐和职业介绍工作。</w:t>
            </w:r>
          </w:p>
        </w:tc>
      </w:tr>
      <w:tr w14:paraId="05EDD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1B73F30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5DE52">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D95341">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58DF6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就业分析</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C23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每完成一次招聘活动，需提交就业分析报告；2、每季度提交一次企业用工状况分析报告，内容包括企业数量与类型、用工规模与结构、行业分布、岗位结构、用工形式、劳动力供需情况、求职供给与缺口、员工离职率与影响因素、后期用工趋势与建议措施等；3、每年度运营到期前1个月提交年度运营分析报告。</w:t>
            </w:r>
          </w:p>
        </w:tc>
      </w:tr>
      <w:tr w14:paraId="4FE2F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6EDE125">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5E926">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B38C0">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DD55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统筹全县网点建设与业务指导</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F2F28">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协助做好县域内“就业之家”（网点）的建设运营指导工作，包括但不限于日常线上、线下招聘活动动员，就业之家平台建设统筹，就业经办、就业援助、就业政策落实等相关业务的培训指导，推动全县就业之家服务能力整体提升。</w:t>
            </w:r>
          </w:p>
        </w:tc>
      </w:tr>
      <w:tr w14:paraId="239CA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492097AC">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106AB8">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CA2CF">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5B5F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就业之家平台建设要求</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E80E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持续跟踪各级各类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422C0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5D5F321">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546BF6">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AD323A">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企业服务</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CDB0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市县送工人数</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5E9FD">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采用线上线下招聘活动、各人力资源机构协作、省内外招聘等各种形式，为县</w:t>
            </w:r>
            <w:r>
              <w:rPr>
                <w:rStyle w:val="5"/>
                <w:rFonts w:hint="eastAsia" w:asciiTheme="minorEastAsia" w:hAnsiTheme="minorEastAsia" w:eastAsiaTheme="minorEastAsia" w:cstheme="minorEastAsia"/>
                <w:snapToGrid w:val="0"/>
                <w:color w:val="000000"/>
                <w:lang w:val="en-US" w:eastAsia="zh-CN" w:bidi="ar"/>
              </w:rPr>
              <w:t>工业园区企业、县域内重点企业</w:t>
            </w: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、市重点企业招工送工，并采取各种措施，满足园区企业季节性、临时性、应急性用工需求。每年为县内园区和重点企业送工1000人以上，按要求完成为市重点企业送工任务。</w:t>
            </w:r>
          </w:p>
        </w:tc>
      </w:tr>
      <w:tr w14:paraId="71B69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2B50BA2">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AF6EB4">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FB893">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25FC">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招聘活动组织与开展</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81A0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组织企业积极报名参与招聘会，并做好招聘会的宣传预热，多渠道发布招聘会信息，通知企业、求职者参加线下招聘会，有效提升招聘效率。</w:t>
            </w:r>
          </w:p>
        </w:tc>
      </w:tr>
      <w:tr w14:paraId="76873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48C77F">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EF7ECA">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A0D68">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6771B">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共享用工服务</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1EC33">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共享用工服务。及时收集全县季节性用工岗位信息，掌握园区企业季节性生产缺工情况，采用线上线下各种形式与用工企业、劳动力作好对接,沟通协调并组织开展共享用工，一年开展共享用工活动至少1次以上。</w:t>
            </w:r>
          </w:p>
        </w:tc>
      </w:tr>
      <w:tr w14:paraId="083A1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7DC7352E">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58CD3877">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创新服务</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62DD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新业态</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AEBE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新业态就业服务</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E1FC9">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1、新业态人群就业人数；2、新业态服务活动次数。</w:t>
            </w:r>
          </w:p>
        </w:tc>
      </w:tr>
      <w:tr w14:paraId="2F53A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68FCC770">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0B4B5AE9">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113C4">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其他</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4D39A">
            <w:pPr>
              <w:snapToGrid w:val="0"/>
              <w:ind w:left="0" w:leftChars="0" w:right="0" w:rightChars="0" w:firstLine="0" w:firstLineChars="0"/>
              <w:jc w:val="left"/>
              <w:rPr>
                <w:rFonts w:hint="eastAsia" w:asciiTheme="minorEastAsia" w:hAnsiTheme="minorEastAsia" w:eastAsiaTheme="minorEastAsia" w:cstheme="minorEastAsia"/>
                <w:i w:val="0"/>
                <w:iCs w:val="0"/>
                <w:color w:val="000000"/>
                <w:sz w:val="22"/>
                <w:szCs w:val="22"/>
                <w:u w:val="none"/>
              </w:rPr>
            </w:pP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E6CF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在人力资源行业或省市有先进性或可作典型经验的做法或金点子应用于县内就业服务。</w:t>
            </w:r>
          </w:p>
        </w:tc>
      </w:tr>
      <w:tr w14:paraId="02F90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22EED92">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14:paraId="3D13A98F">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可持续性</w:t>
            </w: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4A72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运营常态化</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C294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人员稳定性</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58D71">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改善企业工作、生活环境，创造员工能力提升空间，根据市场变化和工作强度适配薪酬，增强企业凝聚力和企业竞争力。</w:t>
            </w:r>
          </w:p>
        </w:tc>
      </w:tr>
      <w:tr w14:paraId="4B11A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6DD90">
            <w:pPr>
              <w:keepNext w:val="0"/>
              <w:keepLines w:val="0"/>
              <w:widowControl/>
              <w:suppressLineNumbers w:val="0"/>
              <w:snapToGrid w:val="0"/>
              <w:ind w:left="0" w:leftChars="0" w:right="0" w:rightChars="0" w:firstLine="0" w:firstLineChars="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17</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3F011">
            <w:pPr>
              <w:snapToGrid w:val="0"/>
              <w:ind w:left="0" w:leftChars="0" w:right="0" w:rightChars="0" w:firstLine="0" w:firstLineChars="0"/>
              <w:jc w:val="center"/>
              <w:rPr>
                <w:rFonts w:hint="eastAsia" w:asciiTheme="minorEastAsia" w:hAnsiTheme="minorEastAsia" w:eastAsiaTheme="minorEastAsia" w:cstheme="minorEastAsia"/>
                <w:i w:val="0"/>
                <w:iCs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D813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满意度</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50F97">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企业和求职者对服务的满意度</w:t>
            </w:r>
          </w:p>
        </w:tc>
        <w:tc>
          <w:tcPr>
            <w:tcW w:w="105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EB416">
            <w:pPr>
              <w:keepNext w:val="0"/>
              <w:keepLines w:val="0"/>
              <w:widowControl/>
              <w:suppressLineNumbers w:val="0"/>
              <w:snapToGrid w:val="0"/>
              <w:ind w:left="0" w:leftChars="0" w:right="0" w:rightChars="0" w:firstLine="0" w:firstLineChars="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年度或不定期采用满意度调查问卷的方式，从服务对象中抽取部分企业和求职者，测评运营机构服务开展的满意度。</w:t>
            </w:r>
          </w:p>
        </w:tc>
      </w:tr>
    </w:tbl>
    <w:p w14:paraId="0C7A782C">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7ADA9200">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7DA06311">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tbl>
      <w:tblPr>
        <w:tblStyle w:val="3"/>
        <w:tblpPr w:leftFromText="180" w:rightFromText="180" w:vertAnchor="text" w:horzAnchor="page" w:tblpXSpec="center" w:tblpY="240"/>
        <w:tblOverlap w:val="never"/>
        <w:tblW w:w="1390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71"/>
        <w:gridCol w:w="818"/>
        <w:gridCol w:w="832"/>
        <w:gridCol w:w="1364"/>
        <w:gridCol w:w="10418"/>
      </w:tblGrid>
      <w:tr w14:paraId="58C3C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jc w:val="center"/>
        </w:trPr>
        <w:tc>
          <w:tcPr>
            <w:tcW w:w="471" w:type="dxa"/>
            <w:tcBorders>
              <w:top w:val="nil"/>
              <w:left w:val="nil"/>
              <w:bottom w:val="nil"/>
              <w:right w:val="nil"/>
            </w:tcBorders>
            <w:shd w:val="clear" w:color="auto" w:fill="auto"/>
            <w:vAlign w:val="center"/>
          </w:tcPr>
          <w:p w14:paraId="6F28D5B7">
            <w:pPr>
              <w:jc w:val="both"/>
              <w:rPr>
                <w:rFonts w:hint="eastAsia" w:asciiTheme="minorEastAsia" w:hAnsiTheme="minorEastAsia" w:eastAsiaTheme="minorEastAsia" w:cstheme="minorEastAsia"/>
                <w:i w:val="0"/>
                <w:iCs w:val="0"/>
                <w:color w:val="000000"/>
                <w:sz w:val="22"/>
                <w:szCs w:val="22"/>
                <w:u w:val="none"/>
              </w:rPr>
            </w:pPr>
          </w:p>
        </w:tc>
        <w:tc>
          <w:tcPr>
            <w:tcW w:w="13432" w:type="dxa"/>
            <w:gridSpan w:val="4"/>
            <w:tcBorders>
              <w:top w:val="nil"/>
              <w:left w:val="nil"/>
              <w:bottom w:val="nil"/>
              <w:right w:val="nil"/>
            </w:tcBorders>
            <w:shd w:val="clear" w:color="auto" w:fill="auto"/>
            <w:vAlign w:val="center"/>
          </w:tcPr>
          <w:p w14:paraId="4431BF7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40"/>
                <w:szCs w:val="40"/>
                <w:u w:val="none"/>
              </w:rPr>
            </w:pPr>
            <w:r>
              <w:rPr>
                <w:rFonts w:hint="eastAsia" w:asciiTheme="minorEastAsia" w:hAnsiTheme="minorEastAsia" w:eastAsiaTheme="minorEastAsia" w:cstheme="minorEastAsia"/>
                <w:b/>
                <w:bCs/>
                <w:i w:val="0"/>
                <w:iCs w:val="0"/>
                <w:snapToGrid w:val="0"/>
                <w:color w:val="000000"/>
                <w:kern w:val="0"/>
                <w:sz w:val="40"/>
                <w:szCs w:val="40"/>
                <w:u w:val="none"/>
                <w:lang w:val="en-US" w:eastAsia="zh-CN" w:bidi="ar"/>
              </w:rPr>
              <w:t>定南县各镇就业之家市场化运营项目服务清单</w:t>
            </w:r>
          </w:p>
        </w:tc>
      </w:tr>
      <w:tr w14:paraId="6E94A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401A">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序号</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C48DA">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4"/>
                <w:szCs w:val="24"/>
                <w:u w:val="none"/>
              </w:rPr>
            </w:pPr>
            <w:r>
              <w:rPr>
                <w:rFonts w:hint="eastAsia" w:asciiTheme="minorEastAsia" w:hAnsiTheme="minorEastAsia" w:eastAsiaTheme="minorEastAsia" w:cstheme="minorEastAsia"/>
                <w:b/>
                <w:bCs/>
                <w:i w:val="0"/>
                <w:iCs w:val="0"/>
                <w:snapToGrid w:val="0"/>
                <w:color w:val="000000"/>
                <w:kern w:val="0"/>
                <w:sz w:val="24"/>
                <w:szCs w:val="24"/>
                <w:u w:val="none"/>
                <w:lang w:val="en-US" w:eastAsia="zh-CN" w:bidi="ar"/>
              </w:rPr>
              <w:t>指标类别</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3DC08">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考核项目</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5CA74">
            <w:pPr>
              <w:keepNext w:val="0"/>
              <w:keepLines w:val="0"/>
              <w:widowControl/>
              <w:suppressLineNumbers w:val="0"/>
              <w:jc w:val="left"/>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考核内容</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67BEE">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000000"/>
                <w:sz w:val="28"/>
                <w:szCs w:val="28"/>
                <w:u w:val="none"/>
              </w:rPr>
            </w:pPr>
            <w:r>
              <w:rPr>
                <w:rFonts w:hint="eastAsia" w:asciiTheme="minorEastAsia" w:hAnsiTheme="minorEastAsia" w:eastAsiaTheme="minorEastAsia" w:cstheme="minorEastAsia"/>
                <w:b/>
                <w:bCs/>
                <w:i w:val="0"/>
                <w:iCs w:val="0"/>
                <w:snapToGrid w:val="0"/>
                <w:color w:val="000000"/>
                <w:kern w:val="0"/>
                <w:sz w:val="28"/>
                <w:szCs w:val="28"/>
                <w:u w:val="none"/>
                <w:lang w:val="en-US" w:eastAsia="zh-CN" w:bidi="ar"/>
              </w:rPr>
              <w:t>指标说明</w:t>
            </w:r>
          </w:p>
        </w:tc>
      </w:tr>
      <w:tr w14:paraId="5FA6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7"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B14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5EFB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基础运营服务</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ED15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公共就业服务</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5A73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常态化服务</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0F7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每个站点按要求配备2名工作人员，</w:t>
            </w: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按照“5+2就业之家”镇级就业之家服务事项要求做好10项事项服务以及就业中心相关业务，着装规范，服务优质。工作日提供8小时内现场服务，非工作日及8小时外提供电话咨询服务。各项服务台账规范整洁，数据真实准确。以良好的服务态度接待引导来访求职人员，指导来访和求职人员使用自助机和各线上平台，做好本乡镇范围内送工入企参观并全程协助应聘等；及时在镇村微信群转发就业创业相关信息。</w:t>
            </w:r>
          </w:p>
        </w:tc>
      </w:tr>
      <w:tr w14:paraId="5F085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9"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75A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2</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A6C7DA">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9D5397">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F02D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就业服务专项活动</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F885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每年开展就业创业政策宣传、“5+2就业之家”品牌推广活动、为县内和本乡镇内企业开展乡镇圩场招聘活动、线上直播活动等不少于12次。</w:t>
            </w:r>
          </w:p>
        </w:tc>
      </w:tr>
      <w:tr w14:paraId="5F1F3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C0D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3</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111363">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841AE">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40BC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招聘信息收集发布</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0106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每日收集本乡镇区域内企业招聘信息、季节性、零工类、家政类岗位上传至县级就业之家，将县级就业之家发布的全县企业招聘信息发送至各村微信群，更新张贴至宣传栏；2.每月在江西省就业之家平台发布本乡镇企业（或零工类）招聘信息10条以上。</w:t>
            </w:r>
          </w:p>
        </w:tc>
      </w:tr>
      <w:tr w14:paraId="2D274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62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4</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C70BC">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EDBA2C">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93E7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就业之家品牌宣传</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9D07">
            <w:pPr>
              <w:keepNext w:val="0"/>
              <w:keepLines w:val="0"/>
              <w:widowControl/>
              <w:suppressLineNumbers w:val="0"/>
              <w:jc w:val="left"/>
              <w:textAlignment w:val="center"/>
              <w:rPr>
                <w:rFonts w:hint="eastAsia" w:asciiTheme="minorEastAsia" w:hAnsiTheme="minorEastAsia" w:eastAsiaTheme="minorEastAsia" w:cstheme="minorEastAsia"/>
                <w:i w:val="0"/>
                <w:iCs w:val="0"/>
                <w:color w:val="FF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每年开展就业创业政策宣传、“5+2就业之家”品牌推广活动不少于6次，每两个月不少于1次，节假日等特殊期间按要求增加宣传推广次数；宣传就业之家平台功能，按要求组织至少企业和个体工商户入驻江西就业之家平台，有招聘需求的企业授权至本就业之家。</w:t>
            </w:r>
          </w:p>
        </w:tc>
      </w:tr>
      <w:tr w14:paraId="059D1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AF9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5</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75327B">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55BABB">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6193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就业指导与服务人次</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5DD3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窗口以良好的服务态度接待来访与求职人员，准确清晰弄清服务对象与来意，指导求职人员使用各自助机和就业之家线上平台，并利用专业能力为求职者画像，适配符合求职者自身条件的岗位，送工入企业参观并全程协助应聘；协助来访人员咨询各就业服务事项与就业创业政策；协助县级就业之家或企业做好各项就业活动、会议、培训服务等。</w:t>
            </w:r>
          </w:p>
        </w:tc>
      </w:tr>
      <w:tr w14:paraId="76E66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A31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6</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6AACD1">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ED8B74">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159D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重点群体服务</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2F90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配合县级就业之家和本级乡镇开展好重点就业群体服务。根据要求开展重点就业群体（高校毕业生、 登记失业人员、就业困难人员、 返乡农民工、退捕渔民等）的就业状况调就业意愿分析，并做好岗位推荐和职业介绍工作。</w:t>
            </w:r>
          </w:p>
        </w:tc>
      </w:tr>
      <w:tr w14:paraId="4FF3D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1BC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7</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FA54B">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877C2">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9D34A">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就业分析</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D982F">
            <w:pPr>
              <w:keepNext w:val="0"/>
              <w:keepLines w:val="0"/>
              <w:widowControl/>
              <w:suppressLineNumbers w:val="0"/>
              <w:jc w:val="left"/>
              <w:textAlignment w:val="center"/>
              <w:rPr>
                <w:rFonts w:hint="eastAsia" w:asciiTheme="minorEastAsia" w:hAnsiTheme="minorEastAsia" w:eastAsiaTheme="minorEastAsia" w:cstheme="minorEastAsia"/>
                <w:i w:val="0"/>
                <w:iCs w:val="0"/>
                <w:color w:val="FF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 xml:space="preserve"> 1.每年提交一次本乡镇劳动力分布及就业状况调查报告；2、每年度运营到期前1个月提交本就业之家年度运营分析报告。</w:t>
            </w:r>
          </w:p>
        </w:tc>
      </w:tr>
      <w:tr w14:paraId="0933A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2D1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8</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5ED99">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9FA81">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4125">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网点建设配合度</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07CC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1.配合县级就业之家（网点）的建设运营指导工作，包括但不限于日常线上、线下招聘活动动员，</w:t>
            </w:r>
            <w:r>
              <w:rPr>
                <w:rStyle w:val="6"/>
                <w:rFonts w:hint="eastAsia" w:asciiTheme="minorEastAsia" w:hAnsiTheme="minorEastAsia" w:eastAsiaTheme="minorEastAsia" w:cstheme="minorEastAsia"/>
                <w:snapToGrid w:val="0"/>
                <w:color w:val="000000"/>
                <w:lang w:val="en-US" w:eastAsia="zh-CN" w:bidi="ar"/>
              </w:rPr>
              <w:t>就业之家平台建设统筹，就业经办、就业援助、就业政策落实等相关业务的培训指导，推动全县就业之家服务能力整体提升</w:t>
            </w: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。2.负责所在镇的村级就业之家运营。</w:t>
            </w:r>
          </w:p>
        </w:tc>
      </w:tr>
      <w:tr w14:paraId="6F1B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B3D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9</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BCF7C4">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FB910">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1BD4E">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就业之家平台建设要求</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FB0E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负责本镇和所属村级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49A1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2B9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10</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D89D8">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E8446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企业服务</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A99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市县送工人数</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933B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采用各种形式，为县工业园区企业、县域内重点企业、市重点企业招工送工。每年为县内园区和市重点企业送工60人以上。（岿美山镇就业之家30人以上，老城镇就业之家40人以上）</w:t>
            </w:r>
          </w:p>
        </w:tc>
      </w:tr>
      <w:tr w14:paraId="61CC5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BFE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11</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51D30">
            <w:pPr>
              <w:jc w:val="center"/>
              <w:rPr>
                <w:rFonts w:hint="eastAsia" w:asciiTheme="minorEastAsia" w:hAnsiTheme="minorEastAsia" w:eastAsiaTheme="minorEastAsia" w:cstheme="minorEastAsia"/>
                <w:i w:val="0"/>
                <w:iCs w:val="0"/>
                <w:color w:val="000000"/>
                <w:sz w:val="22"/>
                <w:szCs w:val="22"/>
                <w:u w:val="none"/>
              </w:rPr>
            </w:pP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9AD6C8">
            <w:pPr>
              <w:jc w:val="center"/>
              <w:rPr>
                <w:rFonts w:hint="eastAsia" w:asciiTheme="minorEastAsia" w:hAnsiTheme="minorEastAsia" w:eastAsiaTheme="minorEastAsia" w:cstheme="minorEastAsia"/>
                <w:i w:val="0"/>
                <w:iCs w:val="0"/>
                <w:color w:val="000000"/>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6A67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 xml:space="preserve">劳务协作 </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852C6">
            <w:pPr>
              <w:keepNext w:val="0"/>
              <w:keepLines w:val="0"/>
              <w:widowControl/>
              <w:suppressLineNumbers w:val="0"/>
              <w:jc w:val="left"/>
              <w:textAlignment w:val="center"/>
              <w:rPr>
                <w:rFonts w:hint="eastAsia" w:asciiTheme="minorEastAsia" w:hAnsiTheme="minorEastAsia" w:eastAsiaTheme="minorEastAsia" w:cstheme="minorEastAsia"/>
                <w:i w:val="0"/>
                <w:iCs w:val="0"/>
                <w:color w:val="FF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年度内至少开展一次本乡镇区域内企业、个体工商户就业服务座谈会或人力资源供需对接活动。</w:t>
            </w:r>
          </w:p>
        </w:tc>
      </w:tr>
      <w:tr w14:paraId="3ED23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4D0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12</w:t>
            </w:r>
          </w:p>
        </w:tc>
        <w:tc>
          <w:tcPr>
            <w:tcW w:w="818" w:type="dxa"/>
            <w:vMerge w:val="restart"/>
            <w:tcBorders>
              <w:top w:val="single" w:color="000000" w:sz="4" w:space="0"/>
              <w:left w:val="single" w:color="000000" w:sz="4" w:space="0"/>
              <w:bottom w:val="nil"/>
              <w:right w:val="single" w:color="000000" w:sz="4" w:space="0"/>
            </w:tcBorders>
            <w:shd w:val="clear" w:color="auto" w:fill="auto"/>
            <w:vAlign w:val="center"/>
          </w:tcPr>
          <w:p w14:paraId="7A24BD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创新服务</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0CA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新业态</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51A7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新业态就业服务</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E0C4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1、新业态人群就业人数；2、新业态服务活动次数。</w:t>
            </w:r>
          </w:p>
        </w:tc>
      </w:tr>
      <w:tr w14:paraId="04511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D7F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13</w:t>
            </w:r>
          </w:p>
        </w:tc>
        <w:tc>
          <w:tcPr>
            <w:tcW w:w="818" w:type="dxa"/>
            <w:vMerge w:val="continue"/>
            <w:tcBorders>
              <w:top w:val="single" w:color="000000" w:sz="4" w:space="0"/>
              <w:left w:val="single" w:color="000000" w:sz="4" w:space="0"/>
              <w:bottom w:val="nil"/>
              <w:right w:val="single" w:color="000000" w:sz="4" w:space="0"/>
            </w:tcBorders>
            <w:shd w:val="clear" w:color="auto" w:fill="auto"/>
            <w:vAlign w:val="center"/>
          </w:tcPr>
          <w:p w14:paraId="6F40DE8C">
            <w:pPr>
              <w:jc w:val="center"/>
              <w:rPr>
                <w:rFonts w:hint="eastAsia" w:asciiTheme="minorEastAsia" w:hAnsiTheme="minorEastAsia" w:eastAsiaTheme="minorEastAsia" w:cstheme="minorEastAsia"/>
                <w:i w:val="0"/>
                <w:iCs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8DF03">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其他</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7E52">
            <w:pPr>
              <w:jc w:val="left"/>
              <w:rPr>
                <w:rFonts w:hint="eastAsia" w:asciiTheme="minorEastAsia" w:hAnsiTheme="minorEastAsia" w:eastAsiaTheme="minorEastAsia" w:cstheme="minorEastAsia"/>
                <w:i w:val="0"/>
                <w:iCs w:val="0"/>
                <w:color w:val="000000"/>
                <w:sz w:val="22"/>
                <w:szCs w:val="22"/>
                <w:u w:val="none"/>
              </w:rPr>
            </w:pP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7DB41">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在人力资源行业或省市有先进性或可作典型经验的做法或金点子应用于县内就业服务。</w:t>
            </w:r>
          </w:p>
        </w:tc>
      </w:tr>
      <w:tr w14:paraId="1AED2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5B0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14</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1611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可持续性</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FC0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运营常态化</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1B9B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人员稳定性</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C57B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改善企业工作、生活环境，创造员工能力提升空间，根据市场变化和工作强度适配薪酬，增强企业凝聚力和企业竞争力。</w:t>
            </w:r>
          </w:p>
        </w:tc>
      </w:tr>
      <w:tr w14:paraId="36D78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82" w:hRule="atLeast"/>
          <w:jc w:val="center"/>
        </w:trPr>
        <w:tc>
          <w:tcPr>
            <w:tcW w:w="4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ACC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15</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A22A1">
            <w:pPr>
              <w:jc w:val="center"/>
              <w:rPr>
                <w:rFonts w:hint="eastAsia" w:asciiTheme="minorEastAsia" w:hAnsiTheme="minorEastAsia" w:eastAsiaTheme="minorEastAsia" w:cstheme="minorEastAsia"/>
                <w:i w:val="0"/>
                <w:iCs w:val="0"/>
                <w:color w:val="000000"/>
                <w:sz w:val="22"/>
                <w:szCs w:val="22"/>
                <w:u w:val="none"/>
              </w:rPr>
            </w:pP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789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满意度</w:t>
            </w:r>
          </w:p>
        </w:tc>
        <w:tc>
          <w:tcPr>
            <w:tcW w:w="13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6525C">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企业和求职者对服务的满意度</w:t>
            </w:r>
          </w:p>
        </w:tc>
        <w:tc>
          <w:tcPr>
            <w:tcW w:w="10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BAAF">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22"/>
                <w:szCs w:val="22"/>
                <w:u w:val="none"/>
              </w:rPr>
            </w:pPr>
            <w:r>
              <w:rPr>
                <w:rFonts w:hint="eastAsia" w:asciiTheme="minorEastAsia" w:hAnsiTheme="minorEastAsia" w:eastAsiaTheme="minorEastAsia" w:cstheme="minorEastAsia"/>
                <w:i w:val="0"/>
                <w:iCs w:val="0"/>
                <w:snapToGrid w:val="0"/>
                <w:color w:val="000000"/>
                <w:kern w:val="0"/>
                <w:sz w:val="22"/>
                <w:szCs w:val="22"/>
                <w:u w:val="none"/>
                <w:lang w:val="en-US" w:eastAsia="zh-CN" w:bidi="ar"/>
              </w:rPr>
              <w:t>年度或不定期采用满意度调查问卷的方式，从服务对象中抽取部分企业和求职者，测评运营机构服务开展的满意度。</w:t>
            </w:r>
          </w:p>
        </w:tc>
      </w:tr>
    </w:tbl>
    <w:p w14:paraId="26306154">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0F9AD65F">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sectPr>
          <w:footerReference r:id="rId3" w:type="default"/>
          <w:pgSz w:w="16839" w:h="11906" w:orient="landscape"/>
          <w:pgMar w:top="1307" w:right="1009" w:bottom="1310" w:left="1043" w:header="0" w:footer="994" w:gutter="0"/>
          <w:pgNumType w:fmt="decimal"/>
          <w:cols w:space="720" w:num="1"/>
        </w:sectPr>
      </w:pPr>
    </w:p>
    <w:p w14:paraId="550B39BD">
      <w:pPr>
        <w:keepNext w:val="0"/>
        <w:keepLines w:val="0"/>
        <w:pageBreakBefore w:val="0"/>
        <w:numPr>
          <w:ilvl w:val="0"/>
          <w:numId w:val="0"/>
        </w:numPr>
        <w:tabs>
          <w:tab w:val="left" w:pos="8070"/>
        </w:tabs>
        <w:kinsoku/>
        <w:wordWrap w:val="0"/>
        <w:overflowPunct/>
        <w:topLinePunct/>
        <w:autoSpaceDE/>
        <w:autoSpaceDN/>
        <w:bidi w:val="0"/>
        <w:ind w:firstLine="482" w:firstLineChars="100"/>
        <w:jc w:val="center"/>
        <w:rPr>
          <w:rFonts w:hint="eastAsia" w:asciiTheme="minorEastAsia" w:hAnsiTheme="minorEastAsia" w:eastAsiaTheme="minorEastAsia" w:cstheme="minorEastAsia"/>
          <w:b/>
          <w:bCs/>
          <w:snapToGrid w:val="0"/>
          <w:color w:val="000000"/>
          <w:sz w:val="48"/>
          <w:szCs w:val="48"/>
          <w:highlight w:val="none"/>
          <w:lang w:val="en-US" w:eastAsia="zh-CN" w:bidi="ar-SA"/>
        </w:rPr>
      </w:pPr>
      <w:r>
        <w:rPr>
          <w:rFonts w:hint="eastAsia" w:asciiTheme="minorEastAsia" w:hAnsiTheme="minorEastAsia" w:eastAsiaTheme="minorEastAsia" w:cstheme="minorEastAsia"/>
          <w:b/>
          <w:bCs/>
          <w:snapToGrid w:val="0"/>
          <w:color w:val="000000"/>
          <w:sz w:val="48"/>
          <w:szCs w:val="48"/>
          <w:highlight w:val="none"/>
          <w:lang w:val="en-US" w:eastAsia="zh-CN" w:bidi="ar-SA"/>
        </w:rPr>
        <w:t>品目二：工业园+职中+定南之窗+12个社区就业之家(品目二)</w:t>
      </w:r>
    </w:p>
    <w:tbl>
      <w:tblPr>
        <w:tblStyle w:val="3"/>
        <w:tblW w:w="1422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474"/>
        <w:gridCol w:w="797"/>
        <w:gridCol w:w="846"/>
        <w:gridCol w:w="1377"/>
        <w:gridCol w:w="10732"/>
      </w:tblGrid>
      <w:tr w14:paraId="245FA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2" w:hRule="atLeast"/>
          <w:jc w:val="center"/>
        </w:trPr>
        <w:tc>
          <w:tcPr>
            <w:tcW w:w="474" w:type="dxa"/>
            <w:tcBorders>
              <w:top w:val="nil"/>
              <w:left w:val="nil"/>
              <w:bottom w:val="nil"/>
              <w:right w:val="nil"/>
            </w:tcBorders>
            <w:shd w:val="clear" w:color="auto" w:fill="FFFFFF" w:themeFill="background1"/>
            <w:vAlign w:val="center"/>
          </w:tcPr>
          <w:p w14:paraId="167948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w:t>
            </w:r>
          </w:p>
        </w:tc>
        <w:tc>
          <w:tcPr>
            <w:tcW w:w="13752" w:type="dxa"/>
            <w:gridSpan w:val="4"/>
            <w:tcBorders>
              <w:top w:val="nil"/>
              <w:left w:val="nil"/>
              <w:bottom w:val="nil"/>
              <w:right w:val="nil"/>
            </w:tcBorders>
            <w:shd w:val="clear" w:color="auto" w:fill="FFFFFF" w:themeFill="background1"/>
            <w:vAlign w:val="center"/>
          </w:tcPr>
          <w:p w14:paraId="64556BE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44"/>
                <w:szCs w:val="44"/>
                <w:u w:val="none"/>
              </w:rPr>
            </w:pPr>
            <w:r>
              <w:rPr>
                <w:rFonts w:hint="eastAsia" w:asciiTheme="minorEastAsia" w:hAnsiTheme="minorEastAsia" w:eastAsiaTheme="minorEastAsia" w:cstheme="minorEastAsia"/>
                <w:b/>
                <w:bCs/>
                <w:i w:val="0"/>
                <w:iCs w:val="0"/>
                <w:snapToGrid w:val="0"/>
                <w:color w:val="auto"/>
                <w:kern w:val="0"/>
                <w:sz w:val="44"/>
                <w:szCs w:val="44"/>
                <w:u w:val="none"/>
                <w:lang w:val="en-US" w:eastAsia="zh-CN" w:bidi="ar"/>
              </w:rPr>
              <w:t>定南县工业园就业之家市场化运营项目服务清单</w:t>
            </w:r>
          </w:p>
        </w:tc>
      </w:tr>
      <w:tr w14:paraId="2B569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5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BCC4C">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序号</w:t>
            </w:r>
          </w:p>
        </w:tc>
        <w:tc>
          <w:tcPr>
            <w:tcW w:w="79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35BB9C">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指标类别</w:t>
            </w:r>
          </w:p>
        </w:tc>
        <w:tc>
          <w:tcPr>
            <w:tcW w:w="84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BE330">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考核项目</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62C64">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考核内容</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1C5408">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指标说明</w:t>
            </w:r>
          </w:p>
        </w:tc>
      </w:tr>
      <w:tr w14:paraId="7FFD6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22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D0F7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C3CE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基础运营服务</w:t>
            </w:r>
          </w:p>
        </w:tc>
        <w:tc>
          <w:tcPr>
            <w:tcW w:w="846"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3953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公共就业服务</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09D4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窗口服务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D28C7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按要求配备8名工作人员，</w:t>
            </w:r>
            <w:r>
              <w:rPr>
                <w:rFonts w:hint="eastAsia" w:asciiTheme="minorEastAsia" w:hAnsiTheme="minorEastAsia" w:eastAsiaTheme="minorEastAsia" w:cstheme="minorEastAsia"/>
                <w:i w:val="0"/>
                <w:iCs w:val="0"/>
                <w:snapToGrid w:val="0"/>
                <w:color w:val="auto"/>
                <w:kern w:val="0"/>
                <w:sz w:val="22"/>
                <w:szCs w:val="22"/>
                <w:u w:val="none"/>
                <w:lang w:val="en-US" w:eastAsia="zh-CN" w:bidi="ar"/>
              </w:rPr>
              <w:t>按照“5+2就业之家”开发区就业之家服务事项要求做好5项事项服务以及就业中心相关业务，着装规范，服务优质。提供 8小时内现场咨询及8小时外电话咨询服务，让服务不间断，做到事事有回应，件件有着落。各项服务台账规范整洁，数据真实准确。窗口以良好的服务态度接待引导来访求职人员，指导来访和求职人员使用各自助机和各线上平台、智能化招聘系统，送工入企业参观并全程协助应聘，各项活动会议培训服务，每日与企业对接收集招聘信息，审核编辑并常态化发布，对接工业园区企业招工送工、招聘信息汇集审核发布等工作，实行一年365天不打烊常态化服务。</w:t>
            </w:r>
          </w:p>
        </w:tc>
      </w:tr>
      <w:tr w14:paraId="670BA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16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8F03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2</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A2AA20">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A941CA">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F9B4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新媒体运营</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7C8F4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相关微信公众号、视频号、抖音号内容更新及维护。微信公众号每周发布一次就业创业及人社部门各类信息，每年微信公众号发布信息不少于100条；2.协助运营县级就业之家“定南县就业之家”抖音号，每年拍摄相关政策宣传、招聘活动、就业服务等视频不少于12条，拍摄制作入企探岗短视频不少于12条。</w:t>
            </w:r>
          </w:p>
        </w:tc>
      </w:tr>
      <w:tr w14:paraId="67C06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24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CE7E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3</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4D5030">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A48839">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9A4B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招聘信息收集发布</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4EFB9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每日收集审核整理工业园区企业招工信息，并同步上传到江西省就业之家平台；2.每月定期筛选审核工业园区企业招聘信息，转发各类招工信息，及时更新宣传栏；3.对季节性、零工类、家政类岗位同步推送至专业性就业之家，促进信息共享。4.每月在江西省就业之家平台发布工业园区用人单位招聘信息不少于40条。</w:t>
            </w:r>
          </w:p>
        </w:tc>
      </w:tr>
      <w:tr w14:paraId="78512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0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F55B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4</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04A9D7">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3420F1">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71E68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就业之家品牌宣传</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4C7F6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不少于12次，每月不少于1次，节假日等特殊期间按要求增加宣传推广次数；宣传就业之家平台功能，按要求组织至少企业和个体工商户入驻江西就业之家平台，有招聘需求的企业授权至本就业之家。</w:t>
            </w:r>
          </w:p>
        </w:tc>
      </w:tr>
      <w:tr w14:paraId="06E8D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8C73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5</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3D36D0">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DF34B2">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2C8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直播招聘</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F5BAA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精心挑选符合工业园区重点群体需求的岗位，通过常态化直播和滚动轮播方式广泛开展“赣就有位来，就业在定南”等相关主题直播招聘活动。每年开展线上直播带岗或入企直播活动不少于12场。直播带岗每场时长不少于2小时，入企探岗直播时长不少于1小时。</w:t>
            </w:r>
          </w:p>
        </w:tc>
      </w:tr>
      <w:tr w14:paraId="3A48B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3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9AD9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6</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568779">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98491F">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C19D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就业指导人次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092C6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引导求职人员，指导求职人员使用各自助机和各线上平台、智能化招聘系统，并利用专业能力为求职者画像，适配符合求职者自身条件的岗位，送工入企业参观并全程协助应聘。（含线上线下）</w:t>
            </w:r>
          </w:p>
        </w:tc>
      </w:tr>
      <w:tr w14:paraId="234D9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8E25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7</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4E7F5">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6DD3A4">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CB70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就业服务人次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D332E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来访人员，准确清晰弄清服务对象与来意，指导求职人员使用各自助机和各线上平台、智能化招聘系统，送工入企业参观并全程协助应聘；协助来访人员咨询各就业服务事项与就业创业政策；协助县级就业之家或企业做好各项活动、会议、培训服务等。（含线上线下）</w:t>
            </w:r>
          </w:p>
        </w:tc>
      </w:tr>
      <w:tr w14:paraId="1DBB0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1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33F1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8</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474F6F">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1F2617">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0E7F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重点群体服务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0AD6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配合县就业中心开展好重点就业群体服务。根据要求开展重点就业群体（高校毕业生、 登记失业人员、就业困难人员、 返乡农民工等）的就业状况调查和就业意愿分析，并做好岗位推荐和职业介绍工作。</w:t>
            </w:r>
          </w:p>
        </w:tc>
      </w:tr>
      <w:tr w14:paraId="05697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44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3C10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9</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79D7C5">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426DC">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47B7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就业分析</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3487C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1.每完成一次招聘活动，需提交就业分析报告；2、每季度提交一次企业用工状况分析报告，内容包括企业数量与类型、用工规模与结构、行业分布、岗位结构、用工形式、劳动力供需情况、求职供给与缺口、员工离职率与影响因素、后期用工趋势与建议措施等；3、定期向就业中心提供园区企业相关监测数据；4、每年度运营到期前1个月提交年度运营分析报告。</w:t>
            </w:r>
          </w:p>
        </w:tc>
      </w:tr>
      <w:tr w14:paraId="3EE9E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2"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22764B">
            <w:pPr>
              <w:jc w:val="center"/>
              <w:rPr>
                <w:rFonts w:hint="eastAsia" w:asciiTheme="minorEastAsia" w:hAnsiTheme="minorEastAsia" w:eastAsiaTheme="minorEastAsia" w:cstheme="minorEastAsia"/>
                <w:i w:val="0"/>
                <w:iCs w:val="0"/>
                <w:color w:val="auto"/>
                <w:sz w:val="22"/>
                <w:szCs w:val="22"/>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CCC324">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877AC">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CB0A4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统筹全县网点建设与业务指导</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0D262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协助做好县域内“就业之家”（网点）的建设运营指导工作，包括但不限于日常线上、线下招聘活动动员，就业之家平台建设统筹，就业经办、就业援助、就业政策落实等相关业务的培训指导，推动全县就业之家服务能力整体提升。</w:t>
            </w:r>
          </w:p>
        </w:tc>
      </w:tr>
      <w:tr w14:paraId="398B2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A21C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10</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24583E">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E60F50">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980D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就业之家平台建设要求</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E3A3D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持续跟踪各级各类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10356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16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7600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11</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260D3C">
            <w:pPr>
              <w:jc w:val="center"/>
              <w:rPr>
                <w:rFonts w:hint="eastAsia" w:asciiTheme="minorEastAsia" w:hAnsiTheme="minorEastAsia" w:eastAsiaTheme="minorEastAsia" w:cstheme="minorEastAsia"/>
                <w:i w:val="0"/>
                <w:iCs w:val="0"/>
                <w:color w:val="auto"/>
                <w:sz w:val="22"/>
                <w:szCs w:val="22"/>
                <w:u w:val="none"/>
              </w:rPr>
            </w:pPr>
          </w:p>
        </w:tc>
        <w:tc>
          <w:tcPr>
            <w:tcW w:w="846"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EE74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企业服务</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EA7B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市县送工人数</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5E7D8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采用线上线下招聘活动、各人力资源机构协作、省内外招聘等各种形式，为县工业园区企业、县域内重点企业、市重点企业招工送工，并采取各种措施，满足园区企业季节性、临时性、应急性用工需求。每年为县内园区和重点企业送工1000人以上，按要求完成为市重点企业送工任务。</w:t>
            </w:r>
          </w:p>
        </w:tc>
      </w:tr>
      <w:tr w14:paraId="724E9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F25D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12</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ACBF4A">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05EAE9">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04270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招聘活动组织与开展</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B79FA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组织企业积极报名参与招聘会，并做好招聘会的宣传预热，多渠道发布招聘会信息，通知企业、求职者参加线下招聘会，有效提升招聘效率。</w:t>
            </w:r>
          </w:p>
        </w:tc>
      </w:tr>
      <w:tr w14:paraId="2CC29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92E5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13</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D6016">
            <w:pPr>
              <w:jc w:val="center"/>
              <w:rPr>
                <w:rFonts w:hint="eastAsia" w:asciiTheme="minorEastAsia" w:hAnsiTheme="minorEastAsia" w:eastAsiaTheme="minorEastAsia" w:cstheme="minorEastAsia"/>
                <w:i w:val="0"/>
                <w:iCs w:val="0"/>
                <w:color w:val="auto"/>
                <w:sz w:val="22"/>
                <w:szCs w:val="22"/>
                <w:u w:val="none"/>
              </w:rPr>
            </w:pPr>
          </w:p>
        </w:tc>
        <w:tc>
          <w:tcPr>
            <w:tcW w:w="846"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B71D04">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3714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共享用工服务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FE0DB4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共享用工服务。及时收集全县季节性用工岗位信息，掌握园区企业季节性生产缺工情况，采用线上线下各种形式与用工企业、劳动力作好对接,沟通协调并组织开展共享用工，一年开展共享用工活动至少1次以上。</w:t>
            </w:r>
          </w:p>
        </w:tc>
      </w:tr>
      <w:tr w14:paraId="28243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23"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360C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14</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4F21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创新服务</w:t>
            </w:r>
          </w:p>
        </w:tc>
        <w:tc>
          <w:tcPr>
            <w:tcW w:w="84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4D35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2E97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新业态就业服务</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620DC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1、新业态人群就业人数；2、新业态服务活动次数。</w:t>
            </w:r>
          </w:p>
        </w:tc>
      </w:tr>
      <w:tr w14:paraId="667AF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65"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CCAC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15</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526EE8">
            <w:pPr>
              <w:jc w:val="center"/>
              <w:rPr>
                <w:rFonts w:hint="eastAsia" w:asciiTheme="minorEastAsia" w:hAnsiTheme="minorEastAsia" w:eastAsiaTheme="minorEastAsia" w:cstheme="minorEastAsia"/>
                <w:i w:val="0"/>
                <w:iCs w:val="0"/>
                <w:color w:val="auto"/>
                <w:sz w:val="22"/>
                <w:szCs w:val="22"/>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99D4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其他</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A26F82">
            <w:pPr>
              <w:jc w:val="center"/>
              <w:rPr>
                <w:rFonts w:hint="eastAsia" w:asciiTheme="minorEastAsia" w:hAnsiTheme="minorEastAsia" w:eastAsiaTheme="minorEastAsia" w:cstheme="minorEastAsia"/>
                <w:i w:val="0"/>
                <w:iCs w:val="0"/>
                <w:color w:val="auto"/>
                <w:sz w:val="22"/>
                <w:szCs w:val="22"/>
                <w:u w:val="none"/>
              </w:rPr>
            </w:pP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E9535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在人力资源行业或省市有先进性或可作典型经验的做法或金点子应用于县内就业服务。</w:t>
            </w:r>
          </w:p>
        </w:tc>
      </w:tr>
      <w:tr w14:paraId="5682A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08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BBA5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16</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041A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可持续性</w:t>
            </w:r>
          </w:p>
        </w:tc>
        <w:tc>
          <w:tcPr>
            <w:tcW w:w="84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90CB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运营常态化</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88B7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人员稳定性</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9E960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改善企业工作、生活环境，创造员工能力提升空间，根据市场变化和工作强度适配薪酬，增强企业凝聚力和企业竞争力。</w:t>
            </w:r>
          </w:p>
        </w:tc>
      </w:tr>
      <w:tr w14:paraId="6A549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020" w:hRule="atLeast"/>
          <w:jc w:val="center"/>
        </w:trPr>
        <w:tc>
          <w:tcPr>
            <w:tcW w:w="47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D0B9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17</w:t>
            </w: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BC6FD7">
            <w:pPr>
              <w:jc w:val="center"/>
              <w:rPr>
                <w:rFonts w:hint="eastAsia" w:asciiTheme="minorEastAsia" w:hAnsiTheme="minorEastAsia" w:eastAsiaTheme="minorEastAsia" w:cstheme="minorEastAsia"/>
                <w:i w:val="0"/>
                <w:iCs w:val="0"/>
                <w:color w:val="auto"/>
                <w:sz w:val="22"/>
                <w:szCs w:val="22"/>
                <w:u w:val="none"/>
              </w:rPr>
            </w:pPr>
          </w:p>
        </w:tc>
        <w:tc>
          <w:tcPr>
            <w:tcW w:w="846"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E463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满意度</w:t>
            </w:r>
          </w:p>
        </w:tc>
        <w:tc>
          <w:tcPr>
            <w:tcW w:w="137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2583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企业和求职者对服务的满意度</w:t>
            </w:r>
          </w:p>
        </w:tc>
        <w:tc>
          <w:tcPr>
            <w:tcW w:w="1073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A8D56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年度或不定期采用满意度调查问卷的方式，从服务对象中抽取部分企业和求职者，测评运营机构服务开展的满意度。</w:t>
            </w:r>
          </w:p>
        </w:tc>
      </w:tr>
    </w:tbl>
    <w:p w14:paraId="7CA28270">
      <w:pPr>
        <w:keepNext w:val="0"/>
        <w:keepLines w:val="0"/>
        <w:pageBreakBefore w:val="0"/>
        <w:numPr>
          <w:ilvl w:val="0"/>
          <w:numId w:val="0"/>
        </w:numPr>
        <w:tabs>
          <w:tab w:val="left" w:pos="8070"/>
        </w:tabs>
        <w:kinsoku/>
        <w:wordWrap w:val="0"/>
        <w:overflowPunct/>
        <w:topLinePunct/>
        <w:autoSpaceDE/>
        <w:autoSpaceDN/>
        <w:bidi w:val="0"/>
        <w:ind w:firstLine="321" w:firstLineChars="100"/>
        <w:jc w:val="both"/>
        <w:rPr>
          <w:rFonts w:hint="eastAsia" w:asciiTheme="minorEastAsia" w:hAnsiTheme="minorEastAsia" w:eastAsiaTheme="minorEastAsia" w:cstheme="minorEastAsia"/>
          <w:b/>
          <w:bCs/>
          <w:snapToGrid w:val="0"/>
          <w:color w:val="000000"/>
          <w:sz w:val="32"/>
          <w:szCs w:val="32"/>
          <w:highlight w:val="none"/>
          <w:lang w:val="en-US" w:eastAsia="zh-CN" w:bidi="ar-SA"/>
        </w:rPr>
        <w:sectPr>
          <w:pgSz w:w="16839" w:h="11906" w:orient="landscape"/>
          <w:pgMar w:top="1307" w:right="1009" w:bottom="1310" w:left="1043" w:header="0" w:footer="994" w:gutter="0"/>
          <w:pgNumType w:fmt="decimal"/>
          <w:cols w:space="720" w:num="1"/>
        </w:sectPr>
      </w:pPr>
    </w:p>
    <w:tbl>
      <w:tblPr>
        <w:tblStyle w:val="3"/>
        <w:tblW w:w="140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455"/>
        <w:gridCol w:w="840"/>
        <w:gridCol w:w="810"/>
        <w:gridCol w:w="1364"/>
        <w:gridCol w:w="10581"/>
      </w:tblGrid>
      <w:tr w14:paraId="36DDF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2" w:hRule="atLeast"/>
          <w:jc w:val="center"/>
        </w:trPr>
        <w:tc>
          <w:tcPr>
            <w:tcW w:w="455" w:type="dxa"/>
            <w:tcBorders>
              <w:top w:val="nil"/>
              <w:left w:val="nil"/>
              <w:bottom w:val="nil"/>
              <w:right w:val="nil"/>
            </w:tcBorders>
            <w:shd w:val="clear" w:color="auto" w:fill="FFFFFF" w:themeFill="background1"/>
            <w:vAlign w:val="center"/>
          </w:tcPr>
          <w:p w14:paraId="5EC464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w:t>
            </w:r>
          </w:p>
        </w:tc>
        <w:tc>
          <w:tcPr>
            <w:tcW w:w="13595" w:type="dxa"/>
            <w:gridSpan w:val="4"/>
            <w:tcBorders>
              <w:top w:val="nil"/>
              <w:left w:val="nil"/>
              <w:bottom w:val="nil"/>
              <w:right w:val="nil"/>
            </w:tcBorders>
            <w:shd w:val="clear" w:color="auto" w:fill="FFFFFF" w:themeFill="background1"/>
            <w:vAlign w:val="center"/>
          </w:tcPr>
          <w:p w14:paraId="1552136F">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44"/>
                <w:szCs w:val="44"/>
                <w:u w:val="none"/>
              </w:rPr>
            </w:pPr>
            <w:r>
              <w:rPr>
                <w:rFonts w:hint="eastAsia" w:asciiTheme="minorEastAsia" w:hAnsiTheme="minorEastAsia" w:eastAsiaTheme="minorEastAsia" w:cstheme="minorEastAsia"/>
                <w:b/>
                <w:bCs/>
                <w:i w:val="0"/>
                <w:iCs w:val="0"/>
                <w:snapToGrid w:val="0"/>
                <w:color w:val="auto"/>
                <w:kern w:val="0"/>
                <w:sz w:val="44"/>
                <w:szCs w:val="44"/>
                <w:u w:val="none"/>
                <w:lang w:val="en-US" w:eastAsia="zh-CN" w:bidi="ar"/>
              </w:rPr>
              <w:t>定南中等专业学校就业之家市场化运营项目服务清单</w:t>
            </w:r>
          </w:p>
        </w:tc>
      </w:tr>
      <w:tr w14:paraId="6BB0B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5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B3AE85">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序号</w:t>
            </w:r>
          </w:p>
        </w:tc>
        <w:tc>
          <w:tcPr>
            <w:tcW w:w="84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42BFCD">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指标类别</w:t>
            </w:r>
          </w:p>
        </w:tc>
        <w:tc>
          <w:tcPr>
            <w:tcW w:w="81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6CA59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考核项目</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077255">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考核内容</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522301">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指标说明</w:t>
            </w:r>
          </w:p>
        </w:tc>
      </w:tr>
      <w:tr w14:paraId="779D7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2"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C94D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36D7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基础运营服务</w:t>
            </w:r>
          </w:p>
        </w:tc>
        <w:tc>
          <w:tcPr>
            <w:tcW w:w="810"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D979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公共就业服务</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8F1E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窗口服务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A9127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按要求配备1名工作人员，</w:t>
            </w: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按照“5+2就业之家”技工院校就业之家服务事项要求做好6项事项服务以及就业中心相关业务，着装规范，服务优质。提供 8小时内现场咨询及8小时外电话咨询服务，让服务不间断，做到事事有回应，件件有着落。各项服务台账规范整洁，数据真实准确。窗口以良好的服务态度接待引导来访求职人员，指导来访和求职人员使用各自助机和各线上平台、智能化招聘系统，送工入企业参观并全程协助应聘，各项活动会议培训服务，做好辖区内送工入企参观并全程协助应聘等；及时转发就业创业相关信息。</w:t>
            </w:r>
          </w:p>
        </w:tc>
      </w:tr>
      <w:tr w14:paraId="7F227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D788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3</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011021">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EC2BDC">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A20C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招聘信息收集发布</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8AC9C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日收集审核整理辖区内企业招工信息，并同步上传到江西省就业之家平台；2.每月定期筛选审核工业园区企业招聘信息，转发各类招工信息，及时更新宣传栏；3.每月在江西省就业之家平台发布本社区用人单位招聘信息不少于10条。</w:t>
            </w:r>
          </w:p>
        </w:tc>
      </w:tr>
      <w:tr w14:paraId="6F810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EDA7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4</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B69DECB">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B1EF9F">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D3E1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就业之家品牌宣传</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7B708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不少于4次，每季度不少于1次，节假日等特殊期间按要求增加宣传推广次数；宣传就业之家平台功能，按要求组织至少企业和个体工商户入驻江西就业之家平台，有招聘需求的企业授权至本就业之家。</w:t>
            </w:r>
          </w:p>
        </w:tc>
      </w:tr>
      <w:tr w14:paraId="45B20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38"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2C8D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6</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0F5E6B">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F2E8B9">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599C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就业指导人次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1512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引导求职人员，指导求职人员使用各自助机和各线上平台、智能化招聘系统，并利用专业能力为求职者画像，适配符合求职者自身条件的岗位，送工入企业参观并全程协助应聘。（含线上线下）</w:t>
            </w:r>
          </w:p>
        </w:tc>
      </w:tr>
      <w:tr w14:paraId="7E992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6A63C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7</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FFDE48">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796BF7">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D8CA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就业服务人次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1CC2E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来访人员，准确清晰弄清服务对象与来意，指导求职人员使用各自助机和各线上平台、智能化招聘系统，送工入企业参观并全程协助应聘；协助来访人员咨询各就业服务事项与就业创业政策；协助县级就业之家或企业做好各项活动、会议、培训服务等。（含线上线下）</w:t>
            </w:r>
          </w:p>
        </w:tc>
      </w:tr>
      <w:tr w14:paraId="4B4AB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DB88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8</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D607D3">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0C0BA2">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BC45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重点群体服务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EF459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配合县就业中心开展好重点就业群体服务。根据要求开展重点就业群体（高校毕业生、 登记失业人员、就业困难人员、 返乡农民工等）的就业状况调查和就业意愿分析，并做好岗位推荐和职业介绍工作。</w:t>
            </w:r>
          </w:p>
        </w:tc>
      </w:tr>
      <w:tr w14:paraId="4A083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84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4419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9</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017A52E">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43F4AD">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6AF6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就业分析</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EB926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1.每年提交一次中专就业状况调查报告；2、每年度运营到期前1个月提交本就业之家年度运营分析报告。</w:t>
            </w:r>
          </w:p>
        </w:tc>
      </w:tr>
      <w:tr w14:paraId="45A5D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53"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6EFACA">
            <w:pPr>
              <w:jc w:val="center"/>
              <w:rPr>
                <w:rFonts w:hint="eastAsia" w:asciiTheme="minorEastAsia" w:hAnsiTheme="minorEastAsia" w:eastAsiaTheme="minorEastAsia" w:cstheme="minorEastAsia"/>
                <w:i w:val="0"/>
                <w:iCs w:val="0"/>
                <w:color w:val="auto"/>
                <w:sz w:val="22"/>
                <w:szCs w:val="22"/>
                <w:u w:val="none"/>
              </w:rPr>
            </w:pP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55668B">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6EA76E">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A2646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统筹全县网点建设与业务指导</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BD33A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协助做好县域内“就业之家”（网点）的建设运营指导工作，包括但不限于日常线上、线下招聘活动动员，就业之家平台建设统筹，就业经办、就业援助、就业政策落实等相关业务的培训指导，推动全县就业之家服务能力整体提升。</w:t>
            </w:r>
          </w:p>
        </w:tc>
      </w:tr>
      <w:tr w14:paraId="056B0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7"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54C9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10</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A5FE38">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C16940">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9DB8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就业之家平台建设要求</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74C01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持续跟踪各级各类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7C156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46"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DCB7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11</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62532C">
            <w:pPr>
              <w:jc w:val="center"/>
              <w:rPr>
                <w:rFonts w:hint="eastAsia" w:asciiTheme="minorEastAsia" w:hAnsiTheme="minorEastAsia" w:eastAsiaTheme="minorEastAsia" w:cstheme="minorEastAsia"/>
                <w:i w:val="0"/>
                <w:iCs w:val="0"/>
                <w:color w:val="auto"/>
                <w:sz w:val="22"/>
                <w:szCs w:val="22"/>
                <w:u w:val="none"/>
              </w:rPr>
            </w:pPr>
          </w:p>
        </w:tc>
        <w:tc>
          <w:tcPr>
            <w:tcW w:w="810"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4026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企业服务</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866A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市县送工人数</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EE6CD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采用线上线下招聘活动、各人力资源机构协作、省内外招聘等各种形式，为县工业园区企业、县域内重点企业、市重点企业招工送工，并采取各种措施，满足园区企业季节性、临时性、应急性用工需求。每年为县内园区和重点企业送工100人以上，按要求完成为市重点企业送工任务。</w:t>
            </w:r>
          </w:p>
        </w:tc>
      </w:tr>
      <w:tr w14:paraId="16614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65"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B234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13</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A071E5">
            <w:pPr>
              <w:jc w:val="center"/>
              <w:rPr>
                <w:rFonts w:hint="eastAsia" w:asciiTheme="minorEastAsia" w:hAnsiTheme="minorEastAsia" w:eastAsiaTheme="minorEastAsia" w:cstheme="minorEastAsia"/>
                <w:i w:val="0"/>
                <w:iCs w:val="0"/>
                <w:color w:val="auto"/>
                <w:sz w:val="22"/>
                <w:szCs w:val="22"/>
                <w:u w:val="none"/>
              </w:rPr>
            </w:pP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D25D5">
            <w:pPr>
              <w:jc w:val="center"/>
              <w:rPr>
                <w:rFonts w:hint="eastAsia" w:asciiTheme="minorEastAsia" w:hAnsiTheme="minorEastAsia" w:eastAsiaTheme="minorEastAsia" w:cstheme="minorEastAsia"/>
                <w:i w:val="0"/>
                <w:iCs w:val="0"/>
                <w:color w:val="auto"/>
                <w:sz w:val="22"/>
                <w:szCs w:val="22"/>
                <w:u w:val="none"/>
              </w:rPr>
            </w:pP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C2B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共享用工服务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2BD5AB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共享用工服务。及时收集全县季节性用工岗位信息，掌握园区企业季节性生产缺工情况，采用线上线下各种形式与用工企业、劳动力作好对接,沟通协调并组织开展共享用工，一年开展共享用工活动至少1次以上。</w:t>
            </w:r>
          </w:p>
        </w:tc>
      </w:tr>
      <w:tr w14:paraId="5E0FE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06A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14</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A70C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创新服务</w:t>
            </w:r>
          </w:p>
        </w:tc>
        <w:tc>
          <w:tcPr>
            <w:tcW w:w="81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7A4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1E0B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新业态就业服务</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66635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1、新业态人群就业人数；2、新业态服务活动次数。</w:t>
            </w:r>
          </w:p>
        </w:tc>
      </w:tr>
      <w:tr w14:paraId="0C9DA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498"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CB0B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15</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349617C">
            <w:pPr>
              <w:jc w:val="center"/>
              <w:rPr>
                <w:rFonts w:hint="eastAsia" w:asciiTheme="minorEastAsia" w:hAnsiTheme="minorEastAsia" w:eastAsiaTheme="minorEastAsia" w:cstheme="minorEastAsia"/>
                <w:i w:val="0"/>
                <w:iCs w:val="0"/>
                <w:color w:val="auto"/>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782C7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其他</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54990B">
            <w:pPr>
              <w:jc w:val="center"/>
              <w:rPr>
                <w:rFonts w:hint="eastAsia" w:asciiTheme="minorEastAsia" w:hAnsiTheme="minorEastAsia" w:eastAsiaTheme="minorEastAsia" w:cstheme="minorEastAsia"/>
                <w:i w:val="0"/>
                <w:iCs w:val="0"/>
                <w:color w:val="auto"/>
                <w:sz w:val="22"/>
                <w:szCs w:val="22"/>
                <w:u w:val="none"/>
              </w:rPr>
            </w:pP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353E1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在人力资源行业或省市有先进性或可作典型经验的做法或金点子应用于县内就业服务。</w:t>
            </w:r>
          </w:p>
        </w:tc>
      </w:tr>
      <w:tr w14:paraId="7EE9E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83"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D080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16</w:t>
            </w:r>
          </w:p>
        </w:tc>
        <w:tc>
          <w:tcPr>
            <w:tcW w:w="840"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49F4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可持续性</w:t>
            </w:r>
          </w:p>
        </w:tc>
        <w:tc>
          <w:tcPr>
            <w:tcW w:w="81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5809C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运营常态化</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FD70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人员稳定性</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19F1E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改善企业工作、生活环境，创造员工能力提升空间，根据市场变化和工作强度适配薪酬，增强企业凝聚力和企业竞争力。</w:t>
            </w:r>
          </w:p>
        </w:tc>
      </w:tr>
      <w:tr w14:paraId="54313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jc w:val="center"/>
        </w:trPr>
        <w:tc>
          <w:tcPr>
            <w:tcW w:w="45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75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17</w:t>
            </w:r>
          </w:p>
        </w:tc>
        <w:tc>
          <w:tcPr>
            <w:tcW w:w="840"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FC9C9">
            <w:pPr>
              <w:jc w:val="center"/>
              <w:rPr>
                <w:rFonts w:hint="eastAsia" w:asciiTheme="minorEastAsia" w:hAnsiTheme="minorEastAsia" w:eastAsiaTheme="minorEastAsia" w:cstheme="minorEastAsia"/>
                <w:i w:val="0"/>
                <w:iCs w:val="0"/>
                <w:color w:val="auto"/>
                <w:sz w:val="22"/>
                <w:szCs w:val="22"/>
                <w:u w:val="none"/>
              </w:rPr>
            </w:pPr>
          </w:p>
        </w:tc>
        <w:tc>
          <w:tcPr>
            <w:tcW w:w="81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D12C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满意度</w:t>
            </w:r>
          </w:p>
        </w:tc>
        <w:tc>
          <w:tcPr>
            <w:tcW w:w="136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0DB8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企业和求职者对服务的满意度</w:t>
            </w:r>
          </w:p>
        </w:tc>
        <w:tc>
          <w:tcPr>
            <w:tcW w:w="1058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2F4D0A">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年度或不定期采用满意度调查问卷的方式，从服务对象中抽取部分企业和求职者，测评运营机构服务开展的满意度。</w:t>
            </w:r>
          </w:p>
        </w:tc>
      </w:tr>
    </w:tbl>
    <w:p w14:paraId="38A89BBF">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333A2967">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37EEE821">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5F78A6DF">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400D662D">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138B135C">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2A5A6FD3">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p w14:paraId="4ED50AE2">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Theme="minorEastAsia" w:hAnsiTheme="minorEastAsia" w:eastAsiaTheme="minorEastAsia" w:cstheme="minorEastAsia"/>
          <w:snapToGrid w:val="0"/>
          <w:color w:val="000000"/>
          <w:sz w:val="21"/>
          <w:szCs w:val="21"/>
          <w:highlight w:val="none"/>
          <w:lang w:val="en-US" w:eastAsia="zh-CN" w:bidi="ar-SA"/>
        </w:rPr>
      </w:pPr>
    </w:p>
    <w:tbl>
      <w:tblPr>
        <w:tblStyle w:val="3"/>
        <w:tblW w:w="1444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3"/>
        <w:gridCol w:w="818"/>
        <w:gridCol w:w="818"/>
        <w:gridCol w:w="1377"/>
        <w:gridCol w:w="10878"/>
      </w:tblGrid>
      <w:tr w14:paraId="53EB53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jc w:val="center"/>
        </w:trPr>
        <w:tc>
          <w:tcPr>
            <w:tcW w:w="553" w:type="dxa"/>
            <w:tcBorders>
              <w:top w:val="nil"/>
              <w:left w:val="nil"/>
              <w:bottom w:val="nil"/>
              <w:right w:val="nil"/>
            </w:tcBorders>
            <w:shd w:val="clear" w:color="auto" w:fill="auto"/>
            <w:vAlign w:val="center"/>
          </w:tcPr>
          <w:p w14:paraId="54469D0A">
            <w:pPr>
              <w:jc w:val="center"/>
              <w:rPr>
                <w:rFonts w:hint="eastAsia" w:asciiTheme="minorEastAsia" w:hAnsiTheme="minorEastAsia" w:eastAsiaTheme="minorEastAsia" w:cstheme="minorEastAsia"/>
                <w:i w:val="0"/>
                <w:iCs w:val="0"/>
                <w:color w:val="auto"/>
                <w:sz w:val="28"/>
                <w:szCs w:val="28"/>
                <w:u w:val="none"/>
              </w:rPr>
            </w:pPr>
          </w:p>
        </w:tc>
        <w:tc>
          <w:tcPr>
            <w:tcW w:w="13891" w:type="dxa"/>
            <w:gridSpan w:val="4"/>
            <w:tcBorders>
              <w:top w:val="nil"/>
              <w:left w:val="nil"/>
              <w:bottom w:val="nil"/>
              <w:right w:val="nil"/>
            </w:tcBorders>
            <w:shd w:val="clear" w:color="auto" w:fill="auto"/>
            <w:vAlign w:val="center"/>
          </w:tcPr>
          <w:p w14:paraId="43AA9D94">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44"/>
                <w:szCs w:val="44"/>
                <w:u w:val="none"/>
              </w:rPr>
            </w:pPr>
            <w:r>
              <w:rPr>
                <w:rFonts w:hint="eastAsia" w:asciiTheme="minorEastAsia" w:hAnsiTheme="minorEastAsia" w:eastAsiaTheme="minorEastAsia" w:cstheme="minorEastAsia"/>
                <w:b/>
                <w:bCs/>
                <w:i w:val="0"/>
                <w:iCs w:val="0"/>
                <w:snapToGrid w:val="0"/>
                <w:color w:val="auto"/>
                <w:kern w:val="0"/>
                <w:sz w:val="44"/>
                <w:szCs w:val="44"/>
                <w:u w:val="none"/>
                <w:lang w:val="en-US" w:eastAsia="zh-CN" w:bidi="ar"/>
              </w:rPr>
              <w:t>定南县定南之窗就业之家市场化运营项目服务清单</w:t>
            </w:r>
          </w:p>
        </w:tc>
      </w:tr>
      <w:tr w14:paraId="43AB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C038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序号</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4776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指标类别</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A4D06">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考核项目</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ABA52">
            <w:pPr>
              <w:keepNext w:val="0"/>
              <w:keepLines w:val="0"/>
              <w:widowControl/>
              <w:suppressLineNumbers w:val="0"/>
              <w:jc w:val="left"/>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考核内容</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8E991">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指标说明</w:t>
            </w:r>
          </w:p>
        </w:tc>
      </w:tr>
      <w:tr w14:paraId="35520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1"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D04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CD1C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基础运营服务</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B4F0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公共就业服务</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1CE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常态化服务</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ABCE1">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highlight w:val="none"/>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按要求配备1名工作人员，</w:t>
            </w:r>
            <w:r>
              <w:rPr>
                <w:rFonts w:hint="eastAsia" w:asciiTheme="minorEastAsia" w:hAnsiTheme="minorEastAsia" w:eastAsiaTheme="minorEastAsia" w:cstheme="minorEastAsia"/>
                <w:i w:val="0"/>
                <w:iCs w:val="0"/>
                <w:snapToGrid w:val="0"/>
                <w:color w:val="auto"/>
                <w:kern w:val="0"/>
                <w:sz w:val="22"/>
                <w:szCs w:val="22"/>
                <w:highlight w:val="none"/>
                <w:u w:val="none"/>
                <w:lang w:val="en-US" w:eastAsia="zh-CN" w:bidi="ar"/>
              </w:rPr>
              <w:t>做好全县范围内零工岗位信息的收集、发布、推荐等，为雇主和求职人员提供求职登记、信息发布、职业指导、政策咨询、劳动维权等公共服务以及就业中心相关业务，着装规范，服务优质。工作日提供8小时内现场服务，非工作日及8小时外提供电话咨询服务。各项服务台账规范整洁，数据真实准确。以良好的服务态度接待引导来访求职人员，指导来访和求职人员使用自助机和各线上平台；及时转发就业创业相关信息。</w:t>
            </w:r>
          </w:p>
        </w:tc>
      </w:tr>
      <w:tr w14:paraId="15612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7"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2EB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2</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FDB72">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320C6">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D15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就业服务专项活动</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6779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每年开展就业创业政策宣传、“5+2就业之家”品牌推广活动、零工专场招聘活动、线上直播活动等不少于12次。</w:t>
            </w:r>
          </w:p>
        </w:tc>
      </w:tr>
      <w:tr w14:paraId="78567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5"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8ED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3</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DFE9CD">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60A544">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16B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招聘信息收集发布</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7BCD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每日广泛收集非全日制、临时性、阶段性和全日制用工等岗位需求信息，对收集岗位信息的真实性、合法性和是否包含就业歧视内容等要素进行审核，及时更新发布岗位需求、求职需求、市场紧缺职业（工种）等信息，并同步上传至“江西就业之家”平台。2.每月在“江西就业之家”平台发布本零工类招聘信息20条以上。</w:t>
            </w:r>
          </w:p>
        </w:tc>
      </w:tr>
      <w:tr w14:paraId="14894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8"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2BF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4</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8855E">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5EA072">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4D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就业之家品牌宣传</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2469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不少于6次，每两个月不少于1次，节假日等特殊期间按要求增加宣传推广次数；宣传就业之家平台功能，按要求组织企业和个体工商户入驻“江西就业之家”平台，有招聘需求的企业授权至本就业之家。</w:t>
            </w:r>
          </w:p>
        </w:tc>
      </w:tr>
      <w:tr w14:paraId="2576A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0"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2C4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5</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3DF4EA">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4DE8D">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D98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就业指导与服务人次</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CFE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来访与求职人员，准确清晰弄清服务对象与来意，指导求职人员使用各自助机和就业之家线上平台，并利用专业能力为求职者画像，适配符合求职者自身条件的岗位，送工入企业参观并全程协助应聘；协助来访人员咨询各就业服务事项与就业创业政策；协助县级就业之家或企业做好各项就业活动、会议、培训服务等。</w:t>
            </w:r>
          </w:p>
        </w:tc>
      </w:tr>
      <w:tr w14:paraId="2CEC1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1"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8D1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6</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35E68B">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499D46">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151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重点群体服务</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FAE2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配合县级就业之家开展好重点就业群体服务。根据要求开展重点就业群体（高校毕业生、 登记失业人员、就业困难人员、 返乡农民工、退捕渔民等）的就业状况调就业意愿分析，并做好岗位推荐和职业介绍工作。</w:t>
            </w:r>
          </w:p>
        </w:tc>
      </w:tr>
      <w:tr w14:paraId="67616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9"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759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7</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A9DCA7">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B39EB9">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B79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就业分析</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96C0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1.每年提交一次全县零工分布及就业状况调查报告；2、每年度运营到期前1个月提交本就业之家年度运营分析报告（包含零工市场服务成效、设施建设、安全管理、信息网络建设等内容）。</w:t>
            </w:r>
          </w:p>
        </w:tc>
      </w:tr>
      <w:tr w14:paraId="494BA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8"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F89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8</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CFABA">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26455B">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990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网点建设配合度</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C6C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1.配合县级就业之家（网点）的建设运营指导工作，包括但不限于日常线上、线下招聘活动动员，</w:t>
            </w:r>
            <w:r>
              <w:rPr>
                <w:rStyle w:val="7"/>
                <w:rFonts w:hint="eastAsia" w:asciiTheme="minorEastAsia" w:hAnsiTheme="minorEastAsia" w:eastAsiaTheme="minorEastAsia" w:cstheme="minorEastAsia"/>
                <w:snapToGrid w:val="0"/>
                <w:color w:val="auto"/>
                <w:lang w:val="en-US" w:eastAsia="zh-CN" w:bidi="ar"/>
              </w:rPr>
              <w:t>就业之家平台建设统筹，就业经办、就业援助、就业政策落实等相关业务的培训指导，推动全县就业之家服务能力整体提升</w:t>
            </w:r>
            <w:r>
              <w:rPr>
                <w:rFonts w:hint="eastAsia" w:asciiTheme="minorEastAsia" w:hAnsiTheme="minorEastAsia" w:eastAsiaTheme="minorEastAsia" w:cstheme="minorEastAsia"/>
                <w:i w:val="0"/>
                <w:iCs w:val="0"/>
                <w:snapToGrid w:val="0"/>
                <w:color w:val="auto"/>
                <w:kern w:val="0"/>
                <w:sz w:val="22"/>
                <w:szCs w:val="22"/>
                <w:u w:val="none"/>
                <w:lang w:val="en-US" w:eastAsia="zh-CN" w:bidi="ar"/>
              </w:rPr>
              <w:t>。</w:t>
            </w:r>
          </w:p>
        </w:tc>
      </w:tr>
      <w:tr w14:paraId="6E098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3"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66E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9</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3724B">
            <w:pPr>
              <w:jc w:val="center"/>
              <w:rPr>
                <w:rFonts w:hint="eastAsia" w:asciiTheme="minorEastAsia" w:hAnsiTheme="minorEastAsia" w:eastAsiaTheme="minorEastAsia" w:cstheme="minorEastAsia"/>
                <w:i w:val="0"/>
                <w:iCs w:val="0"/>
                <w:color w:val="auto"/>
                <w:sz w:val="22"/>
                <w:szCs w:val="22"/>
                <w:u w:val="none"/>
              </w:rPr>
            </w:pP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F28FDC">
            <w:pPr>
              <w:jc w:val="center"/>
              <w:rPr>
                <w:rFonts w:hint="eastAsia" w:asciiTheme="minorEastAsia" w:hAnsiTheme="minorEastAsia" w:eastAsiaTheme="minorEastAsia" w:cstheme="minorEastAsia"/>
                <w:i w:val="0"/>
                <w:iCs w:val="0"/>
                <w:color w:val="auto"/>
                <w:sz w:val="22"/>
                <w:szCs w:val="22"/>
                <w:u w:val="none"/>
              </w:rPr>
            </w:pP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9D2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就业之家平台建设要求</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7B1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做好县级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6E3E7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7"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33E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11</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2FBB5B">
            <w:pPr>
              <w:jc w:val="center"/>
              <w:rPr>
                <w:rFonts w:hint="eastAsia" w:asciiTheme="minorEastAsia" w:hAnsiTheme="minorEastAsia" w:eastAsiaTheme="minorEastAsia" w:cstheme="minorEastAsia"/>
                <w:i w:val="0"/>
                <w:iCs w:val="0"/>
                <w:color w:val="auto"/>
                <w:sz w:val="22"/>
                <w:szCs w:val="22"/>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8A9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零工服务</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A36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零工信息</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0AF9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提供零工服务。及时收集全县季节性零工岗位信息，采用线上线下各种形式与用工企业、劳动力作好对接,沟通协调并组织开展零工服务，全年为500人以上提供零工服务</w:t>
            </w:r>
          </w:p>
        </w:tc>
      </w:tr>
      <w:tr w14:paraId="54C5A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5"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34A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12</w:t>
            </w:r>
          </w:p>
        </w:tc>
        <w:tc>
          <w:tcPr>
            <w:tcW w:w="818" w:type="dxa"/>
            <w:vMerge w:val="restart"/>
            <w:tcBorders>
              <w:top w:val="single" w:color="000000" w:sz="4" w:space="0"/>
              <w:left w:val="single" w:color="000000" w:sz="4" w:space="0"/>
              <w:bottom w:val="nil"/>
              <w:right w:val="single" w:color="000000" w:sz="4" w:space="0"/>
            </w:tcBorders>
            <w:shd w:val="clear" w:color="auto" w:fill="auto"/>
            <w:vAlign w:val="center"/>
          </w:tcPr>
          <w:p w14:paraId="37A447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创新服务</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C5A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AAC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新业态就业服务</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57C1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1、新业态人群就业人数；2、新业态服务活动次数。</w:t>
            </w:r>
          </w:p>
        </w:tc>
      </w:tr>
      <w:tr w14:paraId="751CC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7"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98A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13</w:t>
            </w:r>
          </w:p>
        </w:tc>
        <w:tc>
          <w:tcPr>
            <w:tcW w:w="818" w:type="dxa"/>
            <w:vMerge w:val="continue"/>
            <w:tcBorders>
              <w:top w:val="single" w:color="000000" w:sz="4" w:space="0"/>
              <w:left w:val="single" w:color="000000" w:sz="4" w:space="0"/>
              <w:bottom w:val="nil"/>
              <w:right w:val="single" w:color="000000" w:sz="4" w:space="0"/>
            </w:tcBorders>
            <w:shd w:val="clear" w:color="auto" w:fill="auto"/>
            <w:vAlign w:val="center"/>
          </w:tcPr>
          <w:p w14:paraId="1371E712">
            <w:pPr>
              <w:jc w:val="center"/>
              <w:rPr>
                <w:rFonts w:hint="eastAsia" w:asciiTheme="minorEastAsia" w:hAnsiTheme="minorEastAsia" w:eastAsiaTheme="minorEastAsia" w:cstheme="minorEastAsia"/>
                <w:i w:val="0"/>
                <w:iCs w:val="0"/>
                <w:color w:val="auto"/>
                <w:sz w:val="22"/>
                <w:szCs w:val="22"/>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064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其他</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5B96">
            <w:pPr>
              <w:jc w:val="center"/>
              <w:rPr>
                <w:rFonts w:hint="eastAsia" w:asciiTheme="minorEastAsia" w:hAnsiTheme="minorEastAsia" w:eastAsiaTheme="minorEastAsia" w:cstheme="minorEastAsia"/>
                <w:i w:val="0"/>
                <w:iCs w:val="0"/>
                <w:color w:val="auto"/>
                <w:sz w:val="22"/>
                <w:szCs w:val="22"/>
                <w:u w:val="none"/>
              </w:rPr>
            </w:pP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9747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在人力资源行业或省市有先进性或可作典型经验的做法或金点子应用于县内就业服务。</w:t>
            </w:r>
          </w:p>
        </w:tc>
      </w:tr>
      <w:tr w14:paraId="40465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6"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DEA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14</w:t>
            </w:r>
          </w:p>
        </w:tc>
        <w:tc>
          <w:tcPr>
            <w:tcW w:w="8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074C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可持续性</w:t>
            </w: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CC2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运营常态化</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93D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人员稳定性</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87BE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改善企业工作、生活环境，创造员工能力提升空间，根据市场变化和工作强度适配薪酬，增强企业凝聚力和企业竞争力。</w:t>
            </w:r>
          </w:p>
        </w:tc>
      </w:tr>
      <w:tr w14:paraId="13C17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3" w:hRule="atLeast"/>
          <w:jc w:val="center"/>
        </w:trPr>
        <w:tc>
          <w:tcPr>
            <w:tcW w:w="5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003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15</w:t>
            </w:r>
          </w:p>
        </w:tc>
        <w:tc>
          <w:tcPr>
            <w:tcW w:w="8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7C99F">
            <w:pPr>
              <w:jc w:val="center"/>
              <w:rPr>
                <w:rFonts w:hint="eastAsia" w:asciiTheme="minorEastAsia" w:hAnsiTheme="minorEastAsia" w:eastAsiaTheme="minorEastAsia" w:cstheme="minorEastAsia"/>
                <w:i w:val="0"/>
                <w:iCs w:val="0"/>
                <w:color w:val="auto"/>
                <w:sz w:val="22"/>
                <w:szCs w:val="22"/>
                <w:u w:val="none"/>
              </w:rPr>
            </w:pPr>
          </w:p>
        </w:tc>
        <w:tc>
          <w:tcPr>
            <w:tcW w:w="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7B8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满意度</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8FA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企业和求职者对服务的满意度</w:t>
            </w:r>
          </w:p>
        </w:tc>
        <w:tc>
          <w:tcPr>
            <w:tcW w:w="108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5572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年度或不定期采用满意度调查问卷的方式，从服务对象中抽取部分企业和求职者，测评运营机构服务开展的满意度。</w:t>
            </w:r>
          </w:p>
        </w:tc>
      </w:tr>
    </w:tbl>
    <w:p w14:paraId="51C41B74">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Arial" w:hAnsi="Arial" w:eastAsia="Arial" w:cs="Arial"/>
          <w:snapToGrid w:val="0"/>
          <w:color w:val="000000"/>
          <w:sz w:val="21"/>
          <w:szCs w:val="21"/>
          <w:highlight w:val="none"/>
          <w:lang w:val="en-US" w:eastAsia="zh-CN" w:bidi="ar-SA"/>
        </w:rPr>
        <w:sectPr>
          <w:pgSz w:w="16839" w:h="11906" w:orient="landscape"/>
          <w:pgMar w:top="1307" w:right="1009" w:bottom="1310" w:left="1043" w:header="0" w:footer="994" w:gutter="0"/>
          <w:pgNumType w:fmt="decimal"/>
          <w:cols w:space="720" w:num="1"/>
        </w:sectPr>
      </w:pPr>
    </w:p>
    <w:tbl>
      <w:tblPr>
        <w:tblStyle w:val="3"/>
        <w:tblW w:w="1425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58"/>
        <w:gridCol w:w="832"/>
        <w:gridCol w:w="790"/>
        <w:gridCol w:w="1405"/>
        <w:gridCol w:w="10667"/>
      </w:tblGrid>
      <w:tr w14:paraId="74B0D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558" w:type="dxa"/>
            <w:tcBorders>
              <w:top w:val="nil"/>
              <w:left w:val="nil"/>
              <w:bottom w:val="nil"/>
              <w:right w:val="nil"/>
            </w:tcBorders>
            <w:shd w:val="clear" w:color="auto" w:fill="auto"/>
            <w:vAlign w:val="center"/>
          </w:tcPr>
          <w:p w14:paraId="2E93E506">
            <w:pPr>
              <w:jc w:val="center"/>
              <w:rPr>
                <w:rFonts w:hint="eastAsia" w:asciiTheme="minorEastAsia" w:hAnsiTheme="minorEastAsia" w:eastAsiaTheme="minorEastAsia" w:cstheme="minorEastAsia"/>
                <w:i w:val="0"/>
                <w:iCs w:val="0"/>
                <w:color w:val="auto"/>
                <w:sz w:val="22"/>
                <w:szCs w:val="22"/>
                <w:u w:val="none"/>
              </w:rPr>
            </w:pPr>
          </w:p>
        </w:tc>
        <w:tc>
          <w:tcPr>
            <w:tcW w:w="13694" w:type="dxa"/>
            <w:gridSpan w:val="4"/>
            <w:tcBorders>
              <w:top w:val="nil"/>
              <w:left w:val="nil"/>
              <w:bottom w:val="nil"/>
              <w:right w:val="nil"/>
            </w:tcBorders>
            <w:shd w:val="clear" w:color="auto" w:fill="auto"/>
            <w:vAlign w:val="center"/>
          </w:tcPr>
          <w:p w14:paraId="4DD4E30B">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40"/>
                <w:szCs w:val="40"/>
                <w:u w:val="none"/>
              </w:rPr>
            </w:pPr>
            <w:r>
              <w:rPr>
                <w:rFonts w:hint="eastAsia" w:asciiTheme="minorEastAsia" w:hAnsiTheme="minorEastAsia" w:eastAsiaTheme="minorEastAsia" w:cstheme="minorEastAsia"/>
                <w:b/>
                <w:bCs/>
                <w:i w:val="0"/>
                <w:iCs w:val="0"/>
                <w:snapToGrid w:val="0"/>
                <w:color w:val="auto"/>
                <w:kern w:val="0"/>
                <w:sz w:val="40"/>
                <w:szCs w:val="40"/>
                <w:u w:val="none"/>
                <w:lang w:val="en-US" w:eastAsia="zh-CN" w:bidi="ar"/>
              </w:rPr>
              <w:t>定南县各社区就业之家市场化运营项目服务清单</w:t>
            </w:r>
          </w:p>
        </w:tc>
      </w:tr>
      <w:tr w14:paraId="5D47C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79BF6">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序号</w:t>
            </w:r>
          </w:p>
        </w:tc>
        <w:tc>
          <w:tcPr>
            <w:tcW w:w="8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48BAF">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4"/>
                <w:szCs w:val="24"/>
                <w:u w:val="none"/>
              </w:rPr>
            </w:pPr>
            <w:r>
              <w:rPr>
                <w:rFonts w:hint="eastAsia" w:asciiTheme="minorEastAsia" w:hAnsiTheme="minorEastAsia" w:eastAsiaTheme="minorEastAsia" w:cstheme="minorEastAsia"/>
                <w:b/>
                <w:bCs/>
                <w:i w:val="0"/>
                <w:iCs w:val="0"/>
                <w:snapToGrid w:val="0"/>
                <w:color w:val="auto"/>
                <w:kern w:val="0"/>
                <w:sz w:val="24"/>
                <w:szCs w:val="24"/>
                <w:u w:val="none"/>
                <w:lang w:val="en-US" w:eastAsia="zh-CN" w:bidi="ar"/>
              </w:rPr>
              <w:t>指标类别</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4B97">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考核项目</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5F1D2">
            <w:pPr>
              <w:keepNext w:val="0"/>
              <w:keepLines w:val="0"/>
              <w:widowControl/>
              <w:suppressLineNumbers w:val="0"/>
              <w:jc w:val="left"/>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考核内容</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20758">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z w:val="28"/>
                <w:szCs w:val="28"/>
                <w:u w:val="none"/>
              </w:rPr>
            </w:pPr>
            <w:r>
              <w:rPr>
                <w:rFonts w:hint="eastAsia" w:asciiTheme="minorEastAsia" w:hAnsiTheme="minorEastAsia" w:eastAsiaTheme="minorEastAsia" w:cstheme="minorEastAsia"/>
                <w:b/>
                <w:bCs/>
                <w:i w:val="0"/>
                <w:iCs w:val="0"/>
                <w:snapToGrid w:val="0"/>
                <w:color w:val="auto"/>
                <w:kern w:val="0"/>
                <w:sz w:val="28"/>
                <w:szCs w:val="28"/>
                <w:u w:val="none"/>
                <w:lang w:val="en-US" w:eastAsia="zh-CN" w:bidi="ar"/>
              </w:rPr>
              <w:t>指标说明</w:t>
            </w:r>
          </w:p>
        </w:tc>
      </w:tr>
      <w:tr w14:paraId="0BDB6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7"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D35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42C0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基础运营服务</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6340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公共就业服务</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2965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常态化服务</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4A63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000000"/>
                <w:kern w:val="0"/>
                <w:sz w:val="22"/>
                <w:szCs w:val="22"/>
                <w:highlight w:val="none"/>
                <w:u w:val="none"/>
                <w:lang w:val="en-US" w:eastAsia="zh-CN" w:bidi="ar"/>
              </w:rPr>
              <w:t>按要求配备19名工作人员，</w:t>
            </w:r>
            <w:r>
              <w:rPr>
                <w:rFonts w:hint="eastAsia" w:asciiTheme="minorEastAsia" w:hAnsiTheme="minorEastAsia" w:eastAsiaTheme="minorEastAsia" w:cstheme="minorEastAsia"/>
                <w:i w:val="0"/>
                <w:iCs w:val="0"/>
                <w:snapToGrid w:val="0"/>
                <w:color w:val="auto"/>
                <w:kern w:val="0"/>
                <w:sz w:val="22"/>
                <w:szCs w:val="22"/>
                <w:u w:val="none"/>
                <w:lang w:val="en-US" w:eastAsia="zh-CN" w:bidi="ar"/>
              </w:rPr>
              <w:t>按照“5+2就业之家”社区就业之家服务事项要求做好9项事项服务以及就业中心相关业务，着装规范，服务优质。工作日提供8小时内现场服务，非工作日及8小时外提供电话咨询服务。各项服务台账规范整洁，数据真实准确。以良好的服务态度接待引导来访求职人员，指导来访和求职人员使用自助机和各线上平台，及时在社区微信群转发就业创业相关信息。</w:t>
            </w:r>
          </w:p>
        </w:tc>
      </w:tr>
      <w:tr w14:paraId="4386A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199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2</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1852B5">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1BD96C">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D1C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就业服务专项活动</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513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每年开展就业创业政策宣传、“5+2就业之家”品牌推广活动，为县内企业在人员密集场所开展招聘宣传活动不少于12次。</w:t>
            </w:r>
          </w:p>
        </w:tc>
      </w:tr>
      <w:tr w14:paraId="199C9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4"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BCA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3</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AE91D9">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83BE4">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6BC74">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招聘信息收集发布</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7C016">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每日收集社区内用人单位招聘信息。季节性、零工类、家政类岗位上传至县级就业之家，将县级就业之家发布的全县企业招聘信息发送至各社区微信群，更新张贴至宣传栏；2.每月在江西省就业之家平台发布本社区用人单位招聘信息不少于5条。</w:t>
            </w:r>
          </w:p>
        </w:tc>
      </w:tr>
      <w:tr w14:paraId="6211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9"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BBE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4</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B21742">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2AD5CC">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1DC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就业之家品牌宣传</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209F3">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每年开展就业创业政策宣传、“5+2就业之家”品牌推广活动不少于12次，每个月不少于1次，节假日等特殊期间按要求增加宣传推广次数；宣传就业之家平台功能，按要求组织用人单位入驻江西就业之家平台，有招聘需求的用人单位授权至本就业之家。</w:t>
            </w:r>
          </w:p>
        </w:tc>
      </w:tr>
      <w:tr w14:paraId="6D4C8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2"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4C2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5</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00DAE">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707C61">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1D39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就业指导与服务人次</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68B1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窗口以良好的服务态度接待来访与求职人员，准确清晰弄清服务对象与来意，指导求职人员使用就业之家线上平台，并利用专业能力为求职者画像，适配符合求职者自身条件的岗位，协助来访人员咨询各就业服务事项与就业创业政策；协助县级就业之家或用人单位做好各项就业活动、会议、培训服务等。</w:t>
            </w:r>
          </w:p>
        </w:tc>
      </w:tr>
      <w:tr w14:paraId="12322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2"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748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6</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EF1D39">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88334">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BA908">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重点群体服务</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ACE1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配合县级就业之家开展好重点就业群体服务。根据要求开展重点就业群体（高校毕业生、 登记失业人员、就业困难人员、 返乡农民工、退捕渔民等）的就业状况调就业意愿分析，并做好岗位推荐和职业介绍工作。</w:t>
            </w:r>
          </w:p>
        </w:tc>
      </w:tr>
      <w:tr w14:paraId="33083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018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7</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D372E3">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458BE5">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C32F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就业分析</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33CD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 xml:space="preserve"> 1.每年提交一次本社区劳动力分布及就业状况调查报告；2、每年度运营到期前1个月提交本就业之家年度运营分析报告。</w:t>
            </w:r>
          </w:p>
        </w:tc>
      </w:tr>
      <w:tr w14:paraId="100D7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7"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464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8</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E10ABA">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60B562">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F8EB9">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网点建设配合度</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3E5D5">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配合县级就业之家（网点）的建设运营指导工作，包括但不限于日常线上、线下招聘活动动员，就业之家平台建设统筹，就业经办、就业援助、就业政策落实等相关业务的培训指导，推动全县就业之家服务能力整体提升。</w:t>
            </w:r>
          </w:p>
        </w:tc>
      </w:tr>
      <w:tr w14:paraId="43D2E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BA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9</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3E918">
            <w:pPr>
              <w:jc w:val="center"/>
              <w:rPr>
                <w:rFonts w:hint="eastAsia" w:asciiTheme="minorEastAsia" w:hAnsiTheme="minorEastAsia" w:eastAsiaTheme="minorEastAsia" w:cstheme="minorEastAsia"/>
                <w:i w:val="0"/>
                <w:iCs w:val="0"/>
                <w:color w:val="auto"/>
                <w:sz w:val="22"/>
                <w:szCs w:val="22"/>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C97689">
            <w:pPr>
              <w:jc w:val="center"/>
              <w:rPr>
                <w:rFonts w:hint="eastAsia" w:asciiTheme="minorEastAsia" w:hAnsiTheme="minorEastAsia" w:eastAsiaTheme="minorEastAsia" w:cstheme="minorEastAsia"/>
                <w:i w:val="0"/>
                <w:iCs w:val="0"/>
                <w:color w:val="auto"/>
                <w:sz w:val="22"/>
                <w:szCs w:val="22"/>
                <w:u w:val="none"/>
              </w:rPr>
            </w:pP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7779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就业之家平台建设要求</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77E4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负责本社区就业之家网点端登录情况、岗位发布数量、岗位录用反馈、简历查看情况、扫码服务量、评价管理、企业平台注册等关键指标，确保网点端每日登录、正常运营；岗位录用及时跟进反馈、差评及时处理；月扫码量及月岗位发布量保持正增长。具体要求以省市考核内容为准。</w:t>
            </w:r>
          </w:p>
        </w:tc>
      </w:tr>
      <w:tr w14:paraId="5627D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96"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A4F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10</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AAF95">
            <w:pPr>
              <w:jc w:val="center"/>
              <w:rPr>
                <w:rFonts w:hint="eastAsia" w:asciiTheme="minorEastAsia" w:hAnsiTheme="minorEastAsia" w:eastAsiaTheme="minorEastAsia" w:cstheme="minorEastAsia"/>
                <w:i w:val="0"/>
                <w:iCs w:val="0"/>
                <w:color w:val="auto"/>
                <w:sz w:val="22"/>
                <w:szCs w:val="22"/>
                <w:u w:val="none"/>
              </w:rPr>
            </w:pP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C1C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企业服务</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14322">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市县送工人数</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2780E">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采用线上线下招聘活动、各人力资源机构协作、省内外招聘等各种形式，为县工业园区企业、县域内重点企业、市重点企业招工送工，并采取各种措施，满足园区企业季节性、临时性、应急性用工需求。12个社区每年为县内园区和重点企业送工600人以上，按要求完成为市重点企业送工任务。</w:t>
            </w:r>
          </w:p>
        </w:tc>
      </w:tr>
      <w:tr w14:paraId="1715D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DDE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12</w:t>
            </w:r>
          </w:p>
        </w:tc>
        <w:tc>
          <w:tcPr>
            <w:tcW w:w="832" w:type="dxa"/>
            <w:vMerge w:val="restart"/>
            <w:tcBorders>
              <w:top w:val="single" w:color="000000" w:sz="4" w:space="0"/>
              <w:left w:val="single" w:color="000000" w:sz="4" w:space="0"/>
              <w:bottom w:val="nil"/>
              <w:right w:val="single" w:color="000000" w:sz="4" w:space="0"/>
            </w:tcBorders>
            <w:shd w:val="clear" w:color="auto" w:fill="auto"/>
            <w:vAlign w:val="center"/>
          </w:tcPr>
          <w:p w14:paraId="2FE9A5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创新服务</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0EA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98F0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新业态就业服务</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9AD2C">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1、新业态人群就业人数；2、新业态服务活动次数。</w:t>
            </w:r>
          </w:p>
        </w:tc>
      </w:tr>
      <w:tr w14:paraId="01D78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1"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2DB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13</w:t>
            </w:r>
          </w:p>
        </w:tc>
        <w:tc>
          <w:tcPr>
            <w:tcW w:w="832" w:type="dxa"/>
            <w:vMerge w:val="continue"/>
            <w:tcBorders>
              <w:top w:val="single" w:color="000000" w:sz="4" w:space="0"/>
              <w:left w:val="single" w:color="000000" w:sz="4" w:space="0"/>
              <w:bottom w:val="nil"/>
              <w:right w:val="single" w:color="000000" w:sz="4" w:space="0"/>
            </w:tcBorders>
            <w:shd w:val="clear" w:color="auto" w:fill="auto"/>
            <w:vAlign w:val="center"/>
          </w:tcPr>
          <w:p w14:paraId="5ABAE923">
            <w:pPr>
              <w:jc w:val="center"/>
              <w:rPr>
                <w:rFonts w:hint="eastAsia" w:asciiTheme="minorEastAsia" w:hAnsiTheme="minorEastAsia" w:eastAsiaTheme="minorEastAsia" w:cstheme="minorEastAsia"/>
                <w:i w:val="0"/>
                <w:iCs w:val="0"/>
                <w:color w:val="auto"/>
                <w:sz w:val="22"/>
                <w:szCs w:val="22"/>
                <w:u w:val="none"/>
              </w:rPr>
            </w:pPr>
          </w:p>
        </w:tc>
        <w:tc>
          <w:tcPr>
            <w:tcW w:w="21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1CCE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其他</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E66C0">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在人力资源行业或省市有先进性或可作典型经验的做法或金点子应用于社区内就业服务。</w:t>
            </w:r>
          </w:p>
        </w:tc>
      </w:tr>
      <w:tr w14:paraId="0236E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C15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14</w:t>
            </w:r>
          </w:p>
        </w:tc>
        <w:tc>
          <w:tcPr>
            <w:tcW w:w="83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546A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可持续性</w:t>
            </w: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D27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运营常态化</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D7E37">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人员稳定性</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6A9EF">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改善企业工作、生活环境，创造员工能力提升空间，根据市场变化和工作强度适配薪酬，增强企业凝聚力和企业竞争力。</w:t>
            </w:r>
          </w:p>
        </w:tc>
      </w:tr>
      <w:tr w14:paraId="4925F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5" w:hRule="atLeast"/>
          <w:jc w:val="center"/>
        </w:trPr>
        <w:tc>
          <w:tcPr>
            <w:tcW w:w="5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D12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15</w:t>
            </w:r>
          </w:p>
        </w:tc>
        <w:tc>
          <w:tcPr>
            <w:tcW w:w="83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4015FB">
            <w:pPr>
              <w:jc w:val="center"/>
              <w:rPr>
                <w:rFonts w:hint="eastAsia" w:asciiTheme="minorEastAsia" w:hAnsiTheme="minorEastAsia" w:eastAsiaTheme="minorEastAsia" w:cstheme="minorEastAsia"/>
                <w:i w:val="0"/>
                <w:iCs w:val="0"/>
                <w:color w:val="auto"/>
                <w:sz w:val="22"/>
                <w:szCs w:val="22"/>
                <w:u w:val="none"/>
              </w:rPr>
            </w:pPr>
          </w:p>
        </w:tc>
        <w:tc>
          <w:tcPr>
            <w:tcW w:w="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08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满意度</w:t>
            </w:r>
          </w:p>
        </w:tc>
        <w:tc>
          <w:tcPr>
            <w:tcW w:w="14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94CCB">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企业和求职者对服务的满意度</w:t>
            </w:r>
          </w:p>
        </w:tc>
        <w:tc>
          <w:tcPr>
            <w:tcW w:w="106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2301D">
            <w:pPr>
              <w:keepNext w:val="0"/>
              <w:keepLines w:val="0"/>
              <w:widowControl/>
              <w:suppressLineNumbers w:val="0"/>
              <w:jc w:val="left"/>
              <w:textAlignment w:val="center"/>
              <w:rPr>
                <w:rFonts w:hint="eastAsia" w:asciiTheme="minorEastAsia" w:hAnsiTheme="minorEastAsia" w:eastAsiaTheme="minorEastAsia" w:cstheme="minorEastAsia"/>
                <w:i w:val="0"/>
                <w:iCs w:val="0"/>
                <w:color w:val="auto"/>
                <w:sz w:val="22"/>
                <w:szCs w:val="22"/>
                <w:u w:val="none"/>
              </w:rPr>
            </w:pPr>
            <w:r>
              <w:rPr>
                <w:rFonts w:hint="eastAsia" w:asciiTheme="minorEastAsia" w:hAnsiTheme="minorEastAsia" w:eastAsiaTheme="minorEastAsia" w:cstheme="minorEastAsia"/>
                <w:i w:val="0"/>
                <w:iCs w:val="0"/>
                <w:snapToGrid w:val="0"/>
                <w:color w:val="auto"/>
                <w:kern w:val="0"/>
                <w:sz w:val="22"/>
                <w:szCs w:val="22"/>
                <w:u w:val="none"/>
                <w:lang w:val="en-US" w:eastAsia="zh-CN" w:bidi="ar"/>
              </w:rPr>
              <w:t>年度或不定期采用满意度调查问卷的方式，从服务对象中抽取部分用人单位和求职者，测评运营机构服务开展的满意度。</w:t>
            </w:r>
          </w:p>
        </w:tc>
      </w:tr>
    </w:tbl>
    <w:p w14:paraId="73563724">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Arial" w:hAnsi="Arial" w:eastAsia="Arial" w:cs="Arial"/>
          <w:snapToGrid w:val="0"/>
          <w:color w:val="000000"/>
          <w:sz w:val="21"/>
          <w:szCs w:val="21"/>
          <w:highlight w:val="none"/>
          <w:lang w:val="en-US" w:eastAsia="zh-CN" w:bidi="ar-SA"/>
        </w:rPr>
      </w:pPr>
    </w:p>
    <w:p w14:paraId="55FAB51C">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ascii="Arial" w:hAnsi="Arial" w:eastAsia="Arial" w:cs="Arial"/>
          <w:snapToGrid w:val="0"/>
          <w:color w:val="000000"/>
          <w:sz w:val="21"/>
          <w:szCs w:val="21"/>
          <w:highlight w:val="none"/>
          <w:lang w:val="en-US" w:eastAsia="zh-CN" w:bidi="ar-SA"/>
        </w:rPr>
      </w:pPr>
    </w:p>
    <w:p w14:paraId="3DD120A4">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eastAsia" w:cs="Arial"/>
          <w:b/>
          <w:bCs/>
          <w:snapToGrid w:val="0"/>
          <w:color w:val="0000FF"/>
          <w:sz w:val="21"/>
          <w:szCs w:val="21"/>
          <w:highlight w:val="none"/>
          <w:lang w:val="en-US" w:eastAsia="zh-CN" w:bidi="ar-SA"/>
        </w:rPr>
        <w:sectPr>
          <w:pgSz w:w="16839" w:h="11906" w:orient="landscape"/>
          <w:pgMar w:top="1307" w:right="1009" w:bottom="1310" w:left="1043" w:header="0" w:footer="994" w:gutter="0"/>
          <w:pgNumType w:fmt="decimal"/>
          <w:cols w:space="720" w:num="1"/>
        </w:sectPr>
      </w:pPr>
      <w:r>
        <w:rPr>
          <w:rFonts w:hint="eastAsia" w:cs="Arial"/>
          <w:b/>
          <w:bCs/>
          <w:snapToGrid w:val="0"/>
          <w:color w:val="0000FF"/>
          <w:sz w:val="21"/>
          <w:szCs w:val="21"/>
          <w:highlight w:val="none"/>
          <w:lang w:val="en-US" w:eastAsia="zh-CN" w:bidi="ar-SA"/>
        </w:rPr>
        <w:t>品目一及品目二针对以上采购需求所要求的人员均需提供承诺函，格式详见(采购需求所需人员承诺函）。</w:t>
      </w:r>
    </w:p>
    <w:p w14:paraId="2DE655CF">
      <w:pPr>
        <w:keepNext w:val="0"/>
        <w:keepLines w:val="0"/>
        <w:pageBreakBefore w:val="0"/>
        <w:widowControl w:val="0"/>
        <w:kinsoku/>
        <w:wordWrap w:val="0"/>
        <w:overflowPunct/>
        <w:topLinePunct/>
        <w:autoSpaceDE/>
        <w:autoSpaceDN/>
        <w:bidi w:val="0"/>
        <w:adjustRightInd w:val="0"/>
        <w:snapToGrid w:val="0"/>
        <w:spacing w:line="480" w:lineRule="auto"/>
        <w:jc w:val="center"/>
        <w:textAlignment w:val="baseline"/>
        <w:rPr>
          <w:rFonts w:hint="default" w:cs="Arial"/>
          <w:b/>
          <w:bCs/>
          <w:snapToGrid w:val="0"/>
          <w:color w:val="auto"/>
          <w:sz w:val="28"/>
          <w:szCs w:val="28"/>
          <w:highlight w:val="none"/>
          <w:lang w:val="en-US" w:eastAsia="zh-CN" w:bidi="ar-SA"/>
        </w:rPr>
      </w:pPr>
    </w:p>
    <w:p w14:paraId="628BDA4B">
      <w:pPr>
        <w:keepNext w:val="0"/>
        <w:keepLines w:val="0"/>
        <w:pageBreakBefore w:val="0"/>
        <w:widowControl w:val="0"/>
        <w:kinsoku/>
        <w:wordWrap w:val="0"/>
        <w:overflowPunct/>
        <w:topLinePunct/>
        <w:autoSpaceDE/>
        <w:autoSpaceDN/>
        <w:bidi w:val="0"/>
        <w:adjustRightInd w:val="0"/>
        <w:snapToGrid w:val="0"/>
        <w:spacing w:line="480" w:lineRule="auto"/>
        <w:jc w:val="center"/>
        <w:textAlignment w:val="baseline"/>
        <w:rPr>
          <w:rFonts w:hint="eastAsia" w:asciiTheme="majorEastAsia" w:hAnsiTheme="majorEastAsia" w:eastAsiaTheme="majorEastAsia" w:cstheme="majorEastAsia"/>
          <w:color w:val="auto"/>
          <w:spacing w:val="0"/>
          <w:position w:val="0"/>
          <w:sz w:val="24"/>
          <w:szCs w:val="24"/>
          <w:highlight w:val="none"/>
          <w:lang w:eastAsia="zh-CN"/>
        </w:rPr>
      </w:pPr>
      <w:r>
        <w:rPr>
          <w:rFonts w:hint="default" w:cs="Arial"/>
          <w:b/>
          <w:bCs/>
          <w:snapToGrid w:val="0"/>
          <w:color w:val="auto"/>
          <w:sz w:val="28"/>
          <w:szCs w:val="28"/>
          <w:highlight w:val="none"/>
          <w:lang w:val="en-US" w:eastAsia="zh-CN" w:bidi="ar-SA"/>
        </w:rPr>
        <w:t>采购需求所需人员承诺函</w:t>
      </w:r>
    </w:p>
    <w:p w14:paraId="7032EE89">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u w:val="single"/>
          <w:lang w:eastAsia="zh-CN"/>
        </w:rPr>
      </w:pPr>
      <w:r>
        <w:rPr>
          <w:rFonts w:hint="eastAsia" w:asciiTheme="majorEastAsia" w:hAnsiTheme="majorEastAsia" w:eastAsiaTheme="majorEastAsia" w:cstheme="majorEastAsia"/>
          <w:color w:val="auto"/>
          <w:spacing w:val="0"/>
          <w:position w:val="0"/>
          <w:sz w:val="24"/>
          <w:szCs w:val="24"/>
          <w:highlight w:val="none"/>
          <w:lang w:eastAsia="zh-CN"/>
        </w:rPr>
        <w:t>致：</w:t>
      </w:r>
      <w:r>
        <w:rPr>
          <w:rFonts w:hint="eastAsia" w:asciiTheme="majorEastAsia" w:hAnsiTheme="majorEastAsia" w:eastAsiaTheme="majorEastAsia" w:cstheme="majorEastAsia"/>
          <w:color w:val="auto"/>
          <w:spacing w:val="0"/>
          <w:position w:val="0"/>
          <w:sz w:val="24"/>
          <w:szCs w:val="24"/>
          <w:highlight w:val="none"/>
          <w:u w:val="single"/>
          <w:lang w:val="en-US" w:eastAsia="zh-CN"/>
        </w:rPr>
        <w:t>采购人或</w:t>
      </w:r>
      <w:r>
        <w:rPr>
          <w:rFonts w:hint="eastAsia" w:asciiTheme="majorEastAsia" w:hAnsiTheme="majorEastAsia" w:eastAsiaTheme="majorEastAsia" w:cstheme="majorEastAsia"/>
          <w:color w:val="auto"/>
          <w:spacing w:val="0"/>
          <w:position w:val="0"/>
          <w:sz w:val="24"/>
          <w:szCs w:val="24"/>
          <w:highlight w:val="none"/>
          <w:u w:val="single"/>
          <w:lang w:eastAsia="zh-CN"/>
        </w:rPr>
        <w:t>采购代理机构名称</w:t>
      </w:r>
    </w:p>
    <w:p w14:paraId="78383027">
      <w:pPr>
        <w:keepNext w:val="0"/>
        <w:keepLines w:val="0"/>
        <w:pageBreakBefore w:val="0"/>
        <w:widowControl w:val="0"/>
        <w:kinsoku/>
        <w:wordWrap w:val="0"/>
        <w:overflowPunct/>
        <w:topLinePunct/>
        <w:autoSpaceDE/>
        <w:autoSpaceDN/>
        <w:bidi w:val="0"/>
        <w:adjustRightInd w:val="0"/>
        <w:snapToGrid w:val="0"/>
        <w:spacing w:line="480" w:lineRule="auto"/>
        <w:ind w:firstLine="480" w:firstLineChars="200"/>
        <w:textAlignment w:val="baseline"/>
        <w:rPr>
          <w:rFonts w:hint="eastAsia" w:asciiTheme="majorEastAsia" w:hAnsiTheme="majorEastAsia" w:eastAsiaTheme="majorEastAsia" w:cstheme="majorEastAsia"/>
          <w:color w:val="auto"/>
          <w:spacing w:val="0"/>
          <w:position w:val="0"/>
          <w:sz w:val="24"/>
          <w:szCs w:val="24"/>
          <w:highlight w:val="none"/>
          <w:lang w:val="en-US" w:eastAsia="zh-CN"/>
        </w:rPr>
      </w:pPr>
      <w:r>
        <w:rPr>
          <w:rFonts w:hint="eastAsia" w:asciiTheme="majorEastAsia" w:hAnsiTheme="majorEastAsia" w:eastAsiaTheme="majorEastAsia" w:cstheme="majorEastAsia"/>
          <w:color w:val="auto"/>
          <w:spacing w:val="0"/>
          <w:position w:val="0"/>
          <w:sz w:val="24"/>
          <w:szCs w:val="24"/>
          <w:highlight w:val="none"/>
          <w:lang w:eastAsia="zh-CN"/>
        </w:rPr>
        <w:t>我们</w:t>
      </w:r>
      <w:r>
        <w:rPr>
          <w:rFonts w:hint="eastAsia" w:asciiTheme="majorEastAsia" w:hAnsiTheme="majorEastAsia" w:eastAsiaTheme="majorEastAsia" w:cstheme="majorEastAsia"/>
          <w:color w:val="auto"/>
          <w:spacing w:val="0"/>
          <w:position w:val="0"/>
          <w:sz w:val="24"/>
          <w:szCs w:val="24"/>
          <w:highlight w:val="none"/>
          <w:lang w:val="en-US" w:eastAsia="zh-CN"/>
        </w:rPr>
        <w:t>在</w:t>
      </w:r>
      <w:r>
        <w:rPr>
          <w:rFonts w:hint="eastAsia" w:asciiTheme="majorEastAsia" w:hAnsiTheme="majorEastAsia" w:eastAsiaTheme="majorEastAsia" w:cstheme="majorEastAsia"/>
          <w:b/>
          <w:bCs/>
          <w:color w:val="auto"/>
          <w:spacing w:val="0"/>
          <w:position w:val="0"/>
          <w:sz w:val="24"/>
          <w:szCs w:val="24"/>
          <w:highlight w:val="none"/>
          <w:u w:val="single"/>
          <w:lang w:eastAsia="zh-CN"/>
        </w:rPr>
        <w:t>（</w:t>
      </w:r>
      <w:r>
        <w:rPr>
          <w:rFonts w:hint="eastAsia" w:asciiTheme="majorEastAsia" w:hAnsiTheme="majorEastAsia" w:eastAsiaTheme="majorEastAsia" w:cstheme="majorEastAsia"/>
          <w:b/>
          <w:bCs/>
          <w:color w:val="0000FF"/>
          <w:spacing w:val="0"/>
          <w:position w:val="0"/>
          <w:sz w:val="24"/>
          <w:szCs w:val="24"/>
          <w:highlight w:val="none"/>
          <w:u w:val="single"/>
          <w:lang w:val="en-US" w:eastAsia="zh-CN"/>
        </w:rPr>
        <w:t>项目名称,根据自己所投的品目来填写</w:t>
      </w:r>
      <w:r>
        <w:rPr>
          <w:rFonts w:hint="eastAsia" w:asciiTheme="majorEastAsia" w:hAnsiTheme="majorEastAsia" w:eastAsiaTheme="majorEastAsia" w:cstheme="majorEastAsia"/>
          <w:b/>
          <w:bCs/>
          <w:color w:val="auto"/>
          <w:spacing w:val="0"/>
          <w:position w:val="0"/>
          <w:sz w:val="24"/>
          <w:szCs w:val="24"/>
          <w:highlight w:val="none"/>
          <w:u w:val="single"/>
          <w:lang w:val="en-US" w:eastAsia="zh-CN"/>
        </w:rPr>
        <w:t>）</w:t>
      </w:r>
      <w:r>
        <w:rPr>
          <w:rFonts w:hint="eastAsia" w:asciiTheme="majorEastAsia" w:hAnsiTheme="majorEastAsia" w:eastAsiaTheme="majorEastAsia" w:cstheme="majorEastAsia"/>
          <w:color w:val="auto"/>
          <w:spacing w:val="0"/>
          <w:position w:val="0"/>
          <w:sz w:val="24"/>
          <w:szCs w:val="24"/>
          <w:highlight w:val="none"/>
          <w:lang w:eastAsia="zh-CN"/>
        </w:rPr>
        <w:t>项目投标（项目编号：</w:t>
      </w:r>
      <w:r>
        <w:rPr>
          <w:rFonts w:hint="eastAsia" w:asciiTheme="majorEastAsia" w:hAnsiTheme="majorEastAsia" w:eastAsiaTheme="majorEastAsia" w:cstheme="majorEastAsia"/>
          <w:color w:val="auto"/>
          <w:spacing w:val="0"/>
          <w:position w:val="0"/>
          <w:sz w:val="24"/>
          <w:szCs w:val="24"/>
          <w:highlight w:val="none"/>
          <w:u w:val="single"/>
          <w:lang w:val="en-US" w:eastAsia="zh-CN"/>
        </w:rPr>
        <w:t xml:space="preserve">ZXZN2026-DN-G001 </w:t>
      </w:r>
      <w:r>
        <w:rPr>
          <w:rFonts w:hint="eastAsia" w:asciiTheme="majorEastAsia" w:hAnsiTheme="majorEastAsia" w:eastAsiaTheme="majorEastAsia" w:cstheme="majorEastAsia"/>
          <w:b/>
          <w:bCs/>
          <w:color w:val="0000FF"/>
          <w:spacing w:val="0"/>
          <w:position w:val="0"/>
          <w:sz w:val="24"/>
          <w:szCs w:val="24"/>
          <w:highlight w:val="none"/>
          <w:u w:val="single"/>
          <w:lang w:val="en-US" w:eastAsia="zh-CN"/>
        </w:rPr>
        <w:t>根据自己所投品目填写</w:t>
      </w:r>
      <w:r>
        <w:rPr>
          <w:rFonts w:hint="eastAsia" w:asciiTheme="majorEastAsia" w:hAnsiTheme="majorEastAsia" w:eastAsiaTheme="majorEastAsia" w:cstheme="majorEastAsia"/>
          <w:color w:val="auto"/>
          <w:spacing w:val="0"/>
          <w:position w:val="0"/>
          <w:sz w:val="24"/>
          <w:szCs w:val="24"/>
          <w:highlight w:val="none"/>
          <w:lang w:eastAsia="zh-CN"/>
        </w:rPr>
        <w:t>），</w:t>
      </w:r>
      <w:r>
        <w:rPr>
          <w:rFonts w:hint="eastAsia" w:asciiTheme="majorEastAsia" w:hAnsiTheme="majorEastAsia" w:eastAsiaTheme="majorEastAsia" w:cstheme="majorEastAsia"/>
          <w:color w:val="auto"/>
          <w:spacing w:val="0"/>
          <w:position w:val="0"/>
          <w:sz w:val="24"/>
          <w:szCs w:val="24"/>
          <w:highlight w:val="none"/>
          <w:lang w:val="en-US" w:eastAsia="zh-CN"/>
        </w:rPr>
        <w:t>我公司承诺：</w:t>
      </w:r>
    </w:p>
    <w:p w14:paraId="01B1CCF3">
      <w:pPr>
        <w:keepNext w:val="0"/>
        <w:keepLines w:val="0"/>
        <w:pageBreakBefore w:val="0"/>
        <w:widowControl w:val="0"/>
        <w:kinsoku/>
        <w:wordWrap w:val="0"/>
        <w:overflowPunct/>
        <w:topLinePunct/>
        <w:autoSpaceDE/>
        <w:autoSpaceDN/>
        <w:bidi w:val="0"/>
        <w:adjustRightInd w:val="0"/>
        <w:snapToGrid w:val="0"/>
        <w:spacing w:line="480" w:lineRule="auto"/>
        <w:ind w:firstLine="480" w:firstLineChars="200"/>
        <w:textAlignment w:val="baseline"/>
        <w:rPr>
          <w:rFonts w:hint="eastAsia" w:asciiTheme="majorEastAsia" w:hAnsiTheme="majorEastAsia" w:eastAsiaTheme="majorEastAsia" w:cstheme="majorEastAsia"/>
          <w:color w:val="auto"/>
          <w:spacing w:val="0"/>
          <w:position w:val="0"/>
          <w:sz w:val="24"/>
          <w:szCs w:val="24"/>
          <w:highlight w:val="none"/>
          <w:lang w:val="en-US" w:eastAsia="zh-CN"/>
        </w:rPr>
      </w:pPr>
    </w:p>
    <w:p w14:paraId="3C901DAE">
      <w:pPr>
        <w:keepNext w:val="0"/>
        <w:keepLines w:val="0"/>
        <w:pageBreakBefore w:val="0"/>
        <w:widowControl w:val="0"/>
        <w:kinsoku/>
        <w:wordWrap w:val="0"/>
        <w:overflowPunct/>
        <w:topLinePunct/>
        <w:autoSpaceDE/>
        <w:autoSpaceDN/>
        <w:bidi w:val="0"/>
        <w:adjustRightInd w:val="0"/>
        <w:snapToGrid w:val="0"/>
        <w:spacing w:line="480" w:lineRule="auto"/>
        <w:ind w:firstLine="480" w:firstLineChars="200"/>
        <w:textAlignment w:val="baseline"/>
        <w:rPr>
          <w:rFonts w:hint="default" w:asciiTheme="majorEastAsia" w:hAnsiTheme="majorEastAsia" w:eastAsiaTheme="majorEastAsia" w:cstheme="majorEastAsia"/>
          <w:color w:val="auto"/>
          <w:spacing w:val="0"/>
          <w:position w:val="0"/>
          <w:sz w:val="24"/>
          <w:szCs w:val="24"/>
          <w:highlight w:val="none"/>
          <w:lang w:val="en-US" w:eastAsia="zh-CN"/>
        </w:rPr>
      </w:pPr>
      <w:r>
        <w:rPr>
          <w:rFonts w:hint="eastAsia" w:asciiTheme="majorEastAsia" w:hAnsiTheme="majorEastAsia" w:eastAsiaTheme="majorEastAsia" w:cstheme="majorEastAsia"/>
          <w:color w:val="auto"/>
          <w:spacing w:val="0"/>
          <w:position w:val="0"/>
          <w:sz w:val="24"/>
          <w:szCs w:val="24"/>
          <w:highlight w:val="none"/>
          <w:lang w:val="en-US" w:eastAsia="zh-CN"/>
        </w:rPr>
        <w:t>针对本项目所采购需求所需人员，若我公司中标后，一定按照招标文件要求，将所需人员全部配齐，如未达到要求，采购人有权取消其中标资格。</w:t>
      </w:r>
    </w:p>
    <w:p w14:paraId="15A905C1">
      <w:pPr>
        <w:keepNext w:val="0"/>
        <w:keepLines w:val="0"/>
        <w:pageBreakBefore w:val="0"/>
        <w:widowControl w:val="0"/>
        <w:kinsoku/>
        <w:wordWrap w:val="0"/>
        <w:overflowPunct/>
        <w:topLinePunct/>
        <w:autoSpaceDE/>
        <w:autoSpaceDN/>
        <w:bidi w:val="0"/>
        <w:adjustRightInd w:val="0"/>
        <w:snapToGrid w:val="0"/>
        <w:spacing w:line="480" w:lineRule="auto"/>
        <w:ind w:firstLine="480" w:firstLineChars="200"/>
        <w:textAlignment w:val="baseline"/>
        <w:rPr>
          <w:rFonts w:hint="eastAsia" w:asciiTheme="majorEastAsia" w:hAnsiTheme="majorEastAsia" w:eastAsiaTheme="majorEastAsia" w:cstheme="majorEastAsia"/>
          <w:color w:val="auto"/>
          <w:spacing w:val="0"/>
          <w:position w:val="0"/>
          <w:sz w:val="24"/>
          <w:szCs w:val="24"/>
          <w:highlight w:val="none"/>
          <w:lang w:eastAsia="zh-CN"/>
        </w:rPr>
      </w:pPr>
      <w:r>
        <w:rPr>
          <w:rFonts w:hint="eastAsia" w:asciiTheme="majorEastAsia" w:hAnsiTheme="majorEastAsia" w:eastAsiaTheme="majorEastAsia" w:cstheme="majorEastAsia"/>
          <w:color w:val="auto"/>
          <w:spacing w:val="0"/>
          <w:position w:val="0"/>
          <w:sz w:val="24"/>
          <w:szCs w:val="24"/>
          <w:highlight w:val="none"/>
          <w:lang w:eastAsia="zh-CN"/>
        </w:rPr>
        <w:t>特此承诺！</w:t>
      </w:r>
    </w:p>
    <w:p w14:paraId="5B67BFCB">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lang w:eastAsia="zh-CN"/>
        </w:rPr>
      </w:pPr>
    </w:p>
    <w:p w14:paraId="7547149D">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lang w:eastAsia="zh-CN"/>
        </w:rPr>
      </w:pPr>
      <w:r>
        <w:rPr>
          <w:rFonts w:hint="eastAsia" w:asciiTheme="majorEastAsia" w:hAnsiTheme="majorEastAsia" w:eastAsiaTheme="majorEastAsia" w:cstheme="majorEastAsia"/>
          <w:color w:val="auto"/>
          <w:spacing w:val="0"/>
          <w:position w:val="0"/>
          <w:sz w:val="24"/>
          <w:szCs w:val="24"/>
          <w:highlight w:val="none"/>
          <w:lang w:eastAsia="zh-CN"/>
        </w:rPr>
        <w:t>投标人盖章：</w:t>
      </w:r>
    </w:p>
    <w:p w14:paraId="28A2C7F8">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lang w:eastAsia="zh-CN"/>
        </w:rPr>
      </w:pPr>
    </w:p>
    <w:p w14:paraId="44809C02">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lang w:eastAsia="zh-CN"/>
        </w:rPr>
      </w:pPr>
      <w:r>
        <w:rPr>
          <w:rFonts w:hint="eastAsia" w:asciiTheme="majorEastAsia" w:hAnsiTheme="majorEastAsia" w:eastAsiaTheme="majorEastAsia" w:cstheme="majorEastAsia"/>
          <w:color w:val="auto"/>
          <w:spacing w:val="0"/>
          <w:position w:val="0"/>
          <w:sz w:val="24"/>
          <w:szCs w:val="24"/>
          <w:highlight w:val="none"/>
          <w:lang w:eastAsia="zh-CN"/>
        </w:rPr>
        <w:t>投标人代表（或自然人）签字或签章：</w:t>
      </w:r>
    </w:p>
    <w:p w14:paraId="1AAFCBD2">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eastAsia" w:asciiTheme="majorEastAsia" w:hAnsiTheme="majorEastAsia" w:eastAsiaTheme="majorEastAsia" w:cstheme="majorEastAsia"/>
          <w:color w:val="auto"/>
          <w:spacing w:val="0"/>
          <w:position w:val="0"/>
          <w:sz w:val="24"/>
          <w:szCs w:val="24"/>
          <w:highlight w:val="none"/>
          <w:lang w:val="en-US" w:eastAsia="zh-CN"/>
        </w:rPr>
      </w:pPr>
    </w:p>
    <w:p w14:paraId="32A7A05E">
      <w:pPr>
        <w:keepNext w:val="0"/>
        <w:keepLines w:val="0"/>
        <w:pageBreakBefore w:val="0"/>
        <w:widowControl w:val="0"/>
        <w:kinsoku/>
        <w:wordWrap w:val="0"/>
        <w:overflowPunct/>
        <w:topLinePunct/>
        <w:autoSpaceDE/>
        <w:autoSpaceDN/>
        <w:bidi w:val="0"/>
        <w:adjustRightInd w:val="0"/>
        <w:snapToGrid w:val="0"/>
        <w:spacing w:line="480" w:lineRule="auto"/>
        <w:textAlignment w:val="baseline"/>
        <w:rPr>
          <w:rFonts w:hint="default" w:ascii="Arial" w:hAnsi="Arial" w:eastAsia="Arial" w:cs="Arial"/>
          <w:snapToGrid w:val="0"/>
          <w:color w:val="000000"/>
          <w:sz w:val="21"/>
          <w:szCs w:val="21"/>
          <w:highlight w:val="none"/>
          <w:lang w:val="en-US" w:eastAsia="zh-CN" w:bidi="ar-SA"/>
        </w:rPr>
      </w:pPr>
      <w:r>
        <w:rPr>
          <w:rFonts w:hint="eastAsia" w:asciiTheme="majorEastAsia" w:hAnsiTheme="majorEastAsia" w:eastAsiaTheme="majorEastAsia" w:cstheme="majorEastAsia"/>
          <w:color w:val="auto"/>
          <w:spacing w:val="0"/>
          <w:position w:val="0"/>
          <w:sz w:val="24"/>
          <w:szCs w:val="24"/>
          <w:highlight w:val="none"/>
          <w:lang w:val="en-US" w:eastAsia="zh-CN"/>
        </w:rPr>
        <w:t>日     期：</w:t>
      </w:r>
    </w:p>
    <w:p w14:paraId="7FF718DA">
      <w:pPr>
        <w:keepNext w:val="0"/>
        <w:keepLines w:val="0"/>
        <w:pageBreakBefore w:val="0"/>
        <w:numPr>
          <w:ilvl w:val="0"/>
          <w:numId w:val="0"/>
        </w:numPr>
        <w:tabs>
          <w:tab w:val="left" w:pos="8070"/>
        </w:tabs>
        <w:kinsoku/>
        <w:wordWrap w:val="0"/>
        <w:overflowPunct/>
        <w:topLinePunct/>
        <w:autoSpaceDE/>
        <w:autoSpaceDN/>
        <w:bidi w:val="0"/>
        <w:ind w:firstLine="210" w:firstLineChars="100"/>
        <w:jc w:val="both"/>
        <w:rPr>
          <w:rFonts w:hint="default" w:cs="Arial"/>
          <w:b/>
          <w:bCs/>
          <w:snapToGrid w:val="0"/>
          <w:color w:val="0000FF"/>
          <w:sz w:val="21"/>
          <w:szCs w:val="21"/>
          <w:highlight w:val="none"/>
          <w:lang w:val="en-US" w:eastAsia="zh-CN" w:bidi="ar-SA"/>
        </w:rPr>
        <w:sectPr>
          <w:pgSz w:w="11906" w:h="16839"/>
          <w:pgMar w:top="1009" w:right="1310" w:bottom="1043" w:left="1307" w:header="0" w:footer="994" w:gutter="0"/>
          <w:pgNumType w:fmt="decimal"/>
          <w:cols w:space="720" w:num="1"/>
        </w:sectPr>
      </w:pPr>
    </w:p>
    <w:p w14:paraId="490250A3">
      <w:pPr>
        <w:keepNext w:val="0"/>
        <w:keepLines w:val="0"/>
        <w:pageBreakBefore w:val="0"/>
        <w:numPr>
          <w:ilvl w:val="0"/>
          <w:numId w:val="0"/>
        </w:numPr>
        <w:tabs>
          <w:tab w:val="left" w:pos="8070"/>
        </w:tabs>
        <w:kinsoku/>
        <w:wordWrap w:val="0"/>
        <w:overflowPunct/>
        <w:topLinePunct/>
        <w:autoSpaceDE/>
        <w:autoSpaceDN/>
        <w:bidi w:val="0"/>
        <w:ind w:firstLine="360" w:firstLineChars="100"/>
        <w:jc w:val="center"/>
        <w:rPr>
          <w:rFonts w:hint="eastAsia" w:ascii="Arial" w:hAnsi="Arial" w:eastAsia="Arial" w:cs="Arial"/>
          <w:snapToGrid w:val="0"/>
          <w:color w:val="000000"/>
          <w:sz w:val="36"/>
          <w:szCs w:val="36"/>
          <w:highlight w:val="none"/>
          <w:lang w:val="en-US" w:eastAsia="zh-CN" w:bidi="ar-SA"/>
        </w:rPr>
      </w:pPr>
      <w:r>
        <w:rPr>
          <w:rFonts w:hint="eastAsia" w:ascii="Arial" w:hAnsi="Arial" w:eastAsia="Arial" w:cs="Arial"/>
          <w:snapToGrid w:val="0"/>
          <w:color w:val="000000"/>
          <w:sz w:val="36"/>
          <w:szCs w:val="36"/>
          <w:highlight w:val="none"/>
          <w:lang w:val="en-US" w:eastAsia="zh-CN" w:bidi="ar-SA"/>
        </w:rPr>
        <w:t>商务要求</w:t>
      </w:r>
    </w:p>
    <w:p w14:paraId="4F3F83C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1、履行地点：定南县就业创业服务中心指定地点。</w:t>
      </w:r>
    </w:p>
    <w:p w14:paraId="65ED214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lang w:val="en-US" w:eastAsia="zh-CN" w:bidi="ar-SA"/>
        </w:rPr>
        <w:t>2、履行期限：</w:t>
      </w:r>
      <w:r>
        <w:rPr>
          <w:rFonts w:hint="eastAsia" w:ascii="宋体" w:hAnsi="宋体" w:eastAsia="宋体" w:cs="宋体"/>
          <w:snapToGrid w:val="0"/>
          <w:color w:val="auto"/>
          <w:sz w:val="24"/>
          <w:szCs w:val="24"/>
          <w:highlight w:val="none"/>
          <w:lang w:val="en-US" w:eastAsia="zh-CN" w:bidi="ar-SA"/>
        </w:rPr>
        <w:t>服务期限一年。本项目品目一预算金额1249200元及品目二预算金额1519500元均为一年服务金额。</w:t>
      </w:r>
    </w:p>
    <w:p w14:paraId="1EDC651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3、履约保证金: 本项目不收取履约保证金。</w:t>
      </w:r>
    </w:p>
    <w:p w14:paraId="5356068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4、付款进度和方式：</w:t>
      </w:r>
    </w:p>
    <w:p w14:paraId="57C8BD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lang w:val="en-US" w:eastAsia="zh-CN" w:bidi="ar-SA"/>
        </w:rPr>
      </w:pPr>
      <w:r>
        <w:rPr>
          <w:rFonts w:hint="eastAsia" w:ascii="宋体" w:hAnsi="宋体" w:eastAsia="宋体" w:cs="宋体"/>
          <w:snapToGrid w:val="0"/>
          <w:color w:val="auto"/>
          <w:sz w:val="24"/>
          <w:szCs w:val="24"/>
          <w:lang w:val="en-US" w:eastAsia="zh-CN" w:bidi="ar-SA"/>
        </w:rPr>
        <w:t>1.跟进服务绩效评估情况，由采购人按年支付项目服务费用。</w:t>
      </w:r>
    </w:p>
    <w:p w14:paraId="2BD865E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2.服务费用及支付方式</w:t>
      </w:r>
    </w:p>
    <w:p w14:paraId="0646E8D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(1)合同签订后 7 个工作日内支付合同价的 50%。</w:t>
      </w:r>
    </w:p>
    <w:p w14:paraId="6DD5F24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(2)剩下的 50%,视评估验收(评估验收标准采取 100 分制，由采购人另行制定)的结果支付，具体标准为:评估验收 90 分以上的支付 50%,80 分以上的支付 30%,70 分以上的支付 20%,60 分以上的支付 10%,60 分以下的，未付的合同价款无需支付。对于满足合同约定支付条件的，采购人应当自收到发票后 5 个工作日内办理支付手续。</w:t>
      </w:r>
    </w:p>
    <w:p w14:paraId="3E99935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 w:leftChars="0" w:firstLine="480" w:firstLineChars="200"/>
        <w:jc w:val="both"/>
        <w:textAlignment w:val="baseline"/>
        <w:rPr>
          <w:rFonts w:hint="eastAsia" w:ascii="宋体" w:hAnsi="宋体" w:eastAsia="宋体" w:cs="宋体"/>
          <w:snapToGrid w:val="0"/>
          <w:color w:val="auto"/>
          <w:sz w:val="24"/>
          <w:szCs w:val="24"/>
          <w:highlight w:val="none"/>
          <w:lang w:val="en-US" w:eastAsia="zh-CN" w:bidi="ar-SA"/>
        </w:rPr>
      </w:pPr>
      <w:r>
        <w:rPr>
          <w:rFonts w:hint="eastAsia" w:ascii="宋体" w:hAnsi="宋体" w:eastAsia="宋体" w:cs="宋体"/>
          <w:snapToGrid w:val="0"/>
          <w:color w:val="auto"/>
          <w:sz w:val="24"/>
          <w:szCs w:val="24"/>
          <w:highlight w:val="none"/>
          <w:lang w:val="en-US" w:eastAsia="zh-CN" w:bidi="ar-SA"/>
        </w:rPr>
        <w:t>5、验收整个项目按规定的时间完成后，中标供应商可向采购人提出验收建议，采购人在接到验收建议之日起 7 个工作日内按照合同的约定对履行情况进行验收，验收合格后由采购人出具验收报告。</w:t>
      </w:r>
    </w:p>
    <w:p w14:paraId="4962E841">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3E3C7">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0" name="文本框 1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AA6D41">
                          <w:pPr>
                            <w:pStyle w:val="2"/>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U5IgxAgAAZQ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6VOSIMQIAAGUEAAAOAAAAAAAAAAEAIAAAAB8BAABkcnMvZTJvRG9jLnhtbFBLBQYA&#10;AAAABgAGAFkBAADCBQAAAAA=&#10;">
              <v:fill on="f" focussize="0,0"/>
              <v:stroke on="f" weight="0.5pt"/>
              <v:imagedata o:title=""/>
              <o:lock v:ext="edit" aspectratio="f"/>
              <v:textbox inset="0mm,0mm,0mm,0mm" style="mso-fit-shape-to-text:t;">
                <w:txbxContent>
                  <w:p w14:paraId="1DAA6D41">
                    <w:pPr>
                      <w:pStyle w:val="2"/>
                    </w:pPr>
                    <w:r>
                      <w:fldChar w:fldCharType="begin"/>
                    </w:r>
                    <w:r>
                      <w:instrText xml:space="preserve"> PAGE  \* MERGEFORMAT </w:instrText>
                    </w:r>
                    <w:r>
                      <w:fldChar w:fldCharType="separate"/>
                    </w:r>
                    <w:r>
                      <w:t>57</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CB3C6B"/>
    <w:rsid w:val="10CB3C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character" w:customStyle="1" w:styleId="5">
    <w:name w:val="font51"/>
    <w:basedOn w:val="4"/>
    <w:qFormat/>
    <w:uiPriority w:val="0"/>
    <w:rPr>
      <w:rFonts w:hint="eastAsia" w:ascii="宋体" w:hAnsi="宋体" w:eastAsia="宋体" w:cs="宋体"/>
      <w:color w:val="2F75B5"/>
      <w:sz w:val="22"/>
      <w:szCs w:val="22"/>
      <w:u w:val="none"/>
    </w:rPr>
  </w:style>
  <w:style w:type="character" w:customStyle="1" w:styleId="6">
    <w:name w:val="font61"/>
    <w:basedOn w:val="4"/>
    <w:qFormat/>
    <w:uiPriority w:val="0"/>
    <w:rPr>
      <w:rFonts w:hint="eastAsia" w:ascii="宋体" w:hAnsi="宋体" w:eastAsia="宋体" w:cs="宋体"/>
      <w:color w:val="FF0000"/>
      <w:sz w:val="22"/>
      <w:szCs w:val="22"/>
      <w:u w:val="none"/>
    </w:rPr>
  </w:style>
  <w:style w:type="character" w:customStyle="1" w:styleId="7">
    <w:name w:val="font71"/>
    <w:basedOn w:val="4"/>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Office_12.1.0.26890_F1E327BC-269C-435d-A152-05C5408002CA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2026-05-26T05:21:00Z</dcterms:created>
  <dc:creator>Administrator</dc:creator>
  <cp:lastModifiedBy>Administrator</cp:lastModifiedBy>
  <dcterms:modified xsi:type="dcterms:W3CDTF">2026-05-26T05:22:59Z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2052-12.1.0.26890</vt:lpwstr>
  </property>
  <property fmtid="{D5CDD505-2E9C-101B-9397-08002B2CF9AE}" pid="3" name="ICV">
    <vt:lpwstr>3E0BE7A0CA6845F6A97BB0383E39A10C_11</vt:lpwstr>
  </property>
  <property fmtid="{D5CDD505-2E9C-101B-9397-08002B2CF9AE}" pid="4" name="KSOTemplateDocerSaveRecord">
    <vt:lpwstr>eyJoZGlkIjoiNTAyNjgyNmU2Mzc5YmU0N2QxZDgzZGE0ODE1ZjlkOWUiLCJ1c2VySWQiOiI1ODcwNzAzNTYifQ==</vt:lpwstr>
  </property>
</Properties>
</file>