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C46ABF">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14:paraId="5D258939">
      <w:pPr>
        <w:pageBreakBefore w:val="0"/>
        <w:widowControl w:val="0"/>
        <w:wordWrap/>
        <w:overflowPunct/>
        <w:topLinePunct w:val="0"/>
        <w:bidi w:val="0"/>
        <w:spacing w:line="257" w:lineRule="auto"/>
        <w:rPr>
          <w:color w:val="auto"/>
          <w:highlight w:val="none"/>
        </w:rPr>
      </w:pPr>
    </w:p>
    <w:p w14:paraId="213747FE">
      <w:pPr>
        <w:pageBreakBefore w:val="0"/>
        <w:widowControl w:val="0"/>
        <w:wordWrap/>
        <w:overflowPunct/>
        <w:topLinePunct w:val="0"/>
        <w:bidi w:val="0"/>
        <w:spacing w:before="78" w:line="219" w:lineRule="auto"/>
        <w:rPr>
          <w:rFonts w:ascii="宋体" w:hAnsi="宋体" w:eastAsia="宋体" w:cs="宋体"/>
          <w:color w:val="auto"/>
          <w:spacing w:val="-5"/>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需求</w:t>
      </w:r>
    </w:p>
    <w:p w14:paraId="2F4FAAA1"/>
    <w:tbl>
      <w:tblPr>
        <w:tblStyle w:val="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28" w:type="dxa"/>
          <w:left w:w="57" w:type="dxa"/>
          <w:bottom w:w="28" w:type="dxa"/>
          <w:right w:w="57" w:type="dxa"/>
        </w:tblCellMar>
      </w:tblPr>
      <w:tblGrid>
        <w:gridCol w:w="822"/>
        <w:gridCol w:w="2250"/>
        <w:gridCol w:w="2163"/>
        <w:gridCol w:w="893"/>
        <w:gridCol w:w="1349"/>
        <w:gridCol w:w="940"/>
      </w:tblGrid>
      <w:tr w14:paraId="1133C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57" w:type="dxa"/>
            <w:bottom w:w="28" w:type="dxa"/>
            <w:right w:w="57" w:type="dxa"/>
          </w:tblCellMar>
        </w:tblPrEx>
        <w:trPr>
          <w:cantSplit/>
          <w:trHeight w:val="885" w:hRule="atLeast"/>
          <w:tblHeader/>
          <w:jc w:val="center"/>
        </w:trPr>
        <w:tc>
          <w:tcPr>
            <w:tcW w:w="488" w:type="pct"/>
            <w:noWrap w:val="0"/>
            <w:vAlign w:val="center"/>
          </w:tcPr>
          <w:p w14:paraId="1879B20B">
            <w:pPr>
              <w:jc w:val="center"/>
              <w:rPr>
                <w:rFonts w:hint="eastAsia" w:ascii="宋体" w:hAnsi="宋体" w:eastAsia="宋体" w:cs="宋体"/>
                <w:b/>
                <w:bCs/>
                <w:color w:val="auto"/>
                <w:sz w:val="24"/>
                <w:szCs w:val="24"/>
              </w:rPr>
            </w:pPr>
            <w:r>
              <w:rPr>
                <w:rFonts w:hint="eastAsia" w:ascii="宋体" w:hAnsi="宋体" w:eastAsia="宋体" w:cs="宋体"/>
                <w:color w:val="auto"/>
                <w:sz w:val="24"/>
                <w:szCs w:val="24"/>
                <w:lang w:eastAsia="zh-CN"/>
              </w:rPr>
              <w:t>序号</w:t>
            </w:r>
          </w:p>
        </w:tc>
        <w:tc>
          <w:tcPr>
            <w:tcW w:w="1336" w:type="pct"/>
            <w:noWrap w:val="0"/>
            <w:vAlign w:val="center"/>
          </w:tcPr>
          <w:p w14:paraId="53932EC4">
            <w:pPr>
              <w:jc w:val="center"/>
              <w:rPr>
                <w:rFonts w:hint="eastAsia" w:ascii="宋体" w:hAnsi="宋体" w:eastAsia="宋体" w:cs="宋体"/>
                <w:b/>
                <w:bCs/>
                <w:color w:val="auto"/>
                <w:sz w:val="24"/>
                <w:szCs w:val="24"/>
              </w:rPr>
            </w:pPr>
            <w:r>
              <w:rPr>
                <w:rFonts w:hint="eastAsia" w:ascii="宋体" w:hAnsi="宋体" w:eastAsia="宋体" w:cs="宋体"/>
                <w:color w:val="auto"/>
                <w:sz w:val="24"/>
                <w:szCs w:val="24"/>
                <w:lang w:eastAsia="zh-CN"/>
              </w:rPr>
              <w:t>品名</w:t>
            </w:r>
          </w:p>
        </w:tc>
        <w:tc>
          <w:tcPr>
            <w:tcW w:w="1284" w:type="pct"/>
            <w:noWrap w:val="0"/>
            <w:vAlign w:val="center"/>
          </w:tcPr>
          <w:p w14:paraId="6EC8D754">
            <w:pPr>
              <w:jc w:val="center"/>
              <w:rPr>
                <w:rFonts w:hint="eastAsia" w:ascii="宋体" w:hAnsi="宋体" w:eastAsia="宋体" w:cs="宋体"/>
                <w:b/>
                <w:bCs/>
                <w:color w:val="auto"/>
                <w:sz w:val="24"/>
                <w:szCs w:val="24"/>
              </w:rPr>
            </w:pPr>
            <w:r>
              <w:rPr>
                <w:rFonts w:hint="eastAsia" w:ascii="宋体" w:hAnsi="宋体" w:eastAsia="宋体" w:cs="宋体"/>
                <w:color w:val="auto"/>
                <w:sz w:val="24"/>
                <w:szCs w:val="24"/>
              </w:rPr>
              <w:t>规格要求及技术参数</w:t>
            </w:r>
          </w:p>
        </w:tc>
        <w:tc>
          <w:tcPr>
            <w:tcW w:w="530" w:type="pct"/>
            <w:noWrap w:val="0"/>
            <w:vAlign w:val="center"/>
          </w:tcPr>
          <w:p w14:paraId="453E0547">
            <w:pPr>
              <w:jc w:val="center"/>
              <w:rPr>
                <w:rFonts w:hint="eastAsia" w:ascii="宋体" w:hAnsi="宋体" w:eastAsia="宋体" w:cs="宋体"/>
                <w:b/>
                <w:bCs/>
                <w:color w:val="auto"/>
                <w:sz w:val="24"/>
                <w:szCs w:val="24"/>
              </w:rPr>
            </w:pPr>
            <w:r>
              <w:rPr>
                <w:rFonts w:hint="eastAsia" w:ascii="宋体" w:hAnsi="宋体" w:eastAsia="宋体" w:cs="宋体"/>
                <w:color w:val="auto"/>
                <w:sz w:val="24"/>
                <w:szCs w:val="24"/>
                <w:lang w:eastAsia="zh-CN"/>
              </w:rPr>
              <w:t>单位</w:t>
            </w:r>
          </w:p>
        </w:tc>
        <w:tc>
          <w:tcPr>
            <w:tcW w:w="801" w:type="pct"/>
            <w:noWrap w:val="0"/>
            <w:vAlign w:val="center"/>
          </w:tcPr>
          <w:p w14:paraId="550E5D28">
            <w:pPr>
              <w:jc w:val="center"/>
              <w:rPr>
                <w:rFonts w:hint="eastAsia" w:ascii="宋体" w:hAnsi="宋体" w:eastAsia="宋体" w:cs="宋体"/>
                <w:b/>
                <w:bCs/>
                <w:color w:val="auto"/>
                <w:sz w:val="24"/>
                <w:szCs w:val="24"/>
              </w:rPr>
            </w:pPr>
            <w:r>
              <w:rPr>
                <w:rFonts w:hint="eastAsia" w:ascii="宋体" w:hAnsi="宋体" w:eastAsia="宋体" w:cs="宋体"/>
                <w:color w:val="auto"/>
                <w:sz w:val="24"/>
                <w:szCs w:val="24"/>
                <w:lang w:eastAsia="zh-CN"/>
              </w:rPr>
              <w:t>采购数量</w:t>
            </w:r>
          </w:p>
        </w:tc>
        <w:tc>
          <w:tcPr>
            <w:tcW w:w="558" w:type="pct"/>
            <w:noWrap w:val="0"/>
            <w:vAlign w:val="center"/>
          </w:tcPr>
          <w:p w14:paraId="09B6FA08">
            <w:pPr>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页数</w:t>
            </w:r>
          </w:p>
          <w:p w14:paraId="5E5EA7C8">
            <w:pPr>
              <w:jc w:val="center"/>
              <w:rPr>
                <w:rFonts w:hint="eastAsia" w:ascii="宋体" w:hAnsi="宋体" w:eastAsia="宋体" w:cs="宋体"/>
                <w:b/>
                <w:bCs/>
                <w:color w:val="auto"/>
                <w:sz w:val="24"/>
                <w:szCs w:val="24"/>
              </w:rPr>
            </w:pPr>
            <w:r>
              <w:rPr>
                <w:rFonts w:hint="eastAsia" w:ascii="宋体" w:hAnsi="宋体" w:eastAsia="宋体" w:cs="宋体"/>
                <w:color w:val="auto"/>
                <w:sz w:val="24"/>
                <w:szCs w:val="24"/>
                <w:lang w:eastAsia="zh-CN"/>
              </w:rPr>
              <w:t>（P）</w:t>
            </w:r>
          </w:p>
        </w:tc>
      </w:tr>
      <w:tr w14:paraId="37E91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57" w:type="dxa"/>
            <w:bottom w:w="28" w:type="dxa"/>
            <w:right w:w="57" w:type="dxa"/>
          </w:tblCellMar>
        </w:tblPrEx>
        <w:trPr>
          <w:cantSplit/>
          <w:trHeight w:val="671" w:hRule="atLeast"/>
          <w:tblHeader/>
          <w:jc w:val="center"/>
        </w:trPr>
        <w:tc>
          <w:tcPr>
            <w:tcW w:w="488" w:type="pct"/>
            <w:noWrap w:val="0"/>
            <w:vAlign w:val="center"/>
          </w:tcPr>
          <w:p w14:paraId="47E6EF0B">
            <w:pPr>
              <w:snapToGrid w:val="0"/>
              <w:jc w:val="center"/>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1</w:t>
            </w:r>
          </w:p>
        </w:tc>
        <w:tc>
          <w:tcPr>
            <w:tcW w:w="1336" w:type="pct"/>
            <w:noWrap w:val="0"/>
            <w:vAlign w:val="center"/>
          </w:tcPr>
          <w:p w14:paraId="13DE7317">
            <w:pPr>
              <w:snapToGrid w:val="0"/>
              <w:jc w:val="center"/>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《江西省自然资源》</w:t>
            </w:r>
          </w:p>
          <w:p w14:paraId="58DF638D">
            <w:pPr>
              <w:snapToGrid w:val="0"/>
              <w:jc w:val="center"/>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杂志</w:t>
            </w:r>
          </w:p>
        </w:tc>
        <w:tc>
          <w:tcPr>
            <w:tcW w:w="1284" w:type="pct"/>
            <w:noWrap w:val="0"/>
            <w:vAlign w:val="center"/>
          </w:tcPr>
          <w:p w14:paraId="5122FC40">
            <w:pPr>
              <w:pageBreakBefore w:val="0"/>
              <w:widowControl/>
              <w:kinsoku w:val="0"/>
              <w:wordWrap/>
              <w:overflowPunct/>
              <w:topLinePunct w:val="0"/>
              <w:autoSpaceDE w:val="0"/>
              <w:autoSpaceDN w:val="0"/>
              <w:bidi w:val="0"/>
              <w:adjustRightInd w:val="0"/>
              <w:snapToGrid w:val="0"/>
              <w:spacing w:line="240" w:lineRule="auto"/>
              <w:jc w:val="left"/>
              <w:textAlignment w:val="baseline"/>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成品:210X285</w:t>
            </w:r>
          </w:p>
          <w:p w14:paraId="3676B1D9">
            <w:pPr>
              <w:pageBreakBefore w:val="0"/>
              <w:widowControl/>
              <w:kinsoku w:val="0"/>
              <w:wordWrap/>
              <w:overflowPunct/>
              <w:topLinePunct w:val="0"/>
              <w:autoSpaceDE w:val="0"/>
              <w:autoSpaceDN w:val="0"/>
              <w:bidi w:val="0"/>
              <w:adjustRightInd w:val="0"/>
              <w:snapToGrid w:val="0"/>
              <w:spacing w:line="240" w:lineRule="auto"/>
              <w:jc w:val="left"/>
              <w:textAlignment w:val="baseline"/>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封面：250克金东铜板纸彩色印刷，覆亚膜</w:t>
            </w:r>
          </w:p>
          <w:p w14:paraId="5467636A">
            <w:pPr>
              <w:pageBreakBefore w:val="0"/>
              <w:widowControl/>
              <w:kinsoku w:val="0"/>
              <w:wordWrap/>
              <w:overflowPunct/>
              <w:topLinePunct w:val="0"/>
              <w:autoSpaceDE w:val="0"/>
              <w:autoSpaceDN w:val="0"/>
              <w:bidi w:val="0"/>
              <w:adjustRightInd w:val="0"/>
              <w:snapToGrid w:val="0"/>
              <w:spacing w:line="240" w:lineRule="auto"/>
              <w:jc w:val="left"/>
              <w:textAlignment w:val="baseline"/>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内页：80克芬欧双胶纸黑白印刷</w:t>
            </w:r>
          </w:p>
          <w:p w14:paraId="79AA4C2B">
            <w:pPr>
              <w:pageBreakBefore w:val="0"/>
              <w:widowControl/>
              <w:kinsoku w:val="0"/>
              <w:wordWrap/>
              <w:overflowPunct/>
              <w:topLinePunct w:val="0"/>
              <w:autoSpaceDE w:val="0"/>
              <w:autoSpaceDN w:val="0"/>
              <w:bidi w:val="0"/>
              <w:adjustRightInd w:val="0"/>
              <w:snapToGrid w:val="0"/>
              <w:spacing w:line="240" w:lineRule="auto"/>
              <w:jc w:val="left"/>
              <w:textAlignment w:val="baseline"/>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装订：骑马钉</w:t>
            </w:r>
          </w:p>
          <w:p w14:paraId="3B2EAFAB">
            <w:pPr>
              <w:pageBreakBefore w:val="0"/>
              <w:widowControl/>
              <w:kinsoku w:val="0"/>
              <w:wordWrap/>
              <w:overflowPunct/>
              <w:topLinePunct w:val="0"/>
              <w:autoSpaceDE w:val="0"/>
              <w:autoSpaceDN w:val="0"/>
              <w:bidi w:val="0"/>
              <w:adjustRightInd w:val="0"/>
              <w:snapToGrid w:val="0"/>
              <w:spacing w:line="240" w:lineRule="auto"/>
              <w:jc w:val="left"/>
              <w:textAlignment w:val="baseline"/>
              <w:rPr>
                <w:rFonts w:hint="eastAsia" w:ascii="宋体" w:hAnsi="宋体" w:eastAsia="宋体" w:cs="宋体"/>
                <w:sz w:val="24"/>
                <w:szCs w:val="24"/>
                <w:lang w:val="en-US" w:eastAsia="zh-CN"/>
              </w:rPr>
            </w:pPr>
            <w:r>
              <w:rPr>
                <w:rFonts w:hint="eastAsia" w:ascii="宋体" w:hAnsi="宋体" w:eastAsia="宋体" w:cs="宋体"/>
                <w:b w:val="0"/>
                <w:bCs w:val="0"/>
                <w:sz w:val="24"/>
                <w:szCs w:val="24"/>
                <w:lang w:val="en-US" w:eastAsia="zh-CN"/>
              </w:rPr>
              <w:t>邮寄：351个点</w:t>
            </w:r>
          </w:p>
        </w:tc>
        <w:tc>
          <w:tcPr>
            <w:tcW w:w="530" w:type="pct"/>
            <w:noWrap w:val="0"/>
            <w:vAlign w:val="center"/>
          </w:tcPr>
          <w:p w14:paraId="003DE7A0">
            <w:pPr>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本</w:t>
            </w:r>
          </w:p>
        </w:tc>
        <w:tc>
          <w:tcPr>
            <w:tcW w:w="801" w:type="pct"/>
            <w:noWrap w:val="0"/>
            <w:vAlign w:val="center"/>
          </w:tcPr>
          <w:p w14:paraId="397239C4">
            <w:pPr>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5200本/期</w:t>
            </w:r>
          </w:p>
          <w:p w14:paraId="73E9F6B3">
            <w:pPr>
              <w:pStyle w:val="2"/>
              <w:pageBreakBefore w:val="0"/>
              <w:widowControl/>
              <w:kinsoku w:val="0"/>
              <w:wordWrap/>
              <w:overflowPunct/>
              <w:topLinePunct w:val="0"/>
              <w:autoSpaceDE w:val="0"/>
              <w:autoSpaceDN w:val="0"/>
              <w:bidi w:val="0"/>
              <w:adjustRightInd w:val="0"/>
              <w:snapToGrid w:val="0"/>
              <w:spacing w:before="0" w:after="0" w:line="240" w:lineRule="auto"/>
              <w:jc w:val="center"/>
              <w:textAlignment w:val="baseline"/>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6期/年</w:t>
            </w:r>
          </w:p>
        </w:tc>
        <w:tc>
          <w:tcPr>
            <w:tcW w:w="558" w:type="pct"/>
            <w:noWrap w:val="0"/>
            <w:vAlign w:val="center"/>
          </w:tcPr>
          <w:p w14:paraId="5C4D184B">
            <w:pPr>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64P</w:t>
            </w:r>
          </w:p>
        </w:tc>
      </w:tr>
      <w:tr w14:paraId="09E7CF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57" w:type="dxa"/>
            <w:bottom w:w="28" w:type="dxa"/>
            <w:right w:w="57" w:type="dxa"/>
          </w:tblCellMar>
        </w:tblPrEx>
        <w:trPr>
          <w:cantSplit/>
          <w:trHeight w:val="671" w:hRule="atLeast"/>
          <w:tblHeader/>
          <w:jc w:val="center"/>
        </w:trPr>
        <w:tc>
          <w:tcPr>
            <w:tcW w:w="488" w:type="pct"/>
            <w:noWrap w:val="0"/>
            <w:vAlign w:val="center"/>
          </w:tcPr>
          <w:p w14:paraId="01BA3AA7">
            <w:pPr>
              <w:snapToGrid w:val="0"/>
              <w:jc w:val="center"/>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2</w:t>
            </w:r>
          </w:p>
        </w:tc>
        <w:tc>
          <w:tcPr>
            <w:tcW w:w="1336" w:type="pct"/>
            <w:noWrap w:val="0"/>
            <w:vAlign w:val="center"/>
          </w:tcPr>
          <w:p w14:paraId="30150137">
            <w:pPr>
              <w:snapToGrid w:val="0"/>
              <w:jc w:val="center"/>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《江西省自然资源》</w:t>
            </w:r>
          </w:p>
          <w:p w14:paraId="5D28E745">
            <w:pPr>
              <w:snapToGrid w:val="0"/>
              <w:jc w:val="center"/>
              <w:rPr>
                <w:rFonts w:hint="eastAsia" w:ascii="宋体" w:hAnsi="宋体" w:eastAsia="宋体" w:cs="宋体"/>
                <w:b w:val="0"/>
                <w:bCs w:val="0"/>
                <w:color w:val="auto"/>
                <w:sz w:val="24"/>
                <w:szCs w:val="24"/>
                <w:lang w:val="en-US"/>
              </w:rPr>
            </w:pPr>
            <w:r>
              <w:rPr>
                <w:rFonts w:hint="eastAsia" w:ascii="宋体" w:hAnsi="宋体" w:eastAsia="宋体" w:cs="宋体"/>
                <w:b w:val="0"/>
                <w:bCs w:val="0"/>
                <w:color w:val="auto"/>
                <w:sz w:val="24"/>
                <w:szCs w:val="24"/>
                <w:lang w:val="en-US" w:eastAsia="zh-CN"/>
              </w:rPr>
              <w:t>杂志 合订本</w:t>
            </w:r>
          </w:p>
        </w:tc>
        <w:tc>
          <w:tcPr>
            <w:tcW w:w="1284" w:type="pct"/>
            <w:noWrap w:val="0"/>
            <w:vAlign w:val="center"/>
          </w:tcPr>
          <w:p w14:paraId="0BD7DF4D">
            <w:pPr>
              <w:pageBreakBefore w:val="0"/>
              <w:widowControl/>
              <w:kinsoku w:val="0"/>
              <w:wordWrap/>
              <w:overflowPunct/>
              <w:topLinePunct w:val="0"/>
              <w:autoSpaceDE w:val="0"/>
              <w:autoSpaceDN w:val="0"/>
              <w:bidi w:val="0"/>
              <w:adjustRightInd w:val="0"/>
              <w:snapToGrid w:val="0"/>
              <w:spacing w:line="240" w:lineRule="auto"/>
              <w:jc w:val="left"/>
              <w:textAlignment w:val="baseline"/>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成品:210X291</w:t>
            </w:r>
          </w:p>
          <w:p w14:paraId="440BE76D">
            <w:pPr>
              <w:pageBreakBefore w:val="0"/>
              <w:widowControl/>
              <w:kinsoku w:val="0"/>
              <w:wordWrap/>
              <w:overflowPunct/>
              <w:topLinePunct w:val="0"/>
              <w:autoSpaceDE w:val="0"/>
              <w:autoSpaceDN w:val="0"/>
              <w:bidi w:val="0"/>
              <w:adjustRightInd w:val="0"/>
              <w:snapToGrid w:val="0"/>
              <w:spacing w:line="240" w:lineRule="auto"/>
              <w:jc w:val="left"/>
              <w:textAlignment w:val="baseline"/>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封面：紫红色绸缎布烫金工艺</w:t>
            </w:r>
          </w:p>
          <w:p w14:paraId="79451CE4">
            <w:pPr>
              <w:pageBreakBefore w:val="0"/>
              <w:widowControl/>
              <w:kinsoku w:val="0"/>
              <w:wordWrap/>
              <w:overflowPunct/>
              <w:topLinePunct w:val="0"/>
              <w:autoSpaceDE w:val="0"/>
              <w:autoSpaceDN w:val="0"/>
              <w:bidi w:val="0"/>
              <w:adjustRightInd w:val="0"/>
              <w:snapToGrid w:val="0"/>
              <w:spacing w:line="240" w:lineRule="auto"/>
              <w:jc w:val="left"/>
              <w:textAlignment w:val="baseline"/>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内页：80克芬欧双胶纸黑白印刷</w:t>
            </w:r>
          </w:p>
          <w:p w14:paraId="66A0E2A9">
            <w:pPr>
              <w:pageBreakBefore w:val="0"/>
              <w:widowControl/>
              <w:kinsoku w:val="0"/>
              <w:wordWrap/>
              <w:overflowPunct/>
              <w:topLinePunct w:val="0"/>
              <w:autoSpaceDE w:val="0"/>
              <w:autoSpaceDN w:val="0"/>
              <w:bidi w:val="0"/>
              <w:adjustRightInd w:val="0"/>
              <w:snapToGrid w:val="0"/>
              <w:spacing w:line="240" w:lineRule="auto"/>
              <w:jc w:val="left"/>
              <w:textAlignment w:val="baseline"/>
              <w:rPr>
                <w:rFonts w:hint="eastAsia" w:ascii="宋体" w:hAnsi="宋体" w:eastAsia="宋体" w:cs="宋体"/>
                <w:b w:val="0"/>
                <w:bCs w:val="0"/>
                <w:color w:val="auto"/>
                <w:sz w:val="24"/>
                <w:szCs w:val="24"/>
              </w:rPr>
            </w:pPr>
            <w:r>
              <w:rPr>
                <w:rFonts w:hint="eastAsia" w:ascii="宋体" w:hAnsi="宋体" w:eastAsia="宋体" w:cs="宋体"/>
                <w:b w:val="0"/>
                <w:bCs w:val="0"/>
                <w:sz w:val="24"/>
                <w:szCs w:val="24"/>
                <w:lang w:val="en-US" w:eastAsia="zh-CN"/>
              </w:rPr>
              <w:t>装订：方脊硬精装</w:t>
            </w:r>
          </w:p>
        </w:tc>
        <w:tc>
          <w:tcPr>
            <w:tcW w:w="530" w:type="pct"/>
            <w:noWrap w:val="0"/>
            <w:vAlign w:val="center"/>
          </w:tcPr>
          <w:p w14:paraId="046C00DE">
            <w:pPr>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本</w:t>
            </w:r>
          </w:p>
        </w:tc>
        <w:tc>
          <w:tcPr>
            <w:tcW w:w="801" w:type="pct"/>
            <w:noWrap w:val="0"/>
            <w:vAlign w:val="center"/>
          </w:tcPr>
          <w:p w14:paraId="2DC5EE41">
            <w:pPr>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val="en-US" w:eastAsia="zh-CN"/>
              </w:rPr>
              <w:t>20本</w:t>
            </w:r>
          </w:p>
        </w:tc>
        <w:tc>
          <w:tcPr>
            <w:tcW w:w="558" w:type="pct"/>
            <w:noWrap w:val="0"/>
            <w:vAlign w:val="center"/>
          </w:tcPr>
          <w:p w14:paraId="175AAA4E">
            <w:pPr>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val="en-US" w:eastAsia="zh-CN"/>
              </w:rPr>
              <w:t>384P</w:t>
            </w:r>
          </w:p>
        </w:tc>
      </w:tr>
      <w:tr w14:paraId="1DB1D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57" w:type="dxa"/>
            <w:bottom w:w="28" w:type="dxa"/>
            <w:right w:w="57" w:type="dxa"/>
          </w:tblCellMar>
        </w:tblPrEx>
        <w:trPr>
          <w:cantSplit/>
          <w:trHeight w:val="671" w:hRule="atLeast"/>
          <w:tblHeader/>
          <w:jc w:val="center"/>
        </w:trPr>
        <w:tc>
          <w:tcPr>
            <w:tcW w:w="488" w:type="pct"/>
            <w:noWrap w:val="0"/>
            <w:vAlign w:val="center"/>
          </w:tcPr>
          <w:p w14:paraId="0F4EB515">
            <w:pPr>
              <w:snapToGrid w:val="0"/>
              <w:jc w:val="center"/>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3</w:t>
            </w:r>
          </w:p>
        </w:tc>
        <w:tc>
          <w:tcPr>
            <w:tcW w:w="1336" w:type="pct"/>
            <w:noWrap w:val="0"/>
            <w:vAlign w:val="center"/>
          </w:tcPr>
          <w:p w14:paraId="04DC08A1">
            <w:pPr>
              <w:snapToGrid w:val="0"/>
              <w:jc w:val="center"/>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2025年</w:t>
            </w:r>
          </w:p>
          <w:p w14:paraId="50A01F27">
            <w:pPr>
              <w:snapToGrid w:val="0"/>
              <w:jc w:val="center"/>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val="en-US" w:eastAsia="zh-CN"/>
              </w:rPr>
              <w:t>江西省自然资源年报</w:t>
            </w:r>
          </w:p>
        </w:tc>
        <w:tc>
          <w:tcPr>
            <w:tcW w:w="1284" w:type="pct"/>
            <w:noWrap w:val="0"/>
            <w:vAlign w:val="center"/>
          </w:tcPr>
          <w:p w14:paraId="3957F350">
            <w:pPr>
              <w:pageBreakBefore w:val="0"/>
              <w:widowControl/>
              <w:kinsoku w:val="0"/>
              <w:wordWrap/>
              <w:overflowPunct/>
              <w:topLinePunct w:val="0"/>
              <w:autoSpaceDE w:val="0"/>
              <w:autoSpaceDN w:val="0"/>
              <w:bidi w:val="0"/>
              <w:adjustRightInd w:val="0"/>
              <w:snapToGrid w:val="0"/>
              <w:spacing w:line="240" w:lineRule="auto"/>
              <w:jc w:val="left"/>
              <w:textAlignment w:val="baseline"/>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成品:210X285</w:t>
            </w:r>
          </w:p>
          <w:p w14:paraId="33E1ACA3">
            <w:pPr>
              <w:pageBreakBefore w:val="0"/>
              <w:widowControl/>
              <w:kinsoku w:val="0"/>
              <w:wordWrap/>
              <w:overflowPunct/>
              <w:topLinePunct w:val="0"/>
              <w:autoSpaceDE w:val="0"/>
              <w:autoSpaceDN w:val="0"/>
              <w:bidi w:val="0"/>
              <w:adjustRightInd w:val="0"/>
              <w:snapToGrid w:val="0"/>
              <w:spacing w:line="240" w:lineRule="auto"/>
              <w:jc w:val="left"/>
              <w:textAlignment w:val="baseline"/>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封面：260克高白粗布纹特种纸，UV,烫金</w:t>
            </w:r>
          </w:p>
          <w:p w14:paraId="2D29A518">
            <w:pPr>
              <w:pageBreakBefore w:val="0"/>
              <w:widowControl/>
              <w:kinsoku w:val="0"/>
              <w:wordWrap/>
              <w:overflowPunct/>
              <w:topLinePunct w:val="0"/>
              <w:autoSpaceDE w:val="0"/>
              <w:autoSpaceDN w:val="0"/>
              <w:bidi w:val="0"/>
              <w:adjustRightInd w:val="0"/>
              <w:snapToGrid w:val="0"/>
              <w:spacing w:line="240" w:lineRule="auto"/>
              <w:jc w:val="left"/>
              <w:textAlignment w:val="baseline"/>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内页：150克高白粗布纹特种纸</w:t>
            </w:r>
          </w:p>
          <w:p w14:paraId="7A9657CB">
            <w:pPr>
              <w:pageBreakBefore w:val="0"/>
              <w:widowControl/>
              <w:kinsoku w:val="0"/>
              <w:wordWrap/>
              <w:overflowPunct/>
              <w:topLinePunct w:val="0"/>
              <w:autoSpaceDE w:val="0"/>
              <w:autoSpaceDN w:val="0"/>
              <w:bidi w:val="0"/>
              <w:adjustRightInd w:val="0"/>
              <w:snapToGrid w:val="0"/>
              <w:spacing w:line="240" w:lineRule="auto"/>
              <w:jc w:val="left"/>
              <w:textAlignment w:val="baseline"/>
              <w:rPr>
                <w:rFonts w:hint="eastAsia" w:ascii="宋体" w:hAnsi="宋体" w:eastAsia="宋体" w:cs="宋体"/>
                <w:b w:val="0"/>
                <w:bCs w:val="0"/>
                <w:color w:val="auto"/>
                <w:sz w:val="24"/>
                <w:szCs w:val="24"/>
              </w:rPr>
            </w:pPr>
            <w:r>
              <w:rPr>
                <w:rFonts w:hint="eastAsia" w:ascii="宋体" w:hAnsi="宋体" w:eastAsia="宋体" w:cs="宋体"/>
                <w:b w:val="0"/>
                <w:bCs w:val="0"/>
                <w:sz w:val="24"/>
                <w:szCs w:val="24"/>
                <w:lang w:val="en-US" w:eastAsia="zh-CN"/>
              </w:rPr>
              <w:t>装订：锁线胶纸邮邮寄：各市县部门</w:t>
            </w:r>
          </w:p>
        </w:tc>
        <w:tc>
          <w:tcPr>
            <w:tcW w:w="530" w:type="pct"/>
            <w:shd w:val="clear" w:color="auto" w:fill="auto"/>
            <w:noWrap w:val="0"/>
            <w:vAlign w:val="center"/>
          </w:tcPr>
          <w:p w14:paraId="086409DB">
            <w:pPr>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snapToGrid w:val="0"/>
                <w:color w:val="auto"/>
                <w:sz w:val="24"/>
                <w:szCs w:val="24"/>
                <w:lang w:val="en-US" w:eastAsia="zh-CN" w:bidi="ar-SA"/>
              </w:rPr>
            </w:pPr>
            <w:r>
              <w:rPr>
                <w:rFonts w:hint="eastAsia" w:ascii="宋体" w:hAnsi="宋体" w:eastAsia="宋体" w:cs="宋体"/>
                <w:b w:val="0"/>
                <w:bCs w:val="0"/>
                <w:color w:val="auto"/>
                <w:sz w:val="24"/>
                <w:szCs w:val="24"/>
                <w:lang w:val="en-US" w:eastAsia="zh-CN"/>
              </w:rPr>
              <w:t>本</w:t>
            </w:r>
          </w:p>
        </w:tc>
        <w:tc>
          <w:tcPr>
            <w:tcW w:w="801" w:type="pct"/>
            <w:shd w:val="clear" w:color="auto" w:fill="auto"/>
            <w:noWrap w:val="0"/>
            <w:vAlign w:val="center"/>
          </w:tcPr>
          <w:p w14:paraId="16B20092">
            <w:pPr>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snapToGrid w:val="0"/>
                <w:color w:val="auto"/>
                <w:sz w:val="24"/>
                <w:szCs w:val="24"/>
                <w:lang w:val="en-US" w:eastAsia="en-US" w:bidi="ar-SA"/>
              </w:rPr>
            </w:pPr>
            <w:r>
              <w:rPr>
                <w:rFonts w:hint="eastAsia" w:ascii="宋体" w:hAnsi="宋体" w:eastAsia="宋体" w:cs="宋体"/>
                <w:b w:val="0"/>
                <w:bCs w:val="0"/>
                <w:color w:val="auto"/>
                <w:sz w:val="24"/>
                <w:szCs w:val="24"/>
                <w:lang w:val="en-US" w:eastAsia="zh-CN"/>
              </w:rPr>
              <w:t>2000本</w:t>
            </w:r>
          </w:p>
        </w:tc>
        <w:tc>
          <w:tcPr>
            <w:tcW w:w="558" w:type="pct"/>
            <w:shd w:val="clear" w:color="auto" w:fill="auto"/>
            <w:noWrap w:val="0"/>
            <w:vAlign w:val="center"/>
          </w:tcPr>
          <w:p w14:paraId="0CB1CC98">
            <w:pPr>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snapToGrid w:val="0"/>
                <w:color w:val="auto"/>
                <w:sz w:val="24"/>
                <w:szCs w:val="24"/>
                <w:lang w:val="en-US" w:eastAsia="en-US" w:bidi="ar-SA"/>
              </w:rPr>
            </w:pPr>
            <w:r>
              <w:rPr>
                <w:rFonts w:hint="eastAsia" w:ascii="宋体" w:hAnsi="宋体" w:eastAsia="宋体" w:cs="宋体"/>
                <w:b w:val="0"/>
                <w:bCs w:val="0"/>
                <w:color w:val="auto"/>
                <w:sz w:val="24"/>
                <w:szCs w:val="24"/>
                <w:lang w:val="en-US" w:eastAsia="zh-CN"/>
              </w:rPr>
              <w:t>88P</w:t>
            </w:r>
          </w:p>
        </w:tc>
      </w:tr>
    </w:tbl>
    <w:p w14:paraId="19AC9F06">
      <w:pPr>
        <w:widowControl w:val="0"/>
        <w:spacing w:line="320" w:lineRule="exact"/>
        <w:rPr>
          <w:rFonts w:hint="eastAsia" w:ascii="楷体_GB2312" w:eastAsia="楷体_GB2312"/>
          <w:b/>
          <w:color w:val="auto"/>
          <w:lang w:eastAsia="zh-CN"/>
        </w:rPr>
      </w:pPr>
      <w:r>
        <w:rPr>
          <w:rFonts w:hint="eastAsia" w:ascii="楷体_GB2312" w:eastAsia="楷体_GB2312"/>
          <w:b/>
          <w:color w:val="auto"/>
          <w:lang w:eastAsia="zh-CN"/>
        </w:rPr>
        <w:t>说明：</w:t>
      </w:r>
      <w:r>
        <w:rPr>
          <w:rFonts w:hint="eastAsia" w:ascii="楷体_GB2312" w:eastAsia="楷体_GB2312"/>
          <w:b/>
          <w:color w:val="auto"/>
          <w:lang w:val="en-US" w:eastAsia="zh-CN"/>
        </w:rPr>
        <w:t>1、</w:t>
      </w:r>
      <w:r>
        <w:rPr>
          <w:rFonts w:hint="eastAsia" w:ascii="楷体_GB2312" w:eastAsia="楷体_GB2312"/>
          <w:b/>
          <w:color w:val="auto"/>
          <w:lang w:eastAsia="zh-CN"/>
        </w:rPr>
        <w:t>以上报价均应含排版、设计、</w:t>
      </w:r>
      <w:r>
        <w:rPr>
          <w:rFonts w:hint="eastAsia" w:ascii="楷体_GB2312" w:eastAsia="楷体_GB2312"/>
          <w:b/>
          <w:color w:val="auto"/>
          <w:lang w:val="en-US" w:eastAsia="zh-CN"/>
        </w:rPr>
        <w:t>封面拍摄、</w:t>
      </w:r>
      <w:r>
        <w:rPr>
          <w:rFonts w:hint="eastAsia" w:ascii="楷体_GB2312" w:eastAsia="楷体_GB2312"/>
          <w:b/>
          <w:color w:val="auto"/>
          <w:lang w:eastAsia="zh-CN"/>
        </w:rPr>
        <w:t>税金、物流</w:t>
      </w:r>
      <w:r>
        <w:rPr>
          <w:rFonts w:hint="eastAsia" w:ascii="楷体_GB2312" w:eastAsia="楷体_GB2312"/>
          <w:b/>
          <w:color w:val="auto"/>
          <w:lang w:val="en-US" w:eastAsia="zh-CN"/>
        </w:rPr>
        <w:t>邮寄</w:t>
      </w:r>
      <w:r>
        <w:rPr>
          <w:rFonts w:hint="eastAsia" w:ascii="楷体_GB2312" w:eastAsia="楷体_GB2312"/>
          <w:b/>
          <w:color w:val="auto"/>
          <w:lang w:eastAsia="zh-CN"/>
        </w:rPr>
        <w:t>运输等全部费用</w:t>
      </w:r>
    </w:p>
    <w:p w14:paraId="2BF7BE55">
      <w:pPr>
        <w:pageBreakBefore w:val="0"/>
        <w:widowControl w:val="0"/>
        <w:wordWrap/>
        <w:overflowPunct/>
        <w:topLinePunct w:val="0"/>
        <w:bidi w:val="0"/>
        <w:spacing w:line="242" w:lineRule="auto"/>
        <w:ind w:firstLine="630" w:firstLineChars="300"/>
        <w:rPr>
          <w:rFonts w:hint="default" w:eastAsia="宋体"/>
          <w:color w:val="auto"/>
          <w:highlight w:val="none"/>
          <w:lang w:val="en-US" w:eastAsia="zh-CN"/>
        </w:rPr>
      </w:pPr>
      <w:r>
        <w:rPr>
          <w:rFonts w:hint="eastAsia" w:eastAsia="宋体"/>
          <w:color w:val="auto"/>
          <w:highlight w:val="none"/>
          <w:lang w:val="en-US" w:eastAsia="zh-CN"/>
        </w:rPr>
        <w:t>2、</w:t>
      </w:r>
      <w:r>
        <w:rPr>
          <w:rFonts w:hint="eastAsia" w:ascii="楷体_GB2312" w:eastAsia="楷体_GB2312"/>
          <w:b/>
          <w:color w:val="auto"/>
          <w:lang w:eastAsia="zh-CN"/>
        </w:rPr>
        <w:t>以上</w:t>
      </w:r>
      <w:r>
        <w:rPr>
          <w:rFonts w:hint="eastAsia" w:ascii="楷体_GB2312" w:eastAsia="楷体_GB2312"/>
          <w:b/>
          <w:color w:val="auto"/>
          <w:lang w:val="en-US" w:eastAsia="zh-CN"/>
        </w:rPr>
        <w:t>数量为预估数量，实际采购数量以采购人最后确认为准。</w:t>
      </w:r>
    </w:p>
    <w:p w14:paraId="6CD0063E">
      <w:pPr>
        <w:pageBreakBefore w:val="0"/>
        <w:widowControl w:val="0"/>
        <w:wordWrap/>
        <w:overflowPunct/>
        <w:topLinePunct w:val="0"/>
        <w:bidi w:val="0"/>
        <w:spacing w:before="78" w:line="360" w:lineRule="auto"/>
        <w:rPr>
          <w:rFonts w:ascii="宋体" w:hAnsi="宋体" w:eastAsia="宋体" w:cs="宋体"/>
          <w:color w:val="auto"/>
          <w:sz w:val="24"/>
          <w:szCs w:val="24"/>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14:paraId="3A80F1A0">
      <w:pPr>
        <w:spacing w:line="360" w:lineRule="auto"/>
        <w:ind w:firstLine="482" w:firstLineChars="200"/>
        <w:jc w:val="both"/>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rPr>
        <w:t>1、</w:t>
      </w:r>
      <w:r>
        <w:rPr>
          <w:rFonts w:hint="eastAsia" w:ascii="宋体" w:hAnsi="宋体" w:eastAsia="宋体" w:cs="宋体"/>
          <w:b/>
          <w:bCs/>
          <w:color w:val="auto"/>
          <w:sz w:val="24"/>
          <w:lang w:eastAsia="zh-CN"/>
        </w:rPr>
        <w:t>交付时间</w:t>
      </w:r>
      <w:r>
        <w:rPr>
          <w:rFonts w:hint="eastAsia" w:ascii="宋体" w:hAnsi="宋体" w:eastAsia="宋体" w:cs="宋体"/>
          <w:b/>
          <w:bCs/>
          <w:color w:val="auto"/>
          <w:sz w:val="24"/>
          <w:szCs w:val="24"/>
          <w:lang w:eastAsia="zh-CN"/>
        </w:rPr>
        <w:t>：</w:t>
      </w:r>
      <w:r>
        <w:rPr>
          <w:rFonts w:hint="eastAsia" w:ascii="宋体" w:hAnsi="宋体" w:eastAsia="宋体" w:cs="宋体"/>
          <w:color w:val="auto"/>
          <w:sz w:val="24"/>
          <w:szCs w:val="24"/>
          <w:lang w:eastAsia="zh-CN"/>
        </w:rPr>
        <w:t>成交供应商按采购人的通知和时间要求分批交付。</w:t>
      </w:r>
    </w:p>
    <w:p w14:paraId="25A79F99">
      <w:pPr>
        <w:spacing w:line="360" w:lineRule="auto"/>
        <w:ind w:firstLine="482" w:firstLineChars="200"/>
        <w:jc w:val="both"/>
        <w:rPr>
          <w:rFonts w:hint="default" w:ascii="宋体" w:hAnsi="宋体" w:eastAsia="宋体" w:cs="宋体"/>
          <w:color w:val="auto"/>
          <w:sz w:val="24"/>
          <w:lang w:val="en-US" w:eastAsia="zh-CN"/>
        </w:rPr>
      </w:pPr>
      <w:r>
        <w:rPr>
          <w:rFonts w:hint="eastAsia" w:ascii="宋体" w:hAnsi="宋体" w:eastAsia="宋体" w:cs="宋体"/>
          <w:b/>
          <w:bCs/>
          <w:color w:val="auto"/>
          <w:sz w:val="24"/>
          <w:szCs w:val="24"/>
          <w:lang w:eastAsia="zh-CN"/>
        </w:rPr>
        <w:t>2、</w:t>
      </w:r>
      <w:r>
        <w:rPr>
          <w:rFonts w:hint="eastAsia" w:ascii="宋体" w:hAnsi="宋体" w:eastAsia="宋体" w:cs="宋体"/>
          <w:b/>
          <w:bCs/>
          <w:color w:val="auto"/>
          <w:sz w:val="24"/>
          <w:lang w:eastAsia="zh-CN"/>
        </w:rPr>
        <w:t>交付地点</w:t>
      </w:r>
      <w:r>
        <w:rPr>
          <w:rFonts w:hint="eastAsia" w:ascii="宋体" w:hAnsi="宋体" w:eastAsia="宋体" w:cs="宋体"/>
          <w:b/>
          <w:bCs/>
          <w:color w:val="auto"/>
          <w:sz w:val="24"/>
          <w:szCs w:val="24"/>
          <w:lang w:eastAsia="zh-CN"/>
        </w:rPr>
        <w:t>：</w:t>
      </w:r>
      <w:r>
        <w:rPr>
          <w:rFonts w:hint="eastAsia" w:ascii="宋体" w:hAnsi="宋体" w:eastAsia="宋体" w:cs="宋体"/>
          <w:b w:val="0"/>
          <w:bCs w:val="0"/>
          <w:color w:val="auto"/>
          <w:sz w:val="24"/>
          <w:szCs w:val="24"/>
          <w:lang w:eastAsia="zh-CN"/>
        </w:rPr>
        <w:t>采购人指定邮寄地点（含300余个邮寄地址）。</w:t>
      </w:r>
    </w:p>
    <w:p w14:paraId="67D0B4A3">
      <w:pPr>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3、合同履行期限：</w:t>
      </w:r>
      <w:r>
        <w:rPr>
          <w:rFonts w:ascii="宋体" w:hAnsi="宋体" w:eastAsia="宋体" w:cs="宋体"/>
          <w:color w:val="auto"/>
          <w:sz w:val="24"/>
          <w:szCs w:val="24"/>
          <w:lang w:eastAsia="zh-CN"/>
        </w:rPr>
        <w:t>自合同生效之日起1年；若</w:t>
      </w:r>
      <w:r>
        <w:rPr>
          <w:rFonts w:hint="eastAsia" w:ascii="宋体" w:hAnsi="宋体" w:eastAsia="宋体" w:cs="宋体"/>
          <w:color w:val="auto"/>
          <w:sz w:val="24"/>
          <w:szCs w:val="24"/>
          <w:lang w:eastAsia="zh-CN"/>
        </w:rPr>
        <w:t>项目</w:t>
      </w:r>
      <w:r>
        <w:rPr>
          <w:rFonts w:ascii="宋体" w:hAnsi="宋体" w:eastAsia="宋体" w:cs="宋体"/>
          <w:color w:val="auto"/>
          <w:sz w:val="24"/>
          <w:szCs w:val="24"/>
          <w:lang w:eastAsia="zh-CN"/>
        </w:rPr>
        <w:t>结算金额达到项目预算，本项目自动终止。</w:t>
      </w:r>
    </w:p>
    <w:p w14:paraId="26D709CD">
      <w:pPr>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4</w:t>
      </w:r>
      <w:r>
        <w:rPr>
          <w:rFonts w:hint="eastAsia" w:ascii="宋体" w:hAnsi="宋体" w:eastAsia="宋体" w:cs="宋体"/>
          <w:b/>
          <w:bCs/>
          <w:color w:val="auto"/>
          <w:sz w:val="24"/>
          <w:szCs w:val="24"/>
          <w:lang w:eastAsia="zh-CN"/>
        </w:rPr>
        <w:t>、付款条件：</w:t>
      </w:r>
      <w:r>
        <w:rPr>
          <w:rFonts w:hint="eastAsia" w:ascii="宋体" w:hAnsi="宋体" w:eastAsia="宋体" w:cs="宋体"/>
          <w:color w:val="auto"/>
          <w:sz w:val="24"/>
          <w:szCs w:val="24"/>
          <w:lang w:eastAsia="zh-CN"/>
        </w:rPr>
        <w:t>项目</w:t>
      </w:r>
      <w:r>
        <w:rPr>
          <w:rFonts w:hint="eastAsia" w:ascii="宋体" w:hAnsi="宋体" w:eastAsia="宋体" w:cs="宋体"/>
          <w:color w:val="auto"/>
          <w:sz w:val="24"/>
          <w:szCs w:val="24"/>
          <w:lang w:val="en-US" w:eastAsia="zh-CN"/>
        </w:rPr>
        <w:t>费用</w:t>
      </w:r>
      <w:r>
        <w:rPr>
          <w:rFonts w:hint="eastAsia" w:ascii="宋体" w:hAnsi="宋体" w:eastAsia="宋体" w:cs="宋体"/>
          <w:color w:val="auto"/>
          <w:sz w:val="24"/>
          <w:szCs w:val="24"/>
          <w:lang w:eastAsia="zh-CN"/>
        </w:rPr>
        <w:t>按照实际</w:t>
      </w:r>
      <w:r>
        <w:rPr>
          <w:rFonts w:hint="eastAsia" w:ascii="宋体" w:hAnsi="宋体" w:eastAsia="宋体" w:cs="宋体"/>
          <w:color w:val="auto"/>
          <w:sz w:val="24"/>
          <w:szCs w:val="24"/>
          <w:lang w:val="en-US" w:eastAsia="zh-CN"/>
        </w:rPr>
        <w:t>采购数</w:t>
      </w:r>
      <w:r>
        <w:rPr>
          <w:rFonts w:hint="eastAsia" w:ascii="宋体" w:hAnsi="宋体" w:eastAsia="宋体" w:cs="宋体"/>
          <w:color w:val="auto"/>
          <w:sz w:val="24"/>
          <w:szCs w:val="24"/>
          <w:lang w:eastAsia="zh-CN"/>
        </w:rPr>
        <w:t>量进行结算，</w:t>
      </w:r>
      <w:r>
        <w:rPr>
          <w:rFonts w:ascii="宋体" w:hAnsi="宋体" w:eastAsia="宋体" w:cs="宋体"/>
          <w:color w:val="auto"/>
          <w:sz w:val="24"/>
          <w:szCs w:val="24"/>
          <w:lang w:eastAsia="zh-CN"/>
        </w:rPr>
        <w:t>结算金额</w:t>
      </w:r>
      <w:r>
        <w:rPr>
          <w:rFonts w:hint="eastAsia" w:ascii="宋体" w:hAnsi="宋体" w:eastAsia="宋体" w:cs="宋体"/>
          <w:color w:val="auto"/>
          <w:sz w:val="24"/>
          <w:szCs w:val="24"/>
          <w:lang w:eastAsia="zh-CN"/>
        </w:rPr>
        <w:t>为：</w:t>
      </w:r>
      <w:r>
        <w:rPr>
          <w:rFonts w:hint="eastAsia" w:ascii="宋体" w:hAnsi="宋体" w:eastAsia="宋体" w:cs="宋体"/>
          <w:color w:val="auto"/>
          <w:sz w:val="24"/>
          <w:szCs w:val="24"/>
          <w:lang w:val="en-US" w:eastAsia="zh-CN"/>
        </w:rPr>
        <w:t>每种印刷品的中标单价</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实际采购数量</w:t>
      </w:r>
      <w:r>
        <w:rPr>
          <w:rFonts w:hint="eastAsia" w:ascii="宋体" w:hAnsi="宋体" w:eastAsia="宋体" w:cs="宋体"/>
          <w:color w:val="auto"/>
          <w:sz w:val="24"/>
          <w:szCs w:val="24"/>
          <w:lang w:eastAsia="zh-CN"/>
        </w:rPr>
        <w:t>，双方以2个月为一个周期进行结算，货款经双方确认无误后，采购人向成交供应商付清；</w:t>
      </w:r>
    </w:p>
    <w:p w14:paraId="672B6C6C">
      <w:pPr>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5</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lang w:eastAsia="zh-CN"/>
        </w:rPr>
        <w:t>包装和运输</w:t>
      </w:r>
      <w:r>
        <w:rPr>
          <w:rFonts w:hint="eastAsia" w:ascii="宋体" w:hAnsi="宋体" w:eastAsia="宋体" w:cs="宋体"/>
          <w:b/>
          <w:bCs/>
          <w:color w:val="auto"/>
          <w:sz w:val="24"/>
          <w:szCs w:val="24"/>
          <w:lang w:eastAsia="zh-CN"/>
        </w:rPr>
        <w:t>：</w:t>
      </w:r>
      <w:r>
        <w:rPr>
          <w:rFonts w:hint="eastAsia" w:ascii="宋体" w:hAnsi="宋体" w:eastAsia="宋体" w:cs="宋体"/>
          <w:color w:val="auto"/>
          <w:sz w:val="24"/>
          <w:lang w:eastAsia="zh-CN"/>
        </w:rPr>
        <w:t>符合国家标准、行业规范和合同等相关文件的要求。</w:t>
      </w:r>
    </w:p>
    <w:p w14:paraId="0D00F135">
      <w:pPr>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6</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lang w:eastAsia="zh-CN"/>
        </w:rPr>
        <w:t>安装调试</w:t>
      </w:r>
      <w:r>
        <w:rPr>
          <w:rFonts w:hint="eastAsia" w:ascii="宋体" w:hAnsi="宋体" w:eastAsia="宋体" w:cs="宋体"/>
          <w:b/>
          <w:bCs/>
          <w:color w:val="auto"/>
          <w:sz w:val="24"/>
          <w:szCs w:val="24"/>
          <w:lang w:eastAsia="zh-CN"/>
        </w:rPr>
        <w:t>：</w:t>
      </w:r>
      <w:r>
        <w:rPr>
          <w:rFonts w:hint="eastAsia" w:ascii="宋体" w:hAnsi="宋体" w:eastAsia="宋体" w:cs="宋体"/>
          <w:color w:val="auto"/>
          <w:sz w:val="24"/>
          <w:lang w:eastAsia="zh-CN"/>
        </w:rPr>
        <w:t>符合国家标准、行业规范和合同等相关文件的要求。</w:t>
      </w:r>
    </w:p>
    <w:p w14:paraId="064604AF">
      <w:pPr>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7</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lang w:eastAsia="zh-CN"/>
        </w:rPr>
        <w:t>项目验收</w:t>
      </w:r>
      <w:r>
        <w:rPr>
          <w:rFonts w:hint="eastAsia" w:ascii="宋体" w:hAnsi="宋体" w:eastAsia="宋体" w:cs="宋体"/>
          <w:b/>
          <w:bCs/>
          <w:color w:val="auto"/>
          <w:sz w:val="24"/>
          <w:szCs w:val="24"/>
          <w:lang w:eastAsia="zh-CN"/>
        </w:rPr>
        <w:t>：</w:t>
      </w:r>
    </w:p>
    <w:p w14:paraId="0DBECA85">
      <w:pPr>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（1）验收时间：按实际约定执行。</w:t>
      </w:r>
    </w:p>
    <w:p w14:paraId="0F52857A">
      <w:pPr>
        <w:pStyle w:val="5"/>
        <w:autoSpaceDE/>
        <w:autoSpaceDN/>
        <w:adjustRightInd/>
        <w:spacing w:line="360" w:lineRule="auto"/>
        <w:ind w:firstLine="480" w:firstLineChars="200"/>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（2）验收标准：符合中华人民共和国国家安全质量标准、环保标准或行业标准；符合招标文件和投标承诺中配置、参数及各项要求。</w:t>
      </w:r>
    </w:p>
    <w:p w14:paraId="2E5F8877">
      <w:pPr>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8</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lang w:eastAsia="zh-CN"/>
        </w:rPr>
        <w:t>售后服务</w:t>
      </w:r>
      <w:r>
        <w:rPr>
          <w:rFonts w:hint="eastAsia" w:ascii="宋体" w:hAnsi="宋体" w:eastAsia="宋体" w:cs="宋体"/>
          <w:b/>
          <w:bCs/>
          <w:color w:val="auto"/>
          <w:sz w:val="24"/>
          <w:szCs w:val="24"/>
          <w:lang w:eastAsia="zh-CN"/>
        </w:rPr>
        <w:t>：</w:t>
      </w:r>
    </w:p>
    <w:p w14:paraId="2492E553">
      <w:pPr>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（1）质量保证期：不少</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年。</w:t>
      </w:r>
    </w:p>
    <w:p w14:paraId="72FF88E6">
      <w:pPr>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（2）售后服务标准：</w:t>
      </w:r>
    </w:p>
    <w:p w14:paraId="452EC318">
      <w:pPr>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①成交供应商须保证所提供的货物完全符合强制性的国家技术质量规范和招标文件规定的质量、规格、性能和技术规范等的要求。</w:t>
      </w:r>
    </w:p>
    <w:p w14:paraId="3AD5AF7C">
      <w:pPr>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②成交供应商须保证所提供的货物质量问题能实行包换、包调、包退等三包服务。质量出现问题所发生的一切费用由供应商承担。</w:t>
      </w:r>
    </w:p>
    <w:p w14:paraId="2C05F20B">
      <w:pPr>
        <w:spacing w:line="360" w:lineRule="auto"/>
        <w:ind w:firstLine="456" w:firstLineChars="200"/>
        <w:jc w:val="both"/>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③采购人所发定作物如有印装质量问题（如缺页、装订错误、倒页、脱页、破损、污渍等），成交供应商应无条件调、换货，由此产生的费用由成交供应商承担。</w:t>
      </w:r>
    </w:p>
    <w:p w14:paraId="6B875334">
      <w:pPr>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④成交供应商在项目实施或服务过程中发生的重大人员、产品质量事故，或因成交供应商管理不善等原因造成的人员伤亡等责任事故均由成交供应商负责，采购人不承担任何法律及经济责任。</w:t>
      </w:r>
    </w:p>
    <w:p w14:paraId="278397BB">
      <w:pPr>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⑤成交供应商的其他售后服务承诺属于本合同的一部分，如果有不同约定的，以服务水平和层级更高的为准。</w:t>
      </w:r>
    </w:p>
    <w:p w14:paraId="5B3D6EFC">
      <w:pPr>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9</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lang w:eastAsia="zh-CN"/>
        </w:rPr>
        <w:t>知识产权</w:t>
      </w:r>
      <w:r>
        <w:rPr>
          <w:rFonts w:hint="eastAsia" w:ascii="宋体" w:hAnsi="宋体" w:eastAsia="宋体" w:cs="宋体"/>
          <w:b/>
          <w:bCs/>
          <w:color w:val="auto"/>
          <w:sz w:val="24"/>
          <w:szCs w:val="24"/>
          <w:lang w:eastAsia="zh-CN"/>
        </w:rPr>
        <w:t>：</w:t>
      </w:r>
      <w:r>
        <w:rPr>
          <w:rFonts w:hint="eastAsia" w:ascii="宋体" w:hAnsi="宋体" w:eastAsia="宋体" w:cs="宋体"/>
          <w:color w:val="auto"/>
          <w:sz w:val="24"/>
          <w:szCs w:val="24"/>
          <w:lang w:eastAsia="zh-CN"/>
        </w:rPr>
        <w:t>成交供应商应保证采购人在使用产品或产品的任何部分不受任何关于侵犯所有权和工业产权、著作权（版权）等知识产权的指控。如果任何第三方提出侵权指控，成交供应商承担一切与之有关的责任与费用。</w:t>
      </w:r>
    </w:p>
    <w:p w14:paraId="30033CB0">
      <w:pPr>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1</w:t>
      </w:r>
      <w:r>
        <w:rPr>
          <w:rFonts w:hint="eastAsia" w:ascii="宋体" w:hAnsi="宋体" w:eastAsia="宋体" w:cs="宋体"/>
          <w:b/>
          <w:bCs/>
          <w:color w:val="auto"/>
          <w:sz w:val="24"/>
          <w:szCs w:val="24"/>
          <w:lang w:val="en-US" w:eastAsia="zh-CN"/>
        </w:rPr>
        <w:t>0</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lang w:eastAsia="zh-CN"/>
        </w:rPr>
        <w:t>履约风险及措施</w:t>
      </w:r>
      <w:r>
        <w:rPr>
          <w:rFonts w:hint="eastAsia" w:ascii="宋体" w:hAnsi="宋体" w:eastAsia="宋体" w:cs="宋体"/>
          <w:b/>
          <w:bCs/>
          <w:color w:val="auto"/>
          <w:sz w:val="24"/>
          <w:szCs w:val="24"/>
          <w:lang w:eastAsia="zh-CN"/>
        </w:rPr>
        <w:t>：</w:t>
      </w:r>
    </w:p>
    <w:p w14:paraId="171EE333">
      <w:pPr>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（1）成交供应商逾期交付致使甲方合同目的不能实现的，甲方可直接解除合同，并按合同价格的30%向成交供应商追索违约金。</w:t>
      </w:r>
    </w:p>
    <w:p w14:paraId="6B744C51">
      <w:pPr>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成交供应商提供的服务或产品未达到本合同约定的技术、质量及其他任何要求，且经验收不合格的或成交供应商明确告知甲方无法交付合同约定产品或提供合同约定的服务的，成交供应商应当承担违约责任，并应按本合同总金额的30%向甲方支付违约金。</w:t>
      </w:r>
    </w:p>
    <w:p w14:paraId="40647CA3">
      <w:pPr>
        <w:spacing w:line="360" w:lineRule="auto"/>
        <w:ind w:firstLine="482" w:firstLineChars="200"/>
        <w:jc w:val="both"/>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rPr>
        <w:t>11、其它要求：</w:t>
      </w:r>
      <w:r>
        <w:rPr>
          <w:rFonts w:hint="eastAsia" w:ascii="宋体" w:hAnsi="宋体" w:eastAsia="宋体" w:cs="宋体"/>
          <w:color w:val="auto"/>
          <w:sz w:val="24"/>
          <w:szCs w:val="24"/>
          <w:lang w:eastAsia="zh-CN"/>
        </w:rPr>
        <w:t>供应商服务人员具有取得资质的设计、排版、印刷、摄影出图，图片工艺美化等专业技术人员，</w:t>
      </w:r>
      <w:r>
        <w:rPr>
          <w:rFonts w:hint="eastAsia" w:ascii="宋体" w:hAnsi="宋体" w:eastAsia="宋体" w:cs="宋体"/>
          <w:b w:val="0"/>
          <w:bCs w:val="0"/>
          <w:color w:val="auto"/>
          <w:sz w:val="24"/>
          <w:szCs w:val="24"/>
        </w:rPr>
        <w:t>能够按照新闻出版管理部门要求完成出版物（公开刊号）的印刷备案</w:t>
      </w:r>
      <w:r>
        <w:rPr>
          <w:rFonts w:hint="eastAsia" w:ascii="宋体" w:hAnsi="宋体" w:eastAsia="宋体" w:cs="宋体"/>
          <w:color w:val="auto"/>
          <w:sz w:val="24"/>
          <w:szCs w:val="24"/>
          <w:lang w:eastAsia="zh-CN"/>
        </w:rPr>
        <w:t>。</w:t>
      </w:r>
      <w:r>
        <w:rPr>
          <w:rFonts w:hint="eastAsia" w:ascii="宋体" w:hAnsi="宋体" w:eastAsia="宋体" w:cs="宋体"/>
          <w:b/>
          <w:bCs/>
          <w:color w:val="auto"/>
          <w:sz w:val="24"/>
          <w:szCs w:val="24"/>
          <w:lang w:eastAsia="zh-CN"/>
        </w:rPr>
        <w:t>（响应文件中须提供承诺函加盖供应商公章，格式自拟）</w:t>
      </w:r>
    </w:p>
    <w:p w14:paraId="196B48A6">
      <w:pPr>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注：以上所有服务</w:t>
      </w:r>
      <w:r>
        <w:rPr>
          <w:rFonts w:hint="eastAsia" w:ascii="宋体" w:hAnsi="宋体" w:eastAsia="宋体" w:cs="宋体"/>
          <w:b/>
          <w:bCs/>
          <w:color w:val="auto"/>
          <w:sz w:val="24"/>
          <w:szCs w:val="24"/>
          <w:lang w:val="en-US" w:eastAsia="zh-CN"/>
        </w:rPr>
        <w:t>需求</w:t>
      </w:r>
      <w:r>
        <w:rPr>
          <w:rFonts w:hint="eastAsia" w:ascii="宋体" w:hAnsi="宋体" w:eastAsia="宋体" w:cs="宋体"/>
          <w:b/>
          <w:bCs/>
          <w:color w:val="auto"/>
          <w:sz w:val="24"/>
          <w:szCs w:val="24"/>
          <w:lang w:eastAsia="zh-CN"/>
        </w:rPr>
        <w:t>和商务</w:t>
      </w:r>
      <w:r>
        <w:rPr>
          <w:rFonts w:hint="eastAsia" w:ascii="宋体" w:hAnsi="宋体" w:eastAsia="宋体" w:cs="宋体"/>
          <w:b/>
          <w:bCs/>
          <w:color w:val="auto"/>
          <w:sz w:val="24"/>
          <w:szCs w:val="24"/>
          <w:lang w:val="en-US" w:eastAsia="zh-CN"/>
        </w:rPr>
        <w:t>条件</w:t>
      </w:r>
      <w:r>
        <w:rPr>
          <w:rFonts w:hint="eastAsia" w:ascii="宋体" w:hAnsi="宋体" w:eastAsia="宋体" w:cs="宋体"/>
          <w:b/>
          <w:bCs/>
          <w:color w:val="auto"/>
          <w:sz w:val="24"/>
          <w:szCs w:val="24"/>
          <w:lang w:eastAsia="zh-CN"/>
        </w:rPr>
        <w:t>均为实质性要求，必须全部满足，否则视为无效响应。</w:t>
      </w:r>
    </w:p>
    <w:p w14:paraId="262EC907">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KSOFF9CC6125">
    <w:panose1 w:val="02010609060101010101"/>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5A047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Body Text"/>
    <w:basedOn w:val="1"/>
    <w:qFormat/>
    <w:uiPriority w:val="0"/>
    <w:rPr>
      <w:rFonts w:ascii="仿宋" w:hAnsi="仿宋" w:eastAsia="仿宋" w:cs="仿宋"/>
      <w:sz w:val="30"/>
      <w:szCs w:val="30"/>
    </w:rPr>
  </w:style>
  <w:style w:type="paragraph" w:styleId="4">
    <w:name w:val="footer"/>
    <w:basedOn w:val="1"/>
    <w:qFormat/>
    <w:uiPriority w:val="0"/>
    <w:pPr>
      <w:tabs>
        <w:tab w:val="center" w:pos="4153"/>
        <w:tab w:val="right" w:pos="8306"/>
      </w:tabs>
    </w:pPr>
    <w:rPr>
      <w:sz w:val="18"/>
    </w:rPr>
  </w:style>
  <w:style w:type="paragraph" w:styleId="5">
    <w:name w:val="Body Text First Indent"/>
    <w:basedOn w:val="3"/>
    <w:qFormat/>
    <w:uiPriority w:val="0"/>
    <w:pPr>
      <w:ind w:firstLine="420" w:firstLineChars="1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2026-05-26T03:43:28Z</dcterms:created>
  <dc:creator>lenovo</dc:creator>
  <cp:lastModifiedBy>落幕wata.</cp:lastModifiedBy>
  <dcterms:modified xsi:type="dcterms:W3CDTF">2026-05-26T03:48:38Z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eyJoZGlkIjoiNDU5M2FjZGI5NTAwN2ZjZWY1NTZjNjkyYzYxNzZiNDEiLCJ1c2VySWQiOiI2NTQzMTYyODQifQ==</vt:lpwstr>
  </property>
  <property fmtid="{D5CDD505-2E9C-101B-9397-08002B2CF9AE}" pid="4" name="ICV">
    <vt:lpwstr>11CA08C9D6BC44B28C709EDBBC420601_12</vt:lpwstr>
  </property>
</Properties>
</file>