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w:t>
      </w:r>
    </w:p>
    <w:p w14:paraId="63447F04">
      <w:pPr>
        <w:pageBreakBefore w:val="0"/>
        <w:widowControl w:val="0"/>
        <w:wordWrap/>
        <w:overflowPunct/>
        <w:topLinePunct w:val="0"/>
        <w:bidi w:val="0"/>
        <w:spacing w:before="78" w:line="360" w:lineRule="auto"/>
        <w:jc w:val="both"/>
        <w:rPr>
          <w:rFonts w:hint="eastAsia" w:ascii="宋体" w:hAnsi="宋体" w:eastAsia="宋体" w:cs="宋体"/>
          <w:color w:val="auto"/>
          <w:spacing w:val="-5"/>
          <w:sz w:val="24"/>
          <w:szCs w:val="24"/>
          <w:highlight w:val="none"/>
        </w:rPr>
      </w:pPr>
    </w:p>
    <w:p w14:paraId="762A349C">
      <w:pPr>
        <w:pageBreakBefore w:val="0"/>
        <w:widowControl w:val="0"/>
        <w:wordWrap/>
        <w:overflowPunct/>
        <w:topLinePunct w:val="0"/>
        <w:bidi w:val="0"/>
        <w:spacing w:before="78" w:line="360" w:lineRule="auto"/>
        <w:jc w:val="both"/>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4055C1EC">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1、人员配备</w:t>
      </w:r>
    </w:p>
    <w:p w14:paraId="0C0A205A">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采购人有权对服务团队所有人员的配备进行审核，并有权要求更换任何派驻人员。</w:t>
      </w:r>
    </w:p>
    <w:tbl>
      <w:tblPr>
        <w:tblStyle w:val="4"/>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794"/>
        <w:gridCol w:w="1461"/>
        <w:gridCol w:w="5267"/>
      </w:tblGrid>
      <w:tr w14:paraId="4F4EB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tblHeader/>
          <w:jc w:val="center"/>
        </w:trPr>
        <w:tc>
          <w:tcPr>
            <w:tcW w:w="1794" w:type="dxa"/>
            <w:tcBorders>
              <w:top w:val="single" w:color="auto" w:sz="4" w:space="0"/>
              <w:left w:val="single" w:color="auto" w:sz="4" w:space="0"/>
              <w:bottom w:val="single" w:color="auto" w:sz="4" w:space="0"/>
              <w:right w:val="single" w:color="auto" w:sz="4" w:space="0"/>
            </w:tcBorders>
            <w:shd w:val="clear" w:color="auto" w:fill="auto"/>
            <w:tcMar>
              <w:top w:w="150" w:type="dxa"/>
              <w:left w:w="0" w:type="dxa"/>
              <w:bottom w:w="150" w:type="dxa"/>
              <w:right w:w="240" w:type="dxa"/>
            </w:tcMar>
            <w:vAlign w:val="center"/>
          </w:tcPr>
          <w:p w14:paraId="2AEBCCE4">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bCs w:val="0"/>
                <w:kern w:val="0"/>
                <w:sz w:val="24"/>
                <w:szCs w:val="24"/>
                <w:lang w:val="en-US" w:eastAsia="zh-CN" w:bidi="ar"/>
              </w:rPr>
              <w:t>岗位</w:t>
            </w:r>
          </w:p>
        </w:tc>
        <w:tc>
          <w:tcPr>
            <w:tcW w:w="1461"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14069E1A">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bCs w:val="0"/>
                <w:kern w:val="0"/>
                <w:sz w:val="24"/>
                <w:szCs w:val="24"/>
                <w:lang w:val="en-US" w:eastAsia="zh-CN" w:bidi="ar"/>
              </w:rPr>
              <w:t>人数</w:t>
            </w:r>
          </w:p>
        </w:tc>
        <w:tc>
          <w:tcPr>
            <w:tcW w:w="5267"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5CF7C6DC">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bCs w:val="0"/>
                <w:kern w:val="0"/>
                <w:sz w:val="24"/>
                <w:szCs w:val="24"/>
                <w:lang w:val="en-US" w:eastAsia="zh-CN" w:bidi="ar"/>
              </w:rPr>
              <w:t>工作地点和人员要求</w:t>
            </w:r>
          </w:p>
        </w:tc>
      </w:tr>
      <w:tr w14:paraId="2DF72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tblHeader/>
          <w:jc w:val="center"/>
        </w:trPr>
        <w:tc>
          <w:tcPr>
            <w:tcW w:w="1794" w:type="dxa"/>
            <w:tcBorders>
              <w:top w:val="single" w:color="auto" w:sz="4" w:space="0"/>
              <w:left w:val="single" w:color="auto" w:sz="4" w:space="0"/>
              <w:bottom w:val="single" w:color="auto" w:sz="4" w:space="0"/>
              <w:right w:val="single" w:color="auto" w:sz="4" w:space="0"/>
            </w:tcBorders>
            <w:shd w:val="clear" w:color="auto" w:fill="auto"/>
            <w:tcMar>
              <w:top w:w="150" w:type="dxa"/>
              <w:left w:w="0" w:type="dxa"/>
              <w:bottom w:w="150" w:type="dxa"/>
              <w:right w:w="240" w:type="dxa"/>
            </w:tcMar>
            <w:vAlign w:val="center"/>
          </w:tcPr>
          <w:p w14:paraId="1B1CCE9F">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val="0"/>
                <w:bCs/>
                <w:kern w:val="0"/>
                <w:sz w:val="24"/>
                <w:szCs w:val="24"/>
                <w:lang w:val="en-US" w:eastAsia="zh-CN" w:bidi="ar"/>
              </w:rPr>
              <w:t>项目负责人</w:t>
            </w:r>
          </w:p>
        </w:tc>
        <w:tc>
          <w:tcPr>
            <w:tcW w:w="1461"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547DB31F">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1</w:t>
            </w:r>
          </w:p>
        </w:tc>
        <w:tc>
          <w:tcPr>
            <w:tcW w:w="5267"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4B326523">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both"/>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val="0"/>
                <w:bCs/>
                <w:kern w:val="0"/>
                <w:sz w:val="24"/>
                <w:szCs w:val="24"/>
                <w:lang w:val="en-US" w:eastAsia="zh-CN" w:bidi="ar"/>
              </w:rPr>
              <w:t>负责项目日常整体运营和管理，项目负责人应服从采购人统筹安排，做好物业管理工作。</w:t>
            </w:r>
          </w:p>
        </w:tc>
      </w:tr>
      <w:tr w14:paraId="0DB61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0" w:hRule="atLeast"/>
          <w:jc w:val="center"/>
        </w:trPr>
        <w:tc>
          <w:tcPr>
            <w:tcW w:w="1794" w:type="dxa"/>
            <w:tcBorders>
              <w:top w:val="single" w:color="auto" w:sz="4" w:space="0"/>
              <w:left w:val="single" w:color="auto" w:sz="4" w:space="0"/>
              <w:bottom w:val="single" w:color="auto" w:sz="4" w:space="0"/>
              <w:right w:val="single" w:color="auto" w:sz="4" w:space="0"/>
            </w:tcBorders>
            <w:shd w:val="clear" w:color="auto" w:fill="auto"/>
            <w:tcMar>
              <w:top w:w="150" w:type="dxa"/>
              <w:left w:w="0" w:type="dxa"/>
              <w:bottom w:w="150" w:type="dxa"/>
              <w:right w:w="240" w:type="dxa"/>
            </w:tcMar>
            <w:vAlign w:val="center"/>
          </w:tcPr>
          <w:p w14:paraId="16A12769">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保安员</w:t>
            </w:r>
          </w:p>
        </w:tc>
        <w:tc>
          <w:tcPr>
            <w:tcW w:w="1461"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3B8EE4CF">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6</w:t>
            </w:r>
          </w:p>
        </w:tc>
        <w:tc>
          <w:tcPr>
            <w:tcW w:w="5267"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0" w:type="dxa"/>
            </w:tcMar>
            <w:vAlign w:val="center"/>
          </w:tcPr>
          <w:p w14:paraId="3B6BD94A">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both"/>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年龄65周岁（含）以下，办公大楼2人、南院基地2人、北院基地2人，人员配置包含1名保安主管，统筹负责整体安保日常管理工作。</w:t>
            </w:r>
          </w:p>
        </w:tc>
      </w:tr>
      <w:tr w14:paraId="3A741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1794" w:type="dxa"/>
            <w:tcBorders>
              <w:top w:val="single" w:color="auto" w:sz="4" w:space="0"/>
              <w:left w:val="single" w:color="auto" w:sz="4" w:space="0"/>
              <w:bottom w:val="single" w:color="auto" w:sz="4" w:space="0"/>
              <w:right w:val="single" w:color="auto" w:sz="4" w:space="0"/>
            </w:tcBorders>
            <w:shd w:val="clear" w:color="auto" w:fill="auto"/>
            <w:tcMar>
              <w:top w:w="150" w:type="dxa"/>
              <w:left w:w="0" w:type="dxa"/>
              <w:bottom w:w="150" w:type="dxa"/>
              <w:right w:w="240" w:type="dxa"/>
            </w:tcMar>
            <w:vAlign w:val="center"/>
          </w:tcPr>
          <w:p w14:paraId="59604FD3">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保洁员</w:t>
            </w:r>
          </w:p>
        </w:tc>
        <w:tc>
          <w:tcPr>
            <w:tcW w:w="1461"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430E2686">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1</w:t>
            </w:r>
          </w:p>
        </w:tc>
        <w:tc>
          <w:tcPr>
            <w:tcW w:w="5267"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0" w:type="dxa"/>
            </w:tcMar>
            <w:vAlign w:val="center"/>
          </w:tcPr>
          <w:p w14:paraId="5729A546">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both"/>
              <w:textAlignment w:val="auto"/>
              <w:rPr>
                <w:rFonts w:hint="eastAsia" w:asciiTheme="minorEastAsia" w:hAnsiTheme="minorEastAsia" w:eastAsiaTheme="minorEastAsia" w:cstheme="minorEastAsia"/>
                <w:kern w:val="0"/>
                <w:sz w:val="24"/>
                <w:szCs w:val="24"/>
                <w:lang w:val="en-US" w:eastAsia="zh-CN" w:bidi="ar"/>
              </w:rPr>
            </w:pPr>
            <w:r>
              <w:rPr>
                <w:rFonts w:hint="eastAsia" w:asciiTheme="minorEastAsia" w:hAnsiTheme="minorEastAsia" w:eastAsiaTheme="minorEastAsia" w:cstheme="minorEastAsia"/>
                <w:kern w:val="0"/>
                <w:sz w:val="24"/>
                <w:szCs w:val="24"/>
                <w:lang w:val="en-US" w:eastAsia="zh-CN" w:bidi="ar"/>
              </w:rPr>
              <w:t>负责办公大楼及南北院基地全面保洁</w:t>
            </w:r>
          </w:p>
        </w:tc>
      </w:tr>
      <w:tr w14:paraId="0EA91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1794" w:type="dxa"/>
            <w:tcBorders>
              <w:top w:val="single" w:color="auto" w:sz="4" w:space="0"/>
              <w:left w:val="single" w:color="auto" w:sz="4" w:space="0"/>
              <w:bottom w:val="single" w:color="auto" w:sz="4" w:space="0"/>
              <w:right w:val="single" w:color="auto" w:sz="4" w:space="0"/>
            </w:tcBorders>
            <w:shd w:val="clear" w:color="auto" w:fill="auto"/>
            <w:tcMar>
              <w:top w:w="150" w:type="dxa"/>
              <w:left w:w="0" w:type="dxa"/>
              <w:bottom w:w="150" w:type="dxa"/>
              <w:right w:w="240" w:type="dxa"/>
            </w:tcMar>
            <w:vAlign w:val="center"/>
          </w:tcPr>
          <w:p w14:paraId="0D63CC40">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bCs w:val="0"/>
                <w:kern w:val="0"/>
                <w:sz w:val="24"/>
                <w:szCs w:val="24"/>
                <w:lang w:val="en-US" w:eastAsia="zh-CN" w:bidi="ar"/>
              </w:rPr>
              <w:t>合计</w:t>
            </w:r>
          </w:p>
        </w:tc>
        <w:tc>
          <w:tcPr>
            <w:tcW w:w="1461"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240" w:type="dxa"/>
            </w:tcMar>
            <w:vAlign w:val="center"/>
          </w:tcPr>
          <w:p w14:paraId="61A3A379">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center"/>
              <w:textAlignment w:val="auto"/>
              <w:rPr>
                <w:rFonts w:hint="eastAsia" w:asciiTheme="minorEastAsia" w:hAnsiTheme="minorEastAsia" w:eastAsiaTheme="minorEastAsia" w:cstheme="minorEastAsia"/>
                <w:b/>
                <w:bCs w:val="0"/>
                <w:kern w:val="0"/>
                <w:sz w:val="24"/>
                <w:szCs w:val="24"/>
                <w:lang w:val="en-US" w:eastAsia="zh-CN" w:bidi="ar"/>
              </w:rPr>
            </w:pPr>
            <w:r>
              <w:rPr>
                <w:rFonts w:hint="eastAsia" w:asciiTheme="minorEastAsia" w:hAnsiTheme="minorEastAsia" w:eastAsiaTheme="minorEastAsia" w:cstheme="minorEastAsia"/>
                <w:b/>
                <w:bCs w:val="0"/>
                <w:kern w:val="0"/>
                <w:sz w:val="24"/>
                <w:szCs w:val="24"/>
                <w:lang w:val="en-US" w:eastAsia="zh-CN" w:bidi="ar"/>
              </w:rPr>
              <w:t>8</w:t>
            </w:r>
          </w:p>
        </w:tc>
        <w:tc>
          <w:tcPr>
            <w:tcW w:w="5267" w:type="dxa"/>
            <w:tcBorders>
              <w:top w:val="single" w:color="auto" w:sz="4" w:space="0"/>
              <w:left w:val="single" w:color="auto" w:sz="4" w:space="0"/>
              <w:bottom w:val="single" w:color="auto" w:sz="4" w:space="0"/>
              <w:right w:val="single" w:color="auto" w:sz="4" w:space="0"/>
            </w:tcBorders>
            <w:shd w:val="clear" w:color="auto" w:fill="auto"/>
            <w:tcMar>
              <w:top w:w="150" w:type="dxa"/>
              <w:left w:w="240" w:type="dxa"/>
              <w:bottom w:w="150" w:type="dxa"/>
              <w:right w:w="0" w:type="dxa"/>
            </w:tcMar>
            <w:vAlign w:val="center"/>
          </w:tcPr>
          <w:p w14:paraId="54465B96">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both"/>
              <w:textAlignment w:val="auto"/>
              <w:rPr>
                <w:rFonts w:hint="eastAsia" w:asciiTheme="minorEastAsia" w:hAnsiTheme="minorEastAsia" w:eastAsiaTheme="minorEastAsia" w:cstheme="minorEastAsia"/>
                <w:b/>
                <w:kern w:val="0"/>
                <w:sz w:val="24"/>
                <w:szCs w:val="24"/>
                <w:lang w:val="en-US" w:eastAsia="zh-CN" w:bidi="ar"/>
              </w:rPr>
            </w:pPr>
          </w:p>
        </w:tc>
      </w:tr>
      <w:tr w14:paraId="7AF31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8522" w:type="dxa"/>
            <w:gridSpan w:val="3"/>
            <w:tcBorders>
              <w:top w:val="single" w:color="auto" w:sz="4" w:space="0"/>
            </w:tcBorders>
            <w:shd w:val="clear" w:color="auto" w:fill="auto"/>
            <w:tcMar>
              <w:top w:w="150" w:type="dxa"/>
              <w:left w:w="0" w:type="dxa"/>
              <w:bottom w:w="150" w:type="dxa"/>
              <w:right w:w="240" w:type="dxa"/>
            </w:tcMar>
            <w:vAlign w:val="center"/>
          </w:tcPr>
          <w:p w14:paraId="488AFBF0">
            <w:pPr>
              <w:keepNext w:val="0"/>
              <w:keepLines w:val="0"/>
              <w:pageBreakBefore w:val="0"/>
              <w:widowControl/>
              <w:kinsoku/>
              <w:wordWrap/>
              <w:overflowPunct/>
              <w:topLinePunct w:val="0"/>
              <w:autoSpaceDE/>
              <w:autoSpaceDN/>
              <w:bidi w:val="0"/>
              <w:adjustRightInd/>
              <w:snapToGrid w:val="0"/>
              <w:spacing w:beforeAutospacing="0" w:afterAutospacing="0" w:line="240" w:lineRule="auto"/>
              <w:ind w:left="0" w:leftChars="0" w:right="0" w:rightChars="0" w:firstLine="0" w:firstLineChars="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lang w:val="en-US" w:eastAsia="zh-CN" w:bidi="ar"/>
              </w:rPr>
              <w:t>注：供应商应根据服务规模自行合理配备项目负责人员，统筹管理与协调。</w:t>
            </w:r>
          </w:p>
        </w:tc>
      </w:tr>
    </w:tbl>
    <w:p w14:paraId="0B31E4C1">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b/>
          <w:bCs/>
          <w:i w:val="0"/>
          <w:iCs w:val="0"/>
          <w:caps w:val="0"/>
          <w:color w:val="0F1115"/>
          <w:spacing w:val="0"/>
          <w:sz w:val="24"/>
          <w:szCs w:val="24"/>
          <w:shd w:val="clear" w:fill="FFFFFF"/>
        </w:rPr>
      </w:pPr>
    </w:p>
    <w:p w14:paraId="4E5070DD">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2、</w:t>
      </w:r>
      <w:r>
        <w:rPr>
          <w:rFonts w:hint="eastAsia" w:asciiTheme="minorEastAsia" w:hAnsiTheme="minorEastAsia" w:eastAsiaTheme="minorEastAsia" w:cstheme="minorEastAsia"/>
          <w:b/>
          <w:bCs/>
          <w:i w:val="0"/>
          <w:iCs w:val="0"/>
          <w:caps w:val="0"/>
          <w:color w:val="0F1115"/>
          <w:spacing w:val="0"/>
          <w:sz w:val="24"/>
          <w:szCs w:val="24"/>
          <w:shd w:val="clear" w:fill="FFFFFF"/>
        </w:rPr>
        <w:t>总体服务要求</w:t>
      </w:r>
    </w:p>
    <w:p w14:paraId="3707EED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供应商负责对其员工进行岗位培训、管理教育和安全负责。所有派驻人员须品行端正、身体健康、责任心强，无不良嗜好或不良档案记录。供应商须为其现场服务人员办理必要的保险并支付保险费，保险期限覆盖整个服务期。在服务期内，供应商对其派出人员的人身安全、劳动关系等负完全责任，采购人与供应商不构成劳务派遣关系。</w:t>
      </w:r>
    </w:p>
    <w:p w14:paraId="0CBAA65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（2）</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确保物业安全，全力避免责任事故发生。对渎职失职行为严肃查处，并报采购人备案。</w:t>
      </w:r>
    </w:p>
    <w:p w14:paraId="47E15D8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（3）本</w:t>
      </w:r>
      <w:r>
        <w:rPr>
          <w:rFonts w:hint="eastAsia" w:asciiTheme="minorEastAsia" w:hAnsiTheme="minorEastAsia" w:eastAsiaTheme="minorEastAsia" w:cstheme="minorEastAsia"/>
          <w:b w:val="0"/>
          <w:bCs w:val="0"/>
          <w:i w:val="0"/>
          <w:iCs w:val="0"/>
          <w:caps w:val="0"/>
          <w:color w:val="0F1115"/>
          <w:spacing w:val="0"/>
          <w:sz w:val="24"/>
          <w:szCs w:val="24"/>
          <w:shd w:val="clear" w:fill="FFFFFF"/>
        </w:rPr>
        <w:t>项目</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服务资金管理账户不得用于</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本项目以外</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的服务收支。定期向采购人报告物业成本中外委费用（维保费、检测费、技术协作费等）资金使用情况，并接受采购人的日常监督和经双方认可的稽核机构的审计，当双方意见不一致时采购人具有最终决定权。</w:t>
      </w:r>
    </w:p>
    <w:p w14:paraId="0C627BF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（4）</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不得随意变更物业服务用房的用途。对本物业的公共设施不得擅自占用和改变使用功能，如需扩建或完善配套项目，须与</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协商后报有关部门批准方可实施。</w:t>
      </w:r>
    </w:p>
    <w:p w14:paraId="6468D1F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（5）采购人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在物业服务需求外安排的临时性零星维修工作及会议、保洁服务保障工作，</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供应商</w:t>
      </w:r>
      <w:r>
        <w:rPr>
          <w:rFonts w:hint="eastAsia" w:asciiTheme="minorEastAsia" w:hAnsiTheme="minorEastAsia" w:eastAsiaTheme="minorEastAsia" w:cstheme="minorEastAsia"/>
          <w:b w:val="0"/>
          <w:bCs w:val="0"/>
          <w:i w:val="0"/>
          <w:iCs w:val="0"/>
          <w:caps w:val="0"/>
          <w:color w:val="0F1115"/>
          <w:spacing w:val="0"/>
          <w:sz w:val="24"/>
          <w:szCs w:val="24"/>
          <w:shd w:val="clear" w:fill="FFFFFF"/>
        </w:rPr>
        <w:t>须按</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要求完成，</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不再增加物业服务费。</w:t>
      </w:r>
    </w:p>
    <w:p w14:paraId="066C98B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（6）</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建立本</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项目</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的电子化信息管理系统，实现本</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项目</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主要管理与服务活动的有序监控。</w:t>
      </w:r>
    </w:p>
    <w:p w14:paraId="19DF3E9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（7）</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供应商应定期通报项目</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的</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有关事项；</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当</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发生停水、停电、停气，以及消防报警、电梯困人、水管爆管和盗窃斗殴等突发性事件时，</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供应商</w:t>
      </w:r>
      <w:r>
        <w:rPr>
          <w:rFonts w:hint="eastAsia" w:asciiTheme="minorEastAsia" w:hAnsiTheme="minorEastAsia" w:eastAsiaTheme="minorEastAsia" w:cstheme="minorEastAsia"/>
          <w:b w:val="0"/>
          <w:bCs w:val="0"/>
          <w:i w:val="0"/>
          <w:iCs w:val="0"/>
          <w:caps w:val="0"/>
          <w:color w:val="0F1115"/>
          <w:spacing w:val="0"/>
          <w:sz w:val="24"/>
          <w:szCs w:val="24"/>
          <w:shd w:val="clear" w:fill="FFFFFF"/>
        </w:rPr>
        <w:t>须根据应急预案第一时间进行处置，控制事态发展或减小可能造成的损失，并立即向</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汇报，事件处理完成后，并在两天之内形成情况报告报送</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w:t>
      </w:r>
    </w:p>
    <w:p w14:paraId="7E0D9142">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3、</w:t>
      </w:r>
      <w:r>
        <w:rPr>
          <w:rFonts w:hint="eastAsia" w:asciiTheme="minorEastAsia" w:hAnsiTheme="minorEastAsia" w:eastAsiaTheme="minorEastAsia" w:cstheme="minorEastAsia"/>
          <w:b/>
          <w:bCs/>
          <w:i w:val="0"/>
          <w:iCs w:val="0"/>
          <w:caps w:val="0"/>
          <w:color w:val="0F1115"/>
          <w:spacing w:val="0"/>
          <w:sz w:val="24"/>
          <w:szCs w:val="24"/>
          <w:shd w:val="clear" w:fill="FFFFFF"/>
        </w:rPr>
        <w:t>保安服务具体要求</w:t>
      </w:r>
    </w:p>
    <w:p w14:paraId="1AAD60E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服务</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内容</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：严格履行保安工作职能，维护</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正常工作和经营秩序</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，及时发现、报告、扭送和配合处理一般性刑事、治安问题，维护甲方合法权益，认真做好安全防范工作</w:t>
      </w:r>
      <w:r>
        <w:rPr>
          <w:rFonts w:hint="eastAsia" w:asciiTheme="minorEastAsia" w:hAnsiTheme="minorEastAsia" w:eastAsiaTheme="minorEastAsia" w:cstheme="minorEastAsia"/>
          <w:b w:val="0"/>
          <w:bCs w:val="0"/>
          <w:i w:val="0"/>
          <w:iCs w:val="0"/>
          <w:caps w:val="0"/>
          <w:color w:val="0F1115"/>
          <w:spacing w:val="0"/>
          <w:sz w:val="24"/>
          <w:szCs w:val="24"/>
          <w:shd w:val="clear" w:fill="FFFFFF"/>
        </w:rPr>
        <w:t>。遵守工作制度，做到文明执勤，</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自觉</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维护双方声誉和形象，听取</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的意见和建议，满足采购人的合理要求</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尊重采购人的领导和管理，接受监督与检查。对发现的重大事故隐患和可能发生的突发事件，应及时采取果断措施处置并报告采购人保卫部门。对外来机动车辆严格盘查、登记，劝阻</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和警告</w:t>
      </w:r>
      <w:r>
        <w:rPr>
          <w:rFonts w:hint="eastAsia" w:asciiTheme="minorEastAsia" w:hAnsiTheme="minorEastAsia" w:eastAsiaTheme="minorEastAsia" w:cstheme="minorEastAsia"/>
          <w:b w:val="0"/>
          <w:bCs w:val="0"/>
          <w:i w:val="0"/>
          <w:iCs w:val="0"/>
          <w:caps w:val="0"/>
          <w:color w:val="0F1115"/>
          <w:spacing w:val="0"/>
          <w:sz w:val="24"/>
          <w:szCs w:val="24"/>
          <w:shd w:val="clear" w:fill="FFFFFF"/>
        </w:rPr>
        <w:t>违规停放；对外来人员做好盘问</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和</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登记</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同时</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电话联系所找部门和工作人员及住户</w:t>
      </w:r>
      <w:r>
        <w:rPr>
          <w:rFonts w:hint="eastAsia" w:asciiTheme="minorEastAsia" w:hAnsiTheme="minorEastAsia" w:eastAsiaTheme="minorEastAsia" w:cstheme="minorEastAsia"/>
          <w:b w:val="0"/>
          <w:bCs w:val="0"/>
          <w:i w:val="0"/>
          <w:iCs w:val="0"/>
          <w:caps w:val="0"/>
          <w:color w:val="0F1115"/>
          <w:spacing w:val="0"/>
          <w:sz w:val="24"/>
          <w:szCs w:val="24"/>
          <w:shd w:val="clear" w:fill="FFFFFF"/>
        </w:rPr>
        <w:t>确认。相关管理制度须上墙公示，值班记录详细完整。</w:t>
      </w:r>
    </w:p>
    <w:p w14:paraId="696DECE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sz w:val="24"/>
          <w:szCs w:val="24"/>
          <w:lang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（2）质量标准</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：凡属单位办公室、居民房等场所发生撬门入室盗窃事件，经公安机关认定，属保安员失职造成，每发生一起，扣减当月支付</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供应商</w:t>
      </w:r>
      <w:r>
        <w:rPr>
          <w:rFonts w:hint="eastAsia" w:asciiTheme="minorEastAsia" w:hAnsiTheme="minorEastAsia" w:eastAsiaTheme="minorEastAsia" w:cstheme="minorEastAsia"/>
          <w:b w:val="0"/>
          <w:bCs w:val="0"/>
          <w:i w:val="0"/>
          <w:iCs w:val="0"/>
          <w:caps w:val="0"/>
          <w:color w:val="0F1115"/>
          <w:spacing w:val="0"/>
          <w:sz w:val="24"/>
          <w:szCs w:val="24"/>
          <w:shd w:val="clear" w:fill="FFFFFF"/>
        </w:rPr>
        <w:t>（保安员）服务费，每次以公安机关认定损失的10%计算。执勤期间严禁从事脱岗、打牌、玩移动电子设备等与值勤内容不符的活动，一经发现，</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采购人</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将每次扣减服务费20元。值勤期间不能脱岗，脱岗期间造成的全部后果由供应商承担</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b w:val="0"/>
          <w:bCs w:val="0"/>
          <w:i w:val="0"/>
          <w:iCs w:val="0"/>
          <w:caps w:val="0"/>
          <w:color w:val="0F1115"/>
          <w:spacing w:val="0"/>
          <w:sz w:val="24"/>
          <w:szCs w:val="24"/>
          <w:shd w:val="clear" w:fill="FFFFFF"/>
        </w:rPr>
        <w:t>发现无故脱岗每次扣减服务费100元</w:t>
      </w:r>
      <w:r>
        <w:rPr>
          <w:rFonts w:hint="eastAsia" w:asciiTheme="minorEastAsia" w:hAnsiTheme="minorEastAsia" w:eastAsiaTheme="minorEastAsia" w:cstheme="minorEastAsia"/>
          <w:b w:val="0"/>
          <w:bCs w:val="0"/>
          <w:i w:val="0"/>
          <w:iCs w:val="0"/>
          <w:caps w:val="0"/>
          <w:color w:val="0F1115"/>
          <w:spacing w:val="0"/>
          <w:sz w:val="24"/>
          <w:szCs w:val="24"/>
          <w:shd w:val="clear" w:fill="FFFFFF"/>
          <w:lang w:eastAsia="zh-CN"/>
        </w:rPr>
        <w:t>。</w:t>
      </w:r>
    </w:p>
    <w:p w14:paraId="525BD4B8">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4、</w:t>
      </w:r>
      <w:r>
        <w:rPr>
          <w:rFonts w:hint="eastAsia" w:asciiTheme="minorEastAsia" w:hAnsiTheme="minorEastAsia" w:eastAsiaTheme="minorEastAsia" w:cstheme="minorEastAsia"/>
          <w:b/>
          <w:bCs/>
          <w:i w:val="0"/>
          <w:iCs w:val="0"/>
          <w:caps w:val="0"/>
          <w:color w:val="0F1115"/>
          <w:spacing w:val="0"/>
          <w:sz w:val="24"/>
          <w:szCs w:val="24"/>
          <w:shd w:val="clear" w:fill="FFFFFF"/>
        </w:rPr>
        <w:t>保洁服务具体要求</w:t>
      </w:r>
    </w:p>
    <w:p w14:paraId="3032393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b w:val="0"/>
          <w:bCs w:val="0"/>
          <w:i w:val="0"/>
          <w:iCs w:val="0"/>
          <w:caps w:val="0"/>
          <w:color w:val="0F1115"/>
          <w:spacing w:val="0"/>
          <w:sz w:val="24"/>
          <w:szCs w:val="24"/>
          <w:shd w:val="clear" w:fill="FFFFFF"/>
        </w:rPr>
        <w:t>服务时间</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及内容</w:t>
      </w:r>
      <w:r>
        <w:rPr>
          <w:rFonts w:hint="eastAsia" w:asciiTheme="minorEastAsia" w:hAnsiTheme="minorEastAsia" w:eastAsiaTheme="minorEastAsia" w:cstheme="minorEastAsia"/>
          <w:b w:val="0"/>
          <w:bCs w:val="0"/>
          <w:i w:val="0"/>
          <w:iCs w:val="0"/>
          <w:caps w:val="0"/>
          <w:color w:val="0F1115"/>
          <w:spacing w:val="0"/>
          <w:sz w:val="24"/>
          <w:szCs w:val="24"/>
          <w:shd w:val="clear" w:fill="FFFFFF"/>
        </w:rPr>
        <w:t>：</w:t>
      </w: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周一至周五上班期间</w:t>
      </w:r>
      <w:r>
        <w:rPr>
          <w:rFonts w:hint="eastAsia" w:asciiTheme="minorEastAsia" w:hAnsiTheme="minorEastAsia" w:eastAsiaTheme="minorEastAsia" w:cstheme="minorEastAsia"/>
          <w:i w:val="0"/>
          <w:iCs w:val="0"/>
          <w:caps w:val="0"/>
          <w:color w:val="0F1115"/>
          <w:spacing w:val="0"/>
          <w:sz w:val="24"/>
          <w:szCs w:val="24"/>
          <w:shd w:val="clear" w:fill="FFFFFF"/>
        </w:rPr>
        <w:t>办公大楼须至少1人在岗清洁卫生，工作时间与办公楼上班时间一致</w:t>
      </w:r>
      <w:r>
        <w:rPr>
          <w:rFonts w:hint="eastAsia" w:asciiTheme="minorEastAsia" w:hAnsiTheme="minorEastAsia" w:eastAsiaTheme="minorEastAsia" w:cstheme="minorEastAsia"/>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i w:val="0"/>
          <w:iCs w:val="0"/>
          <w:caps w:val="0"/>
          <w:color w:val="0F1115"/>
          <w:spacing w:val="0"/>
          <w:sz w:val="24"/>
          <w:szCs w:val="24"/>
          <w:shd w:val="clear" w:fill="FFFFFF"/>
        </w:rPr>
        <w:t>卫生间每2小时巡查一次卫生情况</w:t>
      </w:r>
      <w:r>
        <w:rPr>
          <w:rFonts w:hint="eastAsia" w:asciiTheme="minorEastAsia" w:hAnsiTheme="minorEastAsia" w:eastAsiaTheme="minorEastAsia" w:cstheme="minorEastAsia"/>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i w:val="0"/>
          <w:iCs w:val="0"/>
          <w:caps w:val="0"/>
          <w:color w:val="0F1115"/>
          <w:spacing w:val="0"/>
          <w:sz w:val="24"/>
          <w:szCs w:val="24"/>
          <w:shd w:val="clear" w:fill="FFFFFF"/>
        </w:rPr>
        <w:t>楼梯扶手每天至少擦洗一次</w:t>
      </w:r>
      <w:r>
        <w:rPr>
          <w:rFonts w:hint="eastAsia" w:asciiTheme="minorEastAsia" w:hAnsiTheme="minorEastAsia" w:eastAsiaTheme="minorEastAsia" w:cstheme="minorEastAsia"/>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i w:val="0"/>
          <w:iCs w:val="0"/>
          <w:caps w:val="0"/>
          <w:color w:val="0F1115"/>
          <w:spacing w:val="0"/>
          <w:sz w:val="24"/>
          <w:szCs w:val="24"/>
          <w:shd w:val="clear" w:fill="FFFFFF"/>
        </w:rPr>
        <w:t>会议室视情况要求打扫。</w:t>
      </w: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周</w:t>
      </w:r>
      <w:r>
        <w:rPr>
          <w:rFonts w:hint="eastAsia" w:asciiTheme="minorEastAsia" w:hAnsiTheme="minorEastAsia" w:eastAsiaTheme="minorEastAsia" w:cstheme="minorEastAsia"/>
          <w:i w:val="0"/>
          <w:iCs w:val="0"/>
          <w:caps w:val="0"/>
          <w:color w:val="0F1115"/>
          <w:spacing w:val="0"/>
          <w:sz w:val="24"/>
          <w:szCs w:val="24"/>
          <w:shd w:val="clear" w:fill="FFFFFF"/>
        </w:rPr>
        <w:t>六、</w:t>
      </w: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周</w:t>
      </w:r>
      <w:r>
        <w:rPr>
          <w:rFonts w:hint="eastAsia" w:asciiTheme="minorEastAsia" w:hAnsiTheme="minorEastAsia" w:eastAsiaTheme="minorEastAsia" w:cstheme="minorEastAsia"/>
          <w:i w:val="0"/>
          <w:iCs w:val="0"/>
          <w:caps w:val="0"/>
          <w:color w:val="0F1115"/>
          <w:spacing w:val="0"/>
          <w:sz w:val="24"/>
          <w:szCs w:val="24"/>
          <w:shd w:val="clear" w:fill="FFFFFF"/>
        </w:rPr>
        <w:t>天按时来办公大楼清洁打扫</w:t>
      </w:r>
      <w:r>
        <w:rPr>
          <w:rFonts w:hint="eastAsia" w:asciiTheme="minorEastAsia" w:hAnsiTheme="minorEastAsia" w:eastAsiaTheme="minorEastAsia" w:cstheme="minorEastAsia"/>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i w:val="0"/>
          <w:iCs w:val="0"/>
          <w:caps w:val="0"/>
          <w:color w:val="0F1115"/>
          <w:spacing w:val="0"/>
          <w:sz w:val="24"/>
          <w:szCs w:val="24"/>
          <w:shd w:val="clear" w:fill="FFFFFF"/>
        </w:rPr>
        <w:t>南、北院基地大院内卫生需随时打扫。</w:t>
      </w:r>
    </w:p>
    <w:p w14:paraId="5457165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（2）耗材供应：供应商负责提供扫把、清洁用拖把、卫生间用拖把、抹布、垃圾袋、洗手液、清洁剂、消毒液、卫生球、蚊香、灭蚊剂，南、北院基地院内垃圾袋等日常清洁耗材。</w:t>
      </w:r>
    </w:p>
    <w:p w14:paraId="01B0ED3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（3）质量标准：采购人发现供应商保洁工作中如出现不整洁、脏乱的地方，采购人有权要求立即清洁，如再次出现不清洁的情况，采购人予以告知警示，出现3次以上则处以罚款20元/次，从服务费中扣除。</w:t>
      </w:r>
    </w:p>
    <w:p w14:paraId="477CD91C">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5、</w:t>
      </w:r>
      <w:r>
        <w:rPr>
          <w:rFonts w:hint="eastAsia" w:asciiTheme="minorEastAsia" w:hAnsiTheme="minorEastAsia" w:eastAsiaTheme="minorEastAsia" w:cstheme="minorEastAsia"/>
          <w:b/>
          <w:bCs/>
          <w:i w:val="0"/>
          <w:iCs w:val="0"/>
          <w:caps w:val="0"/>
          <w:color w:val="0F1115"/>
          <w:spacing w:val="0"/>
          <w:sz w:val="24"/>
          <w:szCs w:val="24"/>
          <w:shd w:val="clear" w:fill="FFFFFF"/>
        </w:rPr>
        <w:t>其他维护要求</w:t>
      </w:r>
    </w:p>
    <w:p w14:paraId="1D53CB12">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sz w:val="24"/>
          <w:szCs w:val="24"/>
          <w:shd w:val="clear" w:fill="FFFFFF"/>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i w:val="0"/>
          <w:iCs w:val="0"/>
          <w:caps w:val="0"/>
          <w:color w:val="0F1115"/>
          <w:spacing w:val="0"/>
          <w:sz w:val="24"/>
          <w:szCs w:val="24"/>
          <w:shd w:val="clear" w:fill="FFFFFF"/>
        </w:rPr>
        <w:t>供应商需为办公大楼及南北院基地提供持证水电工水电维修服务。</w:t>
      </w:r>
    </w:p>
    <w:p w14:paraId="2BC19BA3">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sz w:val="24"/>
          <w:szCs w:val="24"/>
          <w:shd w:val="clear" w:fill="FFFFFF"/>
          <w:lang w:eastAsia="zh-CN"/>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（2）供应商需</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及时清理南北院基地绿化带内垃圾，定期修剪树枝苗木、清理杂草等。</w:t>
      </w:r>
    </w:p>
    <w:p w14:paraId="746E4AF0">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（3）供应商需</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负责带湖路56号沿街玻璃及外墙的打扫整洁。</w:t>
      </w:r>
    </w:p>
    <w:p w14:paraId="14DC9907">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（4）供应商为南北院基地及办公大楼新安装电梯配备持证安全</w:t>
      </w:r>
    </w:p>
    <w:p w14:paraId="2E1317B3">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员。</w:t>
      </w:r>
    </w:p>
    <w:p w14:paraId="0D9C0787">
      <w:pPr>
        <w:pageBreakBefore w:val="0"/>
        <w:widowControl w:val="0"/>
        <w:wordWrap/>
        <w:overflowPunct/>
        <w:topLinePunct w:val="0"/>
        <w:bidi w:val="0"/>
        <w:spacing w:line="360" w:lineRule="auto"/>
        <w:rPr>
          <w:color w:val="auto"/>
          <w:highlight w:val="none"/>
        </w:rPr>
      </w:pPr>
    </w:p>
    <w:p w14:paraId="6CD0063E">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二</w:t>
      </w:r>
      <w:r>
        <w:rPr>
          <w:rFonts w:ascii="宋体" w:hAnsi="宋体" w:eastAsia="宋体" w:cs="宋体"/>
          <w:color w:val="auto"/>
          <w:spacing w:val="-6"/>
          <w:sz w:val="24"/>
          <w:szCs w:val="24"/>
          <w:highlight w:val="none"/>
          <w:lang w:eastAsia="zh-CN"/>
        </w:rPr>
        <w:t>）</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3F2A54F4">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b/>
          <w:bCs/>
          <w:i w:val="0"/>
          <w:iCs w:val="0"/>
          <w:caps w:val="0"/>
          <w:color w:val="0F1115"/>
          <w:spacing w:val="0"/>
          <w:sz w:val="24"/>
          <w:szCs w:val="24"/>
          <w:shd w:val="clear" w:fill="FFFFFF"/>
        </w:rPr>
        <w:t>服务期限</w:t>
      </w:r>
      <w:r>
        <w:rPr>
          <w:rFonts w:hint="eastAsia" w:asciiTheme="minorEastAsia" w:hAnsiTheme="minorEastAsia" w:eastAsiaTheme="minorEastAsia" w:cstheme="minorEastAsia"/>
          <w:b/>
          <w:bCs/>
          <w:i w:val="0"/>
          <w:iCs w:val="0"/>
          <w:caps w:val="0"/>
          <w:color w:val="0F1115"/>
          <w:spacing w:val="0"/>
          <w:sz w:val="24"/>
          <w:szCs w:val="24"/>
          <w:shd w:val="clear" w:fill="FFFFFF"/>
          <w:lang w:eastAsia="zh-CN"/>
        </w:rPr>
        <w:t>：</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自合同签订之日起一年。</w:t>
      </w:r>
    </w:p>
    <w:p w14:paraId="71053D50">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2、服务地点：</w:t>
      </w:r>
      <w:r>
        <w:rPr>
          <w:rFonts w:hint="eastAsia" w:asciiTheme="minorEastAsia" w:hAnsiTheme="minorEastAsia" w:eastAsiaTheme="minorEastAsia" w:cstheme="minorEastAsia"/>
          <w:b w:val="0"/>
          <w:bCs w:val="0"/>
          <w:i w:val="0"/>
          <w:iCs w:val="0"/>
          <w:caps w:val="0"/>
          <w:color w:val="0F1115"/>
          <w:spacing w:val="0"/>
          <w:sz w:val="24"/>
          <w:szCs w:val="24"/>
          <w:shd w:val="clear" w:fill="FFFFFF"/>
          <w:lang w:val="en-US" w:eastAsia="zh-CN"/>
        </w:rPr>
        <w:t>江西省地质局第八地质大队办公大楼以及南、北基地大院（江西省上饶市信州区带湖路56号、51号)。</w:t>
      </w:r>
    </w:p>
    <w:p w14:paraId="3AC7E143">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3、</w:t>
      </w:r>
      <w:r>
        <w:rPr>
          <w:rFonts w:hint="eastAsia" w:asciiTheme="minorEastAsia" w:hAnsiTheme="minorEastAsia" w:eastAsiaTheme="minorEastAsia" w:cstheme="minorEastAsia"/>
          <w:b/>
          <w:bCs/>
          <w:sz w:val="24"/>
          <w:szCs w:val="24"/>
        </w:rPr>
        <w:t>付款方式</w:t>
      </w:r>
      <w:r>
        <w:rPr>
          <w:rFonts w:hint="eastAsia" w:asciiTheme="minorEastAsia" w:hAnsiTheme="minorEastAsia" w:eastAsiaTheme="minorEastAsia" w:cstheme="minorEastAsia"/>
          <w:b/>
          <w:bCs/>
          <w:sz w:val="24"/>
          <w:szCs w:val="24"/>
          <w:lang w:val="en-US" w:eastAsia="zh-CN"/>
        </w:rPr>
        <w:t>及考核评价</w:t>
      </w:r>
    </w:p>
    <w:p w14:paraId="3F4B677C">
      <w:pPr>
        <w:keepNext w:val="0"/>
        <w:keepLines w:val="0"/>
        <w:pageBreakBefore w:val="0"/>
        <w:widowControl/>
        <w:suppressLineNumbers w:val="0"/>
        <w:pBdr>
          <w:top w:val="none" w:color="auto" w:sz="0" w:space="0"/>
          <w:left w:val="none" w:color="auto" w:sz="0" w:space="0"/>
          <w:bottom w:val="none" w:color="auto" w:sz="0" w:space="0"/>
          <w:right w:val="none" w:color="auto" w:sz="0" w:space="0"/>
        </w:pBdr>
        <w:wordWrap/>
        <w:overflowPunct/>
        <w:topLinePunct w:val="0"/>
        <w:bidi w:val="0"/>
        <w:spacing w:beforeAutospacing="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（1）</w:t>
      </w: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采购人按月支付，人民币银行转账方式结算当月服务费用，月度服务费按本项目成交总金额</w:t>
      </w: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的月度平均金额</w:t>
      </w: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w:t>
      </w:r>
    </w:p>
    <w:p w14:paraId="39B37D25">
      <w:pPr>
        <w:keepNext w:val="0"/>
        <w:keepLines w:val="0"/>
        <w:pageBreakBefore w:val="0"/>
        <w:widowControl/>
        <w:suppressLineNumbers w:val="0"/>
        <w:pBdr>
          <w:top w:val="none" w:color="auto" w:sz="0" w:space="0"/>
          <w:left w:val="none" w:color="auto" w:sz="0" w:space="0"/>
          <w:bottom w:val="none" w:color="auto" w:sz="0" w:space="0"/>
          <w:right w:val="none" w:color="auto" w:sz="0" w:space="0"/>
        </w:pBdr>
        <w:wordWrap/>
        <w:overflowPunct/>
        <w:topLinePunct w:val="0"/>
        <w:bidi w:val="0"/>
        <w:spacing w:beforeAutospacing="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pP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2）成交供应商向采购人考核评价部门提出付款申请，服务费的实际支付金额，依据当月考核评价得分确定。采购人考核评价部门审核无误后，依据：1）物业管理服务监督考评标准；2）等额增值税专用发票，支付相应服务费：</w:t>
      </w:r>
    </w:p>
    <w:p w14:paraId="695616C3">
      <w:pPr>
        <w:keepNext w:val="0"/>
        <w:keepLines w:val="0"/>
        <w:pageBreakBefore w:val="0"/>
        <w:widowControl/>
        <w:suppressLineNumbers w:val="0"/>
        <w:pBdr>
          <w:top w:val="none" w:color="auto" w:sz="0" w:space="0"/>
          <w:left w:val="none" w:color="auto" w:sz="0" w:space="0"/>
          <w:bottom w:val="none" w:color="auto" w:sz="0" w:space="0"/>
          <w:right w:val="none" w:color="auto" w:sz="0" w:space="0"/>
        </w:pBdr>
        <w:wordWrap/>
        <w:overflowPunct/>
        <w:topLinePunct w:val="0"/>
        <w:bidi w:val="0"/>
        <w:spacing w:beforeAutospacing="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pP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考核评价得分在90分（含）以上，按合同约定支付或有条件支付服务费（有条件支付是指供应商对存在问题通过改进和完善完全达到合同约定标准）；</w:t>
      </w:r>
    </w:p>
    <w:p w14:paraId="5FFB6853">
      <w:pPr>
        <w:keepNext w:val="0"/>
        <w:keepLines w:val="0"/>
        <w:pageBreakBefore w:val="0"/>
        <w:widowControl/>
        <w:suppressLineNumbers w:val="0"/>
        <w:pBdr>
          <w:top w:val="none" w:color="auto" w:sz="0" w:space="0"/>
          <w:left w:val="none" w:color="auto" w:sz="0" w:space="0"/>
          <w:bottom w:val="none" w:color="auto" w:sz="0" w:space="0"/>
          <w:right w:val="none" w:color="auto" w:sz="0" w:space="0"/>
        </w:pBdr>
        <w:wordWrap/>
        <w:overflowPunct/>
        <w:topLinePunct w:val="0"/>
        <w:bidi w:val="0"/>
        <w:spacing w:beforeAutospacing="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pP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考核评价得分在80分（含）至90分以内，减值支付服务费。采购人视供应商对其存在问题整改情况支付减值后的服务费,减值比例或方式由采购人根据实际情况自行确定（含服务人员负面行为扣减费用），供应商应予接受；</w:t>
      </w:r>
    </w:p>
    <w:p w14:paraId="5620CCAB">
      <w:pPr>
        <w:keepNext w:val="0"/>
        <w:keepLines w:val="0"/>
        <w:pageBreakBefore w:val="0"/>
        <w:widowControl/>
        <w:suppressLineNumbers w:val="0"/>
        <w:pBdr>
          <w:top w:val="none" w:color="auto" w:sz="0" w:space="0"/>
          <w:left w:val="none" w:color="auto" w:sz="0" w:space="0"/>
          <w:bottom w:val="none" w:color="auto" w:sz="0" w:space="0"/>
          <w:right w:val="none" w:color="auto" w:sz="0" w:space="0"/>
        </w:pBdr>
        <w:wordWrap/>
        <w:overflowPunct/>
        <w:topLinePunct w:val="0"/>
        <w:bidi w:val="0"/>
        <w:spacing w:beforeAutospacing="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pPr>
      <w:r>
        <w:rPr>
          <w:rFonts w:hint="eastAsia" w:asciiTheme="minorEastAsia" w:hAnsiTheme="minorEastAsia" w:eastAsiaTheme="minorEastAsia" w:cstheme="minorEastAsia"/>
          <w:i w:val="0"/>
          <w:iCs w:val="0"/>
          <w:caps w:val="0"/>
          <w:color w:val="0F1115"/>
          <w:spacing w:val="0"/>
          <w:kern w:val="2"/>
          <w:sz w:val="24"/>
          <w:szCs w:val="24"/>
          <w:shd w:val="clear" w:fill="FFFFFF"/>
          <w:lang w:val="en-US" w:eastAsia="zh-CN" w:bidi="ar-SA"/>
        </w:rPr>
        <w:t>考核评价得分在80分以下，服务费不予支付。但经采购人同意给予整改机会，并经重新考核评价在80分（含）以上的，减值支付服务费,减值比例或方式由采购人根据实际情况自行确定（含服务人员负面行为扣减费用），供应商应予接受。</w:t>
      </w:r>
    </w:p>
    <w:p w14:paraId="6C782901">
      <w:pPr>
        <w:ind w:firstLine="560" w:firstLineChars="200"/>
        <w:jc w:val="center"/>
        <w:rPr>
          <w:rFonts w:hint="eastAsia" w:ascii="黑体" w:hAnsi="黑体" w:eastAsia="黑体" w:cs="黑体"/>
          <w:b w:val="0"/>
          <w:bCs w:val="0"/>
          <w:sz w:val="28"/>
          <w:szCs w:val="28"/>
        </w:rPr>
        <w:sectPr>
          <w:footerReference r:id="rId3" w:type="default"/>
          <w:pgSz w:w="11906" w:h="16839"/>
          <w:pgMar w:top="1066" w:right="1304" w:bottom="986" w:left="1307" w:header="0" w:footer="994" w:gutter="0"/>
          <w:pgNumType w:fmt="decimal"/>
          <w:cols w:space="720" w:num="1"/>
        </w:sectPr>
      </w:pPr>
    </w:p>
    <w:p w14:paraId="3FB0DEB9">
      <w:pPr>
        <w:ind w:firstLine="560" w:firstLineChars="200"/>
        <w:jc w:val="center"/>
        <w:rPr>
          <w:rFonts w:hint="eastAsia" w:ascii="宋体" w:hAnsi="宋体" w:eastAsia="宋体" w:cs="宋体"/>
          <w:b/>
          <w:bCs/>
          <w:sz w:val="21"/>
          <w:szCs w:val="21"/>
        </w:rPr>
      </w:pPr>
      <w:r>
        <w:rPr>
          <w:rFonts w:hint="eastAsia" w:ascii="黑体" w:hAnsi="黑体" w:eastAsia="黑体" w:cs="黑体"/>
          <w:b w:val="0"/>
          <w:bCs w:val="0"/>
          <w:sz w:val="28"/>
          <w:szCs w:val="28"/>
        </w:rPr>
        <w:t>物业管理服务监督考评标准</w:t>
      </w:r>
    </w:p>
    <w:tbl>
      <w:tblPr>
        <w:tblStyle w:val="4"/>
        <w:tblW w:w="9741" w:type="dxa"/>
        <w:jc w:val="center"/>
        <w:tblLayout w:type="fixed"/>
        <w:tblCellMar>
          <w:top w:w="0" w:type="dxa"/>
          <w:left w:w="108" w:type="dxa"/>
          <w:bottom w:w="0" w:type="dxa"/>
          <w:right w:w="108" w:type="dxa"/>
        </w:tblCellMar>
      </w:tblPr>
      <w:tblGrid>
        <w:gridCol w:w="2808"/>
        <w:gridCol w:w="1440"/>
        <w:gridCol w:w="4456"/>
        <w:gridCol w:w="1037"/>
      </w:tblGrid>
      <w:tr w14:paraId="55C4C55F">
        <w:tblPrEx>
          <w:tblCellMar>
            <w:top w:w="0" w:type="dxa"/>
            <w:left w:w="108" w:type="dxa"/>
            <w:bottom w:w="0" w:type="dxa"/>
            <w:right w:w="108" w:type="dxa"/>
          </w:tblCellMar>
        </w:tblPrEx>
        <w:trPr>
          <w:trHeight w:val="572" w:hRule="exact"/>
          <w:jc w:val="center"/>
        </w:trPr>
        <w:tc>
          <w:tcPr>
            <w:tcW w:w="4248" w:type="dxa"/>
            <w:gridSpan w:val="2"/>
            <w:tcBorders>
              <w:top w:val="single" w:color="auto" w:sz="6" w:space="0"/>
              <w:left w:val="single" w:color="auto" w:sz="6" w:space="0"/>
              <w:bottom w:val="single" w:color="auto" w:sz="6" w:space="0"/>
              <w:right w:val="single" w:color="auto" w:sz="6" w:space="0"/>
            </w:tcBorders>
            <w:noWrap w:val="0"/>
            <w:vAlign w:val="center"/>
          </w:tcPr>
          <w:p w14:paraId="7C9A282E">
            <w:pPr>
              <w:ind w:firstLine="480"/>
              <w:rPr>
                <w:rFonts w:hint="eastAsia" w:ascii="宋体" w:hAnsi="宋体" w:eastAsia="宋体" w:cs="宋体"/>
                <w:sz w:val="21"/>
                <w:szCs w:val="21"/>
                <w:lang w:eastAsia="zh-CN"/>
              </w:rPr>
            </w:pPr>
            <w:r>
              <w:rPr>
                <w:rFonts w:hint="eastAsia" w:ascii="宋体" w:hAnsi="宋体" w:eastAsia="宋体" w:cs="宋体"/>
                <w:sz w:val="21"/>
                <w:szCs w:val="21"/>
              </w:rPr>
              <w:t>名称</w:t>
            </w:r>
            <w:r>
              <w:rPr>
                <w:rFonts w:hint="eastAsia" w:ascii="宋体" w:hAnsi="宋体" w:eastAsia="宋体" w:cs="宋体"/>
                <w:sz w:val="21"/>
                <w:szCs w:val="21"/>
                <w:lang w:eastAsia="zh-CN"/>
              </w:rPr>
              <w:t>：</w:t>
            </w:r>
          </w:p>
        </w:tc>
        <w:tc>
          <w:tcPr>
            <w:tcW w:w="5493" w:type="dxa"/>
            <w:gridSpan w:val="2"/>
            <w:tcBorders>
              <w:top w:val="single" w:color="auto" w:sz="6" w:space="0"/>
              <w:left w:val="single" w:color="auto" w:sz="6" w:space="0"/>
              <w:bottom w:val="single" w:color="auto" w:sz="6" w:space="0"/>
              <w:right w:val="single" w:color="auto" w:sz="6" w:space="0"/>
            </w:tcBorders>
            <w:noWrap w:val="0"/>
            <w:vAlign w:val="center"/>
          </w:tcPr>
          <w:p w14:paraId="6D824F8B">
            <w:pPr>
              <w:ind w:firstLine="480"/>
              <w:rPr>
                <w:rFonts w:hint="default" w:ascii="宋体" w:hAnsi="宋体" w:eastAsia="宋体" w:cs="宋体"/>
                <w:sz w:val="21"/>
                <w:szCs w:val="21"/>
                <w:lang w:val="en-US" w:eastAsia="zh-CN"/>
              </w:rPr>
            </w:pPr>
            <w:r>
              <w:rPr>
                <w:rFonts w:hint="eastAsia" w:ascii="宋体" w:hAnsi="宋体" w:eastAsia="宋体" w:cs="宋体"/>
                <w:sz w:val="21"/>
                <w:szCs w:val="21"/>
              </w:rPr>
              <w:t>合同名称及编号：</w:t>
            </w:r>
          </w:p>
        </w:tc>
      </w:tr>
      <w:tr w14:paraId="2BCA9660">
        <w:tblPrEx>
          <w:tblCellMar>
            <w:top w:w="0" w:type="dxa"/>
            <w:left w:w="108" w:type="dxa"/>
            <w:bottom w:w="0" w:type="dxa"/>
            <w:right w:w="108" w:type="dxa"/>
          </w:tblCellMar>
        </w:tblPrEx>
        <w:trPr>
          <w:cantSplit/>
          <w:trHeight w:val="622" w:hRule="exact"/>
          <w:jc w:val="center"/>
        </w:trPr>
        <w:tc>
          <w:tcPr>
            <w:tcW w:w="9741" w:type="dxa"/>
            <w:gridSpan w:val="4"/>
            <w:tcBorders>
              <w:top w:val="single" w:color="auto" w:sz="4" w:space="0"/>
              <w:left w:val="single" w:color="auto" w:sz="6" w:space="0"/>
              <w:bottom w:val="single" w:color="auto" w:sz="6" w:space="0"/>
              <w:right w:val="single" w:color="auto" w:sz="6" w:space="0"/>
            </w:tcBorders>
            <w:noWrap w:val="0"/>
            <w:vAlign w:val="center"/>
          </w:tcPr>
          <w:p w14:paraId="019F0CC7">
            <w:pPr>
              <w:ind w:firstLine="480"/>
              <w:rPr>
                <w:rFonts w:hint="default" w:ascii="宋体" w:hAnsi="宋体" w:eastAsia="宋体" w:cs="宋体"/>
                <w:sz w:val="21"/>
                <w:szCs w:val="21"/>
                <w:lang w:val="en-US" w:eastAsia="zh-CN"/>
              </w:rPr>
            </w:pPr>
            <w:r>
              <w:rPr>
                <w:rFonts w:hint="eastAsia" w:ascii="宋体" w:hAnsi="宋体" w:eastAsia="宋体" w:cs="宋体"/>
                <w:sz w:val="21"/>
                <w:szCs w:val="21"/>
                <w:shd w:val="clear" w:color="auto" w:fill="auto"/>
                <w:lang w:val="en-US" w:eastAsia="zh-CN"/>
              </w:rPr>
              <w:t>月份</w:t>
            </w:r>
            <w:r>
              <w:rPr>
                <w:rFonts w:hint="eastAsia" w:ascii="宋体" w:hAnsi="宋体" w:eastAsia="宋体" w:cs="宋体"/>
                <w:sz w:val="21"/>
                <w:szCs w:val="21"/>
              </w:rPr>
              <w:t>：</w:t>
            </w:r>
          </w:p>
        </w:tc>
      </w:tr>
      <w:tr w14:paraId="1B41952A">
        <w:tblPrEx>
          <w:tblCellMar>
            <w:top w:w="0" w:type="dxa"/>
            <w:left w:w="108" w:type="dxa"/>
            <w:bottom w:w="0" w:type="dxa"/>
            <w:right w:w="108" w:type="dxa"/>
          </w:tblCellMar>
        </w:tblPrEx>
        <w:trPr>
          <w:cantSplit/>
          <w:trHeight w:val="630" w:hRule="exact"/>
          <w:jc w:val="center"/>
        </w:trPr>
        <w:tc>
          <w:tcPr>
            <w:tcW w:w="4248" w:type="dxa"/>
            <w:gridSpan w:val="2"/>
            <w:tcBorders>
              <w:top w:val="single" w:color="auto" w:sz="6" w:space="0"/>
              <w:left w:val="single" w:color="auto" w:sz="6" w:space="0"/>
              <w:bottom w:val="single" w:color="auto" w:sz="6" w:space="0"/>
              <w:right w:val="single" w:color="auto" w:sz="4" w:space="0"/>
            </w:tcBorders>
            <w:noWrap w:val="0"/>
            <w:vAlign w:val="center"/>
          </w:tcPr>
          <w:p w14:paraId="466CA442">
            <w:pPr>
              <w:ind w:firstLine="480"/>
              <w:rPr>
                <w:rFonts w:hint="default" w:ascii="宋体" w:hAnsi="宋体" w:eastAsia="宋体" w:cs="宋体"/>
                <w:sz w:val="21"/>
                <w:szCs w:val="21"/>
                <w:lang w:val="en-US" w:eastAsia="zh-CN"/>
              </w:rPr>
            </w:pPr>
            <w:r>
              <w:rPr>
                <w:rFonts w:hint="eastAsia" w:ascii="宋体" w:hAnsi="宋体" w:eastAsia="宋体" w:cs="宋体"/>
                <w:sz w:val="21"/>
                <w:szCs w:val="21"/>
              </w:rPr>
              <w:t>考核评价部门：</w:t>
            </w:r>
          </w:p>
        </w:tc>
        <w:tc>
          <w:tcPr>
            <w:tcW w:w="5493" w:type="dxa"/>
            <w:gridSpan w:val="2"/>
            <w:tcBorders>
              <w:top w:val="single" w:color="auto" w:sz="6" w:space="0"/>
              <w:left w:val="single" w:color="auto" w:sz="4" w:space="0"/>
              <w:bottom w:val="single" w:color="auto" w:sz="6" w:space="0"/>
              <w:right w:val="single" w:color="auto" w:sz="6" w:space="0"/>
            </w:tcBorders>
            <w:noWrap w:val="0"/>
            <w:vAlign w:val="center"/>
          </w:tcPr>
          <w:p w14:paraId="48362FC8">
            <w:pPr>
              <w:ind w:firstLine="480"/>
              <w:rPr>
                <w:rFonts w:hint="eastAsia" w:ascii="宋体" w:hAnsi="宋体" w:eastAsia="宋体" w:cs="宋体"/>
                <w:sz w:val="21"/>
                <w:szCs w:val="21"/>
              </w:rPr>
            </w:pPr>
            <w:r>
              <w:rPr>
                <w:rFonts w:hint="eastAsia" w:ascii="宋体" w:hAnsi="宋体" w:eastAsia="宋体" w:cs="宋体"/>
                <w:sz w:val="21"/>
                <w:szCs w:val="21"/>
              </w:rPr>
              <w:t>考核评价时间：</w:t>
            </w:r>
          </w:p>
        </w:tc>
      </w:tr>
      <w:tr w14:paraId="41D4C5FA">
        <w:tblPrEx>
          <w:tblCellMar>
            <w:top w:w="0" w:type="dxa"/>
            <w:left w:w="108" w:type="dxa"/>
            <w:bottom w:w="0" w:type="dxa"/>
            <w:right w:w="108" w:type="dxa"/>
          </w:tblCellMar>
        </w:tblPrEx>
        <w:trPr>
          <w:cantSplit/>
          <w:trHeight w:val="624" w:hRule="exact"/>
          <w:jc w:val="center"/>
        </w:trPr>
        <w:tc>
          <w:tcPr>
            <w:tcW w:w="4248" w:type="dxa"/>
            <w:gridSpan w:val="2"/>
            <w:tcBorders>
              <w:top w:val="single" w:color="auto" w:sz="6" w:space="0"/>
              <w:left w:val="single" w:color="auto" w:sz="6" w:space="0"/>
              <w:bottom w:val="single" w:color="auto" w:sz="6" w:space="0"/>
              <w:right w:val="single" w:color="auto" w:sz="6" w:space="0"/>
            </w:tcBorders>
            <w:noWrap w:val="0"/>
            <w:vAlign w:val="center"/>
          </w:tcPr>
          <w:p w14:paraId="033CDC4A">
            <w:pPr>
              <w:ind w:firstLine="480"/>
              <w:rPr>
                <w:rFonts w:hint="eastAsia" w:ascii="宋体" w:hAnsi="宋体" w:eastAsia="宋体" w:cs="宋体"/>
                <w:sz w:val="21"/>
                <w:szCs w:val="21"/>
                <w:lang w:val="en-US" w:eastAsia="zh-CN"/>
              </w:rPr>
            </w:pPr>
            <w:r>
              <w:rPr>
                <w:rFonts w:hint="eastAsia" w:ascii="宋体" w:hAnsi="宋体" w:eastAsia="宋体" w:cs="宋体"/>
                <w:sz w:val="21"/>
                <w:szCs w:val="21"/>
              </w:rPr>
              <w:t>验收</w:t>
            </w:r>
            <w:r>
              <w:rPr>
                <w:rFonts w:hint="eastAsia" w:ascii="宋体" w:hAnsi="宋体" w:eastAsia="宋体" w:cs="宋体"/>
                <w:sz w:val="21"/>
                <w:szCs w:val="21"/>
                <w:lang w:val="en-US" w:eastAsia="zh-CN"/>
              </w:rPr>
              <w:t>人</w:t>
            </w:r>
            <w:r>
              <w:rPr>
                <w:rFonts w:hint="eastAsia" w:ascii="宋体" w:hAnsi="宋体" w:eastAsia="宋体" w:cs="宋体"/>
                <w:sz w:val="21"/>
                <w:szCs w:val="21"/>
              </w:rPr>
              <w:t>：</w:t>
            </w:r>
          </w:p>
        </w:tc>
        <w:tc>
          <w:tcPr>
            <w:tcW w:w="5493" w:type="dxa"/>
            <w:gridSpan w:val="2"/>
            <w:tcBorders>
              <w:top w:val="single" w:color="auto" w:sz="6" w:space="0"/>
              <w:left w:val="single" w:color="auto" w:sz="6" w:space="0"/>
              <w:bottom w:val="single" w:color="auto" w:sz="6" w:space="0"/>
              <w:right w:val="single" w:color="auto" w:sz="6" w:space="0"/>
            </w:tcBorders>
            <w:noWrap w:val="0"/>
            <w:vAlign w:val="center"/>
          </w:tcPr>
          <w:p w14:paraId="21075E88">
            <w:pPr>
              <w:ind w:firstLine="480"/>
              <w:rPr>
                <w:rFonts w:hint="eastAsia" w:ascii="宋体" w:hAnsi="宋体" w:eastAsia="宋体" w:cs="宋体"/>
                <w:sz w:val="21"/>
                <w:szCs w:val="21"/>
              </w:rPr>
            </w:pPr>
            <w:r>
              <w:rPr>
                <w:rFonts w:hint="eastAsia" w:ascii="宋体" w:hAnsi="宋体" w:eastAsia="宋体" w:cs="宋体"/>
                <w:sz w:val="21"/>
                <w:szCs w:val="21"/>
              </w:rPr>
              <w:t>验收时间：</w:t>
            </w:r>
          </w:p>
        </w:tc>
      </w:tr>
      <w:tr w14:paraId="22B95002">
        <w:tblPrEx>
          <w:tblCellMar>
            <w:top w:w="0" w:type="dxa"/>
            <w:left w:w="108" w:type="dxa"/>
            <w:bottom w:w="0" w:type="dxa"/>
            <w:right w:w="108" w:type="dxa"/>
          </w:tblCellMar>
        </w:tblPrEx>
        <w:trPr>
          <w:trHeight w:val="597" w:hRule="exact"/>
          <w:jc w:val="center"/>
        </w:trPr>
        <w:tc>
          <w:tcPr>
            <w:tcW w:w="2808" w:type="dxa"/>
            <w:tcBorders>
              <w:top w:val="single" w:color="auto" w:sz="6" w:space="0"/>
              <w:left w:val="single" w:color="auto" w:sz="6" w:space="0"/>
              <w:bottom w:val="single" w:color="auto" w:sz="6" w:space="0"/>
              <w:right w:val="single" w:color="auto" w:sz="4" w:space="0"/>
            </w:tcBorders>
            <w:noWrap w:val="0"/>
            <w:vAlign w:val="center"/>
          </w:tcPr>
          <w:p w14:paraId="518050D3">
            <w:pPr>
              <w:ind w:firstLine="480"/>
              <w:rPr>
                <w:rFonts w:hint="eastAsia" w:ascii="宋体" w:hAnsi="宋体" w:eastAsia="宋体" w:cs="宋体"/>
                <w:sz w:val="21"/>
                <w:szCs w:val="21"/>
              </w:rPr>
            </w:pPr>
            <w:r>
              <w:rPr>
                <w:rFonts w:hint="eastAsia" w:ascii="宋体" w:hAnsi="宋体" w:eastAsia="宋体" w:cs="宋体"/>
                <w:sz w:val="21"/>
                <w:szCs w:val="21"/>
              </w:rPr>
              <w:t>考核评价内容</w:t>
            </w:r>
          </w:p>
        </w:tc>
        <w:tc>
          <w:tcPr>
            <w:tcW w:w="1440" w:type="dxa"/>
            <w:tcBorders>
              <w:top w:val="single" w:color="auto" w:sz="6" w:space="0"/>
              <w:left w:val="single" w:color="auto" w:sz="4" w:space="0"/>
              <w:bottom w:val="single" w:color="auto" w:sz="6" w:space="0"/>
              <w:right w:val="single" w:color="auto" w:sz="6" w:space="0"/>
            </w:tcBorders>
            <w:noWrap w:val="0"/>
            <w:vAlign w:val="center"/>
          </w:tcPr>
          <w:p w14:paraId="5D9FB047">
            <w:pPr>
              <w:ind w:firstLine="0" w:firstLineChars="0"/>
              <w:jc w:val="center"/>
              <w:rPr>
                <w:rFonts w:hint="eastAsia" w:ascii="宋体" w:hAnsi="宋体" w:eastAsia="宋体" w:cs="宋体"/>
                <w:sz w:val="21"/>
                <w:szCs w:val="21"/>
              </w:rPr>
            </w:pPr>
            <w:r>
              <w:rPr>
                <w:rFonts w:hint="eastAsia" w:ascii="宋体" w:hAnsi="宋体" w:eastAsia="宋体" w:cs="宋体"/>
                <w:sz w:val="21"/>
                <w:szCs w:val="21"/>
              </w:rPr>
              <w:t>分值/权重</w:t>
            </w:r>
          </w:p>
        </w:tc>
        <w:tc>
          <w:tcPr>
            <w:tcW w:w="4456" w:type="dxa"/>
            <w:tcBorders>
              <w:top w:val="single" w:color="auto" w:sz="6" w:space="0"/>
              <w:left w:val="single" w:color="auto" w:sz="6" w:space="0"/>
              <w:bottom w:val="single" w:color="auto" w:sz="6" w:space="0"/>
              <w:right w:val="single" w:color="auto" w:sz="4" w:space="0"/>
            </w:tcBorders>
            <w:noWrap w:val="0"/>
            <w:vAlign w:val="center"/>
          </w:tcPr>
          <w:p w14:paraId="7F093D72">
            <w:pPr>
              <w:keepNext w:val="0"/>
              <w:keepLines w:val="0"/>
              <w:pageBreakBefore w:val="0"/>
              <w:widowControl w:val="0"/>
              <w:kinsoku/>
              <w:wordWrap/>
              <w:overflowPunct/>
              <w:topLinePunct w:val="0"/>
              <w:autoSpaceDE/>
              <w:autoSpaceDN/>
              <w:bidi w:val="0"/>
              <w:adjustRightInd/>
              <w:snapToGrid/>
              <w:ind w:firstLine="0"/>
              <w:jc w:val="center"/>
              <w:textAlignment w:val="auto"/>
              <w:rPr>
                <w:rFonts w:hint="eastAsia" w:ascii="宋体" w:hAnsi="宋体" w:eastAsia="宋体" w:cs="宋体"/>
                <w:sz w:val="21"/>
                <w:szCs w:val="21"/>
              </w:rPr>
            </w:pPr>
            <w:r>
              <w:rPr>
                <w:rFonts w:hint="eastAsia" w:ascii="宋体" w:hAnsi="宋体" w:eastAsia="宋体" w:cs="宋体"/>
                <w:sz w:val="21"/>
                <w:szCs w:val="21"/>
              </w:rPr>
              <w:t>评分标准</w:t>
            </w:r>
          </w:p>
        </w:tc>
        <w:tc>
          <w:tcPr>
            <w:tcW w:w="1037" w:type="dxa"/>
            <w:tcBorders>
              <w:top w:val="single" w:color="auto" w:sz="6" w:space="0"/>
              <w:left w:val="single" w:color="auto" w:sz="4" w:space="0"/>
              <w:bottom w:val="single" w:color="auto" w:sz="6" w:space="0"/>
              <w:right w:val="single" w:color="auto" w:sz="6" w:space="0"/>
            </w:tcBorders>
            <w:noWrap w:val="0"/>
            <w:vAlign w:val="center"/>
          </w:tcPr>
          <w:p w14:paraId="1CC1C708">
            <w:pPr>
              <w:ind w:firstLine="0" w:firstLineChars="0"/>
              <w:jc w:val="center"/>
              <w:rPr>
                <w:rFonts w:hint="eastAsia" w:ascii="宋体" w:hAnsi="宋体" w:eastAsia="宋体" w:cs="宋体"/>
                <w:sz w:val="21"/>
                <w:szCs w:val="21"/>
              </w:rPr>
            </w:pPr>
            <w:r>
              <w:rPr>
                <w:rFonts w:hint="eastAsia" w:ascii="宋体" w:hAnsi="宋体" w:eastAsia="宋体" w:cs="宋体"/>
                <w:sz w:val="21"/>
                <w:szCs w:val="21"/>
              </w:rPr>
              <w:t>得分</w:t>
            </w:r>
          </w:p>
        </w:tc>
      </w:tr>
      <w:tr w14:paraId="527E2C49">
        <w:tblPrEx>
          <w:tblCellMar>
            <w:top w:w="0" w:type="dxa"/>
            <w:left w:w="108" w:type="dxa"/>
            <w:bottom w:w="0" w:type="dxa"/>
            <w:right w:w="108" w:type="dxa"/>
          </w:tblCellMar>
        </w:tblPrEx>
        <w:trPr>
          <w:trHeight w:val="639" w:hRule="exact"/>
          <w:jc w:val="center"/>
        </w:trPr>
        <w:tc>
          <w:tcPr>
            <w:tcW w:w="2808" w:type="dxa"/>
            <w:tcBorders>
              <w:top w:val="single" w:color="auto" w:sz="6" w:space="0"/>
              <w:left w:val="single" w:color="auto" w:sz="6" w:space="0"/>
              <w:bottom w:val="single" w:color="auto" w:sz="4" w:space="0"/>
              <w:right w:val="single" w:color="auto" w:sz="4" w:space="0"/>
            </w:tcBorders>
            <w:noWrap w:val="0"/>
            <w:vAlign w:val="center"/>
          </w:tcPr>
          <w:p w14:paraId="67E2312E">
            <w:pPr>
              <w:ind w:firstLine="480"/>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保安服务</w:t>
            </w:r>
          </w:p>
        </w:tc>
        <w:tc>
          <w:tcPr>
            <w:tcW w:w="1440" w:type="dxa"/>
            <w:tcBorders>
              <w:top w:val="single" w:color="auto" w:sz="6" w:space="0"/>
              <w:left w:val="single" w:color="auto" w:sz="4" w:space="0"/>
              <w:bottom w:val="single" w:color="auto" w:sz="4" w:space="0"/>
              <w:right w:val="single" w:color="auto" w:sz="6" w:space="0"/>
            </w:tcBorders>
            <w:noWrap w:val="0"/>
            <w:vAlign w:val="center"/>
          </w:tcPr>
          <w:p w14:paraId="10FA06A0">
            <w:pPr>
              <w:keepNext w:val="0"/>
              <w:keepLines w:val="0"/>
              <w:pageBreakBefore w:val="0"/>
              <w:widowControl w:val="0"/>
              <w:kinsoku/>
              <w:wordWrap/>
              <w:overflowPunct/>
              <w:topLinePunct w:val="0"/>
              <w:bidi w:val="0"/>
              <w:adjustRightInd/>
              <w:snapToGrid/>
              <w:ind w:firstLine="0"/>
              <w:jc w:val="center"/>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40</w:t>
            </w:r>
          </w:p>
        </w:tc>
        <w:tc>
          <w:tcPr>
            <w:tcW w:w="4456" w:type="dxa"/>
            <w:tcBorders>
              <w:top w:val="single" w:color="auto" w:sz="6" w:space="0"/>
              <w:left w:val="single" w:color="auto" w:sz="6" w:space="0"/>
              <w:bottom w:val="single" w:color="auto" w:sz="4" w:space="0"/>
              <w:right w:val="single" w:color="auto" w:sz="4" w:space="0"/>
            </w:tcBorders>
            <w:noWrap w:val="0"/>
            <w:vAlign w:val="center"/>
          </w:tcPr>
          <w:p w14:paraId="04C96EFF">
            <w:pPr>
              <w:autoSpaceDE w:val="0"/>
              <w:autoSpaceDN w:val="0"/>
              <w:adjustRightInd w:val="0"/>
              <w:ind w:firstLine="480"/>
              <w:rPr>
                <w:rFonts w:hint="eastAsia" w:ascii="宋体" w:hAnsi="宋体" w:eastAsia="宋体" w:cs="宋体"/>
                <w:sz w:val="21"/>
                <w:szCs w:val="21"/>
              </w:rPr>
            </w:pPr>
          </w:p>
        </w:tc>
        <w:tc>
          <w:tcPr>
            <w:tcW w:w="1037" w:type="dxa"/>
            <w:tcBorders>
              <w:top w:val="single" w:color="auto" w:sz="6" w:space="0"/>
              <w:left w:val="single" w:color="auto" w:sz="4" w:space="0"/>
              <w:bottom w:val="single" w:color="auto" w:sz="4" w:space="0"/>
              <w:right w:val="single" w:color="auto" w:sz="6" w:space="0"/>
            </w:tcBorders>
            <w:noWrap w:val="0"/>
            <w:vAlign w:val="center"/>
          </w:tcPr>
          <w:p w14:paraId="173081DA">
            <w:pPr>
              <w:autoSpaceDE w:val="0"/>
              <w:autoSpaceDN w:val="0"/>
              <w:adjustRightInd w:val="0"/>
              <w:ind w:firstLine="480"/>
              <w:jc w:val="center"/>
              <w:rPr>
                <w:rFonts w:hint="eastAsia" w:ascii="宋体" w:hAnsi="宋体" w:eastAsia="宋体" w:cs="宋体"/>
                <w:sz w:val="21"/>
                <w:szCs w:val="21"/>
              </w:rPr>
            </w:pPr>
          </w:p>
        </w:tc>
      </w:tr>
      <w:tr w14:paraId="3AC7AED9">
        <w:tblPrEx>
          <w:tblCellMar>
            <w:top w:w="0" w:type="dxa"/>
            <w:left w:w="108" w:type="dxa"/>
            <w:bottom w:w="0" w:type="dxa"/>
            <w:right w:w="108" w:type="dxa"/>
          </w:tblCellMar>
        </w:tblPrEx>
        <w:trPr>
          <w:trHeight w:val="614" w:hRule="exact"/>
          <w:jc w:val="center"/>
        </w:trPr>
        <w:tc>
          <w:tcPr>
            <w:tcW w:w="2808" w:type="dxa"/>
            <w:tcBorders>
              <w:top w:val="single" w:color="auto" w:sz="4" w:space="0"/>
              <w:left w:val="single" w:color="auto" w:sz="6" w:space="0"/>
              <w:bottom w:val="single" w:color="auto" w:sz="4" w:space="0"/>
              <w:right w:val="single" w:color="auto" w:sz="4" w:space="0"/>
            </w:tcBorders>
            <w:noWrap w:val="0"/>
            <w:vAlign w:val="center"/>
          </w:tcPr>
          <w:p w14:paraId="5D1B71E9">
            <w:pPr>
              <w:ind w:firstLine="480"/>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保洁服务</w:t>
            </w:r>
          </w:p>
        </w:tc>
        <w:tc>
          <w:tcPr>
            <w:tcW w:w="1440" w:type="dxa"/>
            <w:tcBorders>
              <w:top w:val="single" w:color="auto" w:sz="4" w:space="0"/>
              <w:left w:val="single" w:color="auto" w:sz="4" w:space="0"/>
              <w:bottom w:val="single" w:color="auto" w:sz="4" w:space="0"/>
              <w:right w:val="single" w:color="auto" w:sz="6" w:space="0"/>
            </w:tcBorders>
            <w:noWrap w:val="0"/>
            <w:vAlign w:val="center"/>
          </w:tcPr>
          <w:p w14:paraId="20C5B25B">
            <w:pPr>
              <w:keepNext w:val="0"/>
              <w:keepLines w:val="0"/>
              <w:pageBreakBefore w:val="0"/>
              <w:widowControl w:val="0"/>
              <w:kinsoku/>
              <w:wordWrap/>
              <w:overflowPunct/>
              <w:topLinePunct w:val="0"/>
              <w:bidi w:val="0"/>
              <w:adjustRightInd/>
              <w:snapToGrid/>
              <w:ind w:firstLine="0"/>
              <w:jc w:val="center"/>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40</w:t>
            </w:r>
          </w:p>
        </w:tc>
        <w:tc>
          <w:tcPr>
            <w:tcW w:w="4456" w:type="dxa"/>
            <w:tcBorders>
              <w:top w:val="single" w:color="auto" w:sz="4" w:space="0"/>
              <w:left w:val="single" w:color="auto" w:sz="6" w:space="0"/>
              <w:bottom w:val="single" w:color="auto" w:sz="4" w:space="0"/>
              <w:right w:val="single" w:color="auto" w:sz="4" w:space="0"/>
            </w:tcBorders>
            <w:noWrap w:val="0"/>
            <w:vAlign w:val="center"/>
          </w:tcPr>
          <w:p w14:paraId="4BF26DFF">
            <w:pPr>
              <w:ind w:firstLine="480"/>
              <w:rPr>
                <w:rFonts w:hint="eastAsia" w:ascii="宋体" w:hAnsi="宋体" w:eastAsia="宋体" w:cs="宋体"/>
                <w:sz w:val="21"/>
                <w:szCs w:val="21"/>
                <w:lang w:eastAsia="zh-CN"/>
              </w:rPr>
            </w:pPr>
          </w:p>
        </w:tc>
        <w:tc>
          <w:tcPr>
            <w:tcW w:w="1037" w:type="dxa"/>
            <w:tcBorders>
              <w:top w:val="single" w:color="auto" w:sz="4" w:space="0"/>
              <w:left w:val="single" w:color="auto" w:sz="4" w:space="0"/>
              <w:bottom w:val="single" w:color="auto" w:sz="4" w:space="0"/>
              <w:right w:val="single" w:color="auto" w:sz="6" w:space="0"/>
            </w:tcBorders>
            <w:noWrap w:val="0"/>
            <w:vAlign w:val="center"/>
          </w:tcPr>
          <w:p w14:paraId="0AD90749">
            <w:pPr>
              <w:autoSpaceDE w:val="0"/>
              <w:autoSpaceDN w:val="0"/>
              <w:adjustRightInd w:val="0"/>
              <w:ind w:firstLine="480"/>
              <w:jc w:val="center"/>
              <w:rPr>
                <w:rFonts w:hint="eastAsia" w:ascii="宋体" w:hAnsi="宋体" w:eastAsia="宋体" w:cs="宋体"/>
                <w:sz w:val="21"/>
                <w:szCs w:val="21"/>
              </w:rPr>
            </w:pPr>
          </w:p>
        </w:tc>
      </w:tr>
      <w:tr w14:paraId="6B99D761">
        <w:tblPrEx>
          <w:tblCellMar>
            <w:top w:w="0" w:type="dxa"/>
            <w:left w:w="108" w:type="dxa"/>
            <w:bottom w:w="0" w:type="dxa"/>
            <w:right w:w="108" w:type="dxa"/>
          </w:tblCellMar>
        </w:tblPrEx>
        <w:trPr>
          <w:trHeight w:val="632" w:hRule="exact"/>
          <w:jc w:val="center"/>
        </w:trPr>
        <w:tc>
          <w:tcPr>
            <w:tcW w:w="2808" w:type="dxa"/>
            <w:tcBorders>
              <w:top w:val="single" w:color="auto" w:sz="4" w:space="0"/>
              <w:left w:val="single" w:color="auto" w:sz="6" w:space="0"/>
              <w:bottom w:val="single" w:color="auto" w:sz="4" w:space="0"/>
              <w:right w:val="single" w:color="auto" w:sz="4" w:space="0"/>
            </w:tcBorders>
            <w:noWrap w:val="0"/>
            <w:vAlign w:val="center"/>
          </w:tcPr>
          <w:p w14:paraId="135BB807">
            <w:pPr>
              <w:ind w:firstLine="480"/>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其他服务</w:t>
            </w:r>
          </w:p>
        </w:tc>
        <w:tc>
          <w:tcPr>
            <w:tcW w:w="1440" w:type="dxa"/>
            <w:tcBorders>
              <w:top w:val="single" w:color="auto" w:sz="4" w:space="0"/>
              <w:left w:val="single" w:color="auto" w:sz="4" w:space="0"/>
              <w:bottom w:val="single" w:color="auto" w:sz="4" w:space="0"/>
              <w:right w:val="single" w:color="auto" w:sz="6" w:space="0"/>
            </w:tcBorders>
            <w:noWrap w:val="0"/>
            <w:vAlign w:val="center"/>
          </w:tcPr>
          <w:p w14:paraId="77D72E0E">
            <w:pPr>
              <w:keepNext w:val="0"/>
              <w:keepLines w:val="0"/>
              <w:pageBreakBefore w:val="0"/>
              <w:widowControl w:val="0"/>
              <w:kinsoku/>
              <w:wordWrap/>
              <w:overflowPunct/>
              <w:topLinePunct w:val="0"/>
              <w:bidi w:val="0"/>
              <w:adjustRightInd/>
              <w:snapToGrid/>
              <w:ind w:firstLine="0"/>
              <w:jc w:val="center"/>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20</w:t>
            </w:r>
          </w:p>
        </w:tc>
        <w:tc>
          <w:tcPr>
            <w:tcW w:w="4456" w:type="dxa"/>
            <w:tcBorders>
              <w:top w:val="single" w:color="auto" w:sz="4" w:space="0"/>
              <w:left w:val="single" w:color="auto" w:sz="6" w:space="0"/>
              <w:bottom w:val="single" w:color="auto" w:sz="4" w:space="0"/>
              <w:right w:val="single" w:color="auto" w:sz="4" w:space="0"/>
            </w:tcBorders>
            <w:noWrap w:val="0"/>
            <w:vAlign w:val="center"/>
          </w:tcPr>
          <w:p w14:paraId="65B8F83A">
            <w:pPr>
              <w:ind w:firstLine="480"/>
              <w:rPr>
                <w:rFonts w:hint="eastAsia" w:ascii="宋体" w:hAnsi="宋体" w:eastAsia="宋体" w:cs="宋体"/>
                <w:sz w:val="21"/>
                <w:szCs w:val="21"/>
              </w:rPr>
            </w:pPr>
          </w:p>
        </w:tc>
        <w:tc>
          <w:tcPr>
            <w:tcW w:w="1037" w:type="dxa"/>
            <w:tcBorders>
              <w:top w:val="single" w:color="auto" w:sz="4" w:space="0"/>
              <w:left w:val="single" w:color="auto" w:sz="4" w:space="0"/>
              <w:bottom w:val="single" w:color="auto" w:sz="4" w:space="0"/>
              <w:right w:val="single" w:color="auto" w:sz="6" w:space="0"/>
            </w:tcBorders>
            <w:noWrap w:val="0"/>
            <w:vAlign w:val="center"/>
          </w:tcPr>
          <w:p w14:paraId="28C30503">
            <w:pPr>
              <w:autoSpaceDE w:val="0"/>
              <w:autoSpaceDN w:val="0"/>
              <w:adjustRightInd w:val="0"/>
              <w:ind w:firstLine="480"/>
              <w:jc w:val="center"/>
              <w:rPr>
                <w:rFonts w:hint="eastAsia" w:ascii="宋体" w:hAnsi="宋体" w:eastAsia="宋体" w:cs="宋体"/>
                <w:sz w:val="21"/>
                <w:szCs w:val="21"/>
              </w:rPr>
            </w:pPr>
          </w:p>
        </w:tc>
      </w:tr>
      <w:tr w14:paraId="25F7D6BC">
        <w:tblPrEx>
          <w:tblCellMar>
            <w:top w:w="0" w:type="dxa"/>
            <w:left w:w="108" w:type="dxa"/>
            <w:bottom w:w="0" w:type="dxa"/>
            <w:right w:w="108" w:type="dxa"/>
          </w:tblCellMar>
        </w:tblPrEx>
        <w:trPr>
          <w:cantSplit/>
          <w:trHeight w:val="614" w:hRule="exact"/>
          <w:jc w:val="center"/>
        </w:trPr>
        <w:tc>
          <w:tcPr>
            <w:tcW w:w="2808" w:type="dxa"/>
            <w:tcBorders>
              <w:top w:val="single" w:color="auto" w:sz="6" w:space="0"/>
              <w:left w:val="single" w:color="auto" w:sz="6" w:space="0"/>
              <w:bottom w:val="single" w:color="auto" w:sz="4" w:space="0"/>
              <w:right w:val="single" w:color="auto" w:sz="4" w:space="0"/>
            </w:tcBorders>
            <w:noWrap w:val="0"/>
            <w:vAlign w:val="center"/>
          </w:tcPr>
          <w:p w14:paraId="23BDB80E">
            <w:pPr>
              <w:ind w:firstLine="48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考核评价得分</w:t>
            </w:r>
          </w:p>
        </w:tc>
        <w:tc>
          <w:tcPr>
            <w:tcW w:w="6933" w:type="dxa"/>
            <w:gridSpan w:val="3"/>
            <w:tcBorders>
              <w:top w:val="single" w:color="auto" w:sz="6" w:space="0"/>
              <w:left w:val="single" w:color="auto" w:sz="4" w:space="0"/>
              <w:bottom w:val="single" w:color="auto" w:sz="4" w:space="0"/>
              <w:right w:val="single" w:color="auto" w:sz="6" w:space="0"/>
            </w:tcBorders>
            <w:noWrap w:val="0"/>
            <w:vAlign w:val="center"/>
          </w:tcPr>
          <w:p w14:paraId="754D1BA1">
            <w:pPr>
              <w:autoSpaceDE w:val="0"/>
              <w:autoSpaceDN w:val="0"/>
              <w:adjustRightInd w:val="0"/>
              <w:ind w:firstLine="480"/>
              <w:jc w:val="center"/>
              <w:rPr>
                <w:rFonts w:hint="eastAsia" w:ascii="宋体" w:hAnsi="宋体" w:eastAsia="宋体" w:cs="宋体"/>
                <w:sz w:val="21"/>
                <w:szCs w:val="21"/>
              </w:rPr>
            </w:pPr>
          </w:p>
        </w:tc>
      </w:tr>
      <w:tr w14:paraId="06374BA7">
        <w:tblPrEx>
          <w:tblCellMar>
            <w:top w:w="0" w:type="dxa"/>
            <w:left w:w="108" w:type="dxa"/>
            <w:bottom w:w="0" w:type="dxa"/>
            <w:right w:w="108" w:type="dxa"/>
          </w:tblCellMar>
        </w:tblPrEx>
        <w:trPr>
          <w:trHeight w:val="616" w:hRule="exact"/>
          <w:jc w:val="center"/>
        </w:trPr>
        <w:tc>
          <w:tcPr>
            <w:tcW w:w="2808" w:type="dxa"/>
            <w:tcBorders>
              <w:top w:val="single" w:color="auto" w:sz="4" w:space="0"/>
              <w:left w:val="single" w:color="auto" w:sz="6" w:space="0"/>
              <w:bottom w:val="single" w:color="auto" w:sz="4" w:space="0"/>
              <w:right w:val="single" w:color="auto" w:sz="4" w:space="0"/>
            </w:tcBorders>
            <w:noWrap w:val="0"/>
            <w:vAlign w:val="center"/>
          </w:tcPr>
          <w:p w14:paraId="21159E86">
            <w:pPr>
              <w:ind w:firstLine="48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考核评价等级</w:t>
            </w:r>
          </w:p>
        </w:tc>
        <w:tc>
          <w:tcPr>
            <w:tcW w:w="6933" w:type="dxa"/>
            <w:gridSpan w:val="3"/>
            <w:tcBorders>
              <w:top w:val="single" w:color="auto" w:sz="4" w:space="0"/>
              <w:left w:val="single" w:color="auto" w:sz="4" w:space="0"/>
              <w:bottom w:val="single" w:color="auto" w:sz="4" w:space="0"/>
              <w:right w:val="single" w:color="auto" w:sz="6" w:space="0"/>
            </w:tcBorders>
            <w:noWrap w:val="0"/>
            <w:vAlign w:val="center"/>
          </w:tcPr>
          <w:p w14:paraId="26D61798">
            <w:pPr>
              <w:autoSpaceDE w:val="0"/>
              <w:autoSpaceDN w:val="0"/>
              <w:adjustRightInd w:val="0"/>
              <w:ind w:firstLine="480"/>
              <w:jc w:val="center"/>
              <w:rPr>
                <w:rFonts w:hint="eastAsia" w:ascii="宋体" w:hAnsi="宋体" w:eastAsia="宋体" w:cs="宋体"/>
                <w:sz w:val="21"/>
                <w:szCs w:val="21"/>
              </w:rPr>
            </w:pPr>
            <w:r>
              <w:rPr>
                <w:rFonts w:hint="eastAsia" w:ascii="宋体" w:hAnsi="宋体" w:eastAsia="宋体" w:cs="宋体"/>
                <w:sz w:val="21"/>
                <w:szCs w:val="21"/>
              </w:rPr>
              <w:t>□ A 级      □ B级       □ C级</w:t>
            </w:r>
          </w:p>
        </w:tc>
      </w:tr>
      <w:tr w14:paraId="48738E2F">
        <w:tblPrEx>
          <w:tblCellMar>
            <w:top w:w="0" w:type="dxa"/>
            <w:left w:w="108" w:type="dxa"/>
            <w:bottom w:w="0" w:type="dxa"/>
            <w:right w:w="108" w:type="dxa"/>
          </w:tblCellMar>
        </w:tblPrEx>
        <w:trPr>
          <w:trHeight w:val="1992" w:hRule="atLeast"/>
          <w:jc w:val="center"/>
        </w:trPr>
        <w:tc>
          <w:tcPr>
            <w:tcW w:w="9741" w:type="dxa"/>
            <w:gridSpan w:val="4"/>
            <w:tcBorders>
              <w:top w:val="single" w:color="auto" w:sz="4" w:space="0"/>
              <w:left w:val="single" w:color="auto" w:sz="4" w:space="0"/>
              <w:bottom w:val="single" w:color="auto" w:sz="4" w:space="0"/>
              <w:right w:val="single" w:color="auto" w:sz="4" w:space="0"/>
            </w:tcBorders>
            <w:noWrap w:val="0"/>
            <w:vAlign w:val="top"/>
          </w:tcPr>
          <w:p w14:paraId="177BDA3D">
            <w:pPr>
              <w:autoSpaceDE w:val="0"/>
              <w:autoSpaceDN w:val="0"/>
              <w:adjustRightInd w:val="0"/>
              <w:spacing w:line="360" w:lineRule="atLeast"/>
              <w:ind w:right="108" w:firstLine="480"/>
              <w:rPr>
                <w:rFonts w:hint="eastAsia" w:ascii="宋体" w:hAnsi="宋体" w:eastAsia="宋体" w:cs="宋体"/>
                <w:sz w:val="21"/>
                <w:szCs w:val="21"/>
              </w:rPr>
            </w:pPr>
            <w:r>
              <w:rPr>
                <w:rFonts w:hint="eastAsia" w:ascii="宋体" w:hAnsi="宋体" w:eastAsia="宋体" w:cs="宋体"/>
                <w:sz w:val="21"/>
                <w:szCs w:val="21"/>
              </w:rPr>
              <w:t>考核评价意见：</w:t>
            </w:r>
          </w:p>
          <w:p w14:paraId="2E171912">
            <w:pPr>
              <w:ind w:firstLine="480"/>
              <w:rPr>
                <w:rFonts w:hint="eastAsia" w:ascii="宋体" w:hAnsi="宋体" w:eastAsia="宋体" w:cs="宋体"/>
                <w:sz w:val="21"/>
                <w:szCs w:val="21"/>
              </w:rPr>
            </w:pPr>
          </w:p>
          <w:p w14:paraId="6D6DD3BF">
            <w:pPr>
              <w:ind w:firstLine="480"/>
              <w:rPr>
                <w:rFonts w:hint="eastAsia" w:ascii="宋体" w:hAnsi="宋体" w:eastAsia="宋体" w:cs="宋体"/>
                <w:sz w:val="21"/>
                <w:szCs w:val="21"/>
              </w:rPr>
            </w:pPr>
          </w:p>
          <w:p w14:paraId="6FCB886C">
            <w:pPr>
              <w:ind w:firstLine="480"/>
              <w:rPr>
                <w:rFonts w:hint="eastAsia" w:ascii="宋体" w:hAnsi="宋体" w:eastAsia="宋体" w:cs="宋体"/>
                <w:sz w:val="21"/>
                <w:szCs w:val="21"/>
              </w:rPr>
            </w:pPr>
            <w:r>
              <w:rPr>
                <w:rFonts w:hint="eastAsia" w:ascii="宋体" w:hAnsi="宋体" w:eastAsia="宋体" w:cs="宋体"/>
                <w:sz w:val="21"/>
                <w:szCs w:val="21"/>
              </w:rPr>
              <w:t xml:space="preserve">                  </w:t>
            </w:r>
          </w:p>
        </w:tc>
      </w:tr>
      <w:tr w14:paraId="452CCCB9">
        <w:tblPrEx>
          <w:tblCellMar>
            <w:top w:w="0" w:type="dxa"/>
            <w:left w:w="108" w:type="dxa"/>
            <w:bottom w:w="0" w:type="dxa"/>
            <w:right w:w="108" w:type="dxa"/>
          </w:tblCellMar>
        </w:tblPrEx>
        <w:trPr>
          <w:trHeight w:val="2485" w:hRule="atLeast"/>
          <w:jc w:val="center"/>
        </w:trPr>
        <w:tc>
          <w:tcPr>
            <w:tcW w:w="9741" w:type="dxa"/>
            <w:gridSpan w:val="4"/>
            <w:tcBorders>
              <w:top w:val="single" w:color="auto" w:sz="4" w:space="0"/>
              <w:left w:val="single" w:color="auto" w:sz="4" w:space="0"/>
              <w:bottom w:val="single" w:color="auto" w:sz="4" w:space="0"/>
              <w:right w:val="single" w:color="auto" w:sz="4" w:space="0"/>
            </w:tcBorders>
            <w:noWrap w:val="0"/>
            <w:vAlign w:val="center"/>
          </w:tcPr>
          <w:p w14:paraId="0CA91F8C">
            <w:pPr>
              <w:autoSpaceDE w:val="0"/>
              <w:autoSpaceDN w:val="0"/>
              <w:adjustRightInd w:val="0"/>
              <w:spacing w:line="360" w:lineRule="atLeast"/>
              <w:ind w:right="108" w:firstLine="480"/>
              <w:rPr>
                <w:rFonts w:hint="eastAsia" w:ascii="宋体" w:hAnsi="宋体" w:eastAsia="宋体" w:cs="宋体"/>
                <w:sz w:val="21"/>
                <w:szCs w:val="21"/>
              </w:rPr>
            </w:pPr>
            <w:r>
              <w:rPr>
                <w:rFonts w:hint="eastAsia" w:ascii="宋体" w:hAnsi="宋体" w:eastAsia="宋体" w:cs="宋体"/>
                <w:sz w:val="21"/>
                <w:szCs w:val="21"/>
              </w:rPr>
              <w:t>甲方考核评价部门负责人签字：</w:t>
            </w:r>
          </w:p>
          <w:p w14:paraId="465985CC">
            <w:pPr>
              <w:ind w:firstLine="480"/>
              <w:rPr>
                <w:rFonts w:hint="eastAsia" w:ascii="宋体" w:hAnsi="宋体" w:eastAsia="宋体" w:cs="宋体"/>
                <w:sz w:val="21"/>
                <w:szCs w:val="21"/>
              </w:rPr>
            </w:pPr>
          </w:p>
          <w:p w14:paraId="44353633">
            <w:pPr>
              <w:autoSpaceDE w:val="0"/>
              <w:autoSpaceDN w:val="0"/>
              <w:adjustRightInd w:val="0"/>
              <w:spacing w:line="240" w:lineRule="atLeast"/>
              <w:ind w:firstLine="480"/>
              <w:rPr>
                <w:rFonts w:hint="eastAsia" w:ascii="宋体" w:hAnsi="宋体" w:eastAsia="宋体" w:cs="宋体"/>
                <w:sz w:val="21"/>
                <w:szCs w:val="21"/>
              </w:rPr>
            </w:pPr>
            <w:r>
              <w:rPr>
                <w:rFonts w:hint="eastAsia" w:ascii="宋体" w:hAnsi="宋体" w:eastAsia="宋体" w:cs="宋体"/>
                <w:sz w:val="21"/>
                <w:szCs w:val="21"/>
              </w:rPr>
              <w:t>甲方考核评价部门公章</w:t>
            </w:r>
          </w:p>
          <w:p w14:paraId="2946A865">
            <w:pPr>
              <w:ind w:firstLine="480"/>
              <w:rPr>
                <w:rFonts w:hint="eastAsia" w:ascii="宋体" w:hAnsi="宋体" w:eastAsia="宋体" w:cs="宋体"/>
                <w:sz w:val="21"/>
                <w:szCs w:val="21"/>
              </w:rPr>
            </w:pPr>
          </w:p>
          <w:p w14:paraId="7C1536BF">
            <w:pPr>
              <w:ind w:firstLine="480"/>
              <w:rPr>
                <w:rFonts w:hint="eastAsia" w:ascii="宋体" w:hAnsi="宋体" w:eastAsia="宋体" w:cs="宋体"/>
                <w:sz w:val="21"/>
                <w:szCs w:val="21"/>
              </w:rPr>
            </w:pPr>
            <w:r>
              <w:rPr>
                <w:rFonts w:hint="eastAsia" w:ascii="宋体" w:hAnsi="宋体" w:eastAsia="宋体" w:cs="宋体"/>
                <w:sz w:val="21"/>
                <w:szCs w:val="21"/>
              </w:rPr>
              <w:t>年    月    日</w:t>
            </w:r>
          </w:p>
        </w:tc>
      </w:tr>
    </w:tbl>
    <w:p w14:paraId="1EEEC3DD">
      <w:pPr>
        <w:pStyle w:val="3"/>
        <w:keepNext w:val="0"/>
        <w:keepLines w:val="0"/>
        <w:pageBreakBefore w:val="0"/>
        <w:widowControl/>
        <w:suppressLineNumbers w:val="0"/>
        <w:shd w:val="clear" w:fill="FFFFFF"/>
        <w:kinsoku w:val="0"/>
        <w:wordWrap/>
        <w:overflowPunct/>
        <w:topLinePunct w:val="0"/>
        <w:autoSpaceDE w:val="0"/>
        <w:autoSpaceDN w:val="0"/>
        <w:bidi w:val="0"/>
        <w:adjustRightInd w:val="0"/>
        <w:snapToGrid w:val="0"/>
        <w:spacing w:before="120" w:beforeAutospacing="0" w:after="0" w:afterAutospacing="0" w:line="360" w:lineRule="auto"/>
        <w:ind w:left="0" w:right="0" w:firstLine="480" w:firstLineChars="200"/>
        <w:jc w:val="both"/>
        <w:textAlignment w:val="baseline"/>
        <w:rPr>
          <w:rFonts w:hint="eastAsia" w:asciiTheme="minorEastAsia" w:hAnsiTheme="minorEastAsia" w:eastAsiaTheme="minorEastAsia" w:cstheme="minorEastAsia"/>
          <w:i w:val="0"/>
          <w:iCs w:val="0"/>
          <w:caps w:val="0"/>
          <w:color w:val="0F1115"/>
          <w:spacing w:val="0"/>
          <w:sz w:val="24"/>
          <w:szCs w:val="24"/>
          <w:shd w:val="clear" w:fill="FFFFFF"/>
          <w:lang w:val="en-US" w:eastAsia="zh-CN"/>
        </w:rPr>
      </w:pPr>
      <w:r>
        <w:rPr>
          <w:rFonts w:hint="eastAsia" w:asciiTheme="minorEastAsia" w:hAnsiTheme="minorEastAsia" w:eastAsiaTheme="minorEastAsia" w:cstheme="minorEastAsia"/>
          <w:i w:val="0"/>
          <w:iCs w:val="0"/>
          <w:caps w:val="0"/>
          <w:color w:val="0F1115"/>
          <w:spacing w:val="0"/>
          <w:sz w:val="24"/>
          <w:szCs w:val="24"/>
          <w:shd w:val="clear" w:fill="FFFFFF"/>
          <w:lang w:val="en-US" w:eastAsia="zh-CN"/>
        </w:rPr>
        <w:t>（3）服务费用中含员工工资、节假日加班工资、服装费、社会保险费、医保费、失业保险费、管理费、相关设备、耗材及其他材料费、税金、各种基金及各种经费和不可预见性费用等全部费用，甲方不再另行支付任何费用。</w:t>
      </w:r>
    </w:p>
    <w:p w14:paraId="736D4AA7">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4、</w:t>
      </w:r>
      <w:r>
        <w:rPr>
          <w:rFonts w:hint="eastAsia" w:asciiTheme="minorEastAsia" w:hAnsiTheme="minorEastAsia" w:eastAsiaTheme="minorEastAsia" w:cstheme="minorEastAsia"/>
          <w:b/>
          <w:bCs/>
          <w:i w:val="0"/>
          <w:iCs w:val="0"/>
          <w:caps w:val="0"/>
          <w:color w:val="0F1115"/>
          <w:spacing w:val="0"/>
          <w:sz w:val="24"/>
          <w:szCs w:val="24"/>
          <w:shd w:val="clear" w:fill="FFFFFF"/>
        </w:rPr>
        <w:t>保密与知识产权</w:t>
      </w:r>
    </w:p>
    <w:p w14:paraId="4479818E">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i w:val="0"/>
          <w:iCs w:val="0"/>
          <w:caps w:val="0"/>
          <w:color w:val="0F1115"/>
          <w:spacing w:val="0"/>
          <w:sz w:val="24"/>
          <w:szCs w:val="24"/>
          <w:shd w:val="clear" w:fill="FFFFFF"/>
        </w:rPr>
      </w:pPr>
      <w:r>
        <w:rPr>
          <w:rFonts w:hint="eastAsia" w:asciiTheme="minorEastAsia" w:hAnsiTheme="minorEastAsia" w:eastAsiaTheme="minorEastAsia" w:cstheme="minorEastAsia"/>
          <w:i w:val="0"/>
          <w:iCs w:val="0"/>
          <w:caps w:val="0"/>
          <w:color w:val="0F1115"/>
          <w:spacing w:val="0"/>
          <w:sz w:val="24"/>
          <w:szCs w:val="24"/>
          <w:shd w:val="clear" w:fill="FFFFFF"/>
        </w:rPr>
        <w:t>供应商须对履行合同过程中获知的采购人内部信息、客户信息等严格保密，不得泄露、篡改或出售。须保证所提供服务不侵犯第三方知识产权，并承担由此引发的全部责任与损失。此保密义务不因合同终止而失效。</w:t>
      </w:r>
    </w:p>
    <w:p w14:paraId="2A090916">
      <w:pPr>
        <w:pStyle w:val="3"/>
        <w:keepNext w:val="0"/>
        <w:keepLines w:val="0"/>
        <w:pageBreakBefore w:val="0"/>
        <w:widowControl/>
        <w:suppressLineNumbers w:val="0"/>
        <w:shd w:val="clear" w:fill="FFFFFF"/>
        <w:wordWrap/>
        <w:overflowPunct/>
        <w:topLinePunct w:val="0"/>
        <w:bidi w:val="0"/>
        <w:spacing w:before="0" w:beforeAutospacing="0" w:after="0" w:afterAutospacing="0" w:line="360" w:lineRule="auto"/>
        <w:ind w:left="0" w:right="0" w:firstLine="482" w:firstLineChars="200"/>
        <w:jc w:val="both"/>
        <w:rPr>
          <w:rFonts w:hint="eastAsia" w:asciiTheme="minorEastAsia" w:hAnsiTheme="minorEastAsia" w:eastAsiaTheme="minorEastAsia" w:cstheme="minorEastAsia"/>
          <w:i w:val="0"/>
          <w:iCs w:val="0"/>
          <w:caps w:val="0"/>
          <w:color w:val="0F1115"/>
          <w:spacing w:val="0"/>
          <w:sz w:val="24"/>
          <w:szCs w:val="24"/>
          <w:lang w:val="en-US"/>
        </w:rPr>
      </w:pPr>
      <w:r>
        <w:rPr>
          <w:rFonts w:hint="eastAsia" w:asciiTheme="minorEastAsia" w:hAnsiTheme="minorEastAsia" w:eastAsiaTheme="minorEastAsia" w:cstheme="minorEastAsia"/>
          <w:b/>
          <w:bCs/>
          <w:i w:val="0"/>
          <w:iCs w:val="0"/>
          <w:caps w:val="0"/>
          <w:color w:val="0F1115"/>
          <w:spacing w:val="0"/>
          <w:sz w:val="24"/>
          <w:szCs w:val="24"/>
          <w:shd w:val="clear" w:fill="FFFFFF"/>
          <w:lang w:val="en-US" w:eastAsia="zh-CN"/>
        </w:rPr>
        <w:t>5、质量整改及赔偿责任</w:t>
      </w:r>
    </w:p>
    <w:p w14:paraId="503DED12">
      <w:pPr>
        <w:pStyle w:val="3"/>
        <w:keepNext w:val="0"/>
        <w:keepLines w:val="0"/>
        <w:pageBreakBefore w:val="0"/>
        <w:widowControl/>
        <w:suppressLineNumbers w:val="0"/>
        <w:wordWrap/>
        <w:overflowPunct/>
        <w:topLinePunct w:val="0"/>
        <w:bidi w:val="0"/>
        <w:spacing w:before="0" w:beforeAutospacing="0" w:after="0" w:afterAutospacing="0" w:line="360" w:lineRule="auto"/>
        <w:ind w:left="0" w:right="0" w:firstLine="480" w:firstLineChars="200"/>
        <w:jc w:val="both"/>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i w:val="0"/>
          <w:iCs w:val="0"/>
          <w:caps w:val="0"/>
          <w:color w:val="0F1115"/>
          <w:spacing w:val="0"/>
          <w:sz w:val="24"/>
          <w:szCs w:val="24"/>
          <w:shd w:val="clear" w:fill="FFFFFF"/>
        </w:rPr>
        <w:t>供应商服务质量不达标，采购人有权要求限期改正，并扣除相应服务费。若因供应商管理不善导致设施损坏、财产损失、信息泄露或安全事故的，供应商须承担全部赔偿责任。</w:t>
      </w:r>
    </w:p>
    <w:p w14:paraId="76913493">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F94FBE"/>
    <w:rsid w:val="40F94F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2026-05-26T06:26:00Z</dcterms:created>
  <dc:creator>落幕wata.</dc:creator>
  <cp:lastModifiedBy>落幕wata.</cp:lastModifiedBy>
  <dcterms:modified xsi:type="dcterms:W3CDTF">2026-05-26T06:27:09Z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B6073E3C83094EEC884DC23CE93ACCD0_11</vt:lpwstr>
  </property>
  <property fmtid="{D5CDD505-2E9C-101B-9397-08002B2CF9AE}" pid="4" name="KSOTemplateDocerSaveRecord">
    <vt:lpwstr>eyJoZGlkIjoiNDU5M2FjZGI5NTAwN2ZjZWY1NTZjNjkyYzYxNzZiNDEiLCJ1c2VySWQiOiI2NTQzMTYyODQifQ==</vt:lpwstr>
  </property>
</Properties>
</file>