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9E3AD">
      <w:pPr>
        <w:spacing w:line="360" w:lineRule="auto"/>
        <w:jc w:val="center"/>
        <w:rPr>
          <w:rFonts w:asciiTheme="minorEastAsia" w:hAnsiTheme="minorEastAsia" w:eastAsia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8"/>
          <w:szCs w:val="28"/>
          <w:lang w:eastAsia="zh-CN"/>
        </w:rPr>
        <w:t>技术需求</w:t>
      </w:r>
    </w:p>
    <w:p w14:paraId="691015E0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1、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采购标的需实现的功能或者目标</w:t>
      </w:r>
    </w:p>
    <w:p w14:paraId="3E532579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1.1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采购标的需实现的功能</w:t>
      </w:r>
    </w:p>
    <w:p w14:paraId="277CFF3B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（1）2026重大设备更新项目</w:t>
      </w:r>
      <w:bookmarkStart w:id="0" w:name="_Hlk226727078"/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（机电学院项目1）</w:t>
      </w:r>
      <w:bookmarkEnd w:id="0"/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中涉及了三套系统，分别是非线性声学缺陷检测系统、材料改性激光激发装置系统、以及3D视觉检测平台。分别实现的功能如下：</w:t>
      </w:r>
    </w:p>
    <w:p w14:paraId="412799A9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非线性声学缺陷检测系统将采用更先进的非线性技术，如更高效的换能器、更先进的信号处理算法等，以提升检测精度和灵敏度，满足智能制造中对材料质量的高标准要求。</w:t>
      </w:r>
    </w:p>
    <w:p w14:paraId="5F8887E8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材料改性激光激发装置系统具备与现代智能制造技术相匹配的功能，如实时数据处理、远程监控、智能控制等，从而能够无缝融入智能制造体系。</w:t>
      </w:r>
    </w:p>
    <w:p w14:paraId="5D2C0260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3D视觉检测平台利用先进的3D视觉感知技术和计算机视觉算法，实现对物体表面的高精度三维测量，误差小、精度高。这有助于确保产品的尺寸、形状和表面缺陷等信息的高精度测量。</w:t>
      </w:r>
    </w:p>
    <w:p w14:paraId="4C9831DC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 xml:space="preserve">1.2 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采购标的需实现的目标</w:t>
      </w:r>
    </w:p>
    <w:p w14:paraId="05F6007E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 xml:space="preserve">（1）粒此次申购的2026重大设备更新项目（机电学院项目1）中均用于智能检测与控制方向建设，符合智能科学与技术新学科的建设科研需求，同时也支撑采购人对于该学科方向博士点的申请。 </w:t>
      </w:r>
    </w:p>
    <w:p w14:paraId="4C19C1FB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2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、</w:t>
      </w:r>
      <w:bookmarkStart w:id="1" w:name="OLE_LINK8"/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采购标的需执行的国家相关标准、行业标准、地方标准或者其他标准、规范</w:t>
      </w:r>
      <w:bookmarkEnd w:id="1"/>
    </w:p>
    <w:p w14:paraId="54B3BCD9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bookmarkStart w:id="2" w:name="OLE_LINK9"/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投标人应提供符合技术要求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、</w:t>
      </w:r>
      <w:r>
        <w:rPr>
          <w:rFonts w:ascii="宋体" w:hAnsi="宋体" w:eastAsia="宋体" w:cs="Times New Roman"/>
          <w:sz w:val="24"/>
          <w:szCs w:val="24"/>
          <w:lang w:eastAsia="zh-CN"/>
        </w:rPr>
        <w:t>国家标准、行业规范和合同等相关文件要求</w:t>
      </w: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的优质产品。</w:t>
      </w:r>
    </w:p>
    <w:bookmarkEnd w:id="2"/>
    <w:p w14:paraId="120EB904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3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、采购标的需满足的性能、材料、结构、外观、质量、安全、技术规格、物理特性等要求</w:t>
      </w:r>
    </w:p>
    <w:p w14:paraId="37F45047">
      <w:pPr>
        <w:spacing w:line="360" w:lineRule="auto"/>
        <w:rPr>
          <w:rFonts w:ascii="宋体" w:hAnsi="宋体" w:eastAsia="宋体" w:cs="宋体"/>
          <w:lang w:eastAsia="zh-CN"/>
        </w:rPr>
      </w:pPr>
      <w:r>
        <w:rPr>
          <w:rFonts w:hint="eastAsia" w:ascii="宋体" w:hAnsi="宋体" w:eastAsia="宋体" w:cs="Times New Roman"/>
          <w:b/>
          <w:bCs/>
          <w:sz w:val="24"/>
          <w:szCs w:val="24"/>
          <w:lang w:eastAsia="zh-CN"/>
        </w:rPr>
        <w:t>一、非线性声学缺陷检测系统：</w:t>
      </w:r>
    </w:p>
    <w:p w14:paraId="418AAEF5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1、激励源发射器：</w:t>
      </w:r>
    </w:p>
    <w:p w14:paraId="29D2BD6B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1.1、发射波形：正弦射频脉冲串</w:t>
      </w:r>
    </w:p>
    <w:p w14:paraId="58F1C503">
      <w:pPr>
        <w:pStyle w:val="4"/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1.2、提供两路独立可控的信号源，分别驱动两路定制型高压功率放大器：</w:t>
      </w:r>
    </w:p>
    <w:p w14:paraId="798EF4B3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（1）发射通道：高频功放：优化频率范围：250 KHz~7 MHz@50欧姆负载下；</w:t>
      </w:r>
    </w:p>
    <w:p w14:paraId="4E5CE5B5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（2）发射通道：低频功放：定制优化频率范围：50 KHz~500 KHz@50欧姆负载下；</w:t>
      </w:r>
    </w:p>
    <w:p w14:paraId="47E5B152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1.3、最大输出功率：≥5 KW (均方根功率)，峰值功率≥10KW</w:t>
      </w:r>
    </w:p>
    <w:p w14:paraId="031C4DF1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1.4、系统工作频率范围覆盖50 KHz~30 MHz；</w:t>
      </w:r>
    </w:p>
    <w:p w14:paraId="7B8F1CCA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1.5、最大脉冲宽度≥150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μ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s；</w:t>
      </w:r>
    </w:p>
    <w:p w14:paraId="0B17C230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1.6、最大占空比：0.3%；</w:t>
      </w:r>
    </w:p>
    <w:p w14:paraId="32C8A7C0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1.7、输出电压调节范围：0～100%无级可调，最大峰值电压≥1400 Vp-p。</w:t>
      </w:r>
    </w:p>
    <w:p w14:paraId="0B0599AF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1.8、可实现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多种（≥3种）包括但不限于矩形调制、线性调制、Hanning调制等。</w:t>
      </w:r>
    </w:p>
    <w:p w14:paraId="5043907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2、小信号接收器：</w:t>
      </w:r>
    </w:p>
    <w:p w14:paraId="3ABF6D5B">
      <w:pPr>
        <w:spacing w:line="360" w:lineRule="auto"/>
        <w:ind w:firstLine="566" w:firstLineChars="236"/>
        <w:rPr>
          <w:rFonts w:ascii="宋体" w:hAnsi="宋体" w:eastAsia="宋体" w:cs="宋体"/>
          <w:color w:val="FF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2.1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、微弱信号放大总增益：可调范围覆盖 20dB~100dB（或最大增益≥100dB）；</w:t>
      </w:r>
    </w:p>
    <w:p w14:paraId="731F2617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2.2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具备精细增益控制功能，增益调节范围≥70dB，调节步进≤2dB（支持无级调节或更小步进优于该指标）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62C54A90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2.3、双路输入接收通道；</w:t>
      </w:r>
    </w:p>
    <w:p w14:paraId="7A5E8000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2.4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内置多组高通滤波器，截止频率涵盖 0.1 MHz、1 MHz、4 MHz 附近频点，或提供截止频率在 0.05MHz~5MHz 范围内可调的高通滤波器；</w:t>
      </w:r>
    </w:p>
    <w:p w14:paraId="5AAF66C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2.5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内置多组低通滤波器，截止频率涵盖 20 MHz、40 MHz、80 MHz 附近频点，或提供截止频率在 10MHz~100MHz 范围内可调的低通滤波器；</w:t>
      </w:r>
    </w:p>
    <w:p w14:paraId="5AF9C3CB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2.6、系统有效工作带宽范围覆盖 50 KHz~80 MHz（支持通过配置不同频带模块或插件实现全频段覆盖）；</w:t>
      </w:r>
    </w:p>
    <w:p w14:paraId="4B3AEEF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2.7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配备多组中频宽带滤波器，中心频率或带宽涵盖 0.4MHz、1 MHz、4 MHz 等典型值，或提供相应频段的可调滤波功能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0020FC59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2.8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313131"/>
          <w:sz w:val="24"/>
          <w:szCs w:val="24"/>
          <w:lang w:eastAsia="zh-CN"/>
        </w:rPr>
        <w:t>具备多档相位低通滤波功能，滤波截止频率覆盖 0.05 MHz 至 2 MHz 范围，并提供不少于 5组可选滤波频率（包含 0.1MHz, 1MHz, 2MHz 等常用频点）</w:t>
      </w:r>
    </w:p>
    <w:p w14:paraId="7776DAF9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3、软件：</w:t>
      </w:r>
    </w:p>
    <w:p w14:paraId="1217D409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3.1、控制和分析软件包；</w:t>
      </w:r>
    </w:p>
    <w:p w14:paraId="3281C319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3.2、具备二次开发能力，提供不少于 X 种主流编程语言（包括但不限于 C++、C#、Python、Labview）的函数库或 API 接口；</w:t>
      </w:r>
    </w:p>
    <w:p w14:paraId="33A1B034">
      <w:pPr>
        <w:spacing w:line="360" w:lineRule="auto"/>
        <w:ind w:firstLine="566" w:firstLineChars="236"/>
        <w:rPr>
          <w:rStyle w:val="7"/>
          <w:rFonts w:ascii="宋体" w:hAnsi="宋体" w:eastAsia="宋体" w:cs="宋体"/>
          <w:b w:val="0"/>
          <w:bCs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3.3、具备声时测量模块、相对测量及绝对测量、声衰减测量模块、非线性系数测量模块。</w:t>
      </w:r>
    </w:p>
    <w:p w14:paraId="3B3C879D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4、测量功能：</w:t>
      </w:r>
    </w:p>
    <w:p w14:paraId="65E7C24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4.1、系统时钟频率：≥80MHz；</w:t>
      </w:r>
    </w:p>
    <w:p w14:paraId="29984D2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4.2、同步触发：内部、外部、计算机、手动等；</w:t>
      </w:r>
    </w:p>
    <w:p w14:paraId="582A782C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4.3、重复频率范围：0.01Hz-10KHz，支持连续15个分级可调；</w:t>
      </w:r>
    </w:p>
    <w:p w14:paraId="1169DFC3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4.4、测量模-数转换器分辨率：≥16 位；</w:t>
      </w:r>
    </w:p>
    <w:p w14:paraId="43492D3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4.5、诊断模-数转换器分辨率：≥8位；</w:t>
      </w:r>
    </w:p>
    <w:p w14:paraId="203329B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4.6、外部传感器模拟输入：≥2路；</w:t>
      </w:r>
    </w:p>
    <w:p w14:paraId="394E4FCE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4.7、外部传感器输入信号动态范围：至少覆盖 0-5V（或±5V），支持可配置输入量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程；</w:t>
      </w:r>
    </w:p>
    <w:p w14:paraId="6B555CB9">
      <w:pPr>
        <w:spacing w:line="360" w:lineRule="auto"/>
        <w:ind w:firstLine="566" w:firstLineChars="236"/>
        <w:rPr>
          <w:rStyle w:val="7"/>
          <w:rFonts w:ascii="宋体" w:hAnsi="宋体" w:eastAsia="宋体" w:cs="宋体"/>
          <w:b w:val="0"/>
          <w:bCs w:val="0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4.8、相敏检波器分辨率：优于或等于 0.5°。</w:t>
      </w:r>
    </w:p>
    <w:p w14:paraId="160812FB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5、高速全聚焦相控阵检测模块：</w:t>
      </w:r>
    </w:p>
    <w:p w14:paraId="16D71F05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5.1、PA配置：</w:t>
      </w:r>
    </w:p>
    <w:p w14:paraId="21B8BC6E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接收/发射：发射通道数≥64，接收通道数≥128</w:t>
      </w:r>
    </w:p>
    <w:p w14:paraId="23E898A4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5.2、脉冲发生器：</w:t>
      </w:r>
    </w:p>
    <w:p w14:paraId="57E56AE3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（1）激励脉冲电压：≥100V（连续可调或分级可调）；</w:t>
      </w:r>
    </w:p>
    <w:p w14:paraId="220C124B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（2）脉冲形式：支持正方波等；</w:t>
      </w:r>
    </w:p>
    <w:p w14:paraId="454E38AC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（3）发射脉冲宽度范围覆盖 30ns-1000ns，调节步长≤2.5ns；</w:t>
      </w:r>
    </w:p>
    <w:p w14:paraId="793737F4">
      <w:pPr>
        <w:spacing w:line="360" w:lineRule="auto"/>
        <w:ind w:firstLine="566" w:firstLineChars="236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（4）脉冲上升时间：&lt;8ns；</w:t>
      </w:r>
    </w:p>
    <w:p w14:paraId="79F8AA8D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（5）发射脉冲重复频率：至少满足200Hz-40KHz；</w:t>
      </w:r>
    </w:p>
    <w:p w14:paraId="5455C90B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5.3、接收器：</w:t>
      </w:r>
    </w:p>
    <w:p w14:paraId="04C4DB6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（1）接收延迟范围：≥40us；</w:t>
      </w:r>
    </w:p>
    <w:p w14:paraId="14EFB076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（2）接收延迟精度：至少满足10ns</w:t>
      </w:r>
    </w:p>
    <w:p w14:paraId="1580C3C3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（3）增益范围：≥80dB</w:t>
      </w:r>
    </w:p>
    <w:p w14:paraId="5B59F93C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（4）系统带宽覆盖：≥0.5-23MHz</w:t>
      </w:r>
    </w:p>
    <w:p w14:paraId="7F801562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5.4、数据采集：</w:t>
      </w:r>
    </w:p>
    <w:p w14:paraId="6DE2FEE6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（1）采样率≥100MSPS，分辨率≥16bits</w:t>
      </w:r>
    </w:p>
    <w:p w14:paraId="37ABA516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（2）最大A扫深度：≥16384 points</w:t>
      </w:r>
    </w:p>
    <w:p w14:paraId="692EB6C2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（3）聚焦模式：至少满足常规/动态/全范围等</w:t>
      </w:r>
    </w:p>
    <w:p w14:paraId="331B5B8C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（4）聚焦类型：至少满足深度/声程/投影聚焦等</w:t>
      </w:r>
    </w:p>
    <w:p w14:paraId="2143F2C7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（5）检波：至少满足射频、正检、负检、全检</w:t>
      </w:r>
    </w:p>
    <w:p w14:paraId="3CCE626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5.5、扫描与显示：</w:t>
      </w:r>
    </w:p>
    <w:p w14:paraId="6F027753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（1）扫描类型：至少满足扇扫/线扫/复合扫</w:t>
      </w:r>
    </w:p>
    <w:p w14:paraId="65A2CA79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（2）显示模式：至少满足A/D/C/L/S</w:t>
      </w:r>
    </w:p>
    <w:p w14:paraId="0810E0E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（3）支持 TFM（全聚焦方法）成像，具备 2D 及 3D 重构能力</w:t>
      </w:r>
    </w:p>
    <w:p w14:paraId="18E7224D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5.6、可编程TCG：</w:t>
      </w:r>
    </w:p>
    <w:p w14:paraId="36E9781C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（1）TCG 校正点的数量：≥32个</w:t>
      </w:r>
    </w:p>
    <w:p w14:paraId="57FBFF5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（2）最大增益量≥40 dB，增益调节步距≤0.1 dB</w:t>
      </w:r>
    </w:p>
    <w:p w14:paraId="3720F3C9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（3）TCG 最大增益变化率（斜率）≥40 dB/us</w:t>
      </w:r>
    </w:p>
    <w:p w14:paraId="55C568C5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5.7、数据存储：</w:t>
      </w:r>
    </w:p>
    <w:p w14:paraId="25DD741E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I/0接口：</w:t>
      </w:r>
    </w:p>
    <w:p w14:paraId="1AAC3214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（1）USB接口：至少支持USB3.0</w:t>
      </w:r>
    </w:p>
    <w:p w14:paraId="0662A3F1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（2）语言：至少满足中文/英文</w:t>
      </w:r>
    </w:p>
    <w:p w14:paraId="0971104F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（3）电源：直流供电：支持 DC 24V 输入（或宽电压输入 DC 12V-24V），功率满足整机运行需求</w:t>
      </w:r>
    </w:p>
    <w:p w14:paraId="400B7EB0">
      <w:pPr>
        <w:spacing w:line="360" w:lineRule="auto"/>
        <w:ind w:firstLine="569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二、材料改性激光激发装置系统：</w:t>
      </w:r>
    </w:p>
    <w:p w14:paraId="769F6F1F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、系统功能：系统应具备统一的中央控制软件平台，可实现对激光加工、熔覆、焊接、切割等不同功能模块（可为独立设备或集成工位）的集中调度与管理，配备飞秒激光加工单元，平均功率≥30W、配备高功率激光加工单元，最大输出功率≥6000W，支持熔覆、焊接、切割工艺、激光焊接（CCD智能监控、温度报警）、激光切割功能，具备激光加热、激光淬火、激光表面干燥、蓝光激光加工等功能模块；</w:t>
      </w:r>
    </w:p>
    <w:p w14:paraId="0095DABE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2、激光熔覆部分</w:t>
      </w:r>
    </w:p>
    <w:p w14:paraId="0752E067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2.1、激光器：激光功率≥4kw，光纤长度≥5米，接口QBH或同等兼容接口,传输光纤芯径：400</w:t>
      </w:r>
      <w:r>
        <w:rPr>
          <w:rFonts w:hint="eastAsia" w:ascii="宋体" w:hAnsi="宋体" w:eastAsia="宋体" w:cs="宋体"/>
          <w:sz w:val="24"/>
          <w:szCs w:val="24"/>
        </w:rPr>
        <w:t>μ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m-600</w:t>
      </w:r>
      <w:r>
        <w:rPr>
          <w:rFonts w:hint="eastAsia" w:ascii="宋体" w:hAnsi="宋体" w:eastAsia="宋体" w:cs="宋体"/>
          <w:sz w:val="24"/>
          <w:szCs w:val="24"/>
        </w:rPr>
        <w:t>μ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m；</w:t>
      </w:r>
    </w:p>
    <w:p w14:paraId="039B8D15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2.2、冷水机：水冷系统≥6KW激光器使用要求；</w:t>
      </w:r>
    </w:p>
    <w:p w14:paraId="76B44E91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2.3、熔覆头：高功率反射式熔覆头带1路送粉喷嘴，全包式冷却回路；</w:t>
      </w:r>
    </w:p>
    <w:p w14:paraId="3CA17E1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2.4、双桶送粉器：双桶式送粉器，具备粉末防潮功能（如加热、震动或干燥装置），支持粉末状态监测（如湿度或流量监测）；</w:t>
      </w:r>
    </w:p>
    <w:p w14:paraId="2A06F5DB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2.5、机器人系统：臂展≥1000mm、额定负重≥20KG；</w:t>
      </w:r>
    </w:p>
    <w:p w14:paraId="20092666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2.6、辅助运动直线轴：直线运动轴，双直线导轨，最大速度能达到300mm/min；</w:t>
      </w:r>
    </w:p>
    <w:p w14:paraId="169BECD1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2.7、辅助运动旋转轴：旋转工装，匹配卡盘≥125mm，实现自动加手动控制功能，卡爪夹持≥125mm；</w:t>
      </w:r>
    </w:p>
    <w:p w14:paraId="6E3905D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2.8、激光切割头：满足6KW激光器使用要求的切割头；</w:t>
      </w:r>
    </w:p>
    <w:p w14:paraId="729915CF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2.9、激光焊接头：满足6KW焊接要求，具备CCD焊道显示、温度报警功能，包覆式水冷结构；</w:t>
      </w:r>
    </w:p>
    <w:p w14:paraId="3A195A84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2.10、综合控制系统：搭载AI互动模块，具备AI工艺辅助分析功能，采用激光运动控制卡控制，具备PLC模块，HMI，控制箱，操作台，线束，水路系统，气动控制系统，辅助气阀等模块；</w:t>
      </w:r>
    </w:p>
    <w:p w14:paraId="1A293074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2.11、具备激光加热、淬火、表面干燥等功能功能；</w:t>
      </w:r>
    </w:p>
    <w:p w14:paraId="45BADB14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3、飞秒激光部分</w:t>
      </w:r>
    </w:p>
    <w:p w14:paraId="439377C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3.1、激光器：配备光纤飞秒激光器，脉冲宽度690-740fs，功率≥30W，重频4000kHZ；</w:t>
      </w:r>
    </w:p>
    <w:p w14:paraId="7D9F1D04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3.2、冷水机：配备30W以上飞秒激光专用冷水；</w:t>
      </w:r>
    </w:p>
    <w:p w14:paraId="55DD86A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3.3、远心场镜组：尺寸≥60mm*60mm，采用进口石英材质；</w:t>
      </w:r>
    </w:p>
    <w:p w14:paraId="011BCA37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3.4、运动平台：X轴有效行程≥80mm，Y轴有效行程≥80mm，Z轴行程≥50mm；</w:t>
      </w:r>
    </w:p>
    <w:p w14:paraId="3F6F3062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3.5、控制系统：采用工业控制主机，配合飞秒软件实现激光及加工工艺控制；</w:t>
      </w:r>
    </w:p>
    <w:p w14:paraId="499C4D0D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4、蓝光激光部分</w:t>
      </w:r>
    </w:p>
    <w:p w14:paraId="67C40CAC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4.1、激光器：40W蓝光激光器，波长435nm，光束质量M2≤1.1；</w:t>
      </w:r>
    </w:p>
    <w:p w14:paraId="74C9668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4.2、加工头：匹配蓝光专用镜片；</w:t>
      </w:r>
    </w:p>
    <w:p w14:paraId="0FB2ECBC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4.3、控制器：集成式控制系统，可设定激光能量百分比，可控制输出激光占空比；</w:t>
      </w:r>
    </w:p>
    <w:p w14:paraId="64C4655D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4.4、激光电源：提供对应的交直流转换装置，供给激光器提供光动能；</w:t>
      </w:r>
    </w:p>
    <w:p w14:paraId="7E6E118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5、供气系统</w:t>
      </w:r>
    </w:p>
    <w:p w14:paraId="4E94979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5.1、适配激光切割高压气体装置：螺杆式空气压缩系统≥4KW，加冷冻式干燥机，加激光专用5联装过滤滤芯，加高压减压控制阀，高压气体输送装置；</w:t>
      </w:r>
    </w:p>
    <w:p w14:paraId="2BDB5EF7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5.2、适配熔覆用气体装置：采用2联装罐式陶瓷分子筛系统，具备过滤空气中的氧气功能；</w:t>
      </w:r>
    </w:p>
    <w:p w14:paraId="6CDAECE0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6、配件要求：</w:t>
      </w:r>
    </w:p>
    <w:p w14:paraId="16785D2F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6.1、协同表面改性脉冲电源  1台</w:t>
      </w:r>
    </w:p>
    <w:p w14:paraId="77EA520F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（1）380VAC 三相四线输入，节能型设计，可调脉冲输出；</w:t>
      </w:r>
    </w:p>
    <w:p w14:paraId="43A08363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（2）≥7 寸触摸本机显示及控制；</w:t>
      </w:r>
    </w:p>
    <w:p w14:paraId="22DCF98B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（3）正向输出最大平均电流 ≥50A(峰值 250A)，最大电压 ≥1000V；</w:t>
      </w:r>
    </w:p>
    <w:p w14:paraId="0BF595D9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（4）反向输出最大平均电流 ≥50A(峰值 250A)，最大电压 ≥1000V；</w:t>
      </w:r>
    </w:p>
    <w:p w14:paraId="71FFD609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highlight w:val="yellow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6.2 、全自动化机器手臂 2套</w:t>
      </w:r>
    </w:p>
    <w:p w14:paraId="7CF9D1F6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（1）臂展：≥954 mm；</w:t>
      </w:r>
    </w:p>
    <w:p w14:paraId="043D3094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（2）重复定位精度：≤±0.02 mm；</w:t>
      </w:r>
    </w:p>
    <w:p w14:paraId="3C935560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（3）自由度：6；</w:t>
      </w:r>
    </w:p>
    <w:p w14:paraId="0D08E4A7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（4）可支持编程方式：图形化编程、拖拽编程示；</w:t>
      </w:r>
    </w:p>
    <w:p w14:paraId="5163234E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（5）具备灵活的编程与控制方式，支持专用示教器或移动终端（如平板、手机等）进行编程与控制；</w:t>
      </w:r>
    </w:p>
    <w:p w14:paraId="3C19F782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（6）动作范围及速度：动作范围 (所有关节)：±360°；</w:t>
      </w:r>
    </w:p>
    <w:p w14:paraId="2B9A6846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（7）各关节最大速度：关节 1：≥210°/s、关节 2：≥210°/s、关节 3：≥210°/s、关节 4：≥265°/s、关节 5：≥265°/s、关节 6：≥265°/s；</w:t>
      </w:r>
    </w:p>
    <w:p w14:paraId="0EE345EB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（8）工具端最大速度：≥3.5 m/s；</w:t>
      </w:r>
    </w:p>
    <w:p w14:paraId="79C188A0">
      <w:pPr>
        <w:spacing w:line="360" w:lineRule="auto"/>
        <w:ind w:firstLine="569" w:firstLineChars="236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三、3D视觉检测平台：</w:t>
      </w:r>
    </w:p>
    <w:p w14:paraId="037EABE1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1、系统技术参数</w:t>
      </w:r>
    </w:p>
    <w:p w14:paraId="4F66A1A7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1.1、扫描方式：面结构光拍照式扫描；</w:t>
      </w:r>
    </w:p>
    <w:p w14:paraId="71A10603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1.2、最高扫描精度：≤0.005mm；</w:t>
      </w:r>
    </w:p>
    <w:p w14:paraId="709B26D6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1.3、扫描幅面：具备多幅面扫描能力，支持软件切换不同视场（无需更换硬件）；最大扫描幅面≥400mm×300mm，最小扫描幅面≤200mm×150mm（或根据实际工件尺寸设定合理范围）；</w:t>
      </w:r>
    </w:p>
    <w:p w14:paraId="51D09A6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1.4、最小点距：≤0.05 mm；</w:t>
      </w:r>
    </w:p>
    <w:p w14:paraId="3567765E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1.5、扫描速度：单次扫描时间≤1秒；</w:t>
      </w:r>
    </w:p>
    <w:p w14:paraId="129D3AE0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1.6、光机：蓝色LED结构光，光机分辨率≥1080P，光栅条纹数≥16条，最窄条纹宽度8像素，配有电机可以自动完成两个不同工作距离的光机对焦，内置结构光栅，无需双显卡设置输出。</w:t>
      </w:r>
    </w:p>
    <w:p w14:paraId="542411DC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1.7、相机：4个≥900万像素的工业CMOS相机，配置4个镜头以便切换扫描物距。</w:t>
      </w:r>
    </w:p>
    <w:p w14:paraId="288CC8FA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1.8、标定系统：2个高硼硅材质标定板，每个标定板印制≥800个高精度圆形校准点。</w:t>
      </w:r>
    </w:p>
    <w:p w14:paraId="200C5B3D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1.9、双重范围&amp;自动对焦：有大小两个不同的扫描范围，且可以实现自动的光学对焦，并用双激光点实现对中指导。</w:t>
      </w:r>
    </w:p>
    <w:p w14:paraId="3E78BEA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1.10、单双目模式：可以使用单双目交互扫描，从而提升凹槽位置完整数据获取能力，减少死角区域。</w:t>
      </w:r>
    </w:p>
    <w:p w14:paraId="51FB8FCB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1.11、拼接方式：标志点拼接，框架点拼接，转台拼接，特征拼接，四种自动拼接方式</w:t>
      </w:r>
    </w:p>
    <w:p w14:paraId="22868F28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1.12、误差控制：标志点全局注册运算，点云全局优化运算。</w:t>
      </w:r>
    </w:p>
    <w:p w14:paraId="0CAF8EE9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1.13、震动监测：扫描过程中实时设备震动监测，反馈震动对扫描精度的影响。</w:t>
      </w:r>
    </w:p>
    <w:p w14:paraId="1FF93163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1.14、自动曝光及多次曝光：可以根据物体的颜色材质进行实时的曝光，方便亮度的调节；根据被测物表面颜色材质设置多次不同程度的曝光，以获取更完整的点云数据。</w:t>
      </w:r>
    </w:p>
    <w:p w14:paraId="740EA606">
      <w:pPr>
        <w:spacing w:line="360" w:lineRule="auto"/>
        <w:ind w:firstLine="566" w:firstLineChars="236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1.15、轻量化设计要求：为了应用便携以及配合协作机器人，扫描仪整机重量≤3.5kg（包括4个镜头）。</w:t>
      </w:r>
    </w:p>
    <w:p w14:paraId="3A32053A">
      <w:pPr>
        <w:spacing w:line="460" w:lineRule="exact"/>
        <w:ind w:firstLine="482" w:firstLineChars="200"/>
        <w:rPr>
          <w:rFonts w:cs="仿宋_GB2312" w:asciiTheme="minorEastAsia" w:hAnsiTheme="minorEastAsia" w:eastAsiaTheme="minorEastAsia"/>
          <w:b/>
          <w:sz w:val="24"/>
          <w:szCs w:val="32"/>
          <w:lang w:eastAsia="zh-CN"/>
        </w:rPr>
      </w:pPr>
      <w:r>
        <w:rPr>
          <w:rFonts w:hint="eastAsia" w:cs="仿宋_GB2312" w:asciiTheme="minorEastAsia" w:hAnsiTheme="minorEastAsia" w:eastAsiaTheme="minorEastAsia"/>
          <w:b/>
          <w:sz w:val="24"/>
          <w:szCs w:val="32"/>
          <w:lang w:eastAsia="zh-CN"/>
        </w:rPr>
        <w:t>注：以上技术条款为必须满足或优于项，否则作无效投标处理。</w:t>
      </w:r>
    </w:p>
    <w:p w14:paraId="324D4463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930FBB"/>
    <w:rsid w:val="04930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3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/>
    </w:pPr>
  </w:style>
  <w:style w:type="paragraph" w:styleId="4">
    <w:name w:val="annotation text"/>
    <w:basedOn w:val="1"/>
    <w:unhideWhenUsed/>
    <w:qFormat/>
    <w:uiPriority w:val="0"/>
  </w:style>
  <w:style w:type="character" w:styleId="7">
    <w:name w:val="Strong"/>
    <w:basedOn w:val="6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2026-05-26T03:06:00Z</dcterms:created>
  <dc:creator>Administrator</dc:creator>
  <cp:lastModifiedBy>Administrator</cp:lastModifiedBy>
  <dcterms:modified xsi:type="dcterms:W3CDTF">2026-05-26T03:07:33Z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99ACB3C985D44CA0B0409E96131ABFFE_11</vt:lpwstr>
  </property>
  <property fmtid="{D5CDD505-2E9C-101B-9397-08002B2CF9AE}" pid="4" name="KSOTemplateDocerSaveRecord">
    <vt:lpwstr>eyJoZGlkIjoiMGE5MmMzMjVmNmQ5ZDM5ZDg3YjMyMmNjZDlhNmZlM2UiLCJ1c2VySWQiOiI1OTEyMDM3OTQifQ==</vt:lpwstr>
  </property>
</Properties>
</file>