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E911D6">
      <w:pPr>
        <w:widowControl w:val="0"/>
        <w:spacing w:before="78" w:line="240" w:lineRule="exact"/>
        <w:jc w:val="center"/>
        <w:outlineLvl w:val="1"/>
        <w:rPr>
          <w:rFonts w:cs="宋体" w:asciiTheme="minorEastAsia" w:hAnsiTheme="minorEastAsia" w:eastAsiaTheme="minorEastAsia"/>
          <w:color w:val="auto"/>
          <w:sz w:val="28"/>
          <w:szCs w:val="28"/>
          <w:lang w:eastAsia="zh-CN"/>
        </w:rPr>
      </w:pPr>
    </w:p>
    <w:p w14:paraId="41DCFF4A">
      <w:pPr>
        <w:spacing w:line="360" w:lineRule="auto"/>
        <w:jc w:val="center"/>
        <w:rPr>
          <w:rFonts w:asciiTheme="minorEastAsia" w:hAnsiTheme="minorEastAsia" w:eastAsiaTheme="minorEastAsia"/>
          <w:color w:val="auto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/>
          <w:color w:val="auto"/>
          <w:sz w:val="28"/>
          <w:szCs w:val="28"/>
          <w:lang w:eastAsia="zh-CN"/>
        </w:rPr>
        <w:t>（一） 技术需求</w:t>
      </w:r>
    </w:p>
    <w:p w14:paraId="1B8E2C62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1、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采购标的需实现的功能或者目标</w:t>
      </w:r>
    </w:p>
    <w:p w14:paraId="64A84BD2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1.1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采购标的需实现的功能</w:t>
      </w:r>
    </w:p>
    <w:p w14:paraId="551058AB">
      <w:pPr>
        <w:spacing w:line="360" w:lineRule="auto"/>
        <w:ind w:firstLine="480" w:firstLineChars="200"/>
        <w:rPr>
          <w:rFonts w:asciiTheme="minorEastAsia" w:hAnsiTheme="minorEastAsia" w:eastAsiaTheme="minorEastAsia"/>
          <w:color w:val="auto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color w:val="auto"/>
          <w:sz w:val="24"/>
          <w:szCs w:val="32"/>
          <w:lang w:eastAsia="zh-CN"/>
        </w:rPr>
        <w:t>本次采购旨在构建一个面向“十五五”规划重点前沿方向的综合性科研与小试平台，核心是围绕多工位真空蒸发镀膜系统、固态电解质制备系统两大关键设备集群，形成从纳米尺度界面调控到宏观器件集成的完整研发能力，以支撑下一代钙钛矿光伏与高比能固态电池两大战略方向的突破。</w:t>
      </w:r>
    </w:p>
    <w:p w14:paraId="3B41B0C2">
      <w:pPr>
        <w:spacing w:line="360" w:lineRule="auto"/>
        <w:ind w:firstLine="480" w:firstLineChars="200"/>
        <w:rPr>
          <w:rFonts w:asciiTheme="minorEastAsia" w:hAnsiTheme="minorEastAsia" w:eastAsiaTheme="minorEastAsia"/>
          <w:color w:val="auto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color w:val="auto"/>
          <w:sz w:val="24"/>
          <w:szCs w:val="32"/>
          <w:lang w:eastAsia="zh-CN"/>
        </w:rPr>
        <w:t>多工位真空蒸发镀膜系统：该系统是实现高性能器件关键功能层沉积的核心装备。在钙钛矿光伏方向，主要用于高纯度金属电极（如Au、Ag、Al）的蒸镀，以及空穴传输材料（如Spiro-OMeTAD、PTAA）的薄膜沉积，其多工位设计可大幅提升电极制备效率与一致性，是构建高效率器件的必备环节。在固态锂电池方向，该系统将用于沉积超薄（纳米至微米级）的金属锂负极、固态电解质界面（SEI）修饰层、以及模型全固态电池中的各类功能薄膜，为研究界面本征特性、抑制锂枝晶生长提供关键实验手段。</w:t>
      </w:r>
    </w:p>
    <w:p w14:paraId="38F2BF88">
      <w:pPr>
        <w:spacing w:line="360" w:lineRule="auto"/>
        <w:ind w:firstLine="480" w:firstLineChars="200"/>
        <w:rPr>
          <w:rFonts w:hint="eastAsia" w:asciiTheme="minorEastAsia" w:hAnsiTheme="minorEastAsia" w:eastAsiaTheme="minorEastAsia"/>
          <w:color w:val="auto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color w:val="auto"/>
          <w:sz w:val="24"/>
          <w:szCs w:val="32"/>
          <w:lang w:eastAsia="zh-CN"/>
        </w:rPr>
        <w:t>固态电解质制备系统：这是一个集成化的工艺开发平台，旨在攻克固态电解质从材料到可量产器件的核心制备瓶颈。该系统需集成湿法精密涂布与干法电极制备两大工艺模块。湿法模块用于开发聚合物基、氧化物复合电解质的浆料配方与流延成膜工艺，实现厚度可控（10-50微米）的均匀薄膜；干法模块则面向对水氧极度敏感的硫化物等材料，实现无溶剂、环保的极片与电解质膜一体化制备，这是未来规模化降本的关键。该系统还应具备小试规模的叠片、热压封装能力，支持完成从电解质膜、电极到完整固态电芯的组装与工艺验证。</w:t>
      </w:r>
    </w:p>
    <w:p w14:paraId="1CD366F3">
      <w:pPr>
        <w:spacing w:line="360" w:lineRule="auto"/>
        <w:ind w:firstLine="560" w:firstLineChars="200"/>
        <w:rPr>
          <w:rFonts w:ascii="宋体" w:hAnsi="宋体" w:eastAsia="宋体"/>
          <w:sz w:val="28"/>
          <w:szCs w:val="28"/>
          <w:lang w:eastAsia="zh-CN"/>
        </w:rPr>
      </w:pPr>
      <w:r>
        <w:rPr>
          <w:rFonts w:hint="eastAsia" w:ascii="宋体" w:hAnsi="宋体" w:eastAsia="宋体"/>
          <w:sz w:val="28"/>
          <w:szCs w:val="28"/>
          <w:lang w:eastAsia="zh-CN"/>
        </w:rPr>
        <w:t>2.采购标的需实现的目标</w:t>
      </w:r>
    </w:p>
    <w:p w14:paraId="14195125">
      <w:pPr>
        <w:spacing w:line="360" w:lineRule="auto"/>
        <w:ind w:firstLine="480" w:firstLineChars="200"/>
        <w:rPr>
          <w:rFonts w:asciiTheme="minorEastAsia" w:hAnsiTheme="minorEastAsia" w:eastAsiaTheme="minorEastAsia"/>
          <w:color w:val="auto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color w:val="FF0000"/>
          <w:sz w:val="24"/>
          <w:szCs w:val="32"/>
          <w:lang w:eastAsia="zh-CN"/>
        </w:rPr>
        <w:t xml:space="preserve"> 通过上述设备系统的建设与协</w:t>
      </w:r>
      <w:r>
        <w:rPr>
          <w:rFonts w:hint="eastAsia" w:asciiTheme="minorEastAsia" w:hAnsiTheme="minorEastAsia" w:eastAsiaTheme="minorEastAsia"/>
          <w:color w:val="auto"/>
          <w:sz w:val="24"/>
          <w:szCs w:val="32"/>
          <w:lang w:eastAsia="zh-CN"/>
        </w:rPr>
        <w:t>同，平台旨在实现以下与“十五五”国家战略及区域产业发展深度绑定的具体目标：</w:t>
      </w:r>
    </w:p>
    <w:p w14:paraId="628A384D">
      <w:pPr>
        <w:spacing w:line="360" w:lineRule="auto"/>
        <w:ind w:firstLine="480" w:firstLineChars="200"/>
        <w:rPr>
          <w:rFonts w:asciiTheme="minorEastAsia" w:hAnsiTheme="minorEastAsia" w:eastAsiaTheme="minorEastAsia"/>
          <w:color w:val="auto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color w:val="auto"/>
          <w:sz w:val="24"/>
          <w:szCs w:val="32"/>
          <w:lang w:eastAsia="zh-CN"/>
        </w:rPr>
        <w:t>科研突破与核心技术：在3-5年内，依托所构建的先进制备与表征平台，在钙钛矿/硅叠层电池及固态电池两大前沿方向实现关键技术攻关。目标在于掌握面向产业化的核心材料制备与器件工艺，包括但不限于高效率叠层器件的设计与集成、超薄致密固态电解质膜的精密制造、以及电极-电解质界面的理性设计与优化。力争形成具有自主知识产权的专利群，推动1-2项关键制备技术完成从实验室到产业化应用的转化。</w:t>
      </w:r>
    </w:p>
    <w:p w14:paraId="30F845BC">
      <w:pPr>
        <w:spacing w:line="360" w:lineRule="auto"/>
        <w:ind w:firstLine="480" w:firstLineChars="200"/>
        <w:rPr>
          <w:rFonts w:asciiTheme="minorEastAsia" w:hAnsiTheme="minorEastAsia" w:eastAsiaTheme="minorEastAsia"/>
          <w:color w:val="auto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color w:val="auto"/>
          <w:sz w:val="24"/>
          <w:szCs w:val="32"/>
          <w:lang w:eastAsia="zh-CN"/>
        </w:rPr>
        <w:t>人才与团队建设：通过操作和维护上述先进设备集群，快速提升青年科研人员在薄膜沉积、界面设计、工艺工程等领域的实战能力。计划在3-5年内，围绕设备应用与工艺开发，培养并获批省级及以上人才项目2-3人，形成一支既懂材料科学又精通器件工艺的复合型科研团队，显著增强承担国家级重大重点项目的竞争力。</w:t>
      </w:r>
    </w:p>
    <w:p w14:paraId="325DCEBC">
      <w:pPr>
        <w:spacing w:line="360" w:lineRule="auto"/>
        <w:ind w:firstLine="480" w:firstLineChars="200"/>
        <w:rPr>
          <w:rFonts w:asciiTheme="minorEastAsia" w:hAnsiTheme="minorEastAsia" w:eastAsiaTheme="minorEastAsia"/>
          <w:color w:val="auto"/>
          <w:sz w:val="24"/>
          <w:szCs w:val="32"/>
          <w:lang w:eastAsia="zh-CN"/>
        </w:rPr>
      </w:pPr>
      <w:r>
        <w:rPr>
          <w:rFonts w:hint="eastAsia" w:asciiTheme="minorEastAsia" w:hAnsiTheme="minorEastAsia" w:eastAsiaTheme="minorEastAsia"/>
          <w:color w:val="auto"/>
          <w:sz w:val="24"/>
          <w:szCs w:val="32"/>
          <w:lang w:eastAsia="zh-CN"/>
        </w:rPr>
        <w:t>产业服务与平台辐射：将本平台建设成为江西省内乃至区域性的“固态电池及钙钛矿光伏工艺开发公共平台”。依托固态电解质制备系统的小试能力，为本地锂电企业提供硫化物/聚合物电解质膜制备、干法电极工艺验证等关键服务；利用原子层沉积系统的独特界面改性能力，与企业合作攻关提升电池循环寿命与安全性的共性技术难题。通过设备共享与技术联合开发，深度融入江西省新能源产业链，加速下一代光伏与储能技术的产业化进程。</w:t>
      </w:r>
    </w:p>
    <w:p w14:paraId="4319115C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2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、</w:t>
      </w:r>
      <w:bookmarkStart w:id="0" w:name="OLE_LINK8"/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采购标的需执行的国家相关标准、行业标准、地方标准或者其他标准、规范</w:t>
      </w:r>
      <w:bookmarkEnd w:id="0"/>
    </w:p>
    <w:p w14:paraId="57FEB1A0">
      <w:pPr>
        <w:spacing w:line="360" w:lineRule="auto"/>
        <w:ind w:firstLine="480" w:firstLineChars="200"/>
        <w:rPr>
          <w:rFonts w:asciiTheme="minorEastAsia" w:hAnsiTheme="minorEastAsia" w:eastAsiaTheme="minorEastAsia"/>
          <w:color w:val="auto"/>
          <w:sz w:val="24"/>
          <w:szCs w:val="32"/>
          <w:lang w:eastAsia="zh-CN"/>
        </w:rPr>
      </w:pPr>
      <w:bookmarkStart w:id="1" w:name="OLE_LINK9"/>
      <w:r>
        <w:rPr>
          <w:rFonts w:hint="eastAsia" w:asciiTheme="minorEastAsia" w:hAnsiTheme="minorEastAsia" w:eastAsiaTheme="minorEastAsia"/>
          <w:color w:val="auto"/>
          <w:sz w:val="24"/>
          <w:szCs w:val="32"/>
          <w:lang w:eastAsia="zh-CN"/>
        </w:rPr>
        <w:t>投标人应提供符合技术要求</w:t>
      </w:r>
      <w:r>
        <w:rPr>
          <w:rFonts w:hint="eastAsia" w:ascii="宋体" w:hAnsi="宋体" w:eastAsia="宋体" w:cs="Times New Roman"/>
          <w:color w:val="auto"/>
          <w:sz w:val="24"/>
          <w:szCs w:val="24"/>
          <w:lang w:eastAsia="zh-CN"/>
        </w:rPr>
        <w:t>、</w:t>
      </w:r>
      <w:r>
        <w:rPr>
          <w:rFonts w:ascii="宋体" w:hAnsi="宋体" w:eastAsia="宋体" w:cs="Times New Roman"/>
          <w:color w:val="auto"/>
          <w:sz w:val="24"/>
          <w:szCs w:val="24"/>
          <w:lang w:eastAsia="zh-CN"/>
        </w:rPr>
        <w:t>国家标准、行业规范和合同等相关文件要求</w:t>
      </w:r>
      <w:r>
        <w:rPr>
          <w:rFonts w:hint="eastAsia" w:asciiTheme="minorEastAsia" w:hAnsiTheme="minorEastAsia" w:eastAsiaTheme="minorEastAsia"/>
          <w:color w:val="auto"/>
          <w:sz w:val="24"/>
          <w:szCs w:val="32"/>
          <w:lang w:eastAsia="zh-CN"/>
        </w:rPr>
        <w:t>的优质产品。</w:t>
      </w:r>
    </w:p>
    <w:bookmarkEnd w:id="1"/>
    <w:p w14:paraId="6A2302FB">
      <w:pPr>
        <w:spacing w:line="360" w:lineRule="auto"/>
        <w:ind w:firstLine="482" w:firstLineChars="200"/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/>
          <w:b/>
          <w:color w:val="auto"/>
          <w:sz w:val="24"/>
          <w:szCs w:val="24"/>
          <w:lang w:eastAsia="zh-CN"/>
        </w:rPr>
        <w:t>3</w:t>
      </w:r>
      <w:r>
        <w:rPr>
          <w:rFonts w:asciiTheme="minorEastAsia" w:hAnsiTheme="minorEastAsia" w:eastAsiaTheme="minorEastAsia"/>
          <w:b/>
          <w:color w:val="auto"/>
          <w:sz w:val="24"/>
          <w:szCs w:val="24"/>
          <w:lang w:eastAsia="zh-CN"/>
        </w:rPr>
        <w:t>、采购标的需满足的性能、材料、结构、外观、质量、安全、技术规格、物理特性等要求</w:t>
      </w:r>
    </w:p>
    <w:p w14:paraId="0BA3D2E1">
      <w:pPr>
        <w:spacing w:line="360" w:lineRule="auto"/>
        <w:ind w:firstLine="482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b/>
          <w:color w:val="auto"/>
          <w:sz w:val="24"/>
          <w:szCs w:val="24"/>
          <w:lang w:eastAsia="zh-CN"/>
        </w:rPr>
        <w:t>序号1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：</w:t>
      </w:r>
      <w:r>
        <w:rPr>
          <w:rFonts w:hint="eastAsia" w:ascii="宋体" w:hAnsi="宋体" w:eastAsia="宋体"/>
          <w:color w:val="auto"/>
          <w:sz w:val="24"/>
          <w:szCs w:val="24"/>
          <w:u w:val="single"/>
          <w:lang w:eastAsia="zh-CN"/>
        </w:rPr>
        <w:t>多工位真空蒸发镀膜系统</w:t>
      </w:r>
    </w:p>
    <w:p w14:paraId="2FDDE65A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1、手套箱总操作位不少于 6 个，有效操作长度不小于 2400mm，可通过过渡舱扩展至少一个独立功能区（长度不小于 1200mm）。箱体需配备净化循环系统及工业空调，具备倾斜操作面和可拆卸安全玻璃前窗。</w:t>
      </w:r>
    </w:p>
    <w:p w14:paraId="01E4462B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2、配备大、小过渡舱各一个。大过渡舱内径≥360mm，长度≥600mm；小过渡舱内径≥150mm，长度≥600mm。过渡舱与箱体连接应具备可靠的密封结构，便于维护、更换或整体拆卸运输（法兰连接、快装接口或同等效的可拆卸设计均可），不得因连接方式影响整体气密性指标。</w:t>
      </w:r>
    </w:p>
    <w:p w14:paraId="037CD54F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3、循环能力：集成风机流量≥90m3/h，加装变频控制。</w:t>
      </w:r>
    </w:p>
    <w:p w14:paraId="034E9785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4、真空泵：抽速≥12m3/h，真空度可达2×10-3mbar，可对过渡舱抽真空，并保持箱体压力平衡，真空泵配装油雾过滤器和气镇。</w:t>
      </w:r>
    </w:p>
    <w:p w14:paraId="73F1F2D9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5、手套口：手套口应采用耐腐蚀金属材质（铝合金阳极氧化或不锈钢），配备 O 型圈密封。</w:t>
      </w:r>
    </w:p>
    <w:p w14:paraId="662EE596">
      <w:pPr>
        <w:spacing w:line="360" w:lineRule="auto"/>
        <w:ind w:firstLine="480" w:firstLineChars="200"/>
        <w:rPr>
          <w:rFonts w:ascii="宋体" w:hAnsi="宋体" w:eastAsia="宋体"/>
          <w:b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6、气体控制阀：采用不锈钢电磁集成阀座。（</w:t>
      </w:r>
      <w:r>
        <w:rPr>
          <w:rFonts w:hint="eastAsia" w:ascii="宋体" w:hAnsi="宋体" w:eastAsia="宋体"/>
          <w:b/>
          <w:color w:val="auto"/>
          <w:sz w:val="24"/>
          <w:szCs w:val="24"/>
          <w:lang w:eastAsia="zh-CN"/>
        </w:rPr>
        <w:t>投标文件中提供阀门结构示意图或产品彩页佐证其功能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）</w:t>
      </w:r>
    </w:p>
    <w:p w14:paraId="6C6B765D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7、水分析仪：测量范围是0～500ppm，</w:t>
      </w:r>
      <w:r>
        <w:rPr>
          <w:rFonts w:ascii="宋体" w:hAnsi="宋体" w:eastAsia="宋体" w:cs="宋体"/>
          <w:bCs/>
          <w:color w:val="auto"/>
          <w:sz w:val="24"/>
          <w:szCs w:val="24"/>
          <w:shd w:val="clear" w:color="auto" w:fill="F8F8F8"/>
          <w:lang w:eastAsia="zh-CN"/>
        </w:rPr>
        <w:t>传感器应采用五氧化二磷（P2O5）原理或其他同等先进原理，具备传感器清洗再生功能，可重复使用，无需频繁更换。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shd w:val="clear" w:color="auto" w:fill="F8F8F8"/>
          <w:lang w:eastAsia="zh-CN"/>
        </w:rPr>
        <w:t>（</w:t>
      </w:r>
      <w:r>
        <w:rPr>
          <w:rFonts w:hint="eastAsia" w:ascii="宋体" w:hAnsi="宋体" w:eastAsia="宋体"/>
          <w:b/>
          <w:color w:val="auto"/>
          <w:sz w:val="24"/>
          <w:szCs w:val="24"/>
          <w:lang w:eastAsia="zh-CN"/>
        </w:rPr>
        <w:t>投标文件中提供</w:t>
      </w:r>
      <w:r>
        <w:rPr>
          <w:rFonts w:ascii="宋体" w:hAnsi="宋体" w:eastAsia="宋体"/>
          <w:b/>
          <w:color w:val="auto"/>
          <w:sz w:val="24"/>
          <w:szCs w:val="24"/>
          <w:lang w:eastAsia="zh-CN"/>
        </w:rPr>
        <w:t>产品技术手册或官方功能说明证明其具备再生能力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shd w:val="clear" w:color="auto" w:fill="F8F8F8"/>
          <w:lang w:eastAsia="zh-CN"/>
        </w:rPr>
        <w:t>）</w:t>
      </w:r>
    </w:p>
    <w:p w14:paraId="2B1E9EFF">
      <w:pPr>
        <w:spacing w:line="360" w:lineRule="auto"/>
        <w:ind w:firstLine="480" w:firstLineChars="200"/>
        <w:rPr>
          <w:rFonts w:ascii="宋体" w:hAnsi="宋体" w:eastAsia="宋体"/>
          <w:b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8、氧分析仪：测量范围：0～1000ppm，优先采用氧化锆（ZrO2）传感器或其他长寿命、无需频繁更换的传感器技术，避免使用需定期更换且易受高氧损坏的电化学燃料电池。（</w:t>
      </w:r>
      <w:r>
        <w:rPr>
          <w:rFonts w:hint="eastAsia" w:ascii="宋体" w:hAnsi="宋体" w:eastAsia="宋体"/>
          <w:b/>
          <w:color w:val="auto"/>
          <w:sz w:val="24"/>
          <w:szCs w:val="24"/>
          <w:lang w:eastAsia="zh-CN"/>
        </w:rPr>
        <w:t>投标文件中提供传感器类型说明及寿命承诺函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）</w:t>
      </w:r>
    </w:p>
    <w:p w14:paraId="0CFADD09">
      <w:pPr>
        <w:spacing w:line="360" w:lineRule="auto"/>
        <w:ind w:firstLine="480" w:firstLineChars="200"/>
        <w:rPr>
          <w:rFonts w:ascii="宋体" w:hAnsi="宋体" w:eastAsia="宋体"/>
          <w:b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9、具备物联网智能监控系统，能解析多种数据协议，实时采集水值、氧值、温度、压力等数据，具备阈值预警、统计分析及报告生成功能</w:t>
      </w:r>
      <w:r>
        <w:rPr>
          <w:rFonts w:hint="eastAsia" w:ascii="宋体" w:hAnsi="宋体" w:eastAsia="宋体"/>
          <w:b/>
          <w:color w:val="auto"/>
          <w:sz w:val="24"/>
          <w:szCs w:val="24"/>
          <w:lang w:eastAsia="zh-CN"/>
        </w:rPr>
        <w:t>。（投标文件中提供系统界面截图佐证）</w:t>
      </w:r>
    </w:p>
    <w:p w14:paraId="63D44FCD">
      <w:pPr>
        <w:spacing w:line="360" w:lineRule="auto"/>
        <w:ind w:firstLine="480" w:firstLineChars="200"/>
        <w:rPr>
          <w:rFonts w:ascii="宋体" w:hAnsi="宋体" w:eastAsia="宋体"/>
          <w:b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10、真空腔室：真空专用304不锈钢腔室，前门采用双导轨设计，侧滑开门。后门采用手动铰链结构；前后门带玻璃观察窗，含防污挡板，真空室内外表面抛光处理。（</w:t>
      </w:r>
      <w:r>
        <w:rPr>
          <w:rFonts w:hint="eastAsia" w:ascii="宋体" w:hAnsi="宋体" w:eastAsia="宋体"/>
          <w:b/>
          <w:color w:val="auto"/>
          <w:sz w:val="24"/>
          <w:szCs w:val="24"/>
          <w:lang w:eastAsia="zh-CN"/>
        </w:rPr>
        <w:t>投标文件中提供腔室结构设计图或同类项目案例照片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）</w:t>
      </w:r>
    </w:p>
    <w:p w14:paraId="44EDA61D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11、真空系统：分子泵机组主泵抽速≥ 1100L/S（极限压强＜7.5×10</w:t>
      </w:r>
      <w:r>
        <w:rPr>
          <w:rFonts w:hint="eastAsia" w:ascii="宋体" w:hAnsi="宋体" w:eastAsia="宋体"/>
          <w:color w:val="auto"/>
          <w:sz w:val="24"/>
          <w:szCs w:val="24"/>
          <w:vertAlign w:val="superscript"/>
          <w:lang w:eastAsia="zh-CN"/>
        </w:rPr>
        <w:t>-9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mbar，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额定转速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≥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4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2000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 xml:space="preserve"> rpm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），配套干式前级泵（极限真空≥0.03Torr，额定转速≥1800rpm）及高可靠性气动阀门</w:t>
      </w:r>
      <w:r>
        <w:rPr>
          <w:rFonts w:hint="eastAsia" w:ascii="宋体" w:hAnsi="宋体" w:eastAsia="宋体"/>
          <w:b/>
          <w:bCs/>
          <w:color w:val="auto"/>
          <w:sz w:val="24"/>
          <w:szCs w:val="24"/>
          <w:lang w:eastAsia="zh-CN"/>
        </w:rPr>
        <w:t>。（投标文件中提供产品宣传页或说明书进行佐证）】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。</w:t>
      </w:r>
    </w:p>
    <w:p w14:paraId="4636779D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12、本底真空：≤4.0×10</w:t>
      </w:r>
      <w:r>
        <w:rPr>
          <w:rFonts w:hint="eastAsia" w:ascii="宋体" w:hAnsi="宋体" w:eastAsia="宋体"/>
          <w:color w:val="auto"/>
          <w:sz w:val="24"/>
          <w:szCs w:val="24"/>
          <w:vertAlign w:val="superscript"/>
          <w:lang w:eastAsia="zh-CN"/>
        </w:rPr>
        <w:t>-5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Pa（手套箱环境）；漏率：≤4×10</w:t>
      </w:r>
      <w:r>
        <w:rPr>
          <w:rFonts w:hint="eastAsia" w:ascii="宋体" w:hAnsi="宋体" w:eastAsia="宋体"/>
          <w:color w:val="auto"/>
          <w:sz w:val="24"/>
          <w:szCs w:val="24"/>
          <w:vertAlign w:val="superscript"/>
          <w:lang w:eastAsia="zh-CN"/>
        </w:rPr>
        <w:t>-8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Pa*L/S（国家标准）；关机12小时后，真空度≤5Pa；（</w:t>
      </w:r>
      <w:r>
        <w:rPr>
          <w:rFonts w:hint="eastAsia" w:ascii="宋体" w:hAnsi="宋体" w:eastAsia="宋体"/>
          <w:b/>
          <w:color w:val="auto"/>
          <w:sz w:val="24"/>
          <w:szCs w:val="24"/>
          <w:lang w:eastAsia="zh-CN"/>
        </w:rPr>
        <w:t>投标文件中提供技术参数承诺函加盖投标人公章，承诺所投产品满足上述真空度及漏率指标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）</w:t>
      </w:r>
    </w:p>
    <w:p w14:paraId="3710A858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验收阶段：中标人须在设备安装调试完成后，邀请采购人或其委托的第三方检测机构进行现场验收测试。若实测数据不满足上述</w:t>
      </w:r>
      <w:r>
        <w:rPr>
          <w:rFonts w:hint="eastAsia" w:ascii="宋体" w:hAnsi="宋体" w:eastAsia="宋体"/>
          <w:b/>
          <w:color w:val="auto"/>
          <w:sz w:val="24"/>
          <w:szCs w:val="24"/>
          <w:lang w:eastAsia="zh-CN"/>
        </w:rPr>
        <w:t>第12条任一指标，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视为验收不合格，中标人须无条件退货或更换新机，并承担由此产生的一切损失。</w:t>
      </w:r>
    </w:p>
    <w:p w14:paraId="6F4D0AB4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13、工艺真空：大气压~4×10</w:t>
      </w:r>
      <w:r>
        <w:rPr>
          <w:rFonts w:hint="eastAsia" w:ascii="宋体" w:hAnsi="宋体" w:eastAsia="宋体"/>
          <w:color w:val="auto"/>
          <w:sz w:val="24"/>
          <w:szCs w:val="24"/>
          <w:vertAlign w:val="superscript"/>
          <w:lang w:eastAsia="zh-CN"/>
        </w:rPr>
        <w:t>-4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Pa小于25min（手套箱环境）；</w:t>
      </w:r>
    </w:p>
    <w:p w14:paraId="0A89D1CC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14、基片台：抽屉式结构，承载≥100×100mm样品，配气动挡板。样品台旋转：样品片台可旋转，0～30转／分连续可调。样品台可加热，配备导电温控仪测量样品台附件。样品台升降电动升降带刻度距离显示，升降范围≥50mm;配备2套掩膜板装置。</w:t>
      </w:r>
    </w:p>
    <w:p w14:paraId="69963A93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15、蒸发源及电源：</w:t>
      </w:r>
    </w:p>
    <w:p w14:paraId="371476ED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配4组金属蒸发源，金属源采用水冷铜电极+蒸发舟结构（钨舟；舟容积≥0.3mL）；配备金属蒸发电源≥1套（输出电流0</w:t>
      </w:r>
      <w:r>
        <w:rPr>
          <w:rFonts w:ascii="Noto Sans SC" w:hAnsi="Noto Sans SC" w:eastAsia="Noto Sans SC" w:cs="Noto Sans SC"/>
          <w:color w:val="auto"/>
          <w:lang w:eastAsia="zh-CN"/>
        </w:rPr>
        <w:t>～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180A，输入频率范围：47～63Hz，额定输出功率：1440W），蒸发源电源具有恒流和恒压二种驱动模式，二者可切换。蒸发电源可以通过软件控制，支持多段程序升温（≥2 段）及程序降温（≥1 段）控制，或具备更优的程序控温能力，也可以手动控制，此外，蒸发电源还可以通过膜厚仪PID（闭环控制），自动调节蒸发速率,带数显。</w:t>
      </w:r>
    </w:p>
    <w:p w14:paraId="2AA4A2CE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配备2组700°低温有机蒸发源，带挡板角度可微调以保证良好的沉积均匀性电源温控仪精确控温,精确控制输出，同时可以由膜厚仪输入速率，自动控制镀膜过程。配备电源及温控，控温精度≤1℃。配备有机蒸发电源≥2套（输出电压：0～20Vdc，输出电流0</w:t>
      </w:r>
      <w:r>
        <w:rPr>
          <w:rFonts w:ascii="宋体" w:hAnsi="宋体" w:eastAsia="宋体"/>
          <w:color w:val="auto"/>
          <w:sz w:val="24"/>
          <w:szCs w:val="24"/>
          <w:lang w:eastAsia="zh-CN"/>
        </w:rPr>
        <w:t>～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10A，输入频率范围：47～63Hz，额定输出功率：200W）；</w:t>
      </w:r>
    </w:p>
    <w:p w14:paraId="7CC4A344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16、控制方式：PLC+PC电脑手自动控制系统。具有自动抽真空，自动排气等自动流程界面，具有逻辑程序互锁保护系统。泵、电极等缺水、过流过压、断路等异常情况具有自动报警并执行相应保护措施的功能。</w:t>
      </w:r>
    </w:p>
    <w:p w14:paraId="0E2903A5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17、膜厚仪及探头：配备显示精度满足或优于0.01A/s膜厚仪一套，实现自动控制膜厚速率及终厚，自动镀膜功能。</w:t>
      </w:r>
    </w:p>
    <w:p w14:paraId="48BCD4A7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18、真空测量： 一个全量程真空计（量程从大气到 3E-9torr，响应时间＜10毫秒）；</w:t>
      </w:r>
    </w:p>
    <w:p w14:paraId="2AB82771">
      <w:pPr>
        <w:spacing w:line="360" w:lineRule="auto"/>
        <w:ind w:firstLine="482" w:firstLineChars="200"/>
        <w:rPr>
          <w:rFonts w:ascii="宋体" w:hAnsi="宋体" w:eastAsia="宋体"/>
          <w:b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b/>
          <w:color w:val="auto"/>
          <w:sz w:val="24"/>
          <w:szCs w:val="24"/>
          <w:lang w:eastAsia="zh-CN"/>
        </w:rPr>
        <w:t>序号2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：</w:t>
      </w:r>
      <w:r>
        <w:rPr>
          <w:rFonts w:hint="eastAsia" w:ascii="宋体" w:hAnsi="宋体" w:eastAsia="宋体"/>
          <w:color w:val="auto"/>
          <w:sz w:val="24"/>
          <w:szCs w:val="24"/>
          <w:u w:val="single"/>
          <w:lang w:eastAsia="zh-CN"/>
        </w:rPr>
        <w:t>固态电解质制备系统</w:t>
      </w:r>
    </w:p>
    <w:p w14:paraId="147C7E0D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ascii="宋体" w:hAnsi="宋体" w:eastAsia="宋体"/>
          <w:color w:val="auto"/>
          <w:sz w:val="24"/>
          <w:szCs w:val="24"/>
          <w:lang w:eastAsia="zh-CN"/>
        </w:rPr>
        <w:t>1、手套箱箱体：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双工位操作，有效操作长度不小于 2400mm，深度和高度应满足实验需求（深度≥750mm，高度≥900mm）。304不锈钢材质，箱体板材厚度不小于3mm；内置多层可调搁物架。</w:t>
      </w:r>
    </w:p>
    <w:p w14:paraId="7A39B257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ascii="宋体" w:hAnsi="宋体" w:eastAsia="宋体"/>
          <w:color w:val="auto"/>
          <w:sz w:val="24"/>
          <w:szCs w:val="24"/>
          <w:lang w:eastAsia="zh-CN"/>
        </w:rPr>
        <w:t>2、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配备大、小过渡舱各一个。大过渡舱内径≥360mm，长度≥600mm；小过渡舱内径≥150mm，长度≥300mm。过渡舱与箱体连接应具备可靠的密封结构，便于维护、更换或整体拆卸运输（法兰连接、快装接口或同等效的可拆卸设计均可），不得因连接方式影响整体气密性指标。</w:t>
      </w:r>
    </w:p>
    <w:p w14:paraId="6F5F115A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ascii="宋体" w:hAnsi="宋体" w:eastAsia="宋体"/>
          <w:color w:val="auto"/>
          <w:sz w:val="24"/>
          <w:szCs w:val="24"/>
          <w:lang w:eastAsia="zh-CN"/>
        </w:rPr>
        <w:t>3、循环能力：集成风机流量≥90m3/h，加装变频控制。</w:t>
      </w:r>
    </w:p>
    <w:p w14:paraId="424D26B4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ascii="宋体" w:hAnsi="宋体" w:eastAsia="宋体"/>
          <w:color w:val="auto"/>
          <w:sz w:val="24"/>
          <w:szCs w:val="24"/>
          <w:lang w:eastAsia="zh-CN"/>
        </w:rPr>
        <w:t>4、真空泵：抽速≥12m3/h，真空度可达2×10-3mbar，可对过渡舱抽真空，并保持箱体压力平衡，真空泵配装油雾过滤器和气镇。</w:t>
      </w:r>
    </w:p>
    <w:p w14:paraId="4687C0EE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ascii="宋体" w:hAnsi="宋体" w:eastAsia="宋体"/>
          <w:color w:val="auto"/>
          <w:sz w:val="24"/>
          <w:szCs w:val="24"/>
          <w:lang w:eastAsia="zh-CN"/>
        </w:rPr>
        <w:t>5、手套口：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耐腐蚀金属材质</w:t>
      </w:r>
      <w:r>
        <w:rPr>
          <w:rFonts w:ascii="宋体" w:hAnsi="宋体" w:eastAsia="宋体"/>
          <w:color w:val="auto"/>
          <w:sz w:val="24"/>
          <w:szCs w:val="24"/>
          <w:lang w:eastAsia="zh-CN"/>
        </w:rPr>
        <w:t>，O型圈密封，易于维护。</w:t>
      </w:r>
    </w:p>
    <w:p w14:paraId="1041EBDE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ascii="宋体" w:hAnsi="宋体" w:eastAsia="宋体"/>
          <w:color w:val="auto"/>
          <w:sz w:val="24"/>
          <w:szCs w:val="24"/>
          <w:lang w:eastAsia="zh-CN"/>
        </w:rPr>
        <w:t>6、双气体净化柱：净化材料可再生，且再生过程自动控制、自动除水除氧功能，H2O﹤1ppm ，O2﹤1ppm。</w:t>
      </w:r>
    </w:p>
    <w:p w14:paraId="49863733">
      <w:pPr>
        <w:spacing w:line="360" w:lineRule="auto"/>
        <w:ind w:firstLine="480" w:firstLineChars="200"/>
        <w:rPr>
          <w:rFonts w:ascii="宋体" w:hAnsi="宋体" w:eastAsia="宋体"/>
          <w:b/>
          <w:color w:val="auto"/>
          <w:sz w:val="24"/>
          <w:szCs w:val="24"/>
          <w:lang w:eastAsia="zh-CN"/>
        </w:rPr>
      </w:pPr>
      <w:r>
        <w:rPr>
          <w:rFonts w:ascii="宋体" w:hAnsi="宋体" w:eastAsia="宋体"/>
          <w:color w:val="auto"/>
          <w:sz w:val="24"/>
          <w:szCs w:val="24"/>
          <w:lang w:eastAsia="zh-CN"/>
        </w:rPr>
        <w:t>7、气体控制阀：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采用不锈钢电磁集成阀座。（</w:t>
      </w:r>
      <w:r>
        <w:rPr>
          <w:rFonts w:hint="eastAsia" w:ascii="宋体" w:hAnsi="宋体" w:eastAsia="宋体"/>
          <w:b/>
          <w:color w:val="auto"/>
          <w:sz w:val="24"/>
          <w:szCs w:val="24"/>
          <w:lang w:eastAsia="zh-CN"/>
        </w:rPr>
        <w:t>投标文件中提供阀门结构示意图或产品彩页证明其功能。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）</w:t>
      </w:r>
    </w:p>
    <w:p w14:paraId="66EAEDC8">
      <w:pPr>
        <w:spacing w:line="360" w:lineRule="auto"/>
        <w:ind w:firstLine="480" w:firstLineChars="200"/>
        <w:rPr>
          <w:rFonts w:ascii="宋体" w:hAnsi="宋体" w:eastAsia="宋体"/>
          <w:b/>
          <w:color w:val="auto"/>
          <w:sz w:val="24"/>
          <w:szCs w:val="24"/>
          <w:lang w:eastAsia="zh-CN"/>
        </w:rPr>
      </w:pPr>
      <w:r>
        <w:rPr>
          <w:rFonts w:ascii="宋体" w:hAnsi="宋体" w:eastAsia="宋体"/>
          <w:color w:val="auto"/>
          <w:sz w:val="24"/>
          <w:szCs w:val="24"/>
          <w:lang w:eastAsia="zh-CN"/>
        </w:rPr>
        <w:t>8、水分析仪：测量范围是0～500ppm，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传感器应采用五氧化二磷（P2O5）原理或其他同等先进原理，具备传感器清洗再生功能，可重复使用，避免因一次性污染即报废。（</w:t>
      </w:r>
      <w:r>
        <w:rPr>
          <w:rFonts w:hint="eastAsia" w:ascii="宋体" w:hAnsi="宋体" w:eastAsia="宋体"/>
          <w:b/>
          <w:color w:val="auto"/>
          <w:sz w:val="24"/>
          <w:szCs w:val="24"/>
          <w:lang w:eastAsia="zh-CN"/>
        </w:rPr>
        <w:t>投标文件提供产品技术手册或官方功能说明证明其具备再生能力。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）</w:t>
      </w:r>
    </w:p>
    <w:p w14:paraId="7F5D7ED2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ascii="宋体" w:hAnsi="宋体" w:eastAsia="宋体"/>
          <w:color w:val="auto"/>
          <w:sz w:val="24"/>
          <w:szCs w:val="24"/>
          <w:lang w:eastAsia="zh-CN"/>
        </w:rPr>
        <w:t>9、氧分析仪：测量范围：0～1000ppm，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采用氧化锆（ZrO2）传感器或其他长寿命、无需频繁更换的传感器技术。若采用电化学原理，需承诺其在高氧暴露下的保护机制及使用寿命满足长期运行需求。</w:t>
      </w:r>
    </w:p>
    <w:p w14:paraId="5764A7AF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10、有机溶剂吸附净化系统：</w:t>
      </w:r>
    </w:p>
    <w:p w14:paraId="33632474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10.1 结构与布局：</w:t>
      </w:r>
    </w:p>
    <w:p w14:paraId="624875C7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吸附器模块应集成于手套箱/工作箱箱体内部或紧邻主循环风道，通过法兰或快装接口与主循环管道串联，确保100% 循环气体流经吸附介质。</w:t>
      </w:r>
    </w:p>
    <w:p w14:paraId="6964EF37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吸附介质应根据目标溶剂类型（如酮类、酯类、芳香烃等）进行针对性选配（如改性活性炭、高分子树脂等），并提供介质选型建议书。</w:t>
      </w:r>
    </w:p>
    <w:p w14:paraId="70F88BAF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10.2 不停机更换机制（核心指标）：</w:t>
      </w:r>
    </w:p>
    <w:p w14:paraId="29D554BD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隔离设计：吸附器进出口必须配置独立的高气密性隔离阀（手动或气动），具备双阀隔离功能。在更换吸附材料时，可通过关闭隔离阀将吸附器与主循环系统完全切断。</w:t>
      </w:r>
    </w:p>
    <w:p w14:paraId="351FC50C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气氛保护：在隔离状态下拆卸吸附筒体时，箱体内部水值、氧值波动范围应控制在±5 ppm 以内（或恢复时间&lt;10 分钟），确保不破坏高纯气氛环境（水氧&lt;1 ppm）。</w:t>
      </w:r>
    </w:p>
    <w:p w14:paraId="490E20DD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操作便捷性：吸附筒体应采用快装卡箍或旋锁式固定结构，单人可在5 分钟内完成整个更换流程，无需专用工具。</w:t>
      </w:r>
    </w:p>
    <w:p w14:paraId="17083F63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10.3 证明材料要求：</w:t>
      </w:r>
    </w:p>
    <w:p w14:paraId="6519AECD">
      <w:pPr>
        <w:spacing w:line="360" w:lineRule="auto"/>
        <w:ind w:firstLine="482" w:firstLineChars="200"/>
        <w:rPr>
          <w:rFonts w:ascii="宋体" w:hAnsi="宋体" w:eastAsia="宋体"/>
          <w:b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b/>
          <w:color w:val="auto"/>
          <w:sz w:val="24"/>
          <w:szCs w:val="24"/>
          <w:lang w:eastAsia="zh-CN"/>
        </w:rPr>
        <w:t>投标文件中提供吸附器结构示意图或实物照片，清晰展示隔离阀门及快装接口细节，佐证第10.2条隔离设计和操作便捷性。</w:t>
      </w:r>
    </w:p>
    <w:p w14:paraId="4BB39A45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ascii="宋体" w:hAnsi="宋体" w:eastAsia="宋体"/>
          <w:color w:val="auto"/>
          <w:sz w:val="24"/>
          <w:szCs w:val="24"/>
          <w:lang w:eastAsia="zh-CN"/>
        </w:rPr>
        <w:t>11、前窗玻璃采用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可靠的真空密封结构（如法兰式、O 型圈嵌入式等）</w:t>
      </w:r>
      <w:r>
        <w:rPr>
          <w:rFonts w:ascii="宋体" w:hAnsi="宋体" w:eastAsia="宋体"/>
          <w:color w:val="auto"/>
          <w:sz w:val="24"/>
          <w:szCs w:val="24"/>
          <w:lang w:eastAsia="zh-CN"/>
        </w:rPr>
        <w:t>。</w:t>
      </w:r>
    </w:p>
    <w:p w14:paraId="77ADB655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ascii="宋体" w:hAnsi="宋体" w:eastAsia="宋体"/>
          <w:color w:val="auto"/>
          <w:sz w:val="24"/>
          <w:szCs w:val="24"/>
          <w:lang w:eastAsia="zh-CN"/>
        </w:rPr>
        <w:t>12、物联网智能手套箱功能，解析多种数据协议，采集多种类型的传感器数据，比如：水值、氧值、温度、压力、抽气/补气次数等，根据阈值及状态参数的实时变化进行智能分析和预警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。</w:t>
      </w:r>
    </w:p>
    <w:p w14:paraId="0C822C64">
      <w:pPr>
        <w:spacing w:line="360" w:lineRule="auto"/>
        <w:ind w:firstLine="482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b/>
          <w:color w:val="auto"/>
          <w:sz w:val="24"/>
          <w:szCs w:val="24"/>
          <w:lang w:eastAsia="zh-CN"/>
        </w:rPr>
        <w:t>13</w:t>
      </w:r>
      <w:r>
        <w:rPr>
          <w:rFonts w:ascii="宋体" w:hAnsi="宋体" w:eastAsia="宋体"/>
          <w:b/>
          <w:color w:val="auto"/>
          <w:sz w:val="24"/>
          <w:szCs w:val="24"/>
          <w:lang w:eastAsia="zh-CN"/>
        </w:rPr>
        <w:t>、质保期</w:t>
      </w:r>
      <w:r>
        <w:rPr>
          <w:rFonts w:hint="eastAsia" w:ascii="宋体" w:hAnsi="宋体" w:eastAsia="宋体"/>
          <w:b/>
          <w:color w:val="auto"/>
          <w:sz w:val="24"/>
          <w:szCs w:val="24"/>
          <w:lang w:eastAsia="zh-CN"/>
        </w:rPr>
        <w:t>不少于</w:t>
      </w:r>
      <w:r>
        <w:rPr>
          <w:rFonts w:ascii="宋体" w:hAnsi="宋体" w:eastAsia="宋体"/>
          <w:b/>
          <w:color w:val="auto"/>
          <w:sz w:val="24"/>
          <w:szCs w:val="24"/>
          <w:lang w:eastAsia="zh-CN"/>
        </w:rPr>
        <w:t>3年，包含真空泵、水分析仪、氧分析仪、循环风机等关键零部件</w:t>
      </w:r>
      <w:r>
        <w:rPr>
          <w:rFonts w:ascii="宋体" w:hAnsi="宋体" w:eastAsia="宋体"/>
          <w:color w:val="auto"/>
          <w:sz w:val="24"/>
          <w:szCs w:val="24"/>
          <w:lang w:eastAsia="zh-CN"/>
        </w:rPr>
        <w:t>。</w:t>
      </w:r>
    </w:p>
    <w:p w14:paraId="0B5EE114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15、最大进样尺寸：5mm</w:t>
      </w:r>
    </w:p>
    <w:p w14:paraId="750E48B1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16、支持研磨罐规格：45ml、80ml</w:t>
      </w:r>
    </w:p>
    <w:p w14:paraId="4D8DF33A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17、出料细度：&lt; 0.1um（研磨至分析级细度所需要典型研磨时间不大于5min，保证工作效率）</w:t>
      </w:r>
    </w:p>
    <w:p w14:paraId="0B1231DE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18、惰性气体研磨：可以（只可在手套箱内）</w:t>
      </w:r>
    </w:p>
    <w:p w14:paraId="0035F5A1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19、研磨方法：干法、湿法</w:t>
      </w:r>
    </w:p>
    <w:p w14:paraId="6140AB83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20、典型研磨时间：不大于5min</w:t>
      </w:r>
    </w:p>
    <w:p w14:paraId="56E39D64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21、主盘转速：100-800rpm，连续可调，研磨罐转速可达1600rpm</w:t>
      </w:r>
    </w:p>
    <w:p w14:paraId="36E72EEF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22、具备优化的行星传动结构，确保高效研磨</w:t>
      </w:r>
    </w:p>
    <w:p w14:paraId="38F7A60A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23、主盘有效直径：≥120mm</w:t>
      </w:r>
    </w:p>
    <w:p w14:paraId="161352D2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24、研磨罐安全装置：双重安全锁，旋转式锁紧装置</w:t>
      </w:r>
    </w:p>
    <w:p w14:paraId="5FC02A84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</w:rPr>
      </w:pPr>
      <w:r>
        <w:rPr>
          <w:rFonts w:hint="eastAsia" w:ascii="宋体" w:hAnsi="宋体" w:eastAsia="宋体"/>
          <w:color w:val="auto"/>
          <w:sz w:val="24"/>
          <w:szCs w:val="24"/>
        </w:rPr>
        <w:t>25、离心加速度（g=9.81m/s2）：50g</w:t>
      </w:r>
    </w:p>
    <w:p w14:paraId="1FE79AAC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27、控制方式：7寸可编程触控液晶屏，具备间隙运行、定时运行、交替运行、数据存储、异常报警功能。</w:t>
      </w:r>
    </w:p>
    <w:p w14:paraId="3A644C7E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28、排风装置：双风扇强制通风设计，有效降低球磨过程中的研磨腔室温度</w:t>
      </w:r>
    </w:p>
    <w:p w14:paraId="5EA308C0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29、研磨套件材料：45ml氧化锆罐3套（6只）；</w:t>
      </w:r>
    </w:p>
    <w:p w14:paraId="245CD182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30、压力可控电动扣式电池封口机：直径</w:t>
      </w:r>
      <w:r>
        <w:rPr>
          <w:rFonts w:hint="eastAsia" w:ascii="宋体" w:hAnsi="宋体" w:eastAsia="宋体"/>
          <w:color w:val="auto"/>
          <w:sz w:val="24"/>
          <w:szCs w:val="24"/>
        </w:rPr>
        <w:t>φ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5.0-</w:t>
      </w:r>
      <w:r>
        <w:rPr>
          <w:rFonts w:hint="eastAsia" w:ascii="宋体" w:hAnsi="宋体" w:eastAsia="宋体"/>
          <w:color w:val="auto"/>
          <w:sz w:val="24"/>
          <w:szCs w:val="24"/>
        </w:rPr>
        <w:t>φ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35mm；</w:t>
      </w:r>
    </w:p>
    <w:p w14:paraId="2397C2B9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31、手动压片机：压力范围0--15T(吨)；</w:t>
      </w:r>
    </w:p>
    <w:p w14:paraId="3B725003">
      <w:pPr>
        <w:spacing w:line="360" w:lineRule="auto"/>
        <w:ind w:firstLine="480" w:firstLineChars="200"/>
        <w:rPr>
          <w:rFonts w:ascii="宋体" w:hAnsi="宋体" w:eastAsia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32、高温箱式炉：加热区尺寸：130mm±2mm长*100mm±2mm宽*100mm±2mm高，最高使用温度：1100度；</w:t>
      </w:r>
    </w:p>
    <w:p w14:paraId="006D5FB0"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33、万分之一天平：称量范围：</w:t>
      </w:r>
      <w:r>
        <w:rPr>
          <w:rFonts w:ascii="宋体" w:hAnsi="宋体" w:eastAsia="宋体"/>
          <w:color w:val="auto"/>
          <w:sz w:val="24"/>
          <w:szCs w:val="24"/>
          <w:lang w:eastAsia="zh-CN"/>
        </w:rPr>
        <w:t>0-220g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，精度：≤</w:t>
      </w:r>
      <w:r>
        <w:rPr>
          <w:rFonts w:ascii="宋体" w:hAnsi="宋体" w:eastAsia="宋体"/>
          <w:color w:val="auto"/>
          <w:sz w:val="24"/>
          <w:szCs w:val="24"/>
          <w:lang w:eastAsia="zh-CN"/>
        </w:rPr>
        <w:t>0.1mg(在全量程范围内)</w:t>
      </w:r>
      <w:r>
        <w:rPr>
          <w:rFonts w:hint="eastAsia" w:ascii="宋体" w:hAnsi="宋体" w:eastAsia="宋体"/>
          <w:color w:val="auto"/>
          <w:sz w:val="24"/>
          <w:szCs w:val="24"/>
          <w:lang w:eastAsia="zh-CN"/>
        </w:rPr>
        <w:t>。</w:t>
      </w:r>
      <w:r>
        <w:rPr>
          <w:rFonts w:hint="eastAsia" w:cs="仿宋_GB2312" w:asciiTheme="minorEastAsia" w:hAnsiTheme="minorEastAsia" w:eastAsiaTheme="minorEastAsia"/>
          <w:b/>
          <w:color w:val="auto"/>
          <w:sz w:val="24"/>
          <w:szCs w:val="32"/>
          <w:lang w:eastAsia="zh-CN"/>
        </w:rPr>
        <w:t>注：以上技术条款为必须满足或优于项，否则作无效投标处理。</w:t>
      </w:r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oto Sans SC">
    <w:panose1 w:val="020B0200000000000000"/>
    <w:charset w:val="86"/>
    <w:family w:val="auto"/>
    <w:pitch w:val="default"/>
    <w:sig w:usb0="20000083" w:usb1="2ADF3C10" w:usb2="00000016" w:usb3="00000000" w:csb0="60060107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1476A7"/>
    <w:rsid w:val="091476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2026-05-26T03:02:00Z</dcterms:created>
  <dc:creator>Administrator</dc:creator>
  <cp:lastModifiedBy>Administrator</cp:lastModifiedBy>
  <dcterms:modified xsi:type="dcterms:W3CDTF">2026-05-26T03:03:12Z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CA547CC746ED4372A64F640A97CF4533_11</vt:lpwstr>
  </property>
  <property fmtid="{D5CDD505-2E9C-101B-9397-08002B2CF9AE}" pid="4" name="KSOTemplateDocerSaveRecord">
    <vt:lpwstr>eyJoZGlkIjoiMGE5MmMzMjVmNmQ5ZDM5ZDg3YjMyMmNjZDlhNmZlM2UiLCJ1c2VySWQiOiI1OTEyMDM3OTQifQ==</vt:lpwstr>
  </property>
</Properties>
</file>