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numPr>
          <w:ilvl w:val="0"/>
          <w:numId w:val="1"/>
        </w:numPr>
        <w:wordWrap/>
        <w:overflowPunct/>
        <w:topLinePunct w:val="0"/>
        <w:bidi w:val="0"/>
        <w:spacing w:line="360" w:lineRule="auto"/>
        <w:ind w:left="0" w:leftChars="0" w:firstLine="0" w:firstLineChars="0"/>
        <w:jc w:val="center"/>
        <w:outlineLvl w:val="1"/>
        <w:rPr>
          <w:rFonts w:hint="eastAsia" w:ascii="黑体" w:hAnsi="黑体" w:eastAsia="黑体" w:cs="黑体"/>
          <w:color w:val="auto"/>
          <w:spacing w:val="0"/>
          <w:w w:val="100"/>
          <w:position w:val="0"/>
          <w:sz w:val="24"/>
          <w:szCs w:val="24"/>
          <w14:textOutline w14:w="4356" w14:cap="sq" w14:cmpd="sng" w14:algn="ctr">
            <w14:solidFill>
              <w14:srgbClr w14:val="000000"/>
            </w14:solidFill>
            <w14:prstDash w14:val="solid"/>
            <w14:bevel/>
          </w14:textOutline>
        </w:rPr>
      </w:pPr>
      <w:bookmarkStart w:id="0" w:name="_Toc25381"/>
      <w:r>
        <w:rPr>
          <w:rFonts w:hint="eastAsia" w:ascii="黑体" w:hAnsi="黑体" w:eastAsia="黑体" w:cs="黑体"/>
          <w:color w:val="auto"/>
          <w:spacing w:val="0"/>
          <w:w w:val="100"/>
          <w:position w:val="0"/>
          <w:sz w:val="24"/>
          <w:szCs w:val="24"/>
          <w14:textOutline w14:w="4356" w14:cap="sq" w14:cmpd="sng" w14:algn="ctr">
            <w14:solidFill>
              <w14:srgbClr w14:val="000000"/>
            </w14:solidFill>
            <w14:prstDash w14:val="solid"/>
            <w14:bevel/>
          </w14:textOutline>
        </w:rPr>
        <w:t>采购需求</w:t>
      </w:r>
      <w:bookmarkEnd w:id="0"/>
    </w:p>
    <w:tbl>
      <w:tblPr>
        <w:tblStyle w:val="4"/>
        <w:tblW w:w="1421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709"/>
        <w:gridCol w:w="1244"/>
        <w:gridCol w:w="1874"/>
        <w:gridCol w:w="973"/>
        <w:gridCol w:w="9419"/>
      </w:tblGrid>
      <w:tr w14:paraId="0A3F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0" w:hRule="atLeast"/>
          <w:jc w:val="center"/>
        </w:trPr>
        <w:tc>
          <w:tcPr>
            <w:tcW w:w="14219" w:type="dxa"/>
            <w:gridSpan w:val="5"/>
            <w:tcBorders>
              <w:top w:val="nil"/>
              <w:left w:val="nil"/>
              <w:bottom w:val="nil"/>
              <w:right w:val="nil"/>
            </w:tcBorders>
            <w:shd w:val="clear" w:color="auto" w:fill="FFFFFF" w:themeFill="background1"/>
            <w:vAlign w:val="center"/>
          </w:tcPr>
          <w:p w14:paraId="2DAD4F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鹰潭市余江区中医院老年病科、肛肠科设备采购项目</w:t>
            </w:r>
          </w:p>
        </w:tc>
      </w:tr>
      <w:tr w14:paraId="28746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752B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序号</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3974E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科室</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86B1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设备名称</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DC26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snapToGrid w:val="0"/>
                <w:color w:val="auto"/>
                <w:kern w:val="0"/>
                <w:sz w:val="24"/>
                <w:szCs w:val="24"/>
                <w:highlight w:val="none"/>
                <w:u w:val="none"/>
                <w:lang w:val="en-US" w:eastAsia="zh-CN" w:bidi="ar"/>
              </w:rPr>
            </w:pPr>
            <w:r>
              <w:rPr>
                <w:rFonts w:hint="eastAsia" w:ascii="黑体" w:hAnsi="黑体" w:eastAsia="黑体" w:cs="黑体"/>
                <w:b/>
                <w:bCs/>
                <w:i w:val="0"/>
                <w:iCs w:val="0"/>
                <w:snapToGrid w:val="0"/>
                <w:color w:val="auto"/>
                <w:kern w:val="0"/>
                <w:sz w:val="24"/>
                <w:szCs w:val="24"/>
                <w:highlight w:val="none"/>
                <w:u w:val="none"/>
                <w:lang w:val="en-US" w:eastAsia="zh-CN" w:bidi="ar"/>
              </w:rPr>
              <w:t>数量</w:t>
            </w:r>
          </w:p>
          <w:p w14:paraId="0D1EA2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（套）</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68EB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b/>
                <w:bCs/>
                <w:i w:val="0"/>
                <w:iCs w:val="0"/>
                <w:color w:val="auto"/>
                <w:sz w:val="24"/>
                <w:szCs w:val="24"/>
                <w:highlight w:val="none"/>
                <w:u w:val="none"/>
              </w:rPr>
            </w:pPr>
            <w:r>
              <w:rPr>
                <w:rFonts w:hint="eastAsia" w:ascii="黑体" w:hAnsi="黑体" w:eastAsia="黑体" w:cs="黑体"/>
                <w:b/>
                <w:bCs/>
                <w:i w:val="0"/>
                <w:iCs w:val="0"/>
                <w:snapToGrid w:val="0"/>
                <w:color w:val="auto"/>
                <w:kern w:val="0"/>
                <w:sz w:val="24"/>
                <w:szCs w:val="24"/>
                <w:highlight w:val="none"/>
                <w:u w:val="none"/>
                <w:lang w:val="en-US" w:eastAsia="zh-CN" w:bidi="ar"/>
              </w:rPr>
              <w:t>参数</w:t>
            </w:r>
          </w:p>
        </w:tc>
      </w:tr>
      <w:tr w14:paraId="5C145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9C9A0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1244"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00A2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老年病科</w:t>
            </w:r>
          </w:p>
        </w:tc>
        <w:tc>
          <w:tcPr>
            <w:tcW w:w="1874"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2DBA6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动脉硬化检测设备</w:t>
            </w:r>
          </w:p>
        </w:tc>
        <w:tc>
          <w:tcPr>
            <w:tcW w:w="973"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012D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941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83FA6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动脉硬化检测仪参数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1、适用范围：</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本产品用测量人体肢体无创血压指标，并根据以上指标计算出脉搏波传导速率（PWV）、踝臂指数（ABI）等参数，用于外周动脉血管病变无创检测。</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2、技术（技术参数和功能）要求：</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2.1、关键参数：必须包含ABI(踝臂指数)、BAI(臂踝指数)和PWV（脉搏波传导速度）且经过药监局的官方认可。</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2.2包括不限于辅助参数：DBP(舒张压)(四肢)、SBP(收缩压)(四肢)、PP(脉压差)(四肢)、HR(心率)、PEP(射血前期)、ECG(心电波形)、UT(脉搏波上行时间)、PCG(心音波形)、PVR(脉搏体积记录)、BMI(体格指数)、STI(收缩时间间隔)、ET/PEP(射血指数)、ET(射血时间)。</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2.3．检测方式：需支持四肢同步、单侧、单肢体 3种测量模式</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2.4、血压测量范围：不低于0mmHg-300mmHg。</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2.5、心率测量范围：不低于30次/分～300次/分。</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2.6检测参数阈值标准支持用户自行设置。</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2.7所配备的工作站电脑符合3C认证及节能认证。</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2.8、内置多种报告单模版，且支持用户自定义编辑功能，满足用户对报告单的编辑需求。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3、配置：</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 主机 1台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 肢体电极夹 1个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 电源适配器 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 袖带 8个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 心音探头 1个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 心电导联线 1个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7 心音沙袋 1个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8 袖带盒 1盒</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9 台车 一个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 袖带支架 1个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 计算机 1台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12 热敏打印机 1个</w:t>
            </w:r>
          </w:p>
        </w:tc>
      </w:tr>
      <w:tr w14:paraId="7807A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24AD38A">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8BDD30">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187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691127">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973"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2B6C1A">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941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FF2762">
            <w:pPr>
              <w:keepNext w:val="0"/>
              <w:keepLines w:val="0"/>
              <w:pageBreakBefore w:val="0"/>
              <w:widowControl/>
              <w:kinsoku w:val="0"/>
              <w:wordWrap/>
              <w:overflowPunct/>
              <w:topLinePunct w:val="0"/>
              <w:autoSpaceDE w:val="0"/>
              <w:autoSpaceDN w:val="0"/>
              <w:bidi w:val="0"/>
              <w:adjustRightInd w:val="0"/>
              <w:snapToGrid w:val="0"/>
              <w:spacing w:line="360" w:lineRule="auto"/>
              <w:jc w:val="left"/>
              <w:rPr>
                <w:rFonts w:hint="eastAsia" w:ascii="黑体" w:hAnsi="黑体" w:eastAsia="黑体" w:cs="黑体"/>
                <w:i w:val="0"/>
                <w:iCs w:val="0"/>
                <w:color w:val="auto"/>
                <w:sz w:val="24"/>
                <w:szCs w:val="24"/>
                <w:highlight w:val="none"/>
                <w:u w:val="none"/>
              </w:rPr>
            </w:pPr>
          </w:p>
        </w:tc>
      </w:tr>
      <w:tr w14:paraId="1AAEF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D010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2</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2D54A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老年病科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12464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呼吸康复训练仪</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E2EE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4B6B6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、IRV、VT、ERV、MV、TIN、TEX、TTOT、BF、VT MVV、MVV、TIME MVV、BF MVV。</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1.14自动测量环境参数，设备可以做标准定标及验证和3流量定标及验证。</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1.15自动计算质控品级。</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2.呼吸压力测试</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2.1呼吸压力测试参数： MIP、MEP、P0.1、P0.1MAX。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2.2呼吸压力范围：±20kPa；精度：±2%或者±0.1kPa，取其大者；分辨率：0.01kPa。</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 检测过程激励式动画操作界面。</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3.呼吸训练</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3.1呼吸训练功能可分别进行吸气训练或呼气训练。</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3.2可以手动设置阻抗，也可以自动选择阻抗等级。</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3.3可进行振动正压通气（OPEP）治疗，可调整阻抗等级、震动频率、开合比等参数。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3.4呼吸训练、OPEP治疗结果可生成相应的报告。</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4.其他</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4.1配备阀头2个，阀头可徒手拆卸，可进行清洗、浸泡、消毒，可连接使用通用口径的一次性肺功能仪用过滤嘴。</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4.2产品有效期5年。</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4.3支持直流电</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5.系统及数据连接</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5.1 传输连接：可支持USB数据线、蓝牙网络等数据传输方式。</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5.2 系统连接：配备肺功能检查系统软件，包括：电脑端和移动端；可通过数据传输模块将测量数据同步到云端；也可导出历史检测数据；支持对接医院HIS、LIS系统。</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6.呼吸康复管理系统</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6.1 包含：呼吸康复临床路径、风险把控提示，智能康复评估、自动生成评估报告、康复方案跟踪、康复处方管理、指标监测、报告查询、历史数据对比、历史趋势、数据统计、数据分析、系统默认设置等功能模块。</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6.2 康复系统中收录了专业、丰富的康复评定知识库，内置了各类量表的评分细则与评分标准，支持数据录入有效性的校验和自动计算评分功能，让康复评定师大量的评定工作更加高效、更加准确的完成，提高了工作了效率，减少出错。</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6.3 康复过程中可阶段性效果评估，多维度数据比对，更合理制定呼吸康复方案。实现医生对患者康复全过程中的执行情况和数据信息等进行执行、管理和追踪。</w:t>
            </w:r>
          </w:p>
        </w:tc>
      </w:tr>
      <w:tr w14:paraId="45393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D3FA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3</w:t>
            </w:r>
          </w:p>
        </w:tc>
        <w:tc>
          <w:tcPr>
            <w:tcW w:w="1244"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A806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老年病科</w:t>
            </w:r>
          </w:p>
        </w:tc>
        <w:tc>
          <w:tcPr>
            <w:tcW w:w="1874"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933CA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6分钟步行实验评测系统</w:t>
            </w:r>
          </w:p>
        </w:tc>
        <w:tc>
          <w:tcPr>
            <w:tcW w:w="973"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9855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941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22D2D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1.六分钟步行试验系统</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1.1支持实时监测并记录血压、动态心率、血氧等生理参数；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1.2提供在线患者的远程监护管理功能，通过平台实时跟踪患者状态；</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1.3具备血氧、心率等异常报警功能，提升监护安全性；</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1.4自动记录步行期间的生理参数值；</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1.5自动生成评估报告，内容涵盖：脉率曲线、血氧曲线、运动前后血压、borg评分、心功能分级等；</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1.6全流程由APP控制，按照指南要求设定语音提醒，确保测试规范性；</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1.7功能模块：患者列表、添加患者、历史报告、参数设置等。</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1.8六分钟步行试验结果可纳入呼吸康复管理系统统一查看。</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2.硬件技术指标：</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2.1多参数生理监护仪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2.1.1体积小，重量轻，一体设计，集成心电、血氧、血压功能，轻便且操作简便。</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2.1.2配备2.4吋彩色屏，实时显示数据，信息直观清晰。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2.1.3内置可充电锂电池，正常情况下，电池充满后的满负荷运行时间≥4小时*。</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2.1.4支持双模蓝牙（蓝牙3.0和低功耗蓝牙4.0协议），确保无线数据传输稳定。</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2.1.5供电参数：内置锂电池（4.2V，1800mAh）；输入功率≤10VA。</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2.1.6设备使用寿命为五年。</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2.2血压模块</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2.2.1收缩压范围60-250 mmHg，舒张压范围30-180 mmHg，具有过压保护功能和错误提示功能。</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2.2.2血压在测量范围内误差±8mmHg或±5%（两者取较大值）。</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2.3心电模块</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2.3.1开机自动开始检测,操作便捷高效。</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2.3.2心率范围:25-250bpm。</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2.3.3脉率:25-250bpm,分辨率1bpm，精度1%或2bpm去大值。</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2.3.4实时采集心脏心电波形,具有异常波形自动识别和记录、使用者异常时报警功能，智能识别心脏健康风险。</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2.3.5心率在测量范围内误差 ±10% 或 5bpm（两者取较大值）。</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2.3.6心电缆线长度：&gt;1.7m。</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2.4脉搏血氧饱和度仪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2.4.1血氧饱和度测量范围：35%-100%，精度：±2%（80%-100%）。</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2.4.2数据更新周期1.5秒。</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2.4.3血氧探头导线长度：&gt;1.3m。</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2.5肺功能测试仪</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2.5.1流量范围：0-14L/s；精度：±5%或者±0.17L/s，取其大者；分辨率：0.01L/s。</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2.5.2流量测量重复性：±5%或者0.17L/s，取其大者。</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2.5.3流量气流阻力：测量范围内的气流阻力应不超过0.35kPa/(L/s)。</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2.5.4流量线性度：两个相邻测试流量的平均误差的差值应不超过两次测试流量大者的5%。</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2.5.5流量气流阻力：测量范围内的气流阻力应不超过0.35kPa/(L/s)。</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2.5.6容量范围：0-10L；精度：±3%或者±0.05L，取其大者；分辨率：0.01L。</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2.5.7容量线性度：≤3%。</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2.5.8容量重复性：±3%或者±0.05L，取其大者。</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2.5.9容量气流阻力：≤0.15kPa/（L/s）。</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2.5.10呼吸频率范围：0-120BPM；精度：±5%或者±1BPM，取其大者；分辨率：1BPM。</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2.5.11呼/吸气时间范围：0-60s；精度：±5%或者±0.20s，取其大者；辨率：0.01s。</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2.5.12设备包含四种测量模式：FVC、简易FVC、SVC、MVV。</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2.5.13测量参数包括：FVC、FEV0.5、FEV1、FEV3、FEV6、FVC IN、FIV1、PEF、FEF25、FEF50、FEF75、FEF25/75、MEF、PIF、FIF50、MIF、FET、VC MAX、VC IN、VC EX、IC、IRV、VT、ERV、MV、TIN、TEX、TTOT、BF、VT MVV、MVV、TIME MVV、BF MVV。</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2.5.14自动测量环境参数，设备可以做标准定标及验证和3流量定标及验证。</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2.5.15自动计算质控品级。</w:t>
            </w:r>
          </w:p>
        </w:tc>
      </w:tr>
      <w:tr w14:paraId="01E72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F7D2CB">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EC3FF">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187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04CB26">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973"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F48A41">
            <w:pPr>
              <w:keepNext w:val="0"/>
              <w:keepLines w:val="0"/>
              <w:pageBreakBefore w:val="0"/>
              <w:widowControl/>
              <w:kinsoku w:val="0"/>
              <w:wordWrap/>
              <w:overflowPunct/>
              <w:topLinePunct w:val="0"/>
              <w:autoSpaceDE w:val="0"/>
              <w:autoSpaceDN w:val="0"/>
              <w:bidi w:val="0"/>
              <w:adjustRightInd w:val="0"/>
              <w:snapToGrid w:val="0"/>
              <w:spacing w:line="360" w:lineRule="auto"/>
              <w:jc w:val="center"/>
              <w:rPr>
                <w:rFonts w:hint="eastAsia" w:ascii="黑体" w:hAnsi="黑体" w:eastAsia="黑体" w:cs="黑体"/>
                <w:i w:val="0"/>
                <w:iCs w:val="0"/>
                <w:color w:val="auto"/>
                <w:sz w:val="24"/>
                <w:szCs w:val="24"/>
                <w:highlight w:val="none"/>
                <w:u w:val="none"/>
              </w:rPr>
            </w:pPr>
          </w:p>
        </w:tc>
        <w:tc>
          <w:tcPr>
            <w:tcW w:w="941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94DF1">
            <w:pPr>
              <w:keepNext w:val="0"/>
              <w:keepLines w:val="0"/>
              <w:pageBreakBefore w:val="0"/>
              <w:widowControl/>
              <w:kinsoku w:val="0"/>
              <w:wordWrap/>
              <w:overflowPunct/>
              <w:topLinePunct w:val="0"/>
              <w:autoSpaceDE w:val="0"/>
              <w:autoSpaceDN w:val="0"/>
              <w:bidi w:val="0"/>
              <w:adjustRightInd w:val="0"/>
              <w:snapToGrid w:val="0"/>
              <w:spacing w:line="360" w:lineRule="auto"/>
              <w:jc w:val="left"/>
              <w:rPr>
                <w:rFonts w:hint="eastAsia" w:ascii="黑体" w:hAnsi="黑体" w:eastAsia="黑体" w:cs="黑体"/>
                <w:i w:val="0"/>
                <w:iCs w:val="0"/>
                <w:color w:val="auto"/>
                <w:sz w:val="24"/>
                <w:szCs w:val="24"/>
                <w:highlight w:val="none"/>
                <w:u w:val="none"/>
              </w:rPr>
            </w:pPr>
          </w:p>
        </w:tc>
      </w:tr>
      <w:tr w14:paraId="0015A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714C8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4</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B64A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老年病科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0099A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无创呼吸机</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296C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5859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无创呼吸机参数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1.适用于对成人和小儿患者进行通气辅助及呼吸支持，能够满足危重症患者的无创通气需求。</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2.采用≥18英寸高清全贴合电容触摸屏，分辨率≥1920*1080</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3.具有屏幕锁功能，</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4.可充电锂电池≥150分钟，电池总剩余电量能显示在屏幕上。</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5.通气模式：具有持续气道正压通气模式、自主模式、压力控制模式、容量保证-时间控制模式、成比例压力支持模式、容量保证压力支持。</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6.高流量氧疗：具备高流速氧疗功能；氧疗最大流速≥60L/min，具有氧疗计时功能。</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7.具有压力释放、延时升压、增氧以及雾化功能。</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8.可实时监测病人端泄漏量和总泄漏量，具备自动漏气补偿功能。</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9.具备SpO2，提供SpO2和PR监测值，提供脉搏波及呼末二氧化碳监测。</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10.设置参数：</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10.1潮气量：50ml—2000ml</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10.2持续气道正压CPAP</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10.3成人/小儿：3-30 cmH2O</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10.4 EPAP：3-30 cmH2O</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10.5呼吸频率：成人/小儿：1-60次/min</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10.6吸气时间：0.1—5s，吸呼比：4:1-1:10</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10.7吸入氧浓度：21%—100%</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10.8压力上升时间：1-7档可调</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11.报警参数：气道高压、气道低压、呼气末压力过高/过低、总计呼吸频率过高/过低、分钟通气量过高/过低。</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12.具有智能逻辑判断及报警链管理，具有分级报警和声光报警。</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13.具备截屏功能，本机可储存≥5000条事件记录，可储存≥124小时趋势图/表数据</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14.本机具备HDMI扩展显示，无需外接转接口。</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15.具备RS232接口、网络接口、USB接口、护士呼叫等接口。</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16.能够通过网络联网，把呼吸机的监测信息实时显示到监护仪、中央监护站或全院监护系统，满足科室信息化的需求和呼吸机管理。</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1.电池工作时间大于等于360分钟</w:t>
            </w:r>
            <w:r>
              <w:rPr>
                <w:rFonts w:hint="eastAsia" w:ascii="黑体" w:hAnsi="黑体" w:eastAsia="黑体" w:cs="黑体"/>
                <w:b/>
                <w:bCs/>
                <w:i w:val="0"/>
                <w:iCs w:val="0"/>
                <w:snapToGrid w:val="0"/>
                <w:color w:val="auto"/>
                <w:kern w:val="0"/>
                <w:sz w:val="24"/>
                <w:szCs w:val="24"/>
                <w:highlight w:val="none"/>
                <w:u w:val="none"/>
                <w:lang w:val="en-US" w:eastAsia="zh-CN" w:bidi="ar"/>
              </w:rPr>
              <w:t>（提供产品说明书）</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2.呼吸机自带录屏功能</w:t>
            </w:r>
            <w:r>
              <w:rPr>
                <w:rFonts w:hint="eastAsia" w:ascii="黑体" w:hAnsi="黑体" w:eastAsia="黑体" w:cs="黑体"/>
                <w:b/>
                <w:bCs/>
                <w:i w:val="0"/>
                <w:iCs w:val="0"/>
                <w:snapToGrid w:val="0"/>
                <w:color w:val="auto"/>
                <w:kern w:val="0"/>
                <w:sz w:val="24"/>
                <w:szCs w:val="24"/>
                <w:highlight w:val="none"/>
                <w:u w:val="none"/>
                <w:lang w:val="en-US" w:eastAsia="zh-CN" w:bidi="ar"/>
              </w:rPr>
              <w:t>（提供产品说明书）</w:t>
            </w:r>
          </w:p>
        </w:tc>
      </w:tr>
      <w:tr w14:paraId="087E8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A8AD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5</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79B28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937A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高频电刀</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5EF2D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2</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B2BD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 xml:space="preserve">1  工作电源：交流220V±10%，频率50HZ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  工作模式：单极不少于4个模式，双极不少于2个模式</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 可配合腹腔镜使用</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 .可选配推车，便于电刀摆放。</w:t>
            </w:r>
          </w:p>
        </w:tc>
      </w:tr>
      <w:tr w14:paraId="75C33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1F98F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6</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CC013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57D3E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超声雾化熏洗仪</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C028C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2</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C210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1.治疗时间：1-30分钟（可调）</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2.治疗温度：35°C-42°C</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3.熏蒸雾化率&gt;60ml/h</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4.超声震荡频率：1.6MHz</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5、无需安装下水管道</w:t>
            </w:r>
          </w:p>
        </w:tc>
      </w:tr>
      <w:tr w14:paraId="67982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EDEBD7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7</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C63F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4276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高清电子肛门镜</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D562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CA793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1.适用于对肛肠科常见疾病，肛门、直肠、乙状结肠部位的一种双检查模式、治疗观察和数据存储、报告打印、病案管理。</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2.肛肠双检查系统包含数字高清手柄摄像机和数字高清内窥镜摄像机两种检查方式。</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3.数字高清手柄摄像机（电子肛门镜）：自带开关光源，自动白平衡或手动白平衡。</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4、图像分辨率≥1920x1080P</w:t>
            </w:r>
          </w:p>
        </w:tc>
      </w:tr>
      <w:tr w14:paraId="0F8AD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D59A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8</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4A955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92970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肛肠手术器械包（痔疮4，肛痿2）</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1F09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6</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7EE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痔疮包</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1、薄弯剪ZC444K/RB*1          2、线剪ZC808R/RB*1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3、组织钳ZE017R/MB*2          4、小弯止血钳ZH131R/RN*4</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5、中弯止血钳ZH165R/RN*4     6、持针钳ZM246R/RB*1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7、量杯40ml*2                 8、肛门镜ZN890C*1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9、组织钳*2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10、钳式肛门镜*1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11、扁柄肛门拉钩*2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12、双头C型拉钩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13、弗格森肛门拉钩</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14、肛肠科洞巾:长150 cm，宽150cm。内洞22cm*22cm</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肛瘘包</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1、薄弯剪ZC444K/RB*1           2、线剪ZC808R/RB*1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3、组织钳ZE017R/MB*2          4、小弯止血钳ZH131R/RN*2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5、中弯止血钳ZH165R/RN*2       6、大弯止血钳ZH201R/RN*1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7、持针钳ZM246R/RB*1           8、刀柄ZB073R/RN*1</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9、探针ZJ902RN*1               10、甲状腺拉钩ZT024R/RN*2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11、刮勺ZK633R*1               12、量杯40ml*2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13、钳式肛门镜*1               14、扁柄肛门拉钩*2</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15、双头C型拉钩                16、弗格森肛门拉钩</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17、肛肠科洞巾:长150 cm，宽150cm。内洞22cm*22cm。  </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18、组织钳*2</w:t>
            </w:r>
          </w:p>
        </w:tc>
      </w:tr>
      <w:tr w14:paraId="2D5A1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BB82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9</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A4290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EB53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红外线理疗仪烤灯</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DA15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4</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97E5D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1.涵盖远、近红外或双模式可选</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2.功率调节 多档位可调，功率范围100W-300W照射距离标定20-30cm，光斑均匀</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 xml:space="preserve">3.多关节鹅颈管，可全方位定位，定时与温控 </w:t>
            </w:r>
            <w:r>
              <w:rPr>
                <w:rFonts w:hint="eastAsia" w:ascii="黑体" w:hAnsi="黑体" w:eastAsia="黑体" w:cs="黑体"/>
                <w:i w:val="0"/>
                <w:iCs w:val="0"/>
                <w:snapToGrid w:val="0"/>
                <w:color w:val="auto"/>
                <w:kern w:val="0"/>
                <w:sz w:val="24"/>
                <w:szCs w:val="24"/>
                <w:highlight w:val="none"/>
                <w:u w:val="none"/>
                <w:lang w:val="en-US" w:eastAsia="zh-CN" w:bidi="ar"/>
              </w:rPr>
              <w:br w:type="textWrapping"/>
            </w:r>
            <w:bookmarkStart w:id="1" w:name="_GoBack"/>
            <w:r>
              <w:rPr>
                <w:rFonts w:hint="eastAsia" w:ascii="黑体" w:hAnsi="黑体" w:eastAsia="黑体" w:cs="黑体"/>
                <w:b/>
                <w:bCs/>
                <w:i w:val="0"/>
                <w:iCs w:val="0"/>
                <w:snapToGrid w:val="0"/>
                <w:color w:val="auto"/>
                <w:kern w:val="0"/>
                <w:sz w:val="24"/>
                <w:szCs w:val="24"/>
                <w:highlight w:val="none"/>
                <w:u w:val="none"/>
                <w:lang w:val="en-US" w:eastAsia="zh-CN" w:bidi="ar"/>
              </w:rPr>
              <w:t>4</w:t>
            </w:r>
            <w:r>
              <w:rPr>
                <w:rFonts w:hint="eastAsia" w:ascii="黑体" w:hAnsi="黑体" w:eastAsia="黑体" w:cs="黑体"/>
                <w:b/>
                <w:bCs/>
                <w:i w:val="0"/>
                <w:iCs w:val="0"/>
                <w:snapToGrid w:val="0"/>
                <w:color w:val="auto"/>
                <w:kern w:val="0"/>
                <w:sz w:val="24"/>
                <w:szCs w:val="24"/>
                <w:highlight w:val="none"/>
                <w:u w:val="none"/>
                <w:lang w:val="en-US" w:eastAsia="zh-CN" w:bidi="ar"/>
              </w:rPr>
              <w:t>.合规资质 医疗器械认证 必须提供NMPA二类医疗器械注册证</w:t>
            </w:r>
            <w:bookmarkEnd w:id="1"/>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5. 产品配备肛周专用聚光罩或一次性隔离纸杯。</w:t>
            </w:r>
          </w:p>
        </w:tc>
      </w:tr>
      <w:tr w14:paraId="71A30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1478B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10</w:t>
            </w:r>
          </w:p>
        </w:tc>
        <w:tc>
          <w:tcPr>
            <w:tcW w:w="124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E310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肛肠科</w:t>
            </w:r>
          </w:p>
        </w:tc>
        <w:tc>
          <w:tcPr>
            <w:tcW w:w="18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03C8B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肛肠手术换药床</w:t>
            </w:r>
          </w:p>
        </w:tc>
        <w:tc>
          <w:tcPr>
            <w:tcW w:w="97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FCD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2</w:t>
            </w:r>
          </w:p>
        </w:tc>
        <w:tc>
          <w:tcPr>
            <w:tcW w:w="941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5C8A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center"/>
              <w:rPr>
                <w:rFonts w:hint="eastAsia" w:ascii="黑体" w:hAnsi="黑体" w:eastAsia="黑体" w:cs="黑体"/>
                <w:i w:val="0"/>
                <w:iCs w:val="0"/>
                <w:color w:val="auto"/>
                <w:sz w:val="24"/>
                <w:szCs w:val="24"/>
                <w:highlight w:val="none"/>
                <w:u w:val="none"/>
              </w:rPr>
            </w:pPr>
            <w:r>
              <w:rPr>
                <w:rFonts w:hint="eastAsia" w:ascii="黑体" w:hAnsi="黑体" w:eastAsia="黑体" w:cs="黑体"/>
                <w:i w:val="0"/>
                <w:iCs w:val="0"/>
                <w:snapToGrid w:val="0"/>
                <w:color w:val="auto"/>
                <w:kern w:val="0"/>
                <w:sz w:val="24"/>
                <w:szCs w:val="24"/>
                <w:highlight w:val="none"/>
                <w:u w:val="none"/>
                <w:lang w:val="en-US" w:eastAsia="zh-CN" w:bidi="ar"/>
              </w:rPr>
              <w:t>1、使用肛肠手术检查换药</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2、集成于床体或可移动式专用肛肠检查灯</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3、长度：1.9米--2.1米   宽度：0.7--0.9米</w:t>
            </w:r>
            <w:r>
              <w:rPr>
                <w:rFonts w:hint="eastAsia" w:ascii="黑体" w:hAnsi="黑体" w:eastAsia="黑体" w:cs="黑体"/>
                <w:i w:val="0"/>
                <w:iCs w:val="0"/>
                <w:snapToGrid w:val="0"/>
                <w:color w:val="auto"/>
                <w:kern w:val="0"/>
                <w:sz w:val="24"/>
                <w:szCs w:val="24"/>
                <w:highlight w:val="none"/>
                <w:u w:val="none"/>
                <w:lang w:val="en-US" w:eastAsia="zh-CN" w:bidi="ar"/>
              </w:rPr>
              <w:br w:type="textWrapping"/>
            </w:r>
            <w:r>
              <w:rPr>
                <w:rFonts w:hint="eastAsia" w:ascii="黑体" w:hAnsi="黑体" w:eastAsia="黑体" w:cs="黑体"/>
                <w:i w:val="0"/>
                <w:iCs w:val="0"/>
                <w:snapToGrid w:val="0"/>
                <w:color w:val="auto"/>
                <w:kern w:val="0"/>
                <w:sz w:val="24"/>
                <w:szCs w:val="24"/>
                <w:highlight w:val="none"/>
                <w:u w:val="none"/>
                <w:lang w:val="en-US" w:eastAsia="zh-CN" w:bidi="ar"/>
              </w:rPr>
              <w:t>4、承重＞150KG</w:t>
            </w:r>
          </w:p>
        </w:tc>
      </w:tr>
    </w:tbl>
    <w:p w14:paraId="75C1B9AA">
      <w:pPr>
        <w:pageBreakBefore w:val="0"/>
        <w:overflowPunct/>
        <w:bidi w:val="0"/>
        <w:spacing w:line="360" w:lineRule="auto"/>
        <w:ind w:firstLine="482" w:firstLineChars="200"/>
        <w:jc w:val="left"/>
        <w:rPr>
          <w:rFonts w:hint="eastAsia" w:ascii="黑体" w:hAnsi="黑体" w:eastAsia="黑体" w:cs="黑体"/>
          <w:b/>
          <w:bCs/>
          <w:snapToGrid w:val="0"/>
          <w:color w:val="000000"/>
          <w:sz w:val="24"/>
          <w:szCs w:val="24"/>
          <w:highlight w:val="none"/>
          <w:lang w:val="en-US" w:eastAsia="zh-CN" w:bidi="ar-SA"/>
        </w:rPr>
      </w:pPr>
    </w:p>
    <w:p w14:paraId="63F403A3">
      <w:pPr>
        <w:pageBreakBefore w:val="0"/>
        <w:overflowPunct/>
        <w:bidi w:val="0"/>
        <w:spacing w:line="360" w:lineRule="auto"/>
        <w:ind w:firstLine="482" w:firstLineChars="200"/>
        <w:jc w:val="left"/>
      </w:pPr>
      <w:r>
        <w:rPr>
          <w:rFonts w:hint="eastAsia" w:ascii="黑体" w:hAnsi="黑体" w:eastAsia="黑体" w:cs="黑体"/>
          <w:b/>
          <w:bCs/>
          <w:snapToGrid w:val="0"/>
          <w:color w:val="000000"/>
          <w:sz w:val="24"/>
          <w:szCs w:val="24"/>
          <w:highlight w:val="none"/>
          <w:lang w:val="en-US" w:eastAsia="zh-CN" w:bidi="ar-SA"/>
        </w:rPr>
        <w:t>注：以上技术条款为基本技术要求，供应商必须全部响应（即满足或优于技术要求），否则其响应无效。</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4E6AEC"/>
    <w:multiLevelType w:val="singleLevel"/>
    <w:tmpl w:val="8D4E6AE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E30D8"/>
    <w:rsid w:val="5A605B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3763</Words>
  <Characters>4880</Characters>
  <Lines>0</Lines>
  <Paragraphs>0</Paragraphs>
  <TotalTime>0</TotalTime>
  <ScaleCrop>false</ScaleCrop>
  <LinksUpToDate>false</LinksUpToDate>
  <CharactersWithSpaces>5099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2026-05-25T10:23:00Z</dcterms:created>
  <dc:creator>Administrator</dc:creator>
  <cp:lastModifiedBy>Administrator</cp:lastModifiedBy>
  <dcterms:modified xsi:type="dcterms:W3CDTF">2026-05-25T10:27:50Z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eyJoZGlkIjoiMzViZDRkNGIwN2FjOTQzODYxNmRhODI3ZjlkMTUyMGMiLCJ1c2VySWQiOiIyNTUzMjY0NjAifQ==</vt:lpwstr>
  </property>
  <property fmtid="{D5CDD505-2E9C-101B-9397-08002B2CF9AE}" pid="4" name="ICV">
    <vt:lpwstr>30772E00E6034FD59528413B9947B8D1_12</vt:lpwstr>
  </property>
</Properties>
</file>