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C6DF95">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0"/>
          <w:position w:val="0"/>
          <w:sz w:val="28"/>
          <w:szCs w:val="28"/>
          <w:highlight w:val="none"/>
          <w:lang w:eastAsia="zh-CN"/>
        </w:rPr>
      </w:pPr>
      <w:r>
        <w:rPr>
          <w:rFonts w:hint="eastAsia" w:ascii="宋体" w:hAnsi="宋体" w:eastAsia="宋体" w:cs="宋体"/>
          <w:color w:val="auto"/>
          <w:spacing w:val="0"/>
          <w:position w:val="0"/>
          <w:sz w:val="36"/>
          <w:szCs w:val="36"/>
          <w:highlight w:val="none"/>
          <w:lang w:eastAsia="zh-CN"/>
          <w14:textOutline w14:w="4356" w14:cap="sq" w14:cmpd="sng" w14:algn="ctr">
            <w14:solidFill>
              <w14:srgbClr w14:val="000000"/>
            </w14:solidFill>
            <w14:prstDash w14:val="solid"/>
            <w14:bevel/>
          </w14:textOutline>
        </w:rPr>
        <w:t>服务要求</w:t>
      </w:r>
    </w:p>
    <w:p w14:paraId="474EAFDC">
      <w:pPr>
        <w:pageBreakBefore w:val="0"/>
        <w:widowControl w:val="0"/>
        <w:wordWrap/>
        <w:overflowPunct/>
        <w:topLinePunct w:val="0"/>
        <w:bidi w:val="0"/>
        <w:spacing w:line="257" w:lineRule="auto"/>
        <w:rPr>
          <w:color w:val="auto"/>
          <w:spacing w:val="0"/>
          <w:position w:val="0"/>
          <w:highlight w:val="none"/>
        </w:rPr>
      </w:pPr>
      <w:bookmarkStart w:id="1" w:name="_GoBack"/>
      <w:bookmarkEnd w:id="1"/>
    </w:p>
    <w:p w14:paraId="1A86D866">
      <w:pPr>
        <w:pageBreakBefore w:val="0"/>
        <w:widowControl w:val="0"/>
        <w:wordWrap/>
        <w:overflowPunct/>
        <w:topLinePunct w:val="0"/>
        <w:bidi w:val="0"/>
        <w:spacing w:line="258" w:lineRule="auto"/>
        <w:rPr>
          <w:color w:val="auto"/>
          <w:spacing w:val="0"/>
          <w:position w:val="0"/>
          <w:highlight w:val="none"/>
        </w:rPr>
      </w:pPr>
    </w:p>
    <w:p w14:paraId="3B2243A3">
      <w:pPr>
        <w:widowControl/>
        <w:snapToGrid w:val="0"/>
        <w:spacing w:line="360" w:lineRule="auto"/>
        <w:jc w:val="center"/>
        <w:rPr>
          <w:rFonts w:ascii="宋体" w:hAnsi="宋体" w:eastAsia="宋体" w:cs="宋体"/>
          <w:b/>
          <w:bCs/>
          <w:color w:val="auto"/>
          <w:sz w:val="24"/>
          <w:szCs w:val="24"/>
          <w:highlight w:val="none"/>
        </w:rPr>
      </w:pPr>
      <w:r>
        <w:rPr>
          <w:rFonts w:hint="eastAsia" w:ascii="宋体" w:hAnsi="宋体" w:eastAsia="宋体" w:cs="宋体"/>
          <w:b/>
          <w:bCs/>
          <w:color w:val="auto"/>
          <w:sz w:val="28"/>
          <w:szCs w:val="28"/>
          <w:highlight w:val="none"/>
        </w:rPr>
        <w:t>绿化养护</w:t>
      </w:r>
    </w:p>
    <w:p w14:paraId="155C8B4A">
      <w:pPr>
        <w:spacing w:line="360" w:lineRule="auto"/>
        <w:ind w:firstLine="422" w:firstLineChars="175"/>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（一）养护内容</w:t>
      </w:r>
    </w:p>
    <w:p w14:paraId="6620016D">
      <w:pPr>
        <w:spacing w:line="360" w:lineRule="auto"/>
        <w:ind w:firstLine="0" w:firstLineChars="0"/>
        <w:rPr>
          <w:rFonts w:ascii="宋体" w:hAnsi="宋体" w:eastAsia="宋体" w:cs="宋体"/>
          <w:color w:val="auto"/>
          <w:szCs w:val="24"/>
          <w:highlight w:val="none"/>
        </w:rPr>
      </w:pPr>
      <w:r>
        <w:rPr>
          <w:rFonts w:hint="eastAsia" w:ascii="宋体" w:hAnsi="宋体" w:eastAsia="宋体" w:cs="宋体"/>
          <w:color w:val="auto"/>
          <w:sz w:val="24"/>
          <w:szCs w:val="24"/>
          <w:highlight w:val="none"/>
        </w:rPr>
        <w:t>1、绿地养护内容：绿地内卫生保洁、垃圾清运、抗旱防涝、整形修剪、施肥、病虫害防治、中耕除草、抹芽、清除死树和枯枝、缺株补植、树木绑扎、树干刷白、草坪切边、加土扶正、安全保护措施、临时性迎检、亭、廓、花架、浇灌系统、防护栏杆、园林小品等设施维护和保养。</w:t>
      </w:r>
    </w:p>
    <w:p w14:paraId="5D8315E6">
      <w:pPr>
        <w:spacing w:line="360" w:lineRule="auto"/>
        <w:ind w:firstLine="0" w:firstLineChars="0"/>
        <w:rPr>
          <w:rFonts w:ascii="宋体" w:hAnsi="宋体" w:eastAsia="宋体" w:cs="宋体"/>
          <w:color w:val="auto"/>
          <w:szCs w:val="24"/>
          <w:highlight w:val="none"/>
        </w:rPr>
      </w:pPr>
      <w:r>
        <w:rPr>
          <w:rFonts w:hint="eastAsia" w:ascii="宋体" w:hAnsi="宋体" w:eastAsia="宋体" w:cs="宋体"/>
          <w:color w:val="auto"/>
          <w:sz w:val="24"/>
          <w:szCs w:val="24"/>
          <w:highlight w:val="none"/>
        </w:rPr>
        <w:t>2、行道树的养护内容：树池卫生保洁，杂草、砖石块、脚芽等所有垃圾的清理，整形修剪、枯枝断枝的修剪、施肥、冬季树干刷白、加土扶正、抗旱防涝、病虫害防治、树池固边路缘石的设施维护保养等。</w:t>
      </w:r>
    </w:p>
    <w:p w14:paraId="0DD1B97F">
      <w:pPr>
        <w:spacing w:line="360" w:lineRule="auto"/>
        <w:ind w:firstLine="0" w:firstLineChars="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以上养护内容包含与绿化养护有关的一切工作，包括上级领导交办的临时性突击性工作</w:t>
      </w:r>
      <w:r>
        <w:rPr>
          <w:rFonts w:hint="eastAsia" w:ascii="宋体" w:hAnsi="宋体" w:cs="宋体"/>
          <w:color w:val="auto"/>
          <w:sz w:val="24"/>
          <w:szCs w:val="24"/>
          <w:highlight w:val="none"/>
          <w:lang w:eastAsia="zh-CN"/>
        </w:rPr>
        <w:t>。</w:t>
      </w:r>
    </w:p>
    <w:p w14:paraId="73380BF3">
      <w:pPr>
        <w:spacing w:line="360" w:lineRule="auto"/>
        <w:ind w:firstLine="0" w:firstLineChars="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rPr>
        <w:t>）绿化养护标准</w:t>
      </w:r>
    </w:p>
    <w:p w14:paraId="26E8B8F8">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1、乔木类（含行道树）</w:t>
      </w:r>
    </w:p>
    <w:p w14:paraId="77223F02">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修剪：根据树木生长习性及时修剪定型，截口平整，不拉伤树皮，截口涂抹防腐剂，每年不少于一次。树枝分布均匀，无倾斜倒伏、病虫枝、枯枝等影响数形的情况，无影响交通、架空线的树枝，同条道路行道树树种树形统一、规格一致。</w:t>
      </w:r>
    </w:p>
    <w:p w14:paraId="1C6F37ED">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1.2抹芽除萌施肥：根据树种确定抹芽次数及部位。抹芽需及时，芽长不超过10公分，抹芽不允许拉伤树皮。每年施肥至少3次，每次每亩施有机复合肥不少于 10斤。</w:t>
      </w:r>
    </w:p>
    <w:p w14:paraId="73FA8771">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1.3树木扶正：新种树木或胸径15公分以下、路口及凤口处的植株必须有树桩，扎捆规范、有效。树木及时扶正，及时检查、清理倒伏树木。夏季及时抗旱，冬季及时涂白保暖、抗病虫。</w:t>
      </w:r>
    </w:p>
    <w:p w14:paraId="1548111A">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1.4病虫害防治：病虫防治及时有效，基本无病虫的发生，用药符合国家农药规范，不得用国家禁止的农药，用药配比正确，操作安全，不发生药害事故。</w:t>
      </w:r>
    </w:p>
    <w:p w14:paraId="0FB1B2F7">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1.5树池：行道树数池整齐，树池内不缺土，无杂草，设施完好。</w:t>
      </w:r>
    </w:p>
    <w:p w14:paraId="3461896C">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1.6树木存活率：存活率100%，如出现死亡树木，及时报批，视种植季节，及时补种。</w:t>
      </w:r>
    </w:p>
    <w:p w14:paraId="00241110">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2、灌木类（含花草、水草）</w:t>
      </w:r>
    </w:p>
    <w:p w14:paraId="6696DE8D">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2.1灌木修剪、剥芽：根据花灌木品种生长习性进行修剪、剥芽，无枯枝败叶，无修剪后枝叶残存。</w:t>
      </w:r>
    </w:p>
    <w:p w14:paraId="1E2BEEC2">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2.2绿篱修剪：修剪面整齐划一，直线处正直，曲线处弧度圆润，日常修剪及时到位。</w:t>
      </w:r>
    </w:p>
    <w:p w14:paraId="6791592C">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2.3球类修剪：球形丰满、完整，球面光滑密实，无明显空洞，同一地方，品种的球类做到大小一致，日常修剪到位。</w:t>
      </w:r>
    </w:p>
    <w:p w14:paraId="60FA5C29">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2.4施肥、抗旱、扶正、叶面蒙尘清除：根据植株长势，及时施基肥、追肥，植株无歪斜、倒伏现象，叶面干净，夏季及时抗旱。</w:t>
      </w:r>
    </w:p>
    <w:p w14:paraId="58EF30CE">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2.5病虫害防治：病虫害防治及时有效，基本无病虫害发生。用药符合国家规范，操作安全，比例正确，不发生药害事故。</w:t>
      </w:r>
    </w:p>
    <w:p w14:paraId="6A1AEEC0">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2.6保存率：保存率要求达到100%，无缺株死株，视季节及时补种。</w:t>
      </w:r>
    </w:p>
    <w:p w14:paraId="35264A3F">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3、地被草坪</w:t>
      </w:r>
    </w:p>
    <w:p w14:paraId="2BC39EF9">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3.1修剪：不同地被、草坪品种，及时修剪。草坪中的树池、花坛边缘应切边，保持线条清晰。草坪高度不宜超过12公分。</w:t>
      </w:r>
    </w:p>
    <w:p w14:paraId="79D65D72">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3.2施肥、抗旱：根据植物生长情况，及时施肥，每年不少于1次，每次每亩施有机复合肥不少于 10斤。要求植物生长良好，无大范围衰退或滞长情况，夏天及时浇水抗旱。</w:t>
      </w:r>
    </w:p>
    <w:p w14:paraId="33867AFF">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3.3病虫害防治：病虫害防治及时有效，基本无病虫害发生，用药符合国家规范，操作安全，比例正确，不发生药害事故。</w:t>
      </w:r>
    </w:p>
    <w:p w14:paraId="6EC8E3D6">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3.4覆盖率：覆盖率达95%，视种植季节及时补种。</w:t>
      </w:r>
    </w:p>
    <w:p w14:paraId="5090485B">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4、花坛花带</w:t>
      </w:r>
    </w:p>
    <w:p w14:paraId="4E6014E5">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4.1草花种植：根据需要按时更换花坛或种植地草花，按质按量完成种植或布置工作，株行距适宜。花卉长势良好，色泽鲜艳，无残缺，无残花败叶。</w:t>
      </w:r>
    </w:p>
    <w:p w14:paraId="2D209336">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4.2施肥、抗旱：根据植物生长情况，及时施肥，每年不少于1次，每次每亩施有机复合肥不少于 10斤。要求植物生长良好，无大范围衰退或滞长情况，夏天及时浇水抗旱。</w:t>
      </w:r>
    </w:p>
    <w:p w14:paraId="28A9E042">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4.3病虫害防治：病虫害防治及时有效，基本无病虫害发生，用药符合国家规范，操作安全，比例正确，不发生药害事故。</w:t>
      </w:r>
    </w:p>
    <w:p w14:paraId="4B5010A9">
      <w:pPr>
        <w:spacing w:line="360" w:lineRule="auto"/>
        <w:ind w:firstLine="422" w:firstLineChars="175"/>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cs="宋体"/>
          <w:b/>
          <w:bCs/>
          <w:color w:val="auto"/>
          <w:sz w:val="24"/>
          <w:szCs w:val="24"/>
          <w:highlight w:val="none"/>
          <w:lang w:val="en-US" w:eastAsia="zh-CN"/>
        </w:rPr>
        <w:t>三</w:t>
      </w:r>
      <w:r>
        <w:rPr>
          <w:rFonts w:hint="eastAsia" w:ascii="宋体" w:hAnsi="宋体" w:eastAsia="宋体" w:cs="宋体"/>
          <w:b/>
          <w:bCs/>
          <w:color w:val="auto"/>
          <w:sz w:val="24"/>
          <w:szCs w:val="24"/>
          <w:highlight w:val="none"/>
        </w:rPr>
        <w:t xml:space="preserve">）绿化养护及道路保洁人员配置 </w:t>
      </w:r>
    </w:p>
    <w:tbl>
      <w:tblPr>
        <w:tblStyle w:val="9"/>
        <w:tblW w:w="9886" w:type="dxa"/>
        <w:tblInd w:w="-49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2150"/>
        <w:gridCol w:w="775"/>
        <w:gridCol w:w="775"/>
        <w:gridCol w:w="5466"/>
      </w:tblGrid>
      <w:tr w14:paraId="6BB4F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720" w:type="dxa"/>
            <w:vAlign w:val="center"/>
          </w:tcPr>
          <w:p w14:paraId="70A2ABA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序号</w:t>
            </w:r>
          </w:p>
        </w:tc>
        <w:tc>
          <w:tcPr>
            <w:tcW w:w="2150" w:type="dxa"/>
            <w:vAlign w:val="center"/>
          </w:tcPr>
          <w:p w14:paraId="26FDF61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岗位名称</w:t>
            </w:r>
          </w:p>
        </w:tc>
        <w:tc>
          <w:tcPr>
            <w:tcW w:w="775" w:type="dxa"/>
            <w:shd w:val="clear" w:color="auto" w:fill="auto"/>
            <w:vAlign w:val="center"/>
          </w:tcPr>
          <w:p w14:paraId="21A1BE8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vertAlign w:val="baseline"/>
                <w:lang w:val="en-US" w:eastAsia="zh-CN" w:bidi="ar-SA"/>
              </w:rPr>
            </w:pPr>
            <w:r>
              <w:rPr>
                <w:rFonts w:hint="eastAsia" w:ascii="宋体" w:hAnsi="宋体" w:eastAsia="宋体" w:cs="宋体"/>
                <w:color w:val="auto"/>
                <w:sz w:val="24"/>
                <w:szCs w:val="24"/>
                <w:highlight w:val="none"/>
                <w:vertAlign w:val="baseline"/>
                <w:lang w:val="en-US" w:eastAsia="zh-CN"/>
              </w:rPr>
              <w:t>人数</w:t>
            </w:r>
          </w:p>
        </w:tc>
        <w:tc>
          <w:tcPr>
            <w:tcW w:w="775" w:type="dxa"/>
            <w:vAlign w:val="center"/>
          </w:tcPr>
          <w:p w14:paraId="64CD195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单位</w:t>
            </w:r>
          </w:p>
        </w:tc>
        <w:tc>
          <w:tcPr>
            <w:tcW w:w="5466" w:type="dxa"/>
            <w:vAlign w:val="center"/>
          </w:tcPr>
          <w:p w14:paraId="787187D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岗位事务要求</w:t>
            </w:r>
          </w:p>
        </w:tc>
      </w:tr>
      <w:tr w14:paraId="37559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720" w:type="dxa"/>
            <w:vAlign w:val="center"/>
          </w:tcPr>
          <w:p w14:paraId="7020250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1</w:t>
            </w:r>
          </w:p>
        </w:tc>
        <w:tc>
          <w:tcPr>
            <w:tcW w:w="2150" w:type="dxa"/>
            <w:vAlign w:val="center"/>
          </w:tcPr>
          <w:p w14:paraId="4472858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项目负责人</w:t>
            </w:r>
          </w:p>
        </w:tc>
        <w:tc>
          <w:tcPr>
            <w:tcW w:w="775" w:type="dxa"/>
            <w:shd w:val="clear" w:color="auto" w:fill="auto"/>
            <w:vAlign w:val="center"/>
          </w:tcPr>
          <w:p w14:paraId="03ED281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vertAlign w:val="baseline"/>
                <w:lang w:val="en-US" w:eastAsia="zh-CN" w:bidi="ar-SA"/>
              </w:rPr>
            </w:pPr>
            <w:r>
              <w:rPr>
                <w:rFonts w:hint="eastAsia" w:ascii="宋体" w:hAnsi="宋体" w:eastAsia="宋体" w:cs="宋体"/>
                <w:color w:val="auto"/>
                <w:sz w:val="24"/>
                <w:szCs w:val="24"/>
                <w:highlight w:val="none"/>
                <w:vertAlign w:val="baseline"/>
                <w:lang w:val="en-US" w:eastAsia="zh-CN"/>
              </w:rPr>
              <w:t>1</w:t>
            </w:r>
          </w:p>
        </w:tc>
        <w:tc>
          <w:tcPr>
            <w:tcW w:w="775" w:type="dxa"/>
            <w:vAlign w:val="center"/>
          </w:tcPr>
          <w:p w14:paraId="6C6BA1F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人</w:t>
            </w:r>
          </w:p>
        </w:tc>
        <w:tc>
          <w:tcPr>
            <w:tcW w:w="5466" w:type="dxa"/>
            <w:vAlign w:val="center"/>
          </w:tcPr>
          <w:p w14:paraId="2001510C">
            <w:pPr>
              <w:pStyle w:val="11"/>
              <w:widowControl w:val="0"/>
              <w:spacing w:before="136" w:line="360" w:lineRule="auto"/>
              <w:jc w:val="left"/>
              <w:rPr>
                <w:rFonts w:hint="eastAsia" w:ascii="宋体" w:hAnsi="宋体" w:eastAsia="宋体" w:cs="宋体"/>
                <w:color w:val="auto"/>
                <w:sz w:val="24"/>
                <w:szCs w:val="24"/>
                <w:highlight w:val="none"/>
                <w:vertAlign w:val="baseline"/>
              </w:rPr>
            </w:pPr>
            <w:r>
              <w:rPr>
                <w:rFonts w:hint="eastAsia" w:ascii="宋体" w:hAnsi="宋体" w:eastAsia="宋体" w:cs="宋体"/>
                <w:snapToGrid w:val="0"/>
                <w:color w:val="auto"/>
                <w:kern w:val="0"/>
                <w:sz w:val="24"/>
                <w:szCs w:val="24"/>
                <w:highlight w:val="none"/>
                <w:vertAlign w:val="baseline"/>
                <w:lang w:val="en-US" w:eastAsia="zh-CN" w:bidi="ar-SA"/>
              </w:rPr>
              <w:t>需具备项目管理经验。【</w:t>
            </w:r>
            <w:r>
              <w:rPr>
                <w:rFonts w:hint="eastAsia" w:ascii="宋体" w:hAnsi="宋体" w:eastAsia="宋体" w:cs="宋体"/>
                <w:b/>
                <w:bCs/>
                <w:color w:val="auto"/>
                <w:kern w:val="2"/>
                <w:sz w:val="24"/>
                <w:szCs w:val="24"/>
                <w:highlight w:val="none"/>
                <w:lang w:val="en-US" w:eastAsia="zh-CN" w:bidi="ar-SA"/>
              </w:rPr>
              <w:t>须提供本人身份证、劳动合同</w:t>
            </w:r>
            <w:r>
              <w:rPr>
                <w:rFonts w:hint="eastAsia" w:ascii="宋体" w:hAnsi="宋体" w:eastAsia="宋体" w:cs="宋体"/>
                <w:b/>
                <w:bCs/>
                <w:color w:val="auto"/>
                <w:spacing w:val="34"/>
                <w:sz w:val="24"/>
                <w:szCs w:val="24"/>
                <w:highlight w:val="none"/>
              </w:rPr>
              <w:t>原件扫描</w:t>
            </w:r>
            <w:r>
              <w:rPr>
                <w:rFonts w:hint="eastAsia" w:ascii="宋体" w:hAnsi="宋体" w:eastAsia="宋体" w:cs="宋体"/>
                <w:b/>
                <w:bCs/>
                <w:color w:val="auto"/>
                <w:spacing w:val="34"/>
                <w:sz w:val="24"/>
                <w:szCs w:val="24"/>
                <w:highlight w:val="none"/>
                <w:lang w:eastAsia="zh-CN"/>
              </w:rPr>
              <w:t>以及单位出具的工作证明</w:t>
            </w:r>
            <w:r>
              <w:rPr>
                <w:rFonts w:hint="eastAsia" w:ascii="宋体" w:hAnsi="宋体" w:eastAsia="宋体" w:cs="宋体"/>
                <w:b/>
                <w:bCs/>
                <w:color w:val="auto"/>
                <w:spacing w:val="43"/>
                <w:sz w:val="24"/>
                <w:szCs w:val="24"/>
                <w:highlight w:val="none"/>
              </w:rPr>
              <w:t>加盖</w:t>
            </w:r>
            <w:r>
              <w:rPr>
                <w:rFonts w:hint="eastAsia" w:ascii="宋体" w:hAnsi="宋体" w:eastAsia="宋体" w:cs="宋体"/>
                <w:b/>
                <w:bCs/>
                <w:color w:val="auto"/>
                <w:spacing w:val="43"/>
                <w:sz w:val="24"/>
                <w:szCs w:val="24"/>
                <w:highlight w:val="none"/>
                <w:lang w:eastAsia="zh-CN"/>
              </w:rPr>
              <w:t>投标人</w:t>
            </w:r>
            <w:r>
              <w:rPr>
                <w:rFonts w:hint="eastAsia" w:ascii="宋体" w:hAnsi="宋体" w:eastAsia="宋体" w:cs="宋体"/>
                <w:b/>
                <w:bCs/>
                <w:color w:val="auto"/>
                <w:spacing w:val="43"/>
                <w:sz w:val="24"/>
                <w:szCs w:val="24"/>
                <w:highlight w:val="none"/>
              </w:rPr>
              <w:t>公章</w:t>
            </w:r>
            <w:r>
              <w:rPr>
                <w:rFonts w:hint="eastAsia" w:ascii="宋体" w:hAnsi="宋体" w:eastAsia="宋体" w:cs="宋体"/>
                <w:b/>
                <w:bCs/>
                <w:color w:val="auto"/>
                <w:spacing w:val="43"/>
                <w:sz w:val="24"/>
                <w:szCs w:val="24"/>
                <w:highlight w:val="none"/>
                <w:lang w:eastAsia="zh-CN"/>
              </w:rPr>
              <w:t>和</w:t>
            </w:r>
            <w:r>
              <w:rPr>
                <w:rFonts w:hint="eastAsia" w:ascii="宋体" w:hAnsi="宋体" w:eastAsia="宋体" w:cs="宋体"/>
                <w:b/>
                <w:bCs/>
                <w:color w:val="auto"/>
                <w:spacing w:val="43"/>
                <w:sz w:val="24"/>
                <w:szCs w:val="24"/>
                <w:highlight w:val="none"/>
              </w:rPr>
              <w:t>投标人为其缴纳的开标前6个月内（任意1个月）社保证明</w:t>
            </w:r>
            <w:r>
              <w:rPr>
                <w:rFonts w:hint="eastAsia" w:ascii="宋体" w:hAnsi="宋体" w:eastAsia="宋体" w:cs="宋体"/>
                <w:b/>
                <w:bCs/>
                <w:color w:val="auto"/>
                <w:spacing w:val="43"/>
                <w:sz w:val="24"/>
                <w:szCs w:val="24"/>
                <w:highlight w:val="none"/>
                <w:lang w:eastAsia="zh-CN"/>
              </w:rPr>
              <w:t>及</w:t>
            </w:r>
            <w:r>
              <w:rPr>
                <w:rFonts w:hint="eastAsia" w:ascii="宋体" w:hAnsi="宋体" w:eastAsia="宋体" w:cs="宋体"/>
                <w:b/>
                <w:bCs/>
                <w:color w:val="auto"/>
                <w:sz w:val="24"/>
                <w:szCs w:val="24"/>
                <w:highlight w:val="none"/>
              </w:rPr>
              <w:t>开标前6个月内</w:t>
            </w:r>
            <w:r>
              <w:rPr>
                <w:rFonts w:hint="eastAsia" w:ascii="宋体" w:hAnsi="宋体" w:eastAsia="宋体" w:cs="宋体"/>
                <w:b/>
                <w:bCs/>
                <w:color w:val="auto"/>
                <w:sz w:val="24"/>
                <w:szCs w:val="24"/>
                <w:highlight w:val="none"/>
                <w:lang w:eastAsia="zh-CN"/>
              </w:rPr>
              <w:t>（任意1个月）</w:t>
            </w:r>
            <w:r>
              <w:rPr>
                <w:rFonts w:hint="eastAsia" w:ascii="宋体" w:hAnsi="宋体" w:eastAsia="宋体" w:cs="宋体"/>
                <w:b/>
                <w:bCs/>
                <w:color w:val="auto"/>
                <w:sz w:val="24"/>
                <w:szCs w:val="24"/>
                <w:highlight w:val="none"/>
              </w:rPr>
              <w:t>的</w:t>
            </w:r>
            <w:r>
              <w:rPr>
                <w:rFonts w:hint="eastAsia" w:ascii="宋体" w:hAnsi="宋体" w:eastAsia="宋体" w:cs="宋体"/>
                <w:b/>
                <w:bCs/>
                <w:color w:val="auto"/>
                <w:sz w:val="24"/>
                <w:szCs w:val="24"/>
                <w:highlight w:val="none"/>
                <w:lang w:eastAsia="zh-CN"/>
              </w:rPr>
              <w:t>工资流水</w:t>
            </w:r>
            <w:r>
              <w:rPr>
                <w:rFonts w:hint="eastAsia" w:ascii="宋体" w:hAnsi="宋体" w:eastAsia="宋体" w:cs="宋体"/>
                <w:b/>
                <w:bCs/>
                <w:color w:val="auto"/>
                <w:sz w:val="24"/>
                <w:szCs w:val="24"/>
                <w:highlight w:val="none"/>
              </w:rPr>
              <w:t>凭证扫描件加盖</w:t>
            </w:r>
            <w:r>
              <w:rPr>
                <w:rFonts w:hint="eastAsia" w:ascii="宋体" w:hAnsi="宋体" w:eastAsia="宋体" w:cs="宋体"/>
                <w:b/>
                <w:bCs/>
                <w:color w:val="auto"/>
                <w:sz w:val="24"/>
                <w:szCs w:val="24"/>
                <w:highlight w:val="none"/>
                <w:lang w:val="en-US" w:eastAsia="zh-CN"/>
              </w:rPr>
              <w:t>投标人</w:t>
            </w:r>
            <w:r>
              <w:rPr>
                <w:rFonts w:hint="eastAsia" w:ascii="宋体" w:hAnsi="宋体" w:eastAsia="宋体" w:cs="宋体"/>
                <w:b/>
                <w:bCs/>
                <w:color w:val="auto"/>
                <w:sz w:val="24"/>
                <w:szCs w:val="24"/>
                <w:highlight w:val="none"/>
              </w:rPr>
              <w:t>公章</w:t>
            </w:r>
            <w:r>
              <w:rPr>
                <w:rFonts w:hint="eastAsia" w:ascii="宋体" w:hAnsi="宋体" w:eastAsia="宋体" w:cs="宋体"/>
                <w:b/>
                <w:bCs/>
                <w:color w:val="auto"/>
                <w:sz w:val="24"/>
                <w:szCs w:val="24"/>
                <w:highlight w:val="none"/>
                <w:lang w:val="en-US" w:eastAsia="zh-CN"/>
              </w:rPr>
              <w:t>为依据</w:t>
            </w:r>
            <w:r>
              <w:rPr>
                <w:rFonts w:hint="eastAsia" w:ascii="宋体" w:hAnsi="宋体" w:eastAsia="宋体" w:cs="宋体"/>
                <w:b/>
                <w:bCs/>
                <w:color w:val="auto"/>
                <w:spacing w:val="-3"/>
                <w:sz w:val="24"/>
                <w:szCs w:val="24"/>
                <w:highlight w:val="none"/>
              </w:rPr>
              <w:t xml:space="preserve"> </w:t>
            </w:r>
            <w:r>
              <w:rPr>
                <w:rFonts w:hint="eastAsia" w:ascii="宋体" w:hAnsi="宋体" w:eastAsia="宋体" w:cs="宋体"/>
                <w:b/>
                <w:bCs/>
                <w:color w:val="auto"/>
                <w:sz w:val="24"/>
                <w:szCs w:val="24"/>
                <w:highlight w:val="none"/>
              </w:rPr>
              <w:t>,未提供或</w:t>
            </w:r>
            <w:r>
              <w:rPr>
                <w:rFonts w:hint="eastAsia" w:ascii="宋体" w:hAnsi="宋体" w:eastAsia="宋体" w:cs="宋体"/>
                <w:b/>
                <w:bCs/>
                <w:color w:val="auto"/>
                <w:sz w:val="24"/>
                <w:szCs w:val="24"/>
                <w:highlight w:val="none"/>
                <w:lang w:val="en-US" w:eastAsia="zh-CN"/>
              </w:rPr>
              <w:t>提供</w:t>
            </w:r>
            <w:r>
              <w:rPr>
                <w:rFonts w:hint="eastAsia" w:ascii="宋体" w:hAnsi="宋体" w:eastAsia="宋体" w:cs="宋体"/>
                <w:b/>
                <w:bCs/>
                <w:color w:val="auto"/>
                <w:sz w:val="24"/>
                <w:szCs w:val="24"/>
                <w:highlight w:val="none"/>
              </w:rPr>
              <w:t>不符合</w:t>
            </w:r>
            <w:r>
              <w:rPr>
                <w:rFonts w:hint="eastAsia" w:ascii="宋体" w:hAnsi="宋体" w:eastAsia="宋体" w:cs="宋体"/>
                <w:b/>
                <w:bCs/>
                <w:color w:val="auto"/>
                <w:sz w:val="24"/>
                <w:szCs w:val="24"/>
                <w:highlight w:val="none"/>
                <w:lang w:eastAsia="zh-CN"/>
              </w:rPr>
              <w:t>要求视为无效响应</w:t>
            </w:r>
            <w:r>
              <w:rPr>
                <w:rFonts w:hint="eastAsia" w:ascii="宋体" w:hAnsi="宋体" w:eastAsia="宋体" w:cs="宋体"/>
                <w:b/>
                <w:bCs/>
                <w:color w:val="auto"/>
                <w:sz w:val="24"/>
                <w:szCs w:val="24"/>
                <w:highlight w:val="none"/>
              </w:rPr>
              <w:t xml:space="preserve"> 。</w:t>
            </w:r>
            <w:r>
              <w:rPr>
                <w:rFonts w:hint="eastAsia" w:ascii="宋体" w:hAnsi="宋体" w:eastAsia="宋体" w:cs="宋体"/>
                <w:snapToGrid w:val="0"/>
                <w:color w:val="auto"/>
                <w:kern w:val="0"/>
                <w:sz w:val="24"/>
                <w:szCs w:val="24"/>
                <w:highlight w:val="none"/>
                <w:vertAlign w:val="baseline"/>
                <w:lang w:val="en-US" w:eastAsia="zh-CN" w:bidi="ar-SA"/>
              </w:rPr>
              <w:t>】</w:t>
            </w:r>
          </w:p>
        </w:tc>
      </w:tr>
      <w:tr w14:paraId="3FDBB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720" w:type="dxa"/>
            <w:vAlign w:val="center"/>
          </w:tcPr>
          <w:p w14:paraId="7ED9CDA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2</w:t>
            </w:r>
          </w:p>
        </w:tc>
        <w:tc>
          <w:tcPr>
            <w:tcW w:w="2150" w:type="dxa"/>
            <w:vAlign w:val="center"/>
          </w:tcPr>
          <w:p w14:paraId="2FB625F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现场管理人员</w:t>
            </w:r>
          </w:p>
        </w:tc>
        <w:tc>
          <w:tcPr>
            <w:tcW w:w="775" w:type="dxa"/>
            <w:shd w:val="clear" w:color="auto" w:fill="auto"/>
            <w:vAlign w:val="center"/>
          </w:tcPr>
          <w:p w14:paraId="799E995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2</w:t>
            </w:r>
          </w:p>
        </w:tc>
        <w:tc>
          <w:tcPr>
            <w:tcW w:w="775" w:type="dxa"/>
            <w:vAlign w:val="center"/>
          </w:tcPr>
          <w:p w14:paraId="2F29C17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人</w:t>
            </w:r>
          </w:p>
        </w:tc>
        <w:tc>
          <w:tcPr>
            <w:tcW w:w="5466" w:type="dxa"/>
            <w:vAlign w:val="center"/>
          </w:tcPr>
          <w:p w14:paraId="075ED5FA">
            <w:pPr>
              <w:pStyle w:val="11"/>
              <w:widowControl w:val="0"/>
              <w:spacing w:before="136" w:line="360" w:lineRule="auto"/>
              <w:jc w:val="left"/>
              <w:rPr>
                <w:rFonts w:hint="eastAsia" w:ascii="宋体" w:hAnsi="宋体" w:eastAsia="宋体" w:cs="宋体"/>
                <w:snapToGrid w:val="0"/>
                <w:color w:val="auto"/>
                <w:kern w:val="0"/>
                <w:sz w:val="24"/>
                <w:szCs w:val="24"/>
                <w:highlight w:val="none"/>
                <w:vertAlign w:val="baseline"/>
                <w:lang w:val="en-US" w:eastAsia="zh-CN" w:bidi="ar-SA"/>
              </w:rPr>
            </w:pPr>
            <w:r>
              <w:rPr>
                <w:rFonts w:hint="eastAsia" w:ascii="宋体" w:hAnsi="宋体" w:eastAsia="宋体" w:cs="宋体"/>
                <w:snapToGrid w:val="0"/>
                <w:color w:val="auto"/>
                <w:kern w:val="0"/>
                <w:sz w:val="24"/>
                <w:szCs w:val="24"/>
                <w:highlight w:val="none"/>
                <w:vertAlign w:val="baseline"/>
                <w:lang w:val="en-US" w:eastAsia="zh-CN" w:bidi="ar-SA"/>
              </w:rPr>
              <w:t>需具备园林绿化专业经历满2年。【</w:t>
            </w:r>
            <w:r>
              <w:rPr>
                <w:rFonts w:hint="eastAsia" w:ascii="宋体" w:hAnsi="宋体" w:eastAsia="宋体" w:cs="宋体"/>
                <w:b/>
                <w:bCs/>
                <w:color w:val="auto"/>
                <w:kern w:val="2"/>
                <w:sz w:val="24"/>
                <w:szCs w:val="24"/>
                <w:highlight w:val="none"/>
                <w:lang w:val="en-US" w:eastAsia="zh-CN" w:bidi="ar-SA"/>
              </w:rPr>
              <w:t>须提供本人身份证、劳动合同</w:t>
            </w:r>
            <w:r>
              <w:rPr>
                <w:rFonts w:hint="eastAsia" w:ascii="宋体" w:hAnsi="宋体" w:eastAsia="宋体" w:cs="宋体"/>
                <w:b/>
                <w:bCs/>
                <w:color w:val="auto"/>
                <w:spacing w:val="34"/>
                <w:sz w:val="24"/>
                <w:szCs w:val="24"/>
                <w:highlight w:val="none"/>
              </w:rPr>
              <w:t>原件扫描</w:t>
            </w:r>
            <w:r>
              <w:rPr>
                <w:rFonts w:hint="eastAsia" w:ascii="宋体" w:hAnsi="宋体" w:eastAsia="宋体" w:cs="宋体"/>
                <w:b/>
                <w:bCs/>
                <w:color w:val="auto"/>
                <w:spacing w:val="34"/>
                <w:sz w:val="24"/>
                <w:szCs w:val="24"/>
                <w:highlight w:val="none"/>
                <w:lang w:eastAsia="zh-CN"/>
              </w:rPr>
              <w:t>以及单位出具的工作证明</w:t>
            </w:r>
            <w:r>
              <w:rPr>
                <w:rFonts w:hint="eastAsia" w:ascii="宋体" w:hAnsi="宋体" w:eastAsia="宋体" w:cs="宋体"/>
                <w:b/>
                <w:bCs/>
                <w:color w:val="auto"/>
                <w:spacing w:val="43"/>
                <w:sz w:val="24"/>
                <w:szCs w:val="24"/>
                <w:highlight w:val="none"/>
              </w:rPr>
              <w:t>加盖</w:t>
            </w:r>
            <w:r>
              <w:rPr>
                <w:rFonts w:hint="eastAsia" w:ascii="宋体" w:hAnsi="宋体" w:eastAsia="宋体" w:cs="宋体"/>
                <w:b/>
                <w:bCs/>
                <w:color w:val="auto"/>
                <w:spacing w:val="43"/>
                <w:sz w:val="24"/>
                <w:szCs w:val="24"/>
                <w:highlight w:val="none"/>
                <w:lang w:eastAsia="zh-CN"/>
              </w:rPr>
              <w:t>投标人</w:t>
            </w:r>
            <w:r>
              <w:rPr>
                <w:rFonts w:hint="eastAsia" w:ascii="宋体" w:hAnsi="宋体" w:eastAsia="宋体" w:cs="宋体"/>
                <w:b/>
                <w:bCs/>
                <w:color w:val="auto"/>
                <w:spacing w:val="43"/>
                <w:sz w:val="24"/>
                <w:szCs w:val="24"/>
                <w:highlight w:val="none"/>
              </w:rPr>
              <w:t>公章和投标人为其缴纳的开标前6个月内（任意1个月）社保证明及</w:t>
            </w:r>
            <w:r>
              <w:rPr>
                <w:rFonts w:hint="eastAsia" w:ascii="宋体" w:hAnsi="宋体" w:eastAsia="宋体" w:cs="宋体"/>
                <w:b/>
                <w:bCs/>
                <w:color w:val="auto"/>
                <w:sz w:val="24"/>
                <w:szCs w:val="24"/>
                <w:highlight w:val="none"/>
              </w:rPr>
              <w:t>开标前6个月内</w:t>
            </w:r>
            <w:r>
              <w:rPr>
                <w:rFonts w:hint="eastAsia" w:ascii="宋体" w:hAnsi="宋体" w:eastAsia="宋体" w:cs="宋体"/>
                <w:b/>
                <w:bCs/>
                <w:color w:val="auto"/>
                <w:sz w:val="24"/>
                <w:szCs w:val="24"/>
                <w:highlight w:val="none"/>
                <w:lang w:eastAsia="zh-CN"/>
              </w:rPr>
              <w:t>（任意1个月）</w:t>
            </w:r>
            <w:r>
              <w:rPr>
                <w:rFonts w:hint="eastAsia" w:ascii="宋体" w:hAnsi="宋体" w:eastAsia="宋体" w:cs="宋体"/>
                <w:b/>
                <w:bCs/>
                <w:color w:val="auto"/>
                <w:sz w:val="24"/>
                <w:szCs w:val="24"/>
                <w:highlight w:val="none"/>
              </w:rPr>
              <w:t>的</w:t>
            </w:r>
            <w:r>
              <w:rPr>
                <w:rFonts w:hint="eastAsia" w:ascii="宋体" w:hAnsi="宋体" w:eastAsia="宋体" w:cs="宋体"/>
                <w:b/>
                <w:bCs/>
                <w:color w:val="auto"/>
                <w:sz w:val="24"/>
                <w:szCs w:val="24"/>
                <w:highlight w:val="none"/>
                <w:lang w:eastAsia="zh-CN"/>
              </w:rPr>
              <w:t>工资流水</w:t>
            </w:r>
            <w:r>
              <w:rPr>
                <w:rFonts w:hint="eastAsia" w:ascii="宋体" w:hAnsi="宋体" w:eastAsia="宋体" w:cs="宋体"/>
                <w:b/>
                <w:bCs/>
                <w:color w:val="auto"/>
                <w:sz w:val="24"/>
                <w:szCs w:val="24"/>
                <w:highlight w:val="none"/>
              </w:rPr>
              <w:t>凭证扫描件加盖</w:t>
            </w:r>
            <w:r>
              <w:rPr>
                <w:rFonts w:hint="eastAsia" w:ascii="宋体" w:hAnsi="宋体" w:eastAsia="宋体" w:cs="宋体"/>
                <w:b/>
                <w:bCs/>
                <w:color w:val="auto"/>
                <w:sz w:val="24"/>
                <w:szCs w:val="24"/>
                <w:highlight w:val="none"/>
                <w:lang w:val="en-US" w:eastAsia="zh-CN"/>
              </w:rPr>
              <w:t>投标人</w:t>
            </w:r>
            <w:r>
              <w:rPr>
                <w:rFonts w:hint="eastAsia" w:ascii="宋体" w:hAnsi="宋体" w:eastAsia="宋体" w:cs="宋体"/>
                <w:b/>
                <w:bCs/>
                <w:color w:val="auto"/>
                <w:sz w:val="24"/>
                <w:szCs w:val="24"/>
                <w:highlight w:val="none"/>
              </w:rPr>
              <w:t>公章</w:t>
            </w:r>
            <w:r>
              <w:rPr>
                <w:rFonts w:hint="eastAsia" w:ascii="宋体" w:hAnsi="宋体" w:eastAsia="宋体" w:cs="宋体"/>
                <w:b/>
                <w:bCs/>
                <w:color w:val="auto"/>
                <w:sz w:val="24"/>
                <w:szCs w:val="24"/>
                <w:highlight w:val="none"/>
                <w:lang w:val="en-US" w:eastAsia="zh-CN"/>
              </w:rPr>
              <w:t>为依据</w:t>
            </w:r>
            <w:r>
              <w:rPr>
                <w:rFonts w:hint="eastAsia" w:ascii="宋体" w:hAnsi="宋体" w:eastAsia="宋体" w:cs="宋体"/>
                <w:b/>
                <w:bCs/>
                <w:color w:val="auto"/>
                <w:spacing w:val="-3"/>
                <w:sz w:val="24"/>
                <w:szCs w:val="24"/>
                <w:highlight w:val="none"/>
              </w:rPr>
              <w:t xml:space="preserve"> </w:t>
            </w:r>
            <w:r>
              <w:rPr>
                <w:rFonts w:hint="eastAsia" w:ascii="宋体" w:hAnsi="宋体" w:eastAsia="宋体" w:cs="宋体"/>
                <w:b/>
                <w:bCs/>
                <w:color w:val="auto"/>
                <w:sz w:val="24"/>
                <w:szCs w:val="24"/>
                <w:highlight w:val="none"/>
              </w:rPr>
              <w:t>,未提供或</w:t>
            </w:r>
            <w:r>
              <w:rPr>
                <w:rFonts w:hint="eastAsia" w:ascii="宋体" w:hAnsi="宋体" w:eastAsia="宋体" w:cs="宋体"/>
                <w:b/>
                <w:bCs/>
                <w:color w:val="auto"/>
                <w:sz w:val="24"/>
                <w:szCs w:val="24"/>
                <w:highlight w:val="none"/>
                <w:lang w:val="en-US" w:eastAsia="zh-CN"/>
              </w:rPr>
              <w:t>提供</w:t>
            </w:r>
            <w:r>
              <w:rPr>
                <w:rFonts w:hint="eastAsia" w:ascii="宋体" w:hAnsi="宋体" w:eastAsia="宋体" w:cs="宋体"/>
                <w:b/>
                <w:bCs/>
                <w:color w:val="auto"/>
                <w:sz w:val="24"/>
                <w:szCs w:val="24"/>
                <w:highlight w:val="none"/>
              </w:rPr>
              <w:t>不符合</w:t>
            </w:r>
            <w:r>
              <w:rPr>
                <w:rFonts w:hint="eastAsia" w:ascii="宋体" w:hAnsi="宋体" w:eastAsia="宋体" w:cs="宋体"/>
                <w:b/>
                <w:bCs/>
                <w:color w:val="auto"/>
                <w:sz w:val="24"/>
                <w:szCs w:val="24"/>
                <w:highlight w:val="none"/>
                <w:lang w:eastAsia="zh-CN"/>
              </w:rPr>
              <w:t>要求视为无效响应</w:t>
            </w:r>
            <w:r>
              <w:rPr>
                <w:rFonts w:hint="eastAsia" w:ascii="宋体" w:hAnsi="宋体" w:eastAsia="宋体" w:cs="宋体"/>
                <w:b/>
                <w:bCs/>
                <w:color w:val="auto"/>
                <w:sz w:val="24"/>
                <w:szCs w:val="24"/>
                <w:highlight w:val="none"/>
              </w:rPr>
              <w:t xml:space="preserve"> 。</w:t>
            </w:r>
            <w:r>
              <w:rPr>
                <w:rFonts w:hint="eastAsia" w:ascii="宋体" w:hAnsi="宋体" w:eastAsia="宋体" w:cs="宋体"/>
                <w:snapToGrid w:val="0"/>
                <w:color w:val="auto"/>
                <w:kern w:val="0"/>
                <w:sz w:val="24"/>
                <w:szCs w:val="24"/>
                <w:highlight w:val="none"/>
                <w:vertAlign w:val="baseline"/>
                <w:lang w:val="en-US" w:eastAsia="zh-CN" w:bidi="ar-SA"/>
              </w:rPr>
              <w:t>】</w:t>
            </w:r>
          </w:p>
        </w:tc>
      </w:tr>
      <w:tr w14:paraId="06788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720" w:type="dxa"/>
            <w:vAlign w:val="center"/>
          </w:tcPr>
          <w:p w14:paraId="291E8DD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3</w:t>
            </w:r>
          </w:p>
        </w:tc>
        <w:tc>
          <w:tcPr>
            <w:tcW w:w="2150" w:type="dxa"/>
            <w:vAlign w:val="center"/>
          </w:tcPr>
          <w:p w14:paraId="607C806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司机</w:t>
            </w:r>
          </w:p>
        </w:tc>
        <w:tc>
          <w:tcPr>
            <w:tcW w:w="775" w:type="dxa"/>
            <w:shd w:val="clear" w:color="auto" w:fill="auto"/>
            <w:vAlign w:val="center"/>
          </w:tcPr>
          <w:p w14:paraId="75B4288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2</w:t>
            </w:r>
          </w:p>
        </w:tc>
        <w:tc>
          <w:tcPr>
            <w:tcW w:w="775" w:type="dxa"/>
            <w:vAlign w:val="center"/>
          </w:tcPr>
          <w:p w14:paraId="7A95C67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人</w:t>
            </w:r>
          </w:p>
        </w:tc>
        <w:tc>
          <w:tcPr>
            <w:tcW w:w="5466" w:type="dxa"/>
            <w:vAlign w:val="center"/>
          </w:tcPr>
          <w:p w14:paraId="1EEBF90D">
            <w:pPr>
              <w:pStyle w:val="11"/>
              <w:widowControl w:val="0"/>
              <w:spacing w:before="136" w:line="360" w:lineRule="auto"/>
              <w:jc w:val="left"/>
              <w:rPr>
                <w:rFonts w:hint="eastAsia" w:ascii="宋体" w:hAnsi="宋体" w:eastAsia="宋体" w:cs="宋体"/>
                <w:snapToGrid w:val="0"/>
                <w:color w:val="auto"/>
                <w:kern w:val="0"/>
                <w:sz w:val="24"/>
                <w:szCs w:val="24"/>
                <w:highlight w:val="none"/>
                <w:vertAlign w:val="baseline"/>
                <w:lang w:val="en-US" w:eastAsia="zh-CN" w:bidi="ar-SA"/>
              </w:rPr>
            </w:pPr>
            <w:r>
              <w:rPr>
                <w:rFonts w:hint="eastAsia" w:ascii="宋体" w:hAnsi="宋体" w:eastAsia="宋体" w:cs="宋体"/>
                <w:color w:val="auto"/>
                <w:spacing w:val="3"/>
                <w:sz w:val="24"/>
                <w:szCs w:val="24"/>
                <w:highlight w:val="none"/>
                <w:lang w:val="en-US" w:eastAsia="zh-CN"/>
              </w:rPr>
              <w:t>要求</w:t>
            </w:r>
            <w:r>
              <w:rPr>
                <w:rFonts w:hint="eastAsia" w:ascii="宋体" w:hAnsi="宋体" w:eastAsia="宋体" w:cs="宋体"/>
                <w:color w:val="auto"/>
                <w:spacing w:val="-1"/>
                <w:sz w:val="24"/>
                <w:szCs w:val="24"/>
                <w:highlight w:val="none"/>
                <w:lang w:val="en-US" w:eastAsia="zh-CN"/>
              </w:rPr>
              <w:t>为</w:t>
            </w:r>
            <w:r>
              <w:rPr>
                <w:rFonts w:hint="eastAsia" w:ascii="宋体" w:hAnsi="宋体" w:eastAsia="宋体" w:cs="宋体"/>
                <w:color w:val="auto"/>
                <w:spacing w:val="-1"/>
                <w:sz w:val="24"/>
                <w:szCs w:val="24"/>
                <w:highlight w:val="none"/>
              </w:rPr>
              <w:t>男性，持有C级</w:t>
            </w:r>
            <w:r>
              <w:rPr>
                <w:rFonts w:hint="eastAsia" w:ascii="宋体" w:hAnsi="宋体" w:eastAsia="宋体" w:cs="宋体"/>
                <w:color w:val="auto"/>
                <w:spacing w:val="-1"/>
                <w:sz w:val="24"/>
                <w:szCs w:val="24"/>
                <w:highlight w:val="none"/>
                <w:lang w:eastAsia="zh-CN"/>
              </w:rPr>
              <w:t>及</w:t>
            </w:r>
            <w:r>
              <w:rPr>
                <w:rFonts w:hint="eastAsia" w:ascii="宋体" w:hAnsi="宋体" w:eastAsia="宋体" w:cs="宋体"/>
                <w:color w:val="auto"/>
                <w:spacing w:val="-1"/>
                <w:sz w:val="24"/>
                <w:szCs w:val="24"/>
                <w:highlight w:val="none"/>
              </w:rPr>
              <w:t>以上驾驶证，驾龄5年</w:t>
            </w:r>
            <w:r>
              <w:rPr>
                <w:rFonts w:hint="eastAsia" w:ascii="宋体" w:hAnsi="宋体" w:eastAsia="宋体" w:cs="宋体"/>
                <w:color w:val="auto"/>
                <w:spacing w:val="-2"/>
                <w:sz w:val="24"/>
                <w:szCs w:val="24"/>
                <w:highlight w:val="none"/>
              </w:rPr>
              <w:t>以上</w:t>
            </w:r>
            <w:r>
              <w:rPr>
                <w:rFonts w:hint="eastAsia" w:ascii="宋体" w:hAnsi="宋体" w:eastAsia="宋体" w:cs="宋体"/>
                <w:color w:val="auto"/>
                <w:spacing w:val="-2"/>
                <w:sz w:val="24"/>
                <w:szCs w:val="24"/>
                <w:highlight w:val="none"/>
                <w:lang w:eastAsia="zh-CN"/>
              </w:rPr>
              <w:t>且与准驾车型匹配</w:t>
            </w:r>
            <w:r>
              <w:rPr>
                <w:rFonts w:hint="eastAsia" w:ascii="宋体" w:hAnsi="宋体" w:eastAsia="宋体" w:cs="宋体"/>
                <w:color w:val="auto"/>
                <w:spacing w:val="-1"/>
                <w:sz w:val="24"/>
                <w:szCs w:val="24"/>
                <w:highlight w:val="none"/>
                <w:lang w:val="en-US" w:eastAsia="zh-CN"/>
              </w:rPr>
              <w:t>。【</w:t>
            </w:r>
            <w:r>
              <w:rPr>
                <w:rFonts w:hint="eastAsia" w:ascii="宋体" w:hAnsi="宋体" w:eastAsia="宋体" w:cs="宋体"/>
                <w:b/>
                <w:bCs/>
                <w:color w:val="auto"/>
                <w:kern w:val="2"/>
                <w:sz w:val="24"/>
                <w:szCs w:val="24"/>
                <w:highlight w:val="none"/>
                <w:lang w:val="en-US" w:eastAsia="zh-CN" w:bidi="ar-SA"/>
              </w:rPr>
              <w:t>须提供本人身份证、驾驶证（以驾驶证发证时间为准）</w:t>
            </w:r>
            <w:r>
              <w:rPr>
                <w:rFonts w:hint="eastAsia" w:ascii="宋体" w:hAnsi="宋体" w:eastAsia="宋体" w:cs="宋体"/>
                <w:b/>
                <w:bCs/>
                <w:color w:val="auto"/>
                <w:spacing w:val="34"/>
                <w:sz w:val="24"/>
                <w:szCs w:val="24"/>
                <w:highlight w:val="none"/>
              </w:rPr>
              <w:t>扫描</w:t>
            </w:r>
            <w:r>
              <w:rPr>
                <w:rFonts w:hint="eastAsia" w:ascii="宋体" w:hAnsi="宋体" w:eastAsia="宋体" w:cs="宋体"/>
                <w:b/>
                <w:bCs/>
                <w:color w:val="auto"/>
                <w:spacing w:val="43"/>
                <w:sz w:val="24"/>
                <w:szCs w:val="24"/>
                <w:highlight w:val="none"/>
              </w:rPr>
              <w:t>加盖</w:t>
            </w:r>
            <w:r>
              <w:rPr>
                <w:rFonts w:hint="eastAsia" w:ascii="宋体" w:hAnsi="宋体" w:eastAsia="宋体" w:cs="宋体"/>
                <w:b/>
                <w:bCs/>
                <w:color w:val="auto"/>
                <w:spacing w:val="43"/>
                <w:sz w:val="24"/>
                <w:szCs w:val="24"/>
                <w:highlight w:val="none"/>
                <w:lang w:eastAsia="zh-CN"/>
              </w:rPr>
              <w:t>投标人</w:t>
            </w:r>
            <w:r>
              <w:rPr>
                <w:rFonts w:hint="eastAsia" w:ascii="宋体" w:hAnsi="宋体" w:eastAsia="宋体" w:cs="宋体"/>
                <w:b/>
                <w:bCs/>
                <w:color w:val="auto"/>
                <w:spacing w:val="43"/>
                <w:sz w:val="24"/>
                <w:szCs w:val="24"/>
                <w:highlight w:val="none"/>
              </w:rPr>
              <w:t>公章及</w:t>
            </w:r>
            <w:r>
              <w:rPr>
                <w:rFonts w:hint="eastAsia" w:ascii="宋体" w:hAnsi="宋体" w:eastAsia="宋体" w:cs="宋体"/>
                <w:b/>
                <w:bCs/>
                <w:color w:val="auto"/>
                <w:sz w:val="24"/>
                <w:szCs w:val="24"/>
                <w:highlight w:val="none"/>
              </w:rPr>
              <w:t>开标前6个月内</w:t>
            </w:r>
            <w:r>
              <w:rPr>
                <w:rFonts w:hint="eastAsia" w:ascii="宋体" w:hAnsi="宋体" w:eastAsia="宋体" w:cs="宋体"/>
                <w:b/>
                <w:bCs/>
                <w:color w:val="auto"/>
                <w:sz w:val="24"/>
                <w:szCs w:val="24"/>
                <w:highlight w:val="none"/>
                <w:lang w:eastAsia="zh-CN"/>
              </w:rPr>
              <w:t>（任意1个月）</w:t>
            </w:r>
            <w:r>
              <w:rPr>
                <w:rFonts w:hint="eastAsia" w:ascii="宋体" w:hAnsi="宋体" w:eastAsia="宋体" w:cs="宋体"/>
                <w:b/>
                <w:bCs/>
                <w:color w:val="auto"/>
                <w:sz w:val="24"/>
                <w:szCs w:val="24"/>
                <w:highlight w:val="none"/>
              </w:rPr>
              <w:t>的</w:t>
            </w:r>
            <w:r>
              <w:rPr>
                <w:rFonts w:hint="eastAsia" w:ascii="宋体" w:hAnsi="宋体" w:eastAsia="宋体" w:cs="宋体"/>
                <w:b/>
                <w:bCs/>
                <w:color w:val="auto"/>
                <w:sz w:val="24"/>
                <w:szCs w:val="24"/>
                <w:highlight w:val="none"/>
                <w:lang w:eastAsia="zh-CN"/>
              </w:rPr>
              <w:t>工资流水</w:t>
            </w:r>
            <w:r>
              <w:rPr>
                <w:rFonts w:hint="eastAsia" w:ascii="宋体" w:hAnsi="宋体" w:eastAsia="宋体" w:cs="宋体"/>
                <w:b/>
                <w:bCs/>
                <w:color w:val="auto"/>
                <w:sz w:val="24"/>
                <w:szCs w:val="24"/>
                <w:highlight w:val="none"/>
              </w:rPr>
              <w:t>凭证扫描件加盖</w:t>
            </w:r>
            <w:r>
              <w:rPr>
                <w:rFonts w:hint="eastAsia" w:ascii="宋体" w:hAnsi="宋体" w:eastAsia="宋体" w:cs="宋体"/>
                <w:b/>
                <w:bCs/>
                <w:color w:val="auto"/>
                <w:sz w:val="24"/>
                <w:szCs w:val="24"/>
                <w:highlight w:val="none"/>
                <w:lang w:val="en-US" w:eastAsia="zh-CN"/>
              </w:rPr>
              <w:t>投标人</w:t>
            </w:r>
            <w:r>
              <w:rPr>
                <w:rFonts w:hint="eastAsia" w:ascii="宋体" w:hAnsi="宋体" w:eastAsia="宋体" w:cs="宋体"/>
                <w:b/>
                <w:bCs/>
                <w:color w:val="auto"/>
                <w:sz w:val="24"/>
                <w:szCs w:val="24"/>
                <w:highlight w:val="none"/>
              </w:rPr>
              <w:t>公章</w:t>
            </w:r>
            <w:r>
              <w:rPr>
                <w:rFonts w:hint="eastAsia" w:ascii="宋体" w:hAnsi="宋体" w:eastAsia="宋体" w:cs="宋体"/>
                <w:b/>
                <w:bCs/>
                <w:color w:val="auto"/>
                <w:sz w:val="24"/>
                <w:szCs w:val="24"/>
                <w:highlight w:val="none"/>
                <w:lang w:val="en-US" w:eastAsia="zh-CN"/>
              </w:rPr>
              <w:t>为依据</w:t>
            </w:r>
            <w:r>
              <w:rPr>
                <w:rFonts w:hint="eastAsia" w:ascii="宋体" w:hAnsi="宋体" w:eastAsia="宋体" w:cs="宋体"/>
                <w:b/>
                <w:bCs/>
                <w:color w:val="auto"/>
                <w:spacing w:val="-3"/>
                <w:sz w:val="24"/>
                <w:szCs w:val="24"/>
                <w:highlight w:val="none"/>
              </w:rPr>
              <w:t xml:space="preserve"> </w:t>
            </w:r>
            <w:r>
              <w:rPr>
                <w:rFonts w:hint="eastAsia" w:ascii="宋体" w:hAnsi="宋体" w:eastAsia="宋体" w:cs="宋体"/>
                <w:b/>
                <w:bCs/>
                <w:color w:val="auto"/>
                <w:sz w:val="24"/>
                <w:szCs w:val="24"/>
                <w:highlight w:val="none"/>
              </w:rPr>
              <w:t>,未提供或</w:t>
            </w:r>
            <w:r>
              <w:rPr>
                <w:rFonts w:hint="eastAsia" w:ascii="宋体" w:hAnsi="宋体" w:eastAsia="宋体" w:cs="宋体"/>
                <w:b/>
                <w:bCs/>
                <w:color w:val="auto"/>
                <w:sz w:val="24"/>
                <w:szCs w:val="24"/>
                <w:highlight w:val="none"/>
                <w:lang w:val="en-US" w:eastAsia="zh-CN"/>
              </w:rPr>
              <w:t>提供</w:t>
            </w:r>
            <w:r>
              <w:rPr>
                <w:rFonts w:hint="eastAsia" w:ascii="宋体" w:hAnsi="宋体" w:eastAsia="宋体" w:cs="宋体"/>
                <w:b/>
                <w:bCs/>
                <w:color w:val="auto"/>
                <w:sz w:val="24"/>
                <w:szCs w:val="24"/>
                <w:highlight w:val="none"/>
              </w:rPr>
              <w:t>不符合</w:t>
            </w:r>
            <w:r>
              <w:rPr>
                <w:rFonts w:hint="eastAsia" w:ascii="宋体" w:hAnsi="宋体" w:eastAsia="宋体" w:cs="宋体"/>
                <w:b/>
                <w:bCs/>
                <w:color w:val="auto"/>
                <w:sz w:val="24"/>
                <w:szCs w:val="24"/>
                <w:highlight w:val="none"/>
                <w:lang w:eastAsia="zh-CN"/>
              </w:rPr>
              <w:t>要求视为无效响应</w:t>
            </w:r>
            <w:r>
              <w:rPr>
                <w:rFonts w:hint="eastAsia" w:ascii="宋体" w:hAnsi="宋体" w:eastAsia="宋体" w:cs="宋体"/>
                <w:b/>
                <w:bCs/>
                <w:color w:val="auto"/>
                <w:sz w:val="24"/>
                <w:szCs w:val="24"/>
                <w:highlight w:val="none"/>
              </w:rPr>
              <w:t xml:space="preserve"> 。</w:t>
            </w:r>
            <w:r>
              <w:rPr>
                <w:rFonts w:hint="eastAsia" w:ascii="宋体" w:hAnsi="宋体" w:eastAsia="宋体" w:cs="宋体"/>
                <w:color w:val="auto"/>
                <w:spacing w:val="-1"/>
                <w:sz w:val="24"/>
                <w:szCs w:val="24"/>
                <w:highlight w:val="none"/>
                <w:lang w:val="en-US" w:eastAsia="zh-CN"/>
              </w:rPr>
              <w:t>】</w:t>
            </w:r>
          </w:p>
        </w:tc>
      </w:tr>
      <w:tr w14:paraId="65108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trPr>
        <w:tc>
          <w:tcPr>
            <w:tcW w:w="720" w:type="dxa"/>
            <w:vAlign w:val="center"/>
          </w:tcPr>
          <w:p w14:paraId="0A6E45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4</w:t>
            </w:r>
          </w:p>
        </w:tc>
        <w:tc>
          <w:tcPr>
            <w:tcW w:w="2150" w:type="dxa"/>
            <w:vAlign w:val="center"/>
          </w:tcPr>
          <w:p w14:paraId="52A2C3E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绿化养护人员</w:t>
            </w:r>
          </w:p>
        </w:tc>
        <w:tc>
          <w:tcPr>
            <w:tcW w:w="775" w:type="dxa"/>
            <w:shd w:val="clear" w:color="auto" w:fill="auto"/>
            <w:vAlign w:val="center"/>
          </w:tcPr>
          <w:p w14:paraId="7BF2AC6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5</w:t>
            </w:r>
          </w:p>
        </w:tc>
        <w:tc>
          <w:tcPr>
            <w:tcW w:w="775" w:type="dxa"/>
            <w:vAlign w:val="center"/>
          </w:tcPr>
          <w:p w14:paraId="62DA2B0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人</w:t>
            </w:r>
          </w:p>
        </w:tc>
        <w:tc>
          <w:tcPr>
            <w:tcW w:w="5466" w:type="dxa"/>
            <w:vAlign w:val="center"/>
          </w:tcPr>
          <w:p w14:paraId="6E5E09AD">
            <w:pPr>
              <w:pStyle w:val="11"/>
              <w:widowControl w:val="0"/>
              <w:spacing w:before="136" w:line="360" w:lineRule="auto"/>
              <w:jc w:val="left"/>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需具备专业绿化技能。</w:t>
            </w:r>
            <w:r>
              <w:rPr>
                <w:rFonts w:hint="eastAsia" w:ascii="宋体" w:hAnsi="宋体" w:eastAsia="宋体" w:cs="宋体"/>
                <w:snapToGrid w:val="0"/>
                <w:color w:val="auto"/>
                <w:kern w:val="0"/>
                <w:sz w:val="24"/>
                <w:szCs w:val="24"/>
                <w:highlight w:val="none"/>
                <w:vertAlign w:val="baseline"/>
                <w:lang w:val="en-US" w:eastAsia="zh-CN" w:bidi="ar-SA"/>
              </w:rPr>
              <w:t>【</w:t>
            </w:r>
            <w:r>
              <w:rPr>
                <w:rFonts w:hint="eastAsia" w:ascii="宋体" w:hAnsi="宋体" w:eastAsia="宋体" w:cs="宋体"/>
                <w:b/>
                <w:bCs/>
                <w:color w:val="auto"/>
                <w:kern w:val="2"/>
                <w:sz w:val="24"/>
                <w:szCs w:val="24"/>
                <w:highlight w:val="none"/>
                <w:lang w:val="en-US" w:eastAsia="zh-CN" w:bidi="ar-SA"/>
              </w:rPr>
              <w:t>须提供本人身份证</w:t>
            </w:r>
            <w:r>
              <w:rPr>
                <w:rFonts w:hint="eastAsia" w:ascii="宋体" w:hAnsi="宋体" w:eastAsia="宋体" w:cs="宋体"/>
                <w:b/>
                <w:bCs/>
                <w:color w:val="auto"/>
                <w:spacing w:val="34"/>
                <w:sz w:val="24"/>
                <w:szCs w:val="24"/>
                <w:highlight w:val="none"/>
                <w:lang w:eastAsia="zh-CN"/>
              </w:rPr>
              <w:t>以及单位出具的工作证明</w:t>
            </w:r>
            <w:r>
              <w:rPr>
                <w:rFonts w:hint="eastAsia" w:ascii="宋体" w:hAnsi="宋体" w:eastAsia="宋体" w:cs="宋体"/>
                <w:b/>
                <w:bCs/>
                <w:color w:val="auto"/>
                <w:spacing w:val="43"/>
                <w:sz w:val="24"/>
                <w:szCs w:val="24"/>
                <w:highlight w:val="none"/>
              </w:rPr>
              <w:t>加盖</w:t>
            </w:r>
            <w:r>
              <w:rPr>
                <w:rFonts w:hint="eastAsia" w:ascii="宋体" w:hAnsi="宋体" w:eastAsia="宋体" w:cs="宋体"/>
                <w:b/>
                <w:bCs/>
                <w:color w:val="auto"/>
                <w:spacing w:val="43"/>
                <w:sz w:val="24"/>
                <w:szCs w:val="24"/>
                <w:highlight w:val="none"/>
                <w:lang w:eastAsia="zh-CN"/>
              </w:rPr>
              <w:t>投标人</w:t>
            </w:r>
            <w:r>
              <w:rPr>
                <w:rFonts w:hint="eastAsia" w:ascii="宋体" w:hAnsi="宋体" w:eastAsia="宋体" w:cs="宋体"/>
                <w:b/>
                <w:bCs/>
                <w:color w:val="auto"/>
                <w:spacing w:val="43"/>
                <w:sz w:val="24"/>
                <w:szCs w:val="24"/>
                <w:highlight w:val="none"/>
              </w:rPr>
              <w:t>公章及</w:t>
            </w:r>
            <w:r>
              <w:rPr>
                <w:rFonts w:hint="eastAsia" w:ascii="宋体" w:hAnsi="宋体" w:eastAsia="宋体" w:cs="宋体"/>
                <w:b/>
                <w:bCs/>
                <w:color w:val="auto"/>
                <w:sz w:val="24"/>
                <w:szCs w:val="24"/>
                <w:highlight w:val="none"/>
              </w:rPr>
              <w:t>开标前6个月内</w:t>
            </w:r>
            <w:r>
              <w:rPr>
                <w:rFonts w:hint="eastAsia" w:ascii="宋体" w:hAnsi="宋体" w:eastAsia="宋体" w:cs="宋体"/>
                <w:b/>
                <w:bCs/>
                <w:color w:val="auto"/>
                <w:sz w:val="24"/>
                <w:szCs w:val="24"/>
                <w:highlight w:val="none"/>
                <w:lang w:eastAsia="zh-CN"/>
              </w:rPr>
              <w:t>（任意1个月）</w:t>
            </w:r>
            <w:r>
              <w:rPr>
                <w:rFonts w:hint="eastAsia" w:ascii="宋体" w:hAnsi="宋体" w:eastAsia="宋体" w:cs="宋体"/>
                <w:b/>
                <w:bCs/>
                <w:color w:val="auto"/>
                <w:sz w:val="24"/>
                <w:szCs w:val="24"/>
                <w:highlight w:val="none"/>
              </w:rPr>
              <w:t>的</w:t>
            </w:r>
            <w:r>
              <w:rPr>
                <w:rFonts w:hint="eastAsia" w:ascii="宋体" w:hAnsi="宋体" w:eastAsia="宋体" w:cs="宋体"/>
                <w:b/>
                <w:bCs/>
                <w:color w:val="auto"/>
                <w:sz w:val="24"/>
                <w:szCs w:val="24"/>
                <w:highlight w:val="none"/>
                <w:lang w:eastAsia="zh-CN"/>
              </w:rPr>
              <w:t>工资流水</w:t>
            </w:r>
            <w:r>
              <w:rPr>
                <w:rFonts w:hint="eastAsia" w:ascii="宋体" w:hAnsi="宋体" w:eastAsia="宋体" w:cs="宋体"/>
                <w:b/>
                <w:bCs/>
                <w:color w:val="auto"/>
                <w:sz w:val="24"/>
                <w:szCs w:val="24"/>
                <w:highlight w:val="none"/>
              </w:rPr>
              <w:t>凭证扫描件加盖</w:t>
            </w:r>
            <w:r>
              <w:rPr>
                <w:rFonts w:hint="eastAsia" w:ascii="宋体" w:hAnsi="宋体" w:eastAsia="宋体" w:cs="宋体"/>
                <w:b/>
                <w:bCs/>
                <w:color w:val="auto"/>
                <w:sz w:val="24"/>
                <w:szCs w:val="24"/>
                <w:highlight w:val="none"/>
                <w:lang w:val="en-US" w:eastAsia="zh-CN"/>
              </w:rPr>
              <w:t>投标人</w:t>
            </w:r>
            <w:r>
              <w:rPr>
                <w:rFonts w:hint="eastAsia" w:ascii="宋体" w:hAnsi="宋体" w:eastAsia="宋体" w:cs="宋体"/>
                <w:b/>
                <w:bCs/>
                <w:color w:val="auto"/>
                <w:sz w:val="24"/>
                <w:szCs w:val="24"/>
                <w:highlight w:val="none"/>
              </w:rPr>
              <w:t>公章</w:t>
            </w:r>
            <w:r>
              <w:rPr>
                <w:rFonts w:hint="eastAsia" w:ascii="宋体" w:hAnsi="宋体" w:eastAsia="宋体" w:cs="宋体"/>
                <w:b/>
                <w:bCs/>
                <w:color w:val="auto"/>
                <w:sz w:val="24"/>
                <w:szCs w:val="24"/>
                <w:highlight w:val="none"/>
                <w:lang w:val="en-US" w:eastAsia="zh-CN"/>
              </w:rPr>
              <w:t>为依据</w:t>
            </w:r>
            <w:r>
              <w:rPr>
                <w:rFonts w:hint="eastAsia" w:ascii="宋体" w:hAnsi="宋体" w:eastAsia="宋体" w:cs="宋体"/>
                <w:b/>
                <w:bCs/>
                <w:color w:val="auto"/>
                <w:spacing w:val="-3"/>
                <w:sz w:val="24"/>
                <w:szCs w:val="24"/>
                <w:highlight w:val="none"/>
              </w:rPr>
              <w:t xml:space="preserve"> </w:t>
            </w:r>
            <w:r>
              <w:rPr>
                <w:rFonts w:hint="eastAsia" w:ascii="宋体" w:hAnsi="宋体" w:eastAsia="宋体" w:cs="宋体"/>
                <w:b/>
                <w:bCs/>
                <w:color w:val="auto"/>
                <w:sz w:val="24"/>
                <w:szCs w:val="24"/>
                <w:highlight w:val="none"/>
              </w:rPr>
              <w:t>,未提供或</w:t>
            </w:r>
            <w:r>
              <w:rPr>
                <w:rFonts w:hint="eastAsia" w:ascii="宋体" w:hAnsi="宋体" w:eastAsia="宋体" w:cs="宋体"/>
                <w:b/>
                <w:bCs/>
                <w:color w:val="auto"/>
                <w:sz w:val="24"/>
                <w:szCs w:val="24"/>
                <w:highlight w:val="none"/>
                <w:lang w:val="en-US" w:eastAsia="zh-CN"/>
              </w:rPr>
              <w:t>提供</w:t>
            </w:r>
            <w:r>
              <w:rPr>
                <w:rFonts w:hint="eastAsia" w:ascii="宋体" w:hAnsi="宋体" w:eastAsia="宋体" w:cs="宋体"/>
                <w:b/>
                <w:bCs/>
                <w:color w:val="auto"/>
                <w:sz w:val="24"/>
                <w:szCs w:val="24"/>
                <w:highlight w:val="none"/>
              </w:rPr>
              <w:t>不符合</w:t>
            </w:r>
            <w:r>
              <w:rPr>
                <w:rFonts w:hint="eastAsia" w:ascii="宋体" w:hAnsi="宋体" w:eastAsia="宋体" w:cs="宋体"/>
                <w:b/>
                <w:bCs/>
                <w:color w:val="auto"/>
                <w:sz w:val="24"/>
                <w:szCs w:val="24"/>
                <w:highlight w:val="none"/>
                <w:lang w:eastAsia="zh-CN"/>
              </w:rPr>
              <w:t>要求视为无效响应</w:t>
            </w:r>
            <w:r>
              <w:rPr>
                <w:rFonts w:hint="eastAsia" w:ascii="宋体" w:hAnsi="宋体" w:eastAsia="宋体" w:cs="宋体"/>
                <w:b/>
                <w:bCs/>
                <w:color w:val="auto"/>
                <w:sz w:val="24"/>
                <w:szCs w:val="24"/>
                <w:highlight w:val="none"/>
              </w:rPr>
              <w:t xml:space="preserve"> 。</w:t>
            </w:r>
            <w:r>
              <w:rPr>
                <w:rFonts w:hint="eastAsia" w:ascii="宋体" w:hAnsi="宋体" w:eastAsia="宋体" w:cs="宋体"/>
                <w:snapToGrid w:val="0"/>
                <w:color w:val="auto"/>
                <w:kern w:val="0"/>
                <w:sz w:val="24"/>
                <w:szCs w:val="24"/>
                <w:highlight w:val="none"/>
                <w:vertAlign w:val="baseline"/>
                <w:lang w:val="en-US" w:eastAsia="zh-CN" w:bidi="ar-SA"/>
              </w:rPr>
              <w:t>】</w:t>
            </w:r>
          </w:p>
        </w:tc>
      </w:tr>
      <w:tr w14:paraId="4C2E0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720" w:type="dxa"/>
            <w:vAlign w:val="center"/>
          </w:tcPr>
          <w:p w14:paraId="53A59E7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5</w:t>
            </w:r>
          </w:p>
        </w:tc>
        <w:tc>
          <w:tcPr>
            <w:tcW w:w="2150" w:type="dxa"/>
            <w:vAlign w:val="center"/>
          </w:tcPr>
          <w:p w14:paraId="0D22FCB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default" w:ascii="宋体" w:hAnsi="宋体" w:eastAsia="宋体" w:cs="宋体"/>
                <w:color w:val="auto"/>
                <w:sz w:val="24"/>
                <w:szCs w:val="24"/>
                <w:highlight w:val="none"/>
                <w:vertAlign w:val="baseline"/>
                <w:lang w:val="en-US" w:eastAsia="zh-CN"/>
              </w:rPr>
              <w:t>道路保洁人员</w:t>
            </w:r>
          </w:p>
        </w:tc>
        <w:tc>
          <w:tcPr>
            <w:tcW w:w="775" w:type="dxa"/>
            <w:shd w:val="clear" w:color="auto" w:fill="auto"/>
            <w:vAlign w:val="center"/>
          </w:tcPr>
          <w:p w14:paraId="470589A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10</w:t>
            </w:r>
          </w:p>
        </w:tc>
        <w:tc>
          <w:tcPr>
            <w:tcW w:w="775" w:type="dxa"/>
            <w:vAlign w:val="center"/>
          </w:tcPr>
          <w:p w14:paraId="4787F1F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人</w:t>
            </w:r>
          </w:p>
        </w:tc>
        <w:tc>
          <w:tcPr>
            <w:tcW w:w="5466" w:type="dxa"/>
            <w:vAlign w:val="center"/>
          </w:tcPr>
          <w:p w14:paraId="1F086CB5">
            <w:pPr>
              <w:pStyle w:val="11"/>
              <w:widowControl w:val="0"/>
              <w:spacing w:before="136" w:line="360" w:lineRule="auto"/>
              <w:jc w:val="left"/>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需具备专业环卫技能。</w:t>
            </w:r>
            <w:r>
              <w:rPr>
                <w:rFonts w:hint="eastAsia" w:ascii="宋体" w:hAnsi="宋体" w:eastAsia="宋体" w:cs="宋体"/>
                <w:snapToGrid w:val="0"/>
                <w:color w:val="auto"/>
                <w:kern w:val="0"/>
                <w:sz w:val="24"/>
                <w:szCs w:val="24"/>
                <w:highlight w:val="none"/>
                <w:vertAlign w:val="baseline"/>
                <w:lang w:val="en-US" w:eastAsia="zh-CN" w:bidi="ar-SA"/>
              </w:rPr>
              <w:t>【</w:t>
            </w:r>
            <w:r>
              <w:rPr>
                <w:rFonts w:hint="eastAsia" w:ascii="宋体" w:hAnsi="宋体" w:eastAsia="宋体" w:cs="宋体"/>
                <w:b/>
                <w:bCs/>
                <w:color w:val="auto"/>
                <w:kern w:val="2"/>
                <w:sz w:val="24"/>
                <w:szCs w:val="24"/>
                <w:highlight w:val="none"/>
                <w:lang w:val="en-US" w:eastAsia="zh-CN" w:bidi="ar-SA"/>
              </w:rPr>
              <w:t>须提供本人身份证</w:t>
            </w:r>
            <w:r>
              <w:rPr>
                <w:rFonts w:hint="eastAsia" w:ascii="宋体" w:hAnsi="宋体" w:eastAsia="宋体" w:cs="宋体"/>
                <w:b/>
                <w:bCs/>
                <w:color w:val="auto"/>
                <w:spacing w:val="34"/>
                <w:sz w:val="24"/>
                <w:szCs w:val="24"/>
                <w:highlight w:val="none"/>
                <w:lang w:eastAsia="zh-CN"/>
              </w:rPr>
              <w:t>以及单位出具的工作证明</w:t>
            </w:r>
            <w:r>
              <w:rPr>
                <w:rFonts w:hint="eastAsia" w:ascii="宋体" w:hAnsi="宋体" w:eastAsia="宋体" w:cs="宋体"/>
                <w:b/>
                <w:bCs/>
                <w:color w:val="auto"/>
                <w:spacing w:val="43"/>
                <w:sz w:val="24"/>
                <w:szCs w:val="24"/>
                <w:highlight w:val="none"/>
              </w:rPr>
              <w:t>加盖</w:t>
            </w:r>
            <w:r>
              <w:rPr>
                <w:rFonts w:hint="eastAsia" w:ascii="宋体" w:hAnsi="宋体" w:eastAsia="宋体" w:cs="宋体"/>
                <w:b/>
                <w:bCs/>
                <w:color w:val="auto"/>
                <w:spacing w:val="43"/>
                <w:sz w:val="24"/>
                <w:szCs w:val="24"/>
                <w:highlight w:val="none"/>
                <w:lang w:eastAsia="zh-CN"/>
              </w:rPr>
              <w:t>投标人</w:t>
            </w:r>
            <w:r>
              <w:rPr>
                <w:rFonts w:hint="eastAsia" w:ascii="宋体" w:hAnsi="宋体" w:eastAsia="宋体" w:cs="宋体"/>
                <w:b/>
                <w:bCs/>
                <w:color w:val="auto"/>
                <w:spacing w:val="43"/>
                <w:sz w:val="24"/>
                <w:szCs w:val="24"/>
                <w:highlight w:val="none"/>
              </w:rPr>
              <w:t>公章及</w:t>
            </w:r>
            <w:r>
              <w:rPr>
                <w:rFonts w:hint="eastAsia" w:ascii="宋体" w:hAnsi="宋体" w:eastAsia="宋体" w:cs="宋体"/>
                <w:b/>
                <w:bCs/>
                <w:color w:val="auto"/>
                <w:sz w:val="24"/>
                <w:szCs w:val="24"/>
                <w:highlight w:val="none"/>
              </w:rPr>
              <w:t>开标前6个月内</w:t>
            </w:r>
            <w:r>
              <w:rPr>
                <w:rFonts w:hint="eastAsia" w:ascii="宋体" w:hAnsi="宋体" w:eastAsia="宋体" w:cs="宋体"/>
                <w:b/>
                <w:bCs/>
                <w:color w:val="auto"/>
                <w:sz w:val="24"/>
                <w:szCs w:val="24"/>
                <w:highlight w:val="none"/>
                <w:lang w:eastAsia="zh-CN"/>
              </w:rPr>
              <w:t>（任意1个月）</w:t>
            </w:r>
            <w:r>
              <w:rPr>
                <w:rFonts w:hint="eastAsia" w:ascii="宋体" w:hAnsi="宋体" w:eastAsia="宋体" w:cs="宋体"/>
                <w:b/>
                <w:bCs/>
                <w:color w:val="auto"/>
                <w:sz w:val="24"/>
                <w:szCs w:val="24"/>
                <w:highlight w:val="none"/>
              </w:rPr>
              <w:t>的</w:t>
            </w:r>
            <w:r>
              <w:rPr>
                <w:rFonts w:hint="eastAsia" w:ascii="宋体" w:hAnsi="宋体" w:eastAsia="宋体" w:cs="宋体"/>
                <w:b/>
                <w:bCs/>
                <w:color w:val="auto"/>
                <w:sz w:val="24"/>
                <w:szCs w:val="24"/>
                <w:highlight w:val="none"/>
                <w:lang w:eastAsia="zh-CN"/>
              </w:rPr>
              <w:t>工资流水</w:t>
            </w:r>
            <w:r>
              <w:rPr>
                <w:rFonts w:hint="eastAsia" w:ascii="宋体" w:hAnsi="宋体" w:eastAsia="宋体" w:cs="宋体"/>
                <w:b/>
                <w:bCs/>
                <w:color w:val="auto"/>
                <w:sz w:val="24"/>
                <w:szCs w:val="24"/>
                <w:highlight w:val="none"/>
              </w:rPr>
              <w:t>凭证扫描件加盖</w:t>
            </w:r>
            <w:r>
              <w:rPr>
                <w:rFonts w:hint="eastAsia" w:ascii="宋体" w:hAnsi="宋体" w:eastAsia="宋体" w:cs="宋体"/>
                <w:b/>
                <w:bCs/>
                <w:color w:val="auto"/>
                <w:sz w:val="24"/>
                <w:szCs w:val="24"/>
                <w:highlight w:val="none"/>
                <w:lang w:val="en-US" w:eastAsia="zh-CN"/>
              </w:rPr>
              <w:t>投标人</w:t>
            </w:r>
            <w:r>
              <w:rPr>
                <w:rFonts w:hint="eastAsia" w:ascii="宋体" w:hAnsi="宋体" w:eastAsia="宋体" w:cs="宋体"/>
                <w:b/>
                <w:bCs/>
                <w:color w:val="auto"/>
                <w:sz w:val="24"/>
                <w:szCs w:val="24"/>
                <w:highlight w:val="none"/>
              </w:rPr>
              <w:t>公章</w:t>
            </w:r>
            <w:r>
              <w:rPr>
                <w:rFonts w:hint="eastAsia" w:ascii="宋体" w:hAnsi="宋体" w:eastAsia="宋体" w:cs="宋体"/>
                <w:b/>
                <w:bCs/>
                <w:color w:val="auto"/>
                <w:sz w:val="24"/>
                <w:szCs w:val="24"/>
                <w:highlight w:val="none"/>
                <w:lang w:val="en-US" w:eastAsia="zh-CN"/>
              </w:rPr>
              <w:t>为依据</w:t>
            </w:r>
            <w:r>
              <w:rPr>
                <w:rFonts w:hint="eastAsia" w:ascii="宋体" w:hAnsi="宋体" w:eastAsia="宋体" w:cs="宋体"/>
                <w:b/>
                <w:bCs/>
                <w:color w:val="auto"/>
                <w:spacing w:val="-3"/>
                <w:sz w:val="24"/>
                <w:szCs w:val="24"/>
                <w:highlight w:val="none"/>
              </w:rPr>
              <w:t xml:space="preserve"> </w:t>
            </w:r>
            <w:r>
              <w:rPr>
                <w:rFonts w:hint="eastAsia" w:ascii="宋体" w:hAnsi="宋体" w:eastAsia="宋体" w:cs="宋体"/>
                <w:b/>
                <w:bCs/>
                <w:color w:val="auto"/>
                <w:sz w:val="24"/>
                <w:szCs w:val="24"/>
                <w:highlight w:val="none"/>
              </w:rPr>
              <w:t>,未提供或</w:t>
            </w:r>
            <w:r>
              <w:rPr>
                <w:rFonts w:hint="eastAsia" w:ascii="宋体" w:hAnsi="宋体" w:eastAsia="宋体" w:cs="宋体"/>
                <w:b/>
                <w:bCs/>
                <w:color w:val="auto"/>
                <w:sz w:val="24"/>
                <w:szCs w:val="24"/>
                <w:highlight w:val="none"/>
                <w:lang w:val="en-US" w:eastAsia="zh-CN"/>
              </w:rPr>
              <w:t>提供</w:t>
            </w:r>
            <w:r>
              <w:rPr>
                <w:rFonts w:hint="eastAsia" w:ascii="宋体" w:hAnsi="宋体" w:eastAsia="宋体" w:cs="宋体"/>
                <w:b/>
                <w:bCs/>
                <w:color w:val="auto"/>
                <w:sz w:val="24"/>
                <w:szCs w:val="24"/>
                <w:highlight w:val="none"/>
              </w:rPr>
              <w:t>不符合</w:t>
            </w:r>
            <w:r>
              <w:rPr>
                <w:rFonts w:hint="eastAsia" w:ascii="宋体" w:hAnsi="宋体" w:eastAsia="宋体" w:cs="宋体"/>
                <w:b/>
                <w:bCs/>
                <w:color w:val="auto"/>
                <w:sz w:val="24"/>
                <w:szCs w:val="24"/>
                <w:highlight w:val="none"/>
                <w:lang w:eastAsia="zh-CN"/>
              </w:rPr>
              <w:t>要求视为无效响应</w:t>
            </w:r>
            <w:r>
              <w:rPr>
                <w:rFonts w:hint="eastAsia" w:ascii="宋体" w:hAnsi="宋体" w:eastAsia="宋体" w:cs="宋体"/>
                <w:b/>
                <w:bCs/>
                <w:color w:val="auto"/>
                <w:sz w:val="24"/>
                <w:szCs w:val="24"/>
                <w:highlight w:val="none"/>
              </w:rPr>
              <w:t xml:space="preserve"> 。</w:t>
            </w:r>
            <w:r>
              <w:rPr>
                <w:rFonts w:hint="eastAsia" w:ascii="宋体" w:hAnsi="宋体" w:eastAsia="宋体" w:cs="宋体"/>
                <w:snapToGrid w:val="0"/>
                <w:color w:val="auto"/>
                <w:kern w:val="0"/>
                <w:sz w:val="24"/>
                <w:szCs w:val="24"/>
                <w:highlight w:val="none"/>
                <w:vertAlign w:val="baseline"/>
                <w:lang w:val="en-US" w:eastAsia="zh-CN" w:bidi="ar-SA"/>
              </w:rPr>
              <w:t>】</w:t>
            </w:r>
          </w:p>
        </w:tc>
      </w:tr>
    </w:tbl>
    <w:p w14:paraId="3C6C779D">
      <w:pPr>
        <w:spacing w:line="360" w:lineRule="auto"/>
        <w:ind w:firstLine="420" w:firstLineChars="175"/>
        <w:rPr>
          <w:rFonts w:hint="eastAsia" w:ascii="宋体" w:hAnsi="宋体" w:eastAsia="宋体" w:cs="宋体"/>
          <w:color w:val="auto"/>
          <w:sz w:val="24"/>
          <w:szCs w:val="24"/>
          <w:highlight w:val="none"/>
        </w:rPr>
      </w:pPr>
    </w:p>
    <w:p w14:paraId="1936584F">
      <w:pPr>
        <w:spacing w:line="360" w:lineRule="auto"/>
        <w:ind w:firstLine="0" w:firstLineChars="0"/>
        <w:rPr>
          <w:rFonts w:ascii="宋体" w:hAnsi="宋体" w:eastAsia="宋体" w:cs="宋体"/>
          <w:color w:val="auto"/>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此配备人员必须常住在采购项目当地,便于工作安排；签订合同之后，业主可以不定期抽查。如果不合格，按违约处理。</w:t>
      </w:r>
    </w:p>
    <w:p w14:paraId="48A27193">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.2中标单位在承包期内，未经采购单位的同意，不得变换项目负责人和现场管理人员，如若不能兑现，视同违约处理。</w:t>
      </w:r>
    </w:p>
    <w:p w14:paraId="2A7061AE">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.3员工劳动保障</w:t>
      </w:r>
    </w:p>
    <w:p w14:paraId="2D3E3C94">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（1）必须与员工签订书面劳动合同，招收人员在主管部门备案。</w:t>
      </w:r>
    </w:p>
    <w:p w14:paraId="44B171C7">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（2）月工资收入不低于本年度最低工资标准。</w:t>
      </w:r>
    </w:p>
    <w:p w14:paraId="49D6BAEA">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（3）执行《民法典》有关员工保障的其他规定，由劳动部门查实的，根据查实情况处罚。</w:t>
      </w:r>
    </w:p>
    <w:p w14:paraId="3624E4CA">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（4）用工年龄按照国家劳动法律法规相关规定执行。</w:t>
      </w:r>
    </w:p>
    <w:p w14:paraId="0D8B158A">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养护人员应统一穿着反光衣上岗，在行人稠密或已经通行的道路绿化管护作业时，应按相关规定设置安全措施，单位应对现场养护人员进行安全教育，遵守安全生产有关管理规定，严格按照安全生产标准组织养护管理作业，采取必要的安全防护措施，消除事故隐患。作业车辆车尾应有明显的反光标志，作业时须亮警示灯,应遵守交通法及相关规定。</w:t>
      </w:r>
    </w:p>
    <w:p w14:paraId="6118A77E">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、中标单位必须做好养护人员的综治维稳工作，承担所属范围内的综治维稳工作责任，防止发生并及时处理信访维稳问题。</w:t>
      </w:r>
    </w:p>
    <w:p w14:paraId="4C50EC1A">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、中标单位不得拖欠本项目工人工资，如发生拖欠，采购人有权将从管护费中扣除。</w:t>
      </w:r>
    </w:p>
    <w:p w14:paraId="1642B710">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、采购人有权不定时对中标单位养护人员到位、着装及作业情况进行工作检查、督促、指导和协调工作。</w:t>
      </w:r>
    </w:p>
    <w:p w14:paraId="5D01F0A1">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、中标单位养护、养护不当或不及时或养护过程施工安全不到位等原因所发生的安全事故及由此产生的费用完全由中标单位承担。采购</w:t>
      </w:r>
      <w:r>
        <w:rPr>
          <w:rFonts w:hint="eastAsia" w:ascii="宋体" w:hAnsi="宋体" w:cs="宋体"/>
          <w:color w:val="auto"/>
          <w:sz w:val="24"/>
          <w:szCs w:val="24"/>
          <w:highlight w:val="none"/>
          <w:lang w:val="en-US" w:eastAsia="zh-CN"/>
        </w:rPr>
        <w:t>人</w:t>
      </w:r>
      <w:r>
        <w:rPr>
          <w:rFonts w:hint="eastAsia" w:ascii="宋体" w:hAnsi="宋体" w:eastAsia="宋体" w:cs="宋体"/>
          <w:color w:val="auto"/>
          <w:sz w:val="24"/>
          <w:szCs w:val="24"/>
          <w:highlight w:val="none"/>
        </w:rPr>
        <w:t>定期对中标单位进行安全考核，根据安全事故产生数量及严重程度对中标单位进行处罚，严重的解除合同并扣除管理费。</w:t>
      </w:r>
    </w:p>
    <w:p w14:paraId="77A19096">
      <w:pPr>
        <w:spacing w:line="360" w:lineRule="auto"/>
        <w:ind w:firstLine="0" w:firstLineChars="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cs="宋体"/>
          <w:b/>
          <w:bCs/>
          <w:color w:val="auto"/>
          <w:sz w:val="24"/>
          <w:szCs w:val="24"/>
          <w:highlight w:val="none"/>
          <w:lang w:val="en-US" w:eastAsia="zh-CN"/>
        </w:rPr>
        <w:t>四</w:t>
      </w:r>
      <w:r>
        <w:rPr>
          <w:rFonts w:hint="eastAsia" w:ascii="宋体" w:hAnsi="宋体" w:eastAsia="宋体" w:cs="宋体"/>
          <w:b/>
          <w:bCs/>
          <w:color w:val="auto"/>
          <w:sz w:val="24"/>
          <w:szCs w:val="24"/>
          <w:highlight w:val="none"/>
        </w:rPr>
        <w:t>）养护管理要求</w:t>
      </w:r>
    </w:p>
    <w:p w14:paraId="4131A166">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1、中标单位根据作业环境、考虑各项安全因素，做好安全防范工作，完善相关资料及检查记录，包括工作总结和计划、巡查日志、人员在岗情况等，并按需按时上交。</w:t>
      </w:r>
    </w:p>
    <w:p w14:paraId="5C1E70D8">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2、必须服从采购人的管理，完成采购人交办的城市创建、重大节日、各类重大活动和迎检整治活动中的各项任务及上级临时交办的其他任务。</w:t>
      </w:r>
    </w:p>
    <w:p w14:paraId="4CE8383C">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严格按照养护工作时间、要求、标准落实长效管理，对市民及各级部门反映的问题必须立即整改，及时反馈。遇有重大活动或暴雨、冰雪等突发亊件，必须无条件服从采购人统一调度、指挥，及时组织做好应急保障工作。</w:t>
      </w:r>
    </w:p>
    <w:p w14:paraId="113BB309">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4、因自然原因（如由于强风、暴雨、大雪等自然灾害引起树木突然倒塌，碰线、碰屋等），中标单位在接到采购人通知后应迅速组织力量，半小时内到达现场并及时处理。</w:t>
      </w:r>
    </w:p>
    <w:p w14:paraId="6F3DF0E6">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5、在服务期内绿化景观改造等原因，致使养护面积或数量增加，增加面积由中标单位接收一并进行绿化养护管理，增加的养护费用按中标单价乘以增加面积或数量进行核算，但不得超出中标金额的10%。</w:t>
      </w:r>
    </w:p>
    <w:p w14:paraId="24306B1B">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6、对于中标单位养护期间由于养护工作不能及时完成，给造成较大影响的，采购人有权安排第三方进行养护，所发生的费用从中标单位月度养护费中扣除。</w:t>
      </w:r>
    </w:p>
    <w:p w14:paraId="76B85D3D">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7、如绿地内出现私自占地、种菜、晾晒等破坏现象，中标单位应及时出现制止并上报采购人，如中标单位未上报或未制止，采购人将对中标单位进行处罚。</w:t>
      </w:r>
    </w:p>
    <w:p w14:paraId="02384759">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8、树木有偷盗行为或交通事故引发树木损坏的，</w:t>
      </w:r>
      <w:r>
        <w:rPr>
          <w:rFonts w:hint="eastAsia" w:ascii="宋体" w:hAnsi="宋体" w:cs="宋体"/>
          <w:color w:val="auto"/>
          <w:sz w:val="24"/>
          <w:szCs w:val="24"/>
          <w:highlight w:val="none"/>
          <w:lang w:eastAsia="zh-CN"/>
        </w:rPr>
        <w:t>中标单位</w:t>
      </w:r>
      <w:r>
        <w:rPr>
          <w:rFonts w:hint="eastAsia" w:ascii="宋体" w:hAnsi="宋体" w:eastAsia="宋体" w:cs="宋体"/>
          <w:color w:val="auto"/>
          <w:sz w:val="24"/>
          <w:szCs w:val="24"/>
          <w:highlight w:val="none"/>
        </w:rPr>
        <w:t>及时发现并与养护人员或公安部门及时联系的不追究其责任。如被养护人员发现，将按偷盗树木价格进行赔偿或按同规格树木补种。</w:t>
      </w:r>
    </w:p>
    <w:p w14:paraId="77F67B67">
      <w:pPr>
        <w:spacing w:line="360" w:lineRule="auto"/>
        <w:ind w:firstLine="0"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9、因养护管理不善而损坏或死亡的植物、设施，中标单位应负责及时补植和修复或照价赔偿。</w:t>
      </w:r>
      <w:r>
        <w:rPr>
          <w:rFonts w:hint="eastAsia" w:ascii="宋体" w:hAnsi="宋体" w:cs="宋体"/>
          <w:color w:val="auto"/>
          <w:sz w:val="24"/>
          <w:szCs w:val="24"/>
          <w:highlight w:val="none"/>
          <w:lang w:eastAsia="zh-CN"/>
        </w:rPr>
        <w:t>中标单位</w:t>
      </w:r>
      <w:r>
        <w:rPr>
          <w:rFonts w:hint="eastAsia" w:ascii="宋体" w:hAnsi="宋体" w:eastAsia="宋体" w:cs="宋体"/>
          <w:color w:val="auto"/>
          <w:sz w:val="24"/>
          <w:szCs w:val="24"/>
          <w:highlight w:val="none"/>
        </w:rPr>
        <w:t>养护期间的乔灌花草保存率为100%，必须在合适的季节及时补植同品种、同规格的苗木，并确保成活。若</w:t>
      </w:r>
      <w:r>
        <w:rPr>
          <w:rFonts w:hint="eastAsia" w:ascii="宋体" w:hAnsi="宋体" w:cs="宋体"/>
          <w:color w:val="auto"/>
          <w:sz w:val="24"/>
          <w:szCs w:val="24"/>
          <w:highlight w:val="none"/>
          <w:lang w:val="en-US" w:eastAsia="zh-CN"/>
        </w:rPr>
        <w:t>中标单位</w:t>
      </w:r>
      <w:r>
        <w:rPr>
          <w:rFonts w:hint="eastAsia" w:ascii="宋体" w:hAnsi="宋体" w:eastAsia="宋体" w:cs="宋体"/>
          <w:color w:val="auto"/>
          <w:sz w:val="24"/>
          <w:szCs w:val="24"/>
          <w:highlight w:val="none"/>
        </w:rPr>
        <w:t>未按规定补植，</w:t>
      </w:r>
      <w:r>
        <w:rPr>
          <w:rFonts w:hint="eastAsia" w:ascii="宋体" w:hAnsi="宋体" w:cs="宋体"/>
          <w:color w:val="auto"/>
          <w:sz w:val="24"/>
          <w:szCs w:val="24"/>
          <w:highlight w:val="none"/>
          <w:lang w:eastAsia="zh-CN"/>
        </w:rPr>
        <w:t>采购人</w:t>
      </w:r>
      <w:r>
        <w:rPr>
          <w:rFonts w:hint="eastAsia" w:ascii="宋体" w:hAnsi="宋体" w:eastAsia="宋体" w:cs="宋体"/>
          <w:color w:val="auto"/>
          <w:sz w:val="24"/>
          <w:szCs w:val="24"/>
          <w:highlight w:val="none"/>
        </w:rPr>
        <w:t>有权安排第三方进行种植，所发生的苗木费及补植费用从</w:t>
      </w:r>
      <w:r>
        <w:rPr>
          <w:rFonts w:hint="eastAsia" w:ascii="宋体" w:hAnsi="宋体" w:cs="宋体"/>
          <w:color w:val="auto"/>
          <w:sz w:val="24"/>
          <w:szCs w:val="24"/>
          <w:highlight w:val="none"/>
          <w:lang w:val="en-US" w:eastAsia="zh-CN"/>
        </w:rPr>
        <w:t>中标单位</w:t>
      </w:r>
      <w:r>
        <w:rPr>
          <w:rFonts w:hint="eastAsia" w:ascii="宋体" w:hAnsi="宋体" w:eastAsia="宋体" w:cs="宋体"/>
          <w:color w:val="auto"/>
          <w:sz w:val="24"/>
          <w:szCs w:val="24"/>
          <w:highlight w:val="none"/>
        </w:rPr>
        <w:t>月度养护费中扣除。</w:t>
      </w:r>
    </w:p>
    <w:p w14:paraId="1DD73B70">
      <w:pPr>
        <w:spacing w:line="360" w:lineRule="auto"/>
        <w:ind w:firstLine="0" w:firstLineChars="0"/>
        <w:jc w:val="both"/>
        <w:rPr>
          <w:rFonts w:hint="eastAsia" w:ascii="宋体" w:hAnsi="宋体" w:eastAsia="宋体" w:cs="宋体"/>
          <w:color w:val="auto"/>
          <w:sz w:val="24"/>
          <w:szCs w:val="24"/>
          <w:highlight w:val="none"/>
        </w:rPr>
      </w:pPr>
      <w:bookmarkStart w:id="0" w:name="br1_56"/>
      <w:bookmarkEnd w:id="0"/>
      <w:r>
        <w:rPr>
          <w:rFonts w:hint="eastAsia" w:ascii="宋体" w:hAnsi="宋体" w:eastAsia="宋体" w:cs="宋体"/>
          <w:color w:val="auto"/>
          <w:sz w:val="24"/>
          <w:szCs w:val="24"/>
          <w:highlight w:val="none"/>
        </w:rPr>
        <w:t>10、接到社会投诉（媒体、报刊上播出或刊登的工作中出现的失误或其他情况被曝光），接到上级领导反映出现管理不当，群众投诉养护不到位等情况的，每次处</w:t>
      </w:r>
      <w:r>
        <w:rPr>
          <w:rFonts w:hint="eastAsia" w:ascii="宋体" w:hAnsi="宋体" w:cs="宋体"/>
          <w:color w:val="auto"/>
          <w:sz w:val="24"/>
          <w:szCs w:val="24"/>
          <w:highlight w:val="none"/>
          <w:lang w:val="en-US" w:eastAsia="zh-CN"/>
        </w:rPr>
        <w:t>中标单位1</w:t>
      </w:r>
      <w:r>
        <w:rPr>
          <w:rFonts w:hint="eastAsia" w:ascii="宋体" w:hAnsi="宋体" w:eastAsia="宋体" w:cs="宋体"/>
          <w:color w:val="auto"/>
          <w:sz w:val="24"/>
          <w:szCs w:val="24"/>
          <w:highlight w:val="none"/>
        </w:rPr>
        <w:t>000--5000元人民币罚款，并限期整改。</w:t>
      </w:r>
    </w:p>
    <w:p w14:paraId="755FEBB6">
      <w:pPr>
        <w:spacing w:line="360" w:lineRule="auto"/>
        <w:ind w:firstLine="0" w:firstLineChars="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cs="宋体"/>
          <w:b/>
          <w:bCs/>
          <w:color w:val="auto"/>
          <w:sz w:val="24"/>
          <w:szCs w:val="24"/>
          <w:highlight w:val="none"/>
          <w:lang w:val="en-US" w:eastAsia="zh-CN"/>
        </w:rPr>
        <w:t>五</w:t>
      </w:r>
      <w:r>
        <w:rPr>
          <w:rFonts w:hint="eastAsia" w:ascii="宋体" w:hAnsi="宋体" w:eastAsia="宋体" w:cs="宋体"/>
          <w:b/>
          <w:bCs/>
          <w:color w:val="auto"/>
          <w:sz w:val="24"/>
          <w:szCs w:val="24"/>
          <w:highlight w:val="none"/>
        </w:rPr>
        <w:t>）考核评分标准</w:t>
      </w:r>
    </w:p>
    <w:p w14:paraId="1C452C5E">
      <w:pPr>
        <w:spacing w:line="360" w:lineRule="auto"/>
        <w:ind w:firstLine="0" w:firstLineChars="0"/>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满分100分，考核合格分90分（含），每次考核每扣一分按400元/分的标准对</w:t>
      </w:r>
      <w:r>
        <w:rPr>
          <w:rFonts w:hint="eastAsia" w:ascii="宋体" w:hAnsi="宋体" w:cs="宋体"/>
          <w:color w:val="auto"/>
          <w:sz w:val="24"/>
          <w:szCs w:val="24"/>
          <w:highlight w:val="none"/>
          <w:lang w:eastAsia="zh-CN"/>
        </w:rPr>
        <w:t>中标单位</w:t>
      </w:r>
      <w:r>
        <w:rPr>
          <w:rFonts w:hint="eastAsia" w:ascii="宋体" w:hAnsi="宋体" w:eastAsia="宋体" w:cs="宋体"/>
          <w:color w:val="auto"/>
          <w:sz w:val="24"/>
          <w:szCs w:val="24"/>
          <w:highlight w:val="none"/>
        </w:rPr>
        <w:t>进行罚扣，如月考核分低于80分的罚扣后，由</w:t>
      </w:r>
      <w:r>
        <w:rPr>
          <w:rFonts w:hint="eastAsia" w:ascii="宋体" w:hAnsi="宋体" w:cs="宋体"/>
          <w:color w:val="auto"/>
          <w:sz w:val="24"/>
          <w:szCs w:val="24"/>
          <w:highlight w:val="none"/>
          <w:lang w:eastAsia="zh-CN"/>
        </w:rPr>
        <w:t>采购人</w:t>
      </w:r>
      <w:r>
        <w:rPr>
          <w:rFonts w:hint="eastAsia" w:ascii="宋体" w:hAnsi="宋体" w:eastAsia="宋体" w:cs="宋体"/>
          <w:color w:val="auto"/>
          <w:sz w:val="24"/>
          <w:szCs w:val="24"/>
          <w:highlight w:val="none"/>
        </w:rPr>
        <w:t>责令期限整改，整改仍未达标的解除合同，不再支付任何管理费用,并纳入采购黑名单。具体评分标准如下所列：</w:t>
      </w:r>
    </w:p>
    <w:p w14:paraId="0F0EFF10">
      <w:pPr>
        <w:spacing w:line="360" w:lineRule="auto"/>
        <w:ind w:firstLine="422" w:firstLineChars="175"/>
        <w:jc w:val="center"/>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《绿化养护考核评分标准》</w:t>
      </w:r>
    </w:p>
    <w:tbl>
      <w:tblPr>
        <w:tblStyle w:val="8"/>
        <w:tblW w:w="90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3"/>
        <w:gridCol w:w="696"/>
        <w:gridCol w:w="4699"/>
        <w:gridCol w:w="2788"/>
      </w:tblGrid>
      <w:tr w14:paraId="15742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1519" w:type="dxa"/>
            <w:gridSpan w:val="2"/>
            <w:noWrap w:val="0"/>
            <w:vAlign w:val="center"/>
          </w:tcPr>
          <w:p w14:paraId="60331C55">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en-US"/>
              </w:rPr>
              <w:t>考核项目</w:t>
            </w:r>
          </w:p>
        </w:tc>
        <w:tc>
          <w:tcPr>
            <w:tcW w:w="4699" w:type="dxa"/>
            <w:noWrap w:val="0"/>
            <w:vAlign w:val="center"/>
          </w:tcPr>
          <w:p w14:paraId="3530C6E4">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en-US"/>
              </w:rPr>
              <w:t>考核内容及要求</w:t>
            </w:r>
          </w:p>
        </w:tc>
        <w:tc>
          <w:tcPr>
            <w:tcW w:w="2788" w:type="dxa"/>
            <w:noWrap w:val="0"/>
            <w:vAlign w:val="center"/>
          </w:tcPr>
          <w:p w14:paraId="46A84AA5">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en-US"/>
              </w:rPr>
              <w:t>评分标准</w:t>
            </w:r>
          </w:p>
        </w:tc>
      </w:tr>
      <w:tr w14:paraId="6367E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restart"/>
            <w:noWrap w:val="0"/>
            <w:vAlign w:val="center"/>
          </w:tcPr>
          <w:p w14:paraId="218C49D5">
            <w:pPr>
              <w:spacing w:line="240" w:lineRule="auto"/>
              <w:jc w:val="center"/>
              <w:rPr>
                <w:rFonts w:hint="eastAsia" w:ascii="宋体" w:hAnsi="宋体" w:eastAsia="宋体" w:cs="宋体"/>
                <w:color w:val="auto"/>
                <w:sz w:val="24"/>
                <w:szCs w:val="24"/>
                <w:highlight w:val="none"/>
              </w:rPr>
            </w:pPr>
          </w:p>
          <w:p w14:paraId="0EF8A558">
            <w:pPr>
              <w:spacing w:line="240" w:lineRule="auto"/>
              <w:jc w:val="center"/>
              <w:rPr>
                <w:rFonts w:hint="eastAsia" w:ascii="宋体" w:hAnsi="宋体" w:eastAsia="宋体" w:cs="宋体"/>
                <w:color w:val="auto"/>
                <w:sz w:val="24"/>
                <w:szCs w:val="24"/>
                <w:highlight w:val="none"/>
              </w:rPr>
            </w:pPr>
          </w:p>
          <w:p w14:paraId="65093ED7">
            <w:pPr>
              <w:spacing w:line="240" w:lineRule="auto"/>
              <w:jc w:val="center"/>
              <w:rPr>
                <w:rFonts w:hint="eastAsia" w:ascii="宋体" w:hAnsi="宋体" w:eastAsia="宋体" w:cs="宋体"/>
                <w:color w:val="auto"/>
                <w:sz w:val="24"/>
                <w:szCs w:val="24"/>
                <w:highlight w:val="none"/>
              </w:rPr>
            </w:pPr>
          </w:p>
          <w:p w14:paraId="041EFB80">
            <w:pPr>
              <w:spacing w:line="240" w:lineRule="auto"/>
              <w:jc w:val="center"/>
              <w:rPr>
                <w:rFonts w:hint="eastAsia" w:ascii="宋体" w:hAnsi="宋体" w:eastAsia="宋体" w:cs="宋体"/>
                <w:color w:val="auto"/>
                <w:sz w:val="24"/>
                <w:szCs w:val="24"/>
                <w:highlight w:val="none"/>
              </w:rPr>
            </w:pPr>
          </w:p>
          <w:p w14:paraId="2D200110">
            <w:pPr>
              <w:spacing w:line="240" w:lineRule="auto"/>
              <w:jc w:val="center"/>
              <w:rPr>
                <w:rFonts w:hint="eastAsia" w:ascii="宋体" w:hAnsi="宋体" w:eastAsia="宋体" w:cs="宋体"/>
                <w:color w:val="auto"/>
                <w:sz w:val="24"/>
                <w:szCs w:val="24"/>
                <w:highlight w:val="none"/>
              </w:rPr>
            </w:pPr>
          </w:p>
          <w:p w14:paraId="07E4C018">
            <w:pPr>
              <w:spacing w:line="240" w:lineRule="auto"/>
              <w:jc w:val="center"/>
              <w:rPr>
                <w:rFonts w:hint="eastAsia" w:ascii="宋体" w:hAnsi="宋体" w:eastAsia="宋体" w:cs="宋体"/>
                <w:color w:val="auto"/>
                <w:sz w:val="24"/>
                <w:szCs w:val="24"/>
                <w:highlight w:val="none"/>
              </w:rPr>
            </w:pPr>
          </w:p>
          <w:p w14:paraId="6308207F">
            <w:pPr>
              <w:spacing w:line="240" w:lineRule="auto"/>
              <w:jc w:val="center"/>
              <w:rPr>
                <w:rFonts w:hint="eastAsia" w:ascii="宋体" w:hAnsi="宋体" w:eastAsia="宋体" w:cs="宋体"/>
                <w:color w:val="auto"/>
                <w:sz w:val="24"/>
                <w:szCs w:val="24"/>
                <w:highlight w:val="none"/>
              </w:rPr>
            </w:pPr>
          </w:p>
          <w:p w14:paraId="3FCABFED">
            <w:pPr>
              <w:spacing w:line="240" w:lineRule="auto"/>
              <w:jc w:val="center"/>
              <w:rPr>
                <w:rFonts w:hint="eastAsia" w:ascii="宋体" w:hAnsi="宋体" w:eastAsia="宋体" w:cs="宋体"/>
                <w:color w:val="auto"/>
                <w:sz w:val="24"/>
                <w:szCs w:val="24"/>
                <w:highlight w:val="none"/>
              </w:rPr>
            </w:pPr>
          </w:p>
          <w:p w14:paraId="123EB11B">
            <w:pPr>
              <w:spacing w:line="240" w:lineRule="auto"/>
              <w:jc w:val="center"/>
              <w:rPr>
                <w:rFonts w:hint="eastAsia" w:ascii="宋体" w:hAnsi="宋体" w:eastAsia="宋体" w:cs="宋体"/>
                <w:color w:val="auto"/>
                <w:sz w:val="24"/>
                <w:szCs w:val="24"/>
                <w:highlight w:val="none"/>
              </w:rPr>
            </w:pPr>
          </w:p>
          <w:p w14:paraId="0D8F53B5">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植物养护</w:t>
            </w:r>
          </w:p>
        </w:tc>
        <w:tc>
          <w:tcPr>
            <w:tcW w:w="696" w:type="dxa"/>
            <w:vMerge w:val="restart"/>
            <w:noWrap w:val="0"/>
            <w:vAlign w:val="center"/>
          </w:tcPr>
          <w:p w14:paraId="020E3CA0">
            <w:pPr>
              <w:spacing w:line="240" w:lineRule="auto"/>
              <w:jc w:val="center"/>
              <w:rPr>
                <w:rFonts w:hint="eastAsia" w:ascii="宋体" w:hAnsi="宋体" w:eastAsia="宋体" w:cs="宋体"/>
                <w:color w:val="auto"/>
                <w:sz w:val="24"/>
                <w:szCs w:val="24"/>
                <w:highlight w:val="none"/>
              </w:rPr>
            </w:pPr>
          </w:p>
          <w:p w14:paraId="4AA442ED">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树      木</w:t>
            </w:r>
          </w:p>
          <w:p w14:paraId="14A99720">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行</w:t>
            </w:r>
          </w:p>
          <w:p w14:paraId="43A269D3">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道</w:t>
            </w:r>
          </w:p>
          <w:p w14:paraId="65BD877B">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树</w:t>
            </w:r>
          </w:p>
        </w:tc>
        <w:tc>
          <w:tcPr>
            <w:tcW w:w="4699" w:type="dxa"/>
            <w:noWrap w:val="0"/>
            <w:vAlign w:val="center"/>
          </w:tcPr>
          <w:p w14:paraId="113AA176">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1、修剪</w:t>
            </w:r>
          </w:p>
          <w:p w14:paraId="07B239D7">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（1）制定科学合理的修剪计划，及时上报。</w:t>
            </w:r>
          </w:p>
          <w:p w14:paraId="24FC671B">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（2）根据树木生长习性及时修剪定形，截口平整，不拉伤树皮，截口涂抹防腐剂，每年不少于1 次。</w:t>
            </w:r>
          </w:p>
          <w:p w14:paraId="419582D9">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（3）枝条分布均匀，无倾斜倒伏，无徒长枝、病虫枝、枯枝等其他影响树势、树形的枝条。</w:t>
            </w:r>
          </w:p>
          <w:p w14:paraId="2941F1A5">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（4）无影响交通、架空线的枝条。</w:t>
            </w:r>
          </w:p>
          <w:p w14:paraId="3E468009">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（5）同条道路行道树树种树形统一、规格一致。</w:t>
            </w:r>
          </w:p>
        </w:tc>
        <w:tc>
          <w:tcPr>
            <w:tcW w:w="2788" w:type="dxa"/>
            <w:noWrap w:val="0"/>
            <w:vAlign w:val="center"/>
          </w:tcPr>
          <w:p w14:paraId="21CD32D2">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（1）未制定科学合理的修剪计划，扣 5 分。</w:t>
            </w:r>
          </w:p>
          <w:p w14:paraId="1C14387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（2）未按树种要求修剪，一株扣 0.25 分。截口不平，截口直径 15cm 以上树木未涂抹防腐剂，一处扣 0.25 分。</w:t>
            </w:r>
          </w:p>
          <w:p w14:paraId="1A287D64">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（3）造型树木未按要求整形修剪，一株扣 1分。</w:t>
            </w:r>
          </w:p>
          <w:p w14:paraId="5E151E8B">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（4）修剪的枝条叶片未及时清除，一处扣0.25 分。</w:t>
            </w:r>
          </w:p>
          <w:p w14:paraId="0407C78E">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(5)未及时修剪影响交通、架空线的枝条，一处扣 0.5 分。</w:t>
            </w:r>
          </w:p>
        </w:tc>
      </w:tr>
      <w:tr w14:paraId="4A13F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00C9580A">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0D37CF19">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21A0D8A1">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2、病虫害防治</w:t>
            </w:r>
          </w:p>
          <w:p w14:paraId="24143C3D">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（1）病虫害控制及时，无蛀干害虫活卵活虫，树木主干虫孔、虫网、虫食叶片每株不得超过5%。</w:t>
            </w:r>
          </w:p>
          <w:p w14:paraId="2C0BD85A">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（2）用药配比正确，操作安全，喷药均匀，不发生药害事故。</w:t>
            </w:r>
          </w:p>
        </w:tc>
        <w:tc>
          <w:tcPr>
            <w:tcW w:w="2788" w:type="dxa"/>
            <w:noWrap w:val="0"/>
            <w:vAlign w:val="center"/>
          </w:tcPr>
          <w:p w14:paraId="7D3478D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（1）有明显病虫害，一株扣 0.5 分。</w:t>
            </w:r>
          </w:p>
          <w:p w14:paraId="74D7A5E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（2）药液比例配制不正确，造成树木伤害，每次扣 0.25 分、无打药记录或打药时没有管理机构现场签证，一次扣 5 分。</w:t>
            </w:r>
          </w:p>
        </w:tc>
      </w:tr>
      <w:tr w14:paraId="7E103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4BCADED6">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69F493F9">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6DEAC84B">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3、防寒防意外</w:t>
            </w:r>
          </w:p>
          <w:p w14:paraId="4C98526C">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（1）冬季容易冻害的树木及时涂白、裹缚完好。</w:t>
            </w:r>
          </w:p>
          <w:p w14:paraId="61102EB9">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（2）因不可抗拒因素（如暴雨、大雪等自然灾害）引起树木突然倒塌，碰线，及时组织力量半小时到达现场并及时处理。</w:t>
            </w:r>
          </w:p>
        </w:tc>
        <w:tc>
          <w:tcPr>
            <w:tcW w:w="2788" w:type="dxa"/>
            <w:noWrap w:val="0"/>
            <w:vAlign w:val="center"/>
          </w:tcPr>
          <w:p w14:paraId="4C046DEC">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（1）树木没有按要求做好裹缚等防冻措施，一株扣 1 分、冬季没有及时涂白、涂白质量不高或涂白不整齐美观，一株扣 0.25 分。</w:t>
            </w:r>
          </w:p>
          <w:p w14:paraId="6F41CEC4">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（2）树木因不可抗力倒伏倾斜没有及时扶正，一株扣 0.5 分。</w:t>
            </w:r>
          </w:p>
        </w:tc>
      </w:tr>
      <w:tr w14:paraId="69956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2BEC502F">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0C0E4512">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17D22C8D">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4、抗旱及施肥</w:t>
            </w:r>
          </w:p>
          <w:p w14:paraId="74AA6604">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（1）夏季及时做好抗旱浇水工作，植株不得出现失水萎蔫现象，无黄叶，无焦叶，卷叶。正常叶片保存率在 95%以上（夏秋天气炎热季节每天至少浇水一遍）</w:t>
            </w:r>
          </w:p>
          <w:p w14:paraId="07CC4715">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（2）每年施肥至少 2 次，以有机肥为主。</w:t>
            </w:r>
          </w:p>
        </w:tc>
        <w:tc>
          <w:tcPr>
            <w:tcW w:w="2788" w:type="dxa"/>
            <w:noWrap w:val="0"/>
            <w:vAlign w:val="center"/>
          </w:tcPr>
          <w:p w14:paraId="22397EDC">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（1）树木严重缺水，叶片枯萎，一株扣 0.5分。</w:t>
            </w:r>
          </w:p>
          <w:p w14:paraId="6EEAF0E3">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（2）无施肥记录或不按规定施肥，一次扣 5分。</w:t>
            </w:r>
          </w:p>
        </w:tc>
      </w:tr>
      <w:tr w14:paraId="71ECB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725A9F8A">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7EA91AA5">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2842015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5、除杂草及保洁卫生</w:t>
            </w:r>
          </w:p>
          <w:p w14:paraId="571CFA79">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（1）树穴杂草及时清理，不能出现大型、恶性、缠绕性杂草危害，无影响景观面貌的杂草。</w:t>
            </w:r>
          </w:p>
          <w:p w14:paraId="5C896365">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（2）行道树树穴无生活垃圾和建筑垃圾。</w:t>
            </w:r>
          </w:p>
        </w:tc>
        <w:tc>
          <w:tcPr>
            <w:tcW w:w="2788" w:type="dxa"/>
            <w:noWrap w:val="0"/>
            <w:vAlign w:val="center"/>
          </w:tcPr>
          <w:p w14:paraId="49247DB7">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（1）树穴未清理杂草，一处扣 0.25 分。</w:t>
            </w:r>
          </w:p>
          <w:p w14:paraId="0AF34E71">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（2）树穴有垃圾，一处扣0.25 分。</w:t>
            </w:r>
          </w:p>
        </w:tc>
      </w:tr>
      <w:tr w14:paraId="25FE5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2" w:hRule="atLeast"/>
        </w:trPr>
        <w:tc>
          <w:tcPr>
            <w:tcW w:w="823" w:type="dxa"/>
            <w:vMerge w:val="continue"/>
            <w:noWrap w:val="0"/>
            <w:vAlign w:val="center"/>
          </w:tcPr>
          <w:p w14:paraId="64057404">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38FCDD94">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295B5F8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6、保存率</w:t>
            </w:r>
          </w:p>
          <w:p w14:paraId="079E0AF7">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（1）保存率 100%，无缺株死株。</w:t>
            </w:r>
          </w:p>
          <w:p w14:paraId="30D691AC">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（2）视种植季节，及时补植。</w:t>
            </w:r>
          </w:p>
          <w:p w14:paraId="42F74D29">
            <w:pPr>
              <w:spacing w:line="24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（3）如出现死亡树木，及时报批倒伐</w:t>
            </w:r>
            <w:r>
              <w:rPr>
                <w:rFonts w:hint="eastAsia" w:ascii="宋体" w:hAnsi="宋体" w:cs="宋体"/>
                <w:color w:val="auto"/>
                <w:sz w:val="24"/>
                <w:szCs w:val="24"/>
                <w:highlight w:val="none"/>
                <w:lang w:eastAsia="zh-CN"/>
              </w:rPr>
              <w:t>。</w:t>
            </w:r>
          </w:p>
        </w:tc>
        <w:tc>
          <w:tcPr>
            <w:tcW w:w="2788" w:type="dxa"/>
            <w:noWrap w:val="0"/>
            <w:vAlign w:val="center"/>
          </w:tcPr>
          <w:p w14:paraId="10503992">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（1）乔木有死株缺株，一株扣 1 分，名贵树种每死一株扣 3 分。</w:t>
            </w:r>
          </w:p>
          <w:p w14:paraId="1E2EE002">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（2）未及时补植同种、同规格苗木，一株扣 1 分。</w:t>
            </w:r>
          </w:p>
          <w:p w14:paraId="6D0AC1B2">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（3）树木死亡后未及时清理，一株扣 0.5分</w:t>
            </w:r>
          </w:p>
        </w:tc>
      </w:tr>
      <w:tr w14:paraId="3FBF7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restart"/>
            <w:noWrap w:val="0"/>
            <w:vAlign w:val="center"/>
          </w:tcPr>
          <w:p w14:paraId="64793A11">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植物养护</w:t>
            </w:r>
          </w:p>
        </w:tc>
        <w:tc>
          <w:tcPr>
            <w:tcW w:w="696" w:type="dxa"/>
            <w:vMerge w:val="restart"/>
            <w:noWrap w:val="0"/>
            <w:vAlign w:val="center"/>
          </w:tcPr>
          <w:p w14:paraId="6C287AFA">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花灌木</w:t>
            </w:r>
          </w:p>
        </w:tc>
        <w:tc>
          <w:tcPr>
            <w:tcW w:w="4699" w:type="dxa"/>
            <w:noWrap w:val="0"/>
            <w:vAlign w:val="center"/>
          </w:tcPr>
          <w:p w14:paraId="61F5A253">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1、灌木、绿篱修剪</w:t>
            </w:r>
          </w:p>
          <w:p w14:paraId="1BF95AC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（1）制定科学合理的修剪计划，及时上报。</w:t>
            </w:r>
          </w:p>
          <w:p w14:paraId="05D26917">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（2）根据花灌木品种生长习性进行修剪、修剪及时合理、因地制宜，因树修剪，造型美观：各类灌木之间层次合理， 具有群体美；绿篱自然丰满，色块等轮廓清晰，线条流畅，层次分明，表面平整圆滑。外缘枝叶紧密；草坪保持平整；行道树树冠完整美观，主侧枝分布匀称，保留出足够安全距离，不影响路灯照明效果。</w:t>
            </w:r>
          </w:p>
          <w:p w14:paraId="5D5F673B">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（3）无枯枝败叶，无修后枝叶残存或散落不清。</w:t>
            </w:r>
          </w:p>
        </w:tc>
        <w:tc>
          <w:tcPr>
            <w:tcW w:w="2788" w:type="dxa"/>
            <w:noWrap w:val="0"/>
            <w:vAlign w:val="center"/>
          </w:tcPr>
          <w:p w14:paraId="40462C66">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（1）未制定科学合理的修剪计划，扣 5 分。</w:t>
            </w:r>
          </w:p>
          <w:p w14:paraId="3920867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（2）未按要求进行修剪。一处扣 0.1 分。</w:t>
            </w:r>
          </w:p>
          <w:p w14:paraId="76780E23">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（3）枯枝败叶未及时清除，一处扣 0.1 分。</w:t>
            </w:r>
          </w:p>
        </w:tc>
      </w:tr>
      <w:tr w14:paraId="7FD38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18AD1E80">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6119DEB4">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1041632C">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2、病虫害防治</w:t>
            </w:r>
          </w:p>
          <w:p w14:paraId="28FE1A6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（1）病虫害控制及时，无蛀干害虫活卵活虫，树木主干虫孔、虫网、虫食叶片每株不得超过5%。</w:t>
            </w:r>
          </w:p>
          <w:p w14:paraId="77C22085">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（2）用药比例正确，操作安全，喷药均匀，不发生药害事故。</w:t>
            </w:r>
          </w:p>
        </w:tc>
        <w:tc>
          <w:tcPr>
            <w:tcW w:w="2788" w:type="dxa"/>
            <w:noWrap w:val="0"/>
            <w:vAlign w:val="center"/>
          </w:tcPr>
          <w:p w14:paraId="304A9D71">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（1）有明显病虫害，一株扣 0.5 分。</w:t>
            </w:r>
          </w:p>
          <w:p w14:paraId="31285D67">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（2）药液比例配制不正确，造成树木伤害，每次扣 0.5 分，无打药记录，一次扣 5 分。</w:t>
            </w:r>
          </w:p>
        </w:tc>
      </w:tr>
      <w:tr w14:paraId="3BEF6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333B5CFF">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71D1CB02">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3257BA1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3、抗旱及施肥</w:t>
            </w:r>
          </w:p>
          <w:p w14:paraId="34E9756E">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（1）夏季及时做好抗旱浇水工作，植株不得出现失水萎蔫现象，无黄叶，无焦叶，卷叶。正常叶片保存率在 95%以上（夏秋天气炎热季节每天至少浇水一遍）</w:t>
            </w:r>
          </w:p>
          <w:p w14:paraId="0D136D59">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（2）根据植株增长势，及时施基肥、追肥。</w:t>
            </w:r>
          </w:p>
        </w:tc>
        <w:tc>
          <w:tcPr>
            <w:tcW w:w="2788" w:type="dxa"/>
            <w:noWrap w:val="0"/>
            <w:vAlign w:val="center"/>
          </w:tcPr>
          <w:p w14:paraId="1D42052E">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（1）植株严重缺水，叶片枯萎，一处扣 0.2分。</w:t>
            </w:r>
          </w:p>
          <w:p w14:paraId="3D0AC736">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（2）植株长势衰弱，一株扣 0.2 分、无施肥记录或不按规定施肥，一次扣 5 分。</w:t>
            </w:r>
          </w:p>
        </w:tc>
      </w:tr>
      <w:tr w14:paraId="3E030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3565FCC5">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4CE4C5B9">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3F30E98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4、除草及卫生保洁</w:t>
            </w:r>
          </w:p>
          <w:p w14:paraId="4004615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（1）无杂草及大型、恶性、缠绕性杂草危害，无影响景观面貌的杂草</w:t>
            </w:r>
          </w:p>
          <w:p w14:paraId="3DB0258D">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（2）灌木带内无生活垃圾和建筑垃圾</w:t>
            </w:r>
          </w:p>
        </w:tc>
        <w:tc>
          <w:tcPr>
            <w:tcW w:w="2788" w:type="dxa"/>
            <w:noWrap w:val="0"/>
            <w:vAlign w:val="center"/>
          </w:tcPr>
          <w:p w14:paraId="0AA1BCA4">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（1）有杂草及影响景观面貌的杂草，一处扣 0.25 分。</w:t>
            </w:r>
          </w:p>
          <w:p w14:paraId="43A3F7E2">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（2）灌木带内有垃圾，一处扣 0.25 分。</w:t>
            </w:r>
          </w:p>
        </w:tc>
      </w:tr>
      <w:tr w14:paraId="5023B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763ED3D3">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177B10A1">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6C492C44">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5、扶正、叶面蒙尘清除</w:t>
            </w:r>
          </w:p>
          <w:p w14:paraId="44946DDD">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（1）植株无歪斜、倒伏现象。</w:t>
            </w:r>
          </w:p>
          <w:p w14:paraId="600046EB">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（2）叶面无蒙尘及粘滞物。</w:t>
            </w:r>
          </w:p>
        </w:tc>
        <w:tc>
          <w:tcPr>
            <w:tcW w:w="2788" w:type="dxa"/>
            <w:noWrap w:val="0"/>
            <w:vAlign w:val="center"/>
          </w:tcPr>
          <w:p w14:paraId="188C9003">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（1）歪斜植株不及时扶正，一株扣 0.2 分。</w:t>
            </w:r>
          </w:p>
          <w:p w14:paraId="4279300D">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（2）叶面蒙尘或粘滞物不及时清除，一处扣 0.2 分。</w:t>
            </w:r>
          </w:p>
        </w:tc>
      </w:tr>
      <w:tr w14:paraId="71B40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23CEC8A8">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2A574F08">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777D301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6、保存率</w:t>
            </w:r>
          </w:p>
          <w:p w14:paraId="415810AF">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（1）保存率 100%，无缺株死株。</w:t>
            </w:r>
          </w:p>
          <w:p w14:paraId="4420B9CC">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（2）视种植季节，及时补植。</w:t>
            </w:r>
          </w:p>
        </w:tc>
        <w:tc>
          <w:tcPr>
            <w:tcW w:w="2788" w:type="dxa"/>
            <w:noWrap w:val="0"/>
            <w:vAlign w:val="center"/>
          </w:tcPr>
          <w:p w14:paraId="2D4E7D85">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（1）植株有死亡，一株扣 0.25 分。</w:t>
            </w:r>
          </w:p>
          <w:p w14:paraId="168FCA7C">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（2）未及时补植同品种、图片那个规格苗木，一株扣 0.25 分。</w:t>
            </w:r>
          </w:p>
        </w:tc>
      </w:tr>
      <w:tr w14:paraId="4E1AB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restart"/>
            <w:noWrap w:val="0"/>
            <w:vAlign w:val="center"/>
          </w:tcPr>
          <w:p w14:paraId="5299EEE4">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植物养护</w:t>
            </w:r>
          </w:p>
        </w:tc>
        <w:tc>
          <w:tcPr>
            <w:tcW w:w="696" w:type="dxa"/>
            <w:vMerge w:val="restart"/>
            <w:noWrap w:val="0"/>
            <w:vAlign w:val="center"/>
          </w:tcPr>
          <w:p w14:paraId="444285F0">
            <w:pPr>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地被草坪</w:t>
            </w:r>
          </w:p>
        </w:tc>
        <w:tc>
          <w:tcPr>
            <w:tcW w:w="4699" w:type="dxa"/>
            <w:noWrap w:val="0"/>
            <w:vAlign w:val="center"/>
          </w:tcPr>
          <w:p w14:paraId="7AF0A35D">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1、修剪</w:t>
            </w:r>
          </w:p>
          <w:p w14:paraId="033D131A">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（1）制定科学合理的修剪计划，及时上报。</w:t>
            </w:r>
          </w:p>
          <w:p w14:paraId="3FF60E39">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（2）根据不同地被、草坪品种，及时修剪。</w:t>
            </w:r>
          </w:p>
          <w:p w14:paraId="48FE64C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（3）草坪中的树坑、花坛边缘应切边，保持线条清晰。</w:t>
            </w:r>
          </w:p>
        </w:tc>
        <w:tc>
          <w:tcPr>
            <w:tcW w:w="2788" w:type="dxa"/>
            <w:noWrap w:val="0"/>
            <w:vAlign w:val="center"/>
          </w:tcPr>
          <w:p w14:paraId="531E582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（1）未制定科学合理的修剪计划，扣 5 分。</w:t>
            </w:r>
          </w:p>
          <w:p w14:paraId="5D24B26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（2）草坪修剪高度不一致或修剪后有撕裂现象，一处扣 0.5 分。</w:t>
            </w:r>
          </w:p>
          <w:p w14:paraId="13BB9BCD">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（3）草坪中的树坑，花坛边缘切不平的，一处扣 0.1 分、切边宽度不合 10-15cm 要求的，一处扣 0.25 分。</w:t>
            </w:r>
          </w:p>
        </w:tc>
      </w:tr>
      <w:tr w14:paraId="2E9D8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1D26281E">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75426D28">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3F562046">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2、病虫害防治</w:t>
            </w:r>
          </w:p>
          <w:p w14:paraId="375C43AF">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（1）病虫害防治及时有效，基本无病虫害的发生。</w:t>
            </w:r>
          </w:p>
          <w:p w14:paraId="27FF375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（2）用药配比正确，操作安全，喷药均匀，不发生药害事故。</w:t>
            </w:r>
          </w:p>
        </w:tc>
        <w:tc>
          <w:tcPr>
            <w:tcW w:w="2788" w:type="dxa"/>
            <w:noWrap w:val="0"/>
            <w:vAlign w:val="center"/>
          </w:tcPr>
          <w:p w14:paraId="5CB08CC2">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（1）有明显虫害，一处扣 0.5 分。</w:t>
            </w:r>
          </w:p>
          <w:p w14:paraId="6D38EF0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（2）药液比例配制不正确，造成树木伤害，每次扣 0.5 分，无打药记录或不按规定施药，一次扣 5 分。</w:t>
            </w:r>
          </w:p>
        </w:tc>
      </w:tr>
      <w:tr w14:paraId="766E8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21637859">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118AF1C5">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16F3B4AB">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3、抗旱及施肥</w:t>
            </w:r>
          </w:p>
          <w:p w14:paraId="0F4858A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（1）夏季及时做好抗旱（夏秋天气炎热季节每天至少浇水一遍）。</w:t>
            </w:r>
          </w:p>
          <w:p w14:paraId="3BFE30E0">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（2）根据植物长势，及时施基肥，每年不少于1 次。</w:t>
            </w:r>
          </w:p>
          <w:p w14:paraId="54AA9565">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（3）生长良好，无大范围长势衰退或滞长现象。</w:t>
            </w:r>
          </w:p>
        </w:tc>
        <w:tc>
          <w:tcPr>
            <w:tcW w:w="2788" w:type="dxa"/>
            <w:noWrap w:val="0"/>
            <w:vAlign w:val="center"/>
          </w:tcPr>
          <w:p w14:paraId="41AB5275">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（1）叶片枯萎，一处扣 0.2 分。</w:t>
            </w:r>
          </w:p>
          <w:p w14:paraId="6212C8DF">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（2）无施肥记录或不按规定施肥，一次扣 5分。</w:t>
            </w:r>
          </w:p>
          <w:p w14:paraId="23D587DC">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（3）草坪长势欠佳，生长季节出现明显枯萎，一处扣 0.5 分。</w:t>
            </w:r>
          </w:p>
        </w:tc>
      </w:tr>
      <w:tr w14:paraId="1D224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42BBDD78">
            <w:pPr>
              <w:spacing w:line="240" w:lineRule="auto"/>
              <w:jc w:val="center"/>
              <w:rPr>
                <w:rFonts w:hint="eastAsia" w:ascii="宋体" w:hAnsi="宋体" w:eastAsia="宋体" w:cs="宋体"/>
                <w:color w:val="auto"/>
                <w:sz w:val="24"/>
                <w:szCs w:val="24"/>
                <w:highlight w:val="none"/>
              </w:rPr>
            </w:pPr>
          </w:p>
        </w:tc>
        <w:tc>
          <w:tcPr>
            <w:tcW w:w="696" w:type="dxa"/>
            <w:vMerge w:val="continue"/>
            <w:noWrap w:val="0"/>
            <w:vAlign w:val="center"/>
          </w:tcPr>
          <w:p w14:paraId="5EDB0B47">
            <w:pPr>
              <w:spacing w:line="240" w:lineRule="auto"/>
              <w:jc w:val="center"/>
              <w:rPr>
                <w:rFonts w:hint="eastAsia" w:ascii="宋体" w:hAnsi="宋体" w:eastAsia="宋体" w:cs="宋体"/>
                <w:color w:val="auto"/>
                <w:sz w:val="24"/>
                <w:szCs w:val="24"/>
                <w:highlight w:val="none"/>
              </w:rPr>
            </w:pPr>
          </w:p>
        </w:tc>
        <w:tc>
          <w:tcPr>
            <w:tcW w:w="4699" w:type="dxa"/>
            <w:noWrap w:val="0"/>
            <w:vAlign w:val="center"/>
          </w:tcPr>
          <w:p w14:paraId="51B6AEBF">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4、除草及保洁卫生</w:t>
            </w:r>
          </w:p>
          <w:p w14:paraId="67AB7F24">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（1）草坪无明显杂草。</w:t>
            </w:r>
          </w:p>
          <w:p w14:paraId="278CFC3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（2）保持草坪清洁卫生。</w:t>
            </w:r>
          </w:p>
        </w:tc>
        <w:tc>
          <w:tcPr>
            <w:tcW w:w="2788" w:type="dxa"/>
            <w:noWrap w:val="0"/>
            <w:vAlign w:val="center"/>
          </w:tcPr>
          <w:p w14:paraId="13C81AEA">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（1）存在明显杂草，一处扣 0.25 分。</w:t>
            </w:r>
          </w:p>
          <w:p w14:paraId="1205E1AF">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（2）草坪上有垃圾，一处扣 0.25 分。</w:t>
            </w:r>
          </w:p>
        </w:tc>
      </w:tr>
      <w:tr w14:paraId="36EBD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dxa"/>
            <w:vMerge w:val="continue"/>
            <w:noWrap w:val="0"/>
            <w:vAlign w:val="center"/>
          </w:tcPr>
          <w:p w14:paraId="76F065DB">
            <w:pPr>
              <w:pStyle w:val="2"/>
              <w:keepNext w:val="0"/>
              <w:keepLines w:val="0"/>
              <w:numPr>
                <w:ilvl w:val="0"/>
                <w:numId w:val="0"/>
              </w:numPr>
              <w:tabs>
                <w:tab w:val="left" w:pos="567"/>
                <w:tab w:val="left" w:pos="6090"/>
              </w:tabs>
              <w:spacing w:before="120" w:after="120" w:line="240" w:lineRule="auto"/>
              <w:ind w:firstLine="420" w:firstLineChars="175"/>
              <w:jc w:val="center"/>
              <w:rPr>
                <w:rFonts w:hint="eastAsia" w:ascii="宋体" w:hAnsi="宋体" w:eastAsia="宋体" w:cs="宋体"/>
                <w:b w:val="0"/>
                <w:bCs/>
                <w:color w:val="auto"/>
                <w:sz w:val="24"/>
                <w:szCs w:val="24"/>
                <w:highlight w:val="none"/>
              </w:rPr>
            </w:pPr>
          </w:p>
        </w:tc>
        <w:tc>
          <w:tcPr>
            <w:tcW w:w="696" w:type="dxa"/>
            <w:vMerge w:val="continue"/>
            <w:noWrap w:val="0"/>
            <w:vAlign w:val="center"/>
          </w:tcPr>
          <w:p w14:paraId="11D0E749">
            <w:pPr>
              <w:pStyle w:val="2"/>
              <w:keepNext w:val="0"/>
              <w:keepLines w:val="0"/>
              <w:numPr>
                <w:ilvl w:val="0"/>
                <w:numId w:val="0"/>
              </w:numPr>
              <w:tabs>
                <w:tab w:val="left" w:pos="567"/>
                <w:tab w:val="left" w:pos="6090"/>
              </w:tabs>
              <w:spacing w:before="120" w:after="120" w:line="240" w:lineRule="auto"/>
              <w:ind w:firstLine="420" w:firstLineChars="175"/>
              <w:jc w:val="center"/>
              <w:rPr>
                <w:rFonts w:hint="eastAsia" w:ascii="宋体" w:hAnsi="宋体" w:eastAsia="宋体" w:cs="宋体"/>
                <w:b w:val="0"/>
                <w:bCs/>
                <w:color w:val="auto"/>
                <w:sz w:val="24"/>
                <w:szCs w:val="24"/>
                <w:highlight w:val="none"/>
              </w:rPr>
            </w:pPr>
          </w:p>
        </w:tc>
        <w:tc>
          <w:tcPr>
            <w:tcW w:w="4699" w:type="dxa"/>
            <w:noWrap w:val="0"/>
            <w:vAlign w:val="center"/>
          </w:tcPr>
          <w:p w14:paraId="24203F11">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5、覆盖率</w:t>
            </w:r>
          </w:p>
          <w:p w14:paraId="15CCA7B5">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（1）覆盖率 95%。</w:t>
            </w:r>
          </w:p>
          <w:p w14:paraId="6CF8F729">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（2）视种植季节，及时补种。</w:t>
            </w:r>
          </w:p>
        </w:tc>
        <w:tc>
          <w:tcPr>
            <w:tcW w:w="2788" w:type="dxa"/>
            <w:noWrap w:val="0"/>
            <w:vAlign w:val="center"/>
          </w:tcPr>
          <w:p w14:paraId="09FCE416">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（1）草皮空壳面积超过 0.5 ㎡，一处扣 0.5分。</w:t>
            </w:r>
          </w:p>
          <w:p w14:paraId="0939E5B1">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（2）不及时补种或补种规格品种不同，一处扣 0.25 分。</w:t>
            </w:r>
          </w:p>
        </w:tc>
      </w:tr>
      <w:tr w14:paraId="5782A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9" w:type="dxa"/>
            <w:gridSpan w:val="2"/>
            <w:noWrap w:val="0"/>
            <w:vAlign w:val="center"/>
          </w:tcPr>
          <w:p w14:paraId="50B1C43B">
            <w:pPr>
              <w:spacing w:line="240" w:lineRule="auto"/>
              <w:jc w:val="center"/>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其他</w:t>
            </w:r>
          </w:p>
        </w:tc>
        <w:tc>
          <w:tcPr>
            <w:tcW w:w="7487" w:type="dxa"/>
            <w:gridSpan w:val="2"/>
            <w:noWrap w:val="0"/>
            <w:vAlign w:val="center"/>
          </w:tcPr>
          <w:p w14:paraId="506E1D48">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cs="宋体"/>
                <w:color w:val="auto"/>
                <w:sz w:val="24"/>
                <w:szCs w:val="24"/>
                <w:highlight w:val="none"/>
                <w:lang w:val="en-US" w:eastAsia="zh-CN"/>
              </w:rPr>
              <w:t>中标</w:t>
            </w:r>
            <w:r>
              <w:rPr>
                <w:rFonts w:hint="eastAsia" w:ascii="宋体" w:hAnsi="宋体" w:eastAsia="宋体" w:cs="宋体"/>
                <w:color w:val="auto"/>
                <w:sz w:val="24"/>
                <w:szCs w:val="24"/>
                <w:highlight w:val="none"/>
              </w:rPr>
              <w:t>单位无故不参加管理机构会议，每次扣 2 分。</w:t>
            </w:r>
          </w:p>
          <w:p w14:paraId="0170ACEF">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（2）对存在的问题，</w:t>
            </w:r>
            <w:r>
              <w:rPr>
                <w:rFonts w:hint="eastAsia" w:ascii="宋体" w:hAnsi="宋体" w:cs="宋体"/>
                <w:color w:val="auto"/>
                <w:sz w:val="24"/>
                <w:szCs w:val="24"/>
                <w:highlight w:val="none"/>
                <w:lang w:val="en-US" w:eastAsia="zh-CN"/>
              </w:rPr>
              <w:t>中标</w:t>
            </w:r>
            <w:r>
              <w:rPr>
                <w:rFonts w:hint="eastAsia" w:ascii="宋体" w:hAnsi="宋体" w:eastAsia="宋体" w:cs="宋体"/>
                <w:color w:val="auto"/>
                <w:sz w:val="24"/>
                <w:szCs w:val="24"/>
                <w:highlight w:val="none"/>
              </w:rPr>
              <w:t>单位不按</w:t>
            </w:r>
            <w:r>
              <w:rPr>
                <w:rFonts w:hint="eastAsia" w:ascii="宋体" w:hAnsi="宋体" w:cs="宋体"/>
                <w:color w:val="auto"/>
                <w:sz w:val="24"/>
                <w:szCs w:val="24"/>
                <w:highlight w:val="none"/>
                <w:lang w:eastAsia="zh-CN"/>
              </w:rPr>
              <w:t>采购人</w:t>
            </w:r>
            <w:r>
              <w:rPr>
                <w:rFonts w:hint="eastAsia" w:ascii="宋体" w:hAnsi="宋体" w:eastAsia="宋体" w:cs="宋体"/>
                <w:color w:val="auto"/>
                <w:sz w:val="24"/>
                <w:szCs w:val="24"/>
                <w:highlight w:val="none"/>
              </w:rPr>
              <w:t>要求及时整改，每次扣2分。</w:t>
            </w:r>
          </w:p>
          <w:p w14:paraId="0640569E">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（3）养护工作受到举报、投诉、通报、媒体曝光，造成负面影响，经查属实并限期整改不到位的，扣3-5 分。</w:t>
            </w:r>
          </w:p>
          <w:p w14:paraId="1E252A5B">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（4）没有按要求完成上级交给的突击性任务，每次扣1-3 分。</w:t>
            </w:r>
          </w:p>
          <w:p w14:paraId="5B99E77D">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（5）养护工作受到上级嘉奖、媒体表彰，每次加3-5 分。</w:t>
            </w:r>
          </w:p>
          <w:p w14:paraId="65C1FB7F">
            <w:pPr>
              <w:spacing w:line="24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（6）按时保质完成上级交给的突击性任务，每次加1-3 分。</w:t>
            </w:r>
          </w:p>
        </w:tc>
      </w:tr>
    </w:tbl>
    <w:p w14:paraId="08C6213F">
      <w:pPr>
        <w:ind w:left="720" w:hanging="630" w:hangingChars="300"/>
        <w:rPr>
          <w:rFonts w:hint="eastAsia" w:ascii="宋体" w:hAnsi="宋体" w:cs="宋体"/>
          <w:b/>
          <w:color w:val="auto"/>
          <w:szCs w:val="24"/>
          <w:highlight w:val="none"/>
          <w:lang w:eastAsia="zh-CN"/>
        </w:rPr>
      </w:pPr>
    </w:p>
    <w:p w14:paraId="41FE304A">
      <w:pPr>
        <w:jc w:val="center"/>
        <w:rPr>
          <w:rFonts w:ascii="宋体" w:hAnsi="宋体" w:eastAsia="宋体"/>
          <w:b/>
          <w:bCs/>
          <w:color w:val="auto"/>
          <w:sz w:val="28"/>
          <w:szCs w:val="28"/>
          <w:highlight w:val="none"/>
        </w:rPr>
      </w:pPr>
      <w:r>
        <w:rPr>
          <w:rFonts w:hint="eastAsia" w:ascii="宋体" w:hAnsi="宋体" w:eastAsia="宋体"/>
          <w:b/>
          <w:bCs/>
          <w:color w:val="auto"/>
          <w:sz w:val="28"/>
          <w:szCs w:val="28"/>
          <w:highlight w:val="none"/>
          <w:lang w:val="en-US" w:eastAsia="zh-CN"/>
        </w:rPr>
        <w:t>道路</w:t>
      </w:r>
      <w:r>
        <w:rPr>
          <w:rFonts w:hint="eastAsia" w:ascii="宋体" w:hAnsi="宋体" w:eastAsia="宋体"/>
          <w:b/>
          <w:bCs/>
          <w:color w:val="auto"/>
          <w:sz w:val="28"/>
          <w:szCs w:val="28"/>
          <w:highlight w:val="none"/>
        </w:rPr>
        <w:t>保洁</w:t>
      </w:r>
    </w:p>
    <w:p w14:paraId="7AE3FA17">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(一) 环卫保洁</w:t>
      </w:r>
    </w:p>
    <w:p w14:paraId="27B1E8BE">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1.1 服务范围：本项目范围内全部道路 (含该路段的桥下、地下 通道、栈道等) 。</w:t>
      </w:r>
    </w:p>
    <w:p w14:paraId="7516F898">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1.2 服务内容：</w:t>
      </w:r>
    </w:p>
    <w:p w14:paraId="711505AD">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道路区域内环境卫生的清扫保洁服务：</w:t>
      </w:r>
    </w:p>
    <w:p w14:paraId="4E41ADF6">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①机械化作业 (冲洗、机扫、降尘、洗扫) ；</w:t>
      </w:r>
    </w:p>
    <w:p w14:paraId="5592DF8C">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②人工清扫保洁；垃圾清运及垃圾袋更换；</w:t>
      </w:r>
    </w:p>
    <w:p w14:paraId="14FB31A9">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③垃圾及废弃物收集清运；</w:t>
      </w:r>
    </w:p>
    <w:p w14:paraId="29FEBF0A">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④果壳箱的清掏、抹洗与管理维护；</w:t>
      </w:r>
    </w:p>
    <w:p w14:paraId="5686EE74">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⑤垃圾广告的清理；</w:t>
      </w:r>
    </w:p>
    <w:p w14:paraId="0FB3049D">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⑥可回收垃圾、厨余垃圾、有害垃圾及其他垃圾进行分类；</w:t>
      </w:r>
    </w:p>
    <w:p w14:paraId="5F981203">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⑦项目范围内的生活垃圾清运至垃圾中转站进行处理；</w:t>
      </w:r>
    </w:p>
    <w:p w14:paraId="3BDFC1A5">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⑧分类垃圾桶购买及根据采购人需求进行放置及管理。</w:t>
      </w:r>
    </w:p>
    <w:p w14:paraId="6702E2E9">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1.3 质量要求</w:t>
      </w:r>
    </w:p>
    <w:p w14:paraId="6CC96787">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1.3.1 人工清扫保洁时间及标准</w:t>
      </w:r>
    </w:p>
    <w:p w14:paraId="778C872A">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①冬季(11 月 1 日至次年 4 月 30 日)早上 6:00 - 7:00 完成第一次大扫，7:00-12:00 为保洁时间，13:00-14:30 完成第二次大扫，14:30-22:00 为保洁时间。夏季(5 月 1 日至 10 月31 日)早上5:30-7:00 完成第一次大扫，7:00-12:00 为保洁时间；13:00-14:30 完成第二 次大扫，14:30-22:00 为保洁时间(重要路段三班)用餐时间内各路段要安排保洁人员作业，不留空档期。</w:t>
      </w:r>
    </w:p>
    <w:p w14:paraId="3EBFC85E">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②道路清扫、保洁 (人工清扫 ) 必须作业到两边建筑物基石， 道路岔道、喇叭口人行道外路沿石、清扫向外延伸 10 米，道路两侧可视范围内及临街沿线范围内废弃物及渣余土 (装修垃圾) 应及时发现并及时清除。</w:t>
      </w:r>
    </w:p>
    <w:p w14:paraId="351E1415">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③收集时间(按路段级别调整):7:30-9:00 完成第一次垃圾收集； 14:30-16:00 完成第二次垃圾收集，19:00-20:30 完成第三次垃圾收 集。生活垃圾收集后送往垃圾中转站处置，清运生活垃圾车必须密闭， 不得二次污染路面。</w:t>
      </w:r>
    </w:p>
    <w:p w14:paraId="4426FE78">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④作业范围内“一空三面”干净整洁。即空中无吊挂垃圾、悬挂 废弃物；地面、立面、台面不得有垃圾、废弃物、灰沙、积水(可清 扫)、 油污、杂草、垃圾广告等污物。无焚烧垃圾、树叶现象。垃圾及废弃 物滞留时间不超过 15 分钟。</w:t>
      </w:r>
    </w:p>
    <w:p w14:paraId="00BE0C56">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⑤环卫保洁员必须巡回保洁，及时清扫各类散落垃圾，做到勤走、勤看、勤扫，确保路面整洁。可视范围内无散落垃圾和成堆垃圾、无泥渣积水。路面清扫保洁的垃圾应倒入保洁车或就近的垃圾站、垃圾收集点等指定的垃圾容器中。禁止往泄水井、绿化带、人行道、果皮筒倾倒垃圾；严禁焚烧垃圾等，按招标文件要求匹配保洁员。</w:t>
      </w:r>
    </w:p>
    <w:p w14:paraId="65669278">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⑥果壳箱每日两次以上清掏抹洗，确保早上 9:00 时前和下午16:00 时前完成，节假日适当增加清掏次数，确保每天 7:00-21:00 时 间内果壳箱垃圾不满溢。保持道路果壳箱内外及地面的整洁，做到箱 门关闭、摆放端正；及时清掏抹洗，确保无满溢现象，箱底无残留垃圾，箱体表面干净无污垢。保持果壳箱的整洁完好，确保每条道路果壳箱摆放统一，做到缺损后及时补缺、维修。果壳箱由采购人提供，后续缺损、修补、添加由中标人负责提供，并承担相关费用。</w:t>
      </w:r>
    </w:p>
    <w:p w14:paraId="3F8AF00F">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⑦垃圾广告清理每日 8 点之前完成一遍全面清理。垃圾广告清理作业必须清洁到道路两侧墙面构筑物或柱立面(店招(含)以下)范围，落实专人负责，保证路面巡回清理。</w:t>
      </w:r>
    </w:p>
    <w:p w14:paraId="201CBF7E">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作业范围内地面、立面(店招(含)以下)、台面保持整洁，无垃圾广告、粘贴物、乱涂乱画。粘贴性垃圾广告、粘贴物及时清除，乱 涂乱画及时覆盖，覆盖涂料颜色应与周边颜色融为一体，形状规整。作业范围还应包含路灯杆 1.2m 以下、变电箱、指路牌等城市家具。</w:t>
      </w:r>
    </w:p>
    <w:p w14:paraId="0D77AE92">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1.3.2 机械化作业时间及标准</w:t>
      </w:r>
    </w:p>
    <w:p w14:paraId="3AD59C93">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①机械化率需达到98%，机械化作业每天 6 小时以上。</w:t>
      </w:r>
    </w:p>
    <w:p w14:paraId="7DE58295">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②道路机械清扫作业时间应安排在每日 0 时-7 时，夏季(5 月 1日至 10 月 31 日)为 0 时-6 时 30 分时段内，增加机扫作业时间宜安排在每日 9 时-17 时，道路冲洗作业时间应安排在每日 23 时-次 日 6时，夏季(5 月 1 日至 10 月 31 日)为 23 时 30 分-次 日 6 时时段内，全年按 360 天计算。道路洒水或喷雾降温除尘作业时间为 9 时— 11 时、13 时-15 时、19 时-21 时，增加作业次数安排的时间为 11 时- 13时和 15 时-16 时半， 中雨(含)以上降水天气(以作业时天气为准)或 最低气温在3℃(含)以下时暂停道路机械化作业。</w:t>
      </w:r>
    </w:p>
    <w:p w14:paraId="1D2BCAD0">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③气温 28 度以上适情增加洒水次数，中雨(含)以上降水天气(以 作业时天气为准)或最低气温 3 度(含)以下暂停洒水作业。洗城行动： 包括人工冲洗和机械冲洗人行道及非机动车道，作业时间：每天 19:00 —22:00),中雨(含)以上降水天气(以作业时天气为准)或最低气温在 3℃(含)以下时暂停洗城行动。</w:t>
      </w:r>
    </w:p>
    <w:p w14:paraId="4B714D01">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④道路中心护栏必须使用机械清洗，严禁人工清洗，作业时间应安排在每日 23 时-次日 6 时，夏季(5 月 1 日至 10 月 31 日)为 23 时 30 分-次 日 6 时),每天完成一遍总清洗量；机非护栏和人行道护栏宜采用人工清洗，每六天清洗一遍。</w:t>
      </w:r>
    </w:p>
    <w:p w14:paraId="4C03B6AE">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⑤按规定路段作业，做到路面、隔离护栏下、路牙、下水口等整洁，无残留垃圾、无漂浮垃圾、无积灰，路面、人行道、路沿石见本色。</w:t>
      </w:r>
    </w:p>
    <w:p w14:paraId="3E680A53">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⑥冲洗、机扫、洗扫有效作业时间内平均作业时速为≤10 公里 /h；洒水降尘有效作业时间内平均作业时速为≤20 公里/h。中雨(含)以上降水天气(以作业时天气为准)或最低气温在 3℃(含)以下时暂停所有涉水作业。</w:t>
      </w:r>
    </w:p>
    <w:p w14:paraId="0FE10F9C">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⑦其它作业要求：作业时紧靠路沿石和中间隔离护栏进行清扫；机扫作业时应禁止“干扫”，做到喷雾机扫不扬尘，不“跑冒滴漏”。</w:t>
      </w:r>
    </w:p>
    <w:p w14:paraId="201FC2CB">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禁止侧刷、吸口不落地空跑；防止滴漏、遗撒，杜绝二次污染；并做好车辆保洁和维护，保持车容整洁，性能良好。</w:t>
      </w:r>
    </w:p>
    <w:p w14:paraId="3B6528AD">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1.3.3 其他清扫保洁要求</w:t>
      </w:r>
    </w:p>
    <w:p w14:paraId="68CE1C07">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清扫作业时严格按规定使用清扫保洁工具和设备，清扫工具、设备存放在隐蔽位置，不得影响市容。</w:t>
      </w:r>
    </w:p>
    <w:p w14:paraId="2CADBF50">
      <w:pPr>
        <w:pStyle w:val="6"/>
        <w:keepNext w:val="0"/>
        <w:keepLines w:val="0"/>
        <w:pageBreakBefore w:val="0"/>
        <w:kinsoku/>
        <w:wordWrap/>
        <w:overflowPunct/>
        <w:topLinePunct w:val="0"/>
        <w:autoSpaceDE/>
        <w:autoSpaceDN/>
        <w:bidi w:val="0"/>
        <w:adjustRightInd/>
        <w:snapToGrid/>
        <w:spacing w:before="0" w:beforeAutospacing="0" w:after="0" w:afterAutospacing="0" w:line="360" w:lineRule="auto"/>
        <w:ind w:right="0" w:firstLine="0" w:firstLineChars="0"/>
        <w:jc w:val="both"/>
        <w:textAlignment w:val="auto"/>
        <w:rPr>
          <w:rFonts w:hint="eastAsia"/>
          <w:highlight w:val="none"/>
          <w:lang w:val="en-US" w:eastAsia="zh-CN"/>
        </w:rPr>
      </w:pPr>
      <w:r>
        <w:rPr>
          <w:rFonts w:hint="eastAsia" w:ascii="宋体" w:hAnsi="宋体" w:eastAsia="宋体" w:cs="宋体"/>
          <w:color w:val="auto"/>
          <w:kern w:val="2"/>
          <w:sz w:val="24"/>
          <w:szCs w:val="24"/>
          <w:highlight w:val="none"/>
          <w:lang w:val="en-US" w:eastAsia="zh-CN" w:bidi="ar-SA"/>
        </w:rPr>
        <w:t>路段若遇突发情况，中标人应设置路障安全警示标志，必须在半小时内组织人员进行清扫、清理、清运，并在 15 分钟内向县环卫主管部门报告。</w:t>
      </w:r>
    </w:p>
    <w:p w14:paraId="3A9A83D7">
      <w:pPr>
        <w:tabs>
          <w:tab w:val="left" w:pos="8640"/>
        </w:tabs>
        <w:spacing w:beforeAutospacing="0" w:afterAutospacing="0" w:line="360" w:lineRule="auto"/>
        <w:ind w:right="0" w:rightChars="0" w:firstLine="0" w:firstLineChars="0"/>
        <w:jc w:val="both"/>
        <w:rPr>
          <w:rFonts w:hint="eastAsia" w:ascii="宋体" w:hAnsi="宋体" w:eastAsia="宋体" w:cs="宋体"/>
          <w:color w:val="auto"/>
          <w:spacing w:val="16"/>
          <w:sz w:val="24"/>
          <w:szCs w:val="24"/>
          <w:highlight w:val="none"/>
        </w:rPr>
      </w:pPr>
      <w:r>
        <w:rPr>
          <w:rFonts w:hint="eastAsia" w:ascii="宋体" w:hAnsi="宋体" w:eastAsia="宋体" w:cs="宋体"/>
          <w:color w:val="auto"/>
          <w:spacing w:val="16"/>
          <w:sz w:val="24"/>
          <w:szCs w:val="24"/>
          <w:highlight w:val="none"/>
        </w:rPr>
        <w:t>(二)各类垃圾分类</w:t>
      </w:r>
    </w:p>
    <w:p w14:paraId="2BFC2F1C">
      <w:pPr>
        <w:tabs>
          <w:tab w:val="left" w:pos="8640"/>
        </w:tabs>
        <w:spacing w:beforeAutospacing="0" w:afterAutospacing="0" w:line="360" w:lineRule="auto"/>
        <w:ind w:right="0" w:rightChars="0" w:firstLine="0" w:firstLineChars="0"/>
        <w:jc w:val="both"/>
        <w:rPr>
          <w:rFonts w:ascii="宋体" w:hAnsi="宋体" w:eastAsia="宋体" w:cs="宋体"/>
          <w:color w:val="auto"/>
          <w:sz w:val="24"/>
          <w:szCs w:val="24"/>
          <w:highlight w:val="none"/>
        </w:rPr>
      </w:pPr>
      <w:r>
        <w:rPr>
          <w:rFonts w:hint="eastAsia" w:ascii="宋体" w:hAnsi="宋体" w:eastAsia="宋体" w:cs="宋体"/>
          <w:color w:val="auto"/>
          <w:spacing w:val="16"/>
          <w:sz w:val="24"/>
          <w:szCs w:val="24"/>
          <w:highlight w:val="none"/>
          <w:lang w:val="en-US" w:eastAsia="zh-CN"/>
        </w:rPr>
        <w:t>2.1</w:t>
      </w:r>
      <w:r>
        <w:rPr>
          <w:rFonts w:ascii="宋体" w:hAnsi="宋体" w:eastAsia="宋体" w:cs="宋体"/>
          <w:color w:val="auto"/>
          <w:spacing w:val="-3"/>
          <w:sz w:val="24"/>
          <w:szCs w:val="24"/>
          <w:highlight w:val="none"/>
        </w:rPr>
        <w:t>垃圾四分类：厨余垃圾、可回收物、其他垃圾、有害垃圾，处理措施主要包括投放暂存及收运处置，具体为：</w:t>
      </w:r>
    </w:p>
    <w:p w14:paraId="6C050D2B">
      <w:pPr>
        <w:tabs>
          <w:tab w:val="left" w:pos="8640"/>
        </w:tabs>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lang w:val="en-US" w:eastAsia="zh-CN"/>
        </w:rPr>
        <w:t>2.2</w:t>
      </w:r>
      <w:r>
        <w:rPr>
          <w:rFonts w:ascii="宋体" w:hAnsi="宋体" w:eastAsia="宋体" w:cs="宋体"/>
          <w:color w:val="auto"/>
          <w:spacing w:val="-3"/>
          <w:sz w:val="24"/>
          <w:szCs w:val="24"/>
          <w:highlight w:val="none"/>
        </w:rPr>
        <w:t>可回收物。主要品种包括：废纸，废塑料，废金属，废包装物， 废旧纺织物，</w:t>
      </w:r>
      <w:r>
        <w:rPr>
          <w:rFonts w:ascii="宋体" w:hAnsi="宋体" w:eastAsia="宋体" w:cs="宋体"/>
          <w:color w:val="auto"/>
          <w:spacing w:val="-2"/>
          <w:sz w:val="24"/>
          <w:szCs w:val="24"/>
          <w:highlight w:val="none"/>
        </w:rPr>
        <w:t>废弃电器电子产品，废玻璃，废纸塑铝复合</w:t>
      </w:r>
      <w:r>
        <w:rPr>
          <w:rFonts w:ascii="宋体" w:hAnsi="宋体" w:eastAsia="宋体" w:cs="宋体"/>
          <w:color w:val="auto"/>
          <w:spacing w:val="-1"/>
          <w:sz w:val="24"/>
          <w:szCs w:val="24"/>
          <w:highlight w:val="none"/>
        </w:rPr>
        <w:t>包装等。</w:t>
      </w:r>
    </w:p>
    <w:p w14:paraId="7C3CB3BF">
      <w:pPr>
        <w:tabs>
          <w:tab w:val="left" w:pos="8640"/>
        </w:tabs>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rPr>
        <w:t>投放暂存：根据可回收物的</w:t>
      </w:r>
      <w:r>
        <w:rPr>
          <w:rFonts w:ascii="宋体" w:hAnsi="宋体" w:eastAsia="宋体" w:cs="宋体"/>
          <w:color w:val="auto"/>
          <w:spacing w:val="-1"/>
          <w:sz w:val="24"/>
          <w:szCs w:val="24"/>
          <w:highlight w:val="none"/>
        </w:rPr>
        <w:t>产生数量，设置容器或临时存储空间，实现单独分类、</w:t>
      </w:r>
      <w:r>
        <w:rPr>
          <w:rFonts w:ascii="宋体" w:hAnsi="宋体" w:eastAsia="宋体" w:cs="宋体"/>
          <w:color w:val="auto"/>
          <w:sz w:val="24"/>
          <w:szCs w:val="24"/>
          <w:highlight w:val="none"/>
        </w:rPr>
        <w:t xml:space="preserve"> </w:t>
      </w:r>
      <w:r>
        <w:rPr>
          <w:rFonts w:ascii="宋体" w:hAnsi="宋体" w:eastAsia="宋体" w:cs="宋体"/>
          <w:color w:val="auto"/>
          <w:spacing w:val="-6"/>
          <w:sz w:val="24"/>
          <w:szCs w:val="24"/>
          <w:highlight w:val="none"/>
        </w:rPr>
        <w:t>定点</w:t>
      </w:r>
      <w:r>
        <w:rPr>
          <w:rFonts w:ascii="宋体" w:hAnsi="宋体" w:eastAsia="宋体" w:cs="宋体"/>
          <w:color w:val="auto"/>
          <w:spacing w:val="-5"/>
          <w:sz w:val="24"/>
          <w:szCs w:val="24"/>
          <w:highlight w:val="none"/>
        </w:rPr>
        <w:t>投</w:t>
      </w:r>
      <w:r>
        <w:rPr>
          <w:rFonts w:ascii="宋体" w:hAnsi="宋体" w:eastAsia="宋体" w:cs="宋体"/>
          <w:color w:val="auto"/>
          <w:spacing w:val="-3"/>
          <w:sz w:val="24"/>
          <w:szCs w:val="24"/>
          <w:highlight w:val="none"/>
        </w:rPr>
        <w:t>放，设专人分拣打包。</w:t>
      </w:r>
    </w:p>
    <w:p w14:paraId="12CBE9D3">
      <w:pPr>
        <w:numPr>
          <w:ilvl w:val="0"/>
          <w:numId w:val="0"/>
        </w:numPr>
        <w:tabs>
          <w:tab w:val="left" w:pos="8640"/>
        </w:tabs>
        <w:spacing w:beforeAutospacing="0" w:afterAutospacing="0" w:line="360" w:lineRule="auto"/>
        <w:ind w:right="0" w:rightChars="0" w:firstLine="0" w:firstLineChars="0"/>
        <w:rPr>
          <w:color w:val="auto"/>
          <w:highlight w:val="none"/>
        </w:rPr>
      </w:pPr>
      <w:r>
        <w:rPr>
          <w:rFonts w:hint="eastAsia" w:ascii="宋体" w:hAnsi="宋体" w:eastAsia="宋体" w:cs="宋体"/>
          <w:color w:val="auto"/>
          <w:spacing w:val="-11"/>
          <w:sz w:val="24"/>
          <w:szCs w:val="24"/>
          <w:highlight w:val="none"/>
          <w:lang w:val="en-US" w:eastAsia="zh-CN"/>
        </w:rPr>
        <w:t>2.3</w:t>
      </w:r>
      <w:r>
        <w:rPr>
          <w:rFonts w:ascii="宋体" w:hAnsi="宋体" w:eastAsia="宋体" w:cs="宋体"/>
          <w:color w:val="auto"/>
          <w:spacing w:val="-11"/>
          <w:sz w:val="24"/>
          <w:szCs w:val="24"/>
          <w:highlight w:val="none"/>
        </w:rPr>
        <w:t>厨余垃圾。主要品种包括： 居民产生的厨余垃圾， 蔬菜瓜果垃圾、腐肉、肉碎骨、</w:t>
      </w:r>
      <w:r>
        <w:rPr>
          <w:rFonts w:ascii="宋体" w:hAnsi="宋体" w:eastAsia="宋体" w:cs="宋体"/>
          <w:color w:val="auto"/>
          <w:sz w:val="24"/>
          <w:szCs w:val="24"/>
          <w:highlight w:val="none"/>
        </w:rPr>
        <w:t xml:space="preserve"> </w:t>
      </w:r>
      <w:r>
        <w:rPr>
          <w:rFonts w:ascii="宋体" w:hAnsi="宋体" w:eastAsia="宋体" w:cs="宋体"/>
          <w:color w:val="auto"/>
          <w:spacing w:val="-7"/>
          <w:sz w:val="24"/>
          <w:szCs w:val="24"/>
          <w:highlight w:val="none"/>
        </w:rPr>
        <w:t>蛋</w:t>
      </w:r>
      <w:r>
        <w:rPr>
          <w:rFonts w:ascii="宋体" w:hAnsi="宋体" w:eastAsia="宋体" w:cs="宋体"/>
          <w:color w:val="auto"/>
          <w:spacing w:val="-4"/>
          <w:sz w:val="24"/>
          <w:szCs w:val="24"/>
          <w:highlight w:val="none"/>
        </w:rPr>
        <w:t>壳、畜禽产品内脏等。</w:t>
      </w:r>
    </w:p>
    <w:p w14:paraId="018EF8BB">
      <w:pPr>
        <w:tabs>
          <w:tab w:val="left" w:pos="8640"/>
        </w:tabs>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8"/>
          <w:sz w:val="24"/>
          <w:szCs w:val="24"/>
          <w:highlight w:val="none"/>
        </w:rPr>
        <w:t>投放暂存： 采用专门密闭容器存放。餐厨垃圾可由专人清理， 避免混入废餐具、</w:t>
      </w:r>
      <w:r>
        <w:rPr>
          <w:rFonts w:ascii="宋体" w:hAnsi="宋体" w:eastAsia="宋体" w:cs="宋体"/>
          <w:color w:val="auto"/>
          <w:spacing w:val="-5"/>
          <w:sz w:val="24"/>
          <w:szCs w:val="24"/>
          <w:highlight w:val="none"/>
        </w:rPr>
        <w:t>塑</w:t>
      </w:r>
      <w:r>
        <w:rPr>
          <w:rFonts w:ascii="宋体" w:hAnsi="宋体" w:eastAsia="宋体" w:cs="宋体"/>
          <w:color w:val="auto"/>
          <w:sz w:val="24"/>
          <w:szCs w:val="24"/>
          <w:highlight w:val="none"/>
        </w:rPr>
        <w:t xml:space="preserve"> </w:t>
      </w:r>
      <w:r>
        <w:rPr>
          <w:rFonts w:ascii="宋体" w:hAnsi="宋体" w:eastAsia="宋体" w:cs="宋体"/>
          <w:color w:val="auto"/>
          <w:spacing w:val="-2"/>
          <w:sz w:val="24"/>
          <w:szCs w:val="24"/>
          <w:highlight w:val="none"/>
        </w:rPr>
        <w:t>料、饮料瓶罐、废纸等不利于后续处理的杂质，并做到“日产日清”</w:t>
      </w:r>
      <w:r>
        <w:rPr>
          <w:rFonts w:ascii="宋体" w:hAnsi="宋体" w:eastAsia="宋体" w:cs="宋体"/>
          <w:color w:val="auto"/>
          <w:spacing w:val="-1"/>
          <w:sz w:val="24"/>
          <w:szCs w:val="24"/>
          <w:highlight w:val="none"/>
        </w:rPr>
        <w:t>。按规定建立台账</w:t>
      </w:r>
      <w:r>
        <w:rPr>
          <w:rFonts w:ascii="宋体" w:hAnsi="宋体" w:eastAsia="宋体" w:cs="宋体"/>
          <w:color w:val="auto"/>
          <w:sz w:val="24"/>
          <w:szCs w:val="24"/>
          <w:highlight w:val="none"/>
        </w:rPr>
        <w:t xml:space="preserve"> </w:t>
      </w:r>
      <w:r>
        <w:rPr>
          <w:rFonts w:ascii="宋体" w:hAnsi="宋体" w:eastAsia="宋体" w:cs="宋体"/>
          <w:color w:val="auto"/>
          <w:spacing w:val="-4"/>
          <w:sz w:val="24"/>
          <w:szCs w:val="24"/>
          <w:highlight w:val="none"/>
        </w:rPr>
        <w:t>制</w:t>
      </w:r>
      <w:r>
        <w:rPr>
          <w:rFonts w:ascii="宋体" w:hAnsi="宋体" w:eastAsia="宋体" w:cs="宋体"/>
          <w:color w:val="auto"/>
          <w:spacing w:val="-2"/>
          <w:sz w:val="24"/>
          <w:szCs w:val="24"/>
          <w:highlight w:val="none"/>
        </w:rPr>
        <w:t>度，记录餐厨垃圾的种类、数量、去向等。</w:t>
      </w:r>
    </w:p>
    <w:p w14:paraId="25FBD2D1">
      <w:pPr>
        <w:tabs>
          <w:tab w:val="left" w:pos="8160"/>
          <w:tab w:val="left" w:pos="8640"/>
        </w:tabs>
        <w:spacing w:beforeAutospacing="0" w:afterAutospacing="0" w:line="360" w:lineRule="auto"/>
        <w:ind w:right="0" w:rightChars="0" w:firstLine="0" w:firstLineChars="0"/>
        <w:rPr>
          <w:color w:val="auto"/>
          <w:highlight w:val="none"/>
        </w:rPr>
      </w:pPr>
      <w:r>
        <w:rPr>
          <w:rFonts w:ascii="宋体" w:hAnsi="宋体" w:eastAsia="宋体" w:cs="宋体"/>
          <w:color w:val="auto"/>
          <w:spacing w:val="-6"/>
          <w:sz w:val="24"/>
          <w:szCs w:val="24"/>
          <w:highlight w:val="none"/>
        </w:rPr>
        <w:t>收</w:t>
      </w:r>
      <w:r>
        <w:rPr>
          <w:rFonts w:ascii="宋体" w:hAnsi="宋体" w:eastAsia="宋体" w:cs="宋体"/>
          <w:color w:val="auto"/>
          <w:spacing w:val="-5"/>
          <w:sz w:val="24"/>
          <w:szCs w:val="24"/>
          <w:highlight w:val="none"/>
        </w:rPr>
        <w:t>运处置： 厨余垃圾由生活垃圾分类公司采用密闭专用车辆运送至厨余垃圾生物处</w:t>
      </w:r>
      <w:r>
        <w:rPr>
          <w:rFonts w:ascii="宋体" w:hAnsi="宋体" w:eastAsia="宋体" w:cs="宋体"/>
          <w:color w:val="auto"/>
          <w:sz w:val="24"/>
          <w:szCs w:val="24"/>
          <w:highlight w:val="none"/>
        </w:rPr>
        <w:t xml:space="preserve"> </w:t>
      </w:r>
      <w:r>
        <w:rPr>
          <w:rFonts w:ascii="宋体" w:hAnsi="宋体" w:eastAsia="宋体" w:cs="宋体"/>
          <w:color w:val="auto"/>
          <w:spacing w:val="-8"/>
          <w:sz w:val="24"/>
          <w:szCs w:val="24"/>
          <w:highlight w:val="none"/>
        </w:rPr>
        <w:t>理站进行处理</w:t>
      </w:r>
      <w:r>
        <w:rPr>
          <w:rFonts w:ascii="宋体" w:hAnsi="宋体" w:eastAsia="宋体" w:cs="宋体"/>
          <w:color w:val="auto"/>
          <w:spacing w:val="-7"/>
          <w:sz w:val="24"/>
          <w:szCs w:val="24"/>
          <w:highlight w:val="none"/>
        </w:rPr>
        <w:t>，</w:t>
      </w:r>
      <w:r>
        <w:rPr>
          <w:rFonts w:ascii="宋体" w:hAnsi="宋体" w:eastAsia="宋体" w:cs="宋体"/>
          <w:color w:val="auto"/>
          <w:spacing w:val="-4"/>
          <w:sz w:val="24"/>
          <w:szCs w:val="24"/>
          <w:highlight w:val="none"/>
        </w:rPr>
        <w:t xml:space="preserve"> 运输过程中应加强对泄露、遗撒和臭气的控制。相关部门要加强对小区</w:t>
      </w:r>
      <w:r>
        <w:rPr>
          <w:rFonts w:ascii="宋体" w:hAnsi="宋体" w:eastAsia="宋体" w:cs="宋体"/>
          <w:color w:val="auto"/>
          <w:sz w:val="24"/>
          <w:szCs w:val="24"/>
          <w:highlight w:val="none"/>
        </w:rPr>
        <w:t xml:space="preserve"> </w:t>
      </w:r>
      <w:r>
        <w:rPr>
          <w:rFonts w:ascii="宋体" w:hAnsi="宋体" w:eastAsia="宋体" w:cs="宋体"/>
          <w:color w:val="auto"/>
          <w:spacing w:val="-6"/>
          <w:sz w:val="24"/>
          <w:szCs w:val="24"/>
          <w:highlight w:val="none"/>
        </w:rPr>
        <w:t>厨</w:t>
      </w:r>
      <w:r>
        <w:rPr>
          <w:rFonts w:ascii="宋体" w:hAnsi="宋体" w:eastAsia="宋体" w:cs="宋体"/>
          <w:color w:val="auto"/>
          <w:spacing w:val="-5"/>
          <w:sz w:val="24"/>
          <w:szCs w:val="24"/>
          <w:highlight w:val="none"/>
        </w:rPr>
        <w:t>余</w:t>
      </w:r>
      <w:r>
        <w:rPr>
          <w:rFonts w:ascii="宋体" w:hAnsi="宋体" w:eastAsia="宋体" w:cs="宋体"/>
          <w:color w:val="auto"/>
          <w:spacing w:val="-3"/>
          <w:sz w:val="24"/>
          <w:szCs w:val="24"/>
          <w:highlight w:val="none"/>
        </w:rPr>
        <w:t>垃圾运输、处理的监控。</w:t>
      </w:r>
    </w:p>
    <w:p w14:paraId="220F6478">
      <w:pPr>
        <w:tabs>
          <w:tab w:val="left" w:pos="8640"/>
          <w:tab w:val="left" w:pos="9600"/>
        </w:tabs>
        <w:spacing w:beforeAutospacing="0" w:afterAutospacing="0" w:line="360" w:lineRule="auto"/>
        <w:ind w:right="0" w:rightChars="0" w:firstLine="0" w:firstLineChars="0"/>
        <w:rPr>
          <w:rFonts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val="en-US" w:eastAsia="zh-CN"/>
        </w:rPr>
        <w:t>2.4</w:t>
      </w:r>
      <w:r>
        <w:rPr>
          <w:rFonts w:ascii="宋体" w:hAnsi="宋体" w:eastAsia="宋体" w:cs="宋体"/>
          <w:color w:val="auto"/>
          <w:spacing w:val="-2"/>
          <w:sz w:val="24"/>
          <w:szCs w:val="24"/>
          <w:highlight w:val="none"/>
        </w:rPr>
        <w:t>有害垃圾。主要品种包括： 废电池(镉镍电池、氧化</w:t>
      </w:r>
      <w:r>
        <w:rPr>
          <w:rFonts w:ascii="宋体" w:hAnsi="宋体" w:eastAsia="宋体" w:cs="宋体"/>
          <w:color w:val="auto"/>
          <w:spacing w:val="-1"/>
          <w:sz w:val="24"/>
          <w:szCs w:val="24"/>
          <w:highlight w:val="none"/>
        </w:rPr>
        <w:t>汞电池、铅蓄电池等)，废</w:t>
      </w:r>
      <w:r>
        <w:rPr>
          <w:rFonts w:ascii="宋体" w:hAnsi="宋体" w:eastAsia="宋体" w:cs="宋体"/>
          <w:color w:val="auto"/>
          <w:spacing w:val="-8"/>
          <w:sz w:val="24"/>
          <w:szCs w:val="24"/>
          <w:highlight w:val="none"/>
        </w:rPr>
        <w:t>荧光灯管(日光灯管、节能灯等)，废温度计，废血压计，废药品及其包装物， 废油漆、</w:t>
      </w:r>
      <w:r>
        <w:rPr>
          <w:rFonts w:ascii="宋体" w:hAnsi="宋体" w:eastAsia="宋体" w:cs="宋体"/>
          <w:color w:val="auto"/>
          <w:spacing w:val="-2"/>
          <w:sz w:val="24"/>
          <w:szCs w:val="24"/>
          <w:highlight w:val="none"/>
        </w:rPr>
        <w:t>溶剂及其包装物，废杀虫剂、消毒</w:t>
      </w:r>
      <w:r>
        <w:rPr>
          <w:rFonts w:ascii="宋体" w:hAnsi="宋体" w:eastAsia="宋体" w:cs="宋体"/>
          <w:color w:val="auto"/>
          <w:spacing w:val="-1"/>
          <w:sz w:val="24"/>
          <w:szCs w:val="24"/>
          <w:highlight w:val="none"/>
        </w:rPr>
        <w:t>剂及其包装物，废胶片及废相纸等。</w:t>
      </w:r>
    </w:p>
    <w:p w14:paraId="2221D14C">
      <w:pPr>
        <w:tabs>
          <w:tab w:val="left" w:pos="8640"/>
        </w:tabs>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20"/>
          <w:sz w:val="24"/>
          <w:szCs w:val="24"/>
          <w:highlight w:val="none"/>
        </w:rPr>
        <w:t>投放暂</w:t>
      </w:r>
      <w:r>
        <w:rPr>
          <w:rFonts w:ascii="宋体" w:hAnsi="宋体" w:eastAsia="宋体" w:cs="宋体"/>
          <w:color w:val="auto"/>
          <w:spacing w:val="-11"/>
          <w:sz w:val="24"/>
          <w:szCs w:val="24"/>
          <w:highlight w:val="none"/>
        </w:rPr>
        <w:t>存</w:t>
      </w:r>
      <w:r>
        <w:rPr>
          <w:rFonts w:ascii="宋体" w:hAnsi="宋体" w:eastAsia="宋体" w:cs="宋体"/>
          <w:color w:val="auto"/>
          <w:spacing w:val="-10"/>
          <w:sz w:val="24"/>
          <w:szCs w:val="24"/>
          <w:highlight w:val="none"/>
        </w:rPr>
        <w:t>：按照便利、快捷、安全原则，设立专门场所或容器，对不同品种的有害</w:t>
      </w:r>
      <w:r>
        <w:rPr>
          <w:rFonts w:ascii="宋体" w:hAnsi="宋体" w:eastAsia="宋体" w:cs="宋体"/>
          <w:color w:val="auto"/>
          <w:sz w:val="24"/>
          <w:szCs w:val="24"/>
          <w:highlight w:val="none"/>
        </w:rPr>
        <w:t xml:space="preserve"> </w:t>
      </w:r>
      <w:r>
        <w:rPr>
          <w:rFonts w:ascii="宋体" w:hAnsi="宋体" w:eastAsia="宋体" w:cs="宋体"/>
          <w:color w:val="auto"/>
          <w:spacing w:val="-8"/>
          <w:sz w:val="24"/>
          <w:szCs w:val="24"/>
          <w:highlight w:val="none"/>
        </w:rPr>
        <w:t>垃圾进行分类投</w:t>
      </w:r>
      <w:r>
        <w:rPr>
          <w:rFonts w:ascii="宋体" w:hAnsi="宋体" w:eastAsia="宋体" w:cs="宋体"/>
          <w:color w:val="auto"/>
          <w:spacing w:val="-7"/>
          <w:sz w:val="24"/>
          <w:szCs w:val="24"/>
          <w:highlight w:val="none"/>
        </w:rPr>
        <w:t>放</w:t>
      </w:r>
      <w:r>
        <w:rPr>
          <w:rFonts w:ascii="宋体" w:hAnsi="宋体" w:eastAsia="宋体" w:cs="宋体"/>
          <w:color w:val="auto"/>
          <w:spacing w:val="-4"/>
          <w:sz w:val="24"/>
          <w:szCs w:val="24"/>
          <w:highlight w:val="none"/>
        </w:rPr>
        <w:t>、收集、暂存，并在醒目位置设置有害垃圾标志。对列入《国家危险</w:t>
      </w:r>
      <w:r>
        <w:rPr>
          <w:rFonts w:ascii="宋体" w:hAnsi="宋体" w:eastAsia="宋体" w:cs="宋体"/>
          <w:color w:val="auto"/>
          <w:spacing w:val="-2"/>
          <w:sz w:val="24"/>
          <w:szCs w:val="24"/>
          <w:highlight w:val="none"/>
        </w:rPr>
        <w:t>废物名录》(环境</w:t>
      </w:r>
      <w:r>
        <w:rPr>
          <w:rFonts w:ascii="宋体" w:hAnsi="宋体" w:eastAsia="宋体" w:cs="宋体"/>
          <w:color w:val="auto"/>
          <w:spacing w:val="-1"/>
          <w:sz w:val="24"/>
          <w:szCs w:val="24"/>
          <w:highlight w:val="none"/>
        </w:rPr>
        <w:t>保护部令第 39 号)的品种，按要求设置临时贮存场所。</w:t>
      </w:r>
    </w:p>
    <w:p w14:paraId="0B339FFC">
      <w:pPr>
        <w:tabs>
          <w:tab w:val="left" w:pos="8640"/>
        </w:tabs>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22"/>
          <w:sz w:val="24"/>
          <w:szCs w:val="24"/>
          <w:highlight w:val="none"/>
        </w:rPr>
        <w:t>收运</w:t>
      </w:r>
      <w:r>
        <w:rPr>
          <w:rFonts w:ascii="宋体" w:hAnsi="宋体" w:eastAsia="宋体" w:cs="宋体"/>
          <w:color w:val="auto"/>
          <w:spacing w:val="-19"/>
          <w:sz w:val="24"/>
          <w:szCs w:val="24"/>
          <w:highlight w:val="none"/>
        </w:rPr>
        <w:t>处</w:t>
      </w:r>
      <w:r>
        <w:rPr>
          <w:rFonts w:ascii="宋体" w:hAnsi="宋体" w:eastAsia="宋体" w:cs="宋体"/>
          <w:color w:val="auto"/>
          <w:spacing w:val="-11"/>
          <w:sz w:val="24"/>
          <w:szCs w:val="24"/>
          <w:highlight w:val="none"/>
        </w:rPr>
        <w:t>置：通过设立宣传栏、垃圾分类督导员等方式，引导居民单独投放有害垃圾。</w:t>
      </w:r>
      <w:r>
        <w:rPr>
          <w:rFonts w:ascii="宋体" w:hAnsi="宋体" w:eastAsia="宋体" w:cs="宋体"/>
          <w:color w:val="auto"/>
          <w:spacing w:val="-8"/>
          <w:sz w:val="24"/>
          <w:szCs w:val="24"/>
          <w:highlight w:val="none"/>
        </w:rPr>
        <w:t>针对家庭源</w:t>
      </w:r>
      <w:r>
        <w:rPr>
          <w:rFonts w:ascii="宋体" w:hAnsi="宋体" w:eastAsia="宋体" w:cs="宋体"/>
          <w:color w:val="auto"/>
          <w:spacing w:val="-4"/>
          <w:sz w:val="24"/>
          <w:szCs w:val="24"/>
          <w:highlight w:val="none"/>
        </w:rPr>
        <w:t>有害垃圾数量少、投放频次低等特点，可在小区设立固定回收点或设置专门</w:t>
      </w:r>
      <w:r>
        <w:rPr>
          <w:rFonts w:ascii="宋体" w:hAnsi="宋体" w:eastAsia="宋体" w:cs="宋体"/>
          <w:color w:val="auto"/>
          <w:sz w:val="24"/>
          <w:szCs w:val="24"/>
          <w:highlight w:val="none"/>
        </w:rPr>
        <w:t xml:space="preserve"> </w:t>
      </w:r>
      <w:r>
        <w:rPr>
          <w:rFonts w:ascii="宋体" w:hAnsi="宋体" w:eastAsia="宋体" w:cs="宋体"/>
          <w:color w:val="auto"/>
          <w:spacing w:val="-14"/>
          <w:sz w:val="24"/>
          <w:szCs w:val="24"/>
          <w:highlight w:val="none"/>
        </w:rPr>
        <w:t>容器</w:t>
      </w:r>
      <w:r>
        <w:rPr>
          <w:rFonts w:ascii="宋体" w:hAnsi="宋体" w:eastAsia="宋体" w:cs="宋体"/>
          <w:color w:val="auto"/>
          <w:spacing w:val="-13"/>
          <w:sz w:val="24"/>
          <w:szCs w:val="24"/>
          <w:highlight w:val="none"/>
        </w:rPr>
        <w:t>分</w:t>
      </w:r>
      <w:r>
        <w:rPr>
          <w:rFonts w:ascii="宋体" w:hAnsi="宋体" w:eastAsia="宋体" w:cs="宋体"/>
          <w:color w:val="auto"/>
          <w:spacing w:val="-7"/>
          <w:sz w:val="24"/>
          <w:szCs w:val="24"/>
          <w:highlight w:val="none"/>
        </w:rPr>
        <w:t>类收集、独立储存有害垃圾，由居民自行投放，由中标供应商负责管理和定时集</w:t>
      </w:r>
      <w:r>
        <w:rPr>
          <w:rFonts w:ascii="宋体" w:hAnsi="宋体" w:eastAsia="宋体" w:cs="宋体"/>
          <w:color w:val="auto"/>
          <w:spacing w:val="-10"/>
          <w:sz w:val="24"/>
          <w:szCs w:val="24"/>
          <w:highlight w:val="none"/>
        </w:rPr>
        <w:t>中</w:t>
      </w:r>
      <w:r>
        <w:rPr>
          <w:rFonts w:ascii="宋体" w:hAnsi="宋体" w:eastAsia="宋体" w:cs="宋体"/>
          <w:color w:val="auto"/>
          <w:spacing w:val="-8"/>
          <w:sz w:val="24"/>
          <w:szCs w:val="24"/>
          <w:highlight w:val="none"/>
        </w:rPr>
        <w:t>收运。</w:t>
      </w:r>
    </w:p>
    <w:p w14:paraId="63A03556">
      <w:pPr>
        <w:tabs>
          <w:tab w:val="left" w:pos="8640"/>
        </w:tabs>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16"/>
          <w:sz w:val="24"/>
          <w:szCs w:val="24"/>
          <w:highlight w:val="none"/>
        </w:rPr>
        <w:t>由采购</w:t>
      </w:r>
      <w:r>
        <w:rPr>
          <w:rFonts w:ascii="宋体" w:hAnsi="宋体" w:eastAsia="宋体" w:cs="宋体"/>
          <w:color w:val="auto"/>
          <w:spacing w:val="-9"/>
          <w:sz w:val="24"/>
          <w:szCs w:val="24"/>
          <w:highlight w:val="none"/>
        </w:rPr>
        <w:t>人</w:t>
      </w:r>
      <w:r>
        <w:rPr>
          <w:rFonts w:ascii="宋体" w:hAnsi="宋体" w:eastAsia="宋体" w:cs="宋体"/>
          <w:color w:val="auto"/>
          <w:spacing w:val="-8"/>
          <w:sz w:val="24"/>
          <w:szCs w:val="24"/>
          <w:highlight w:val="none"/>
        </w:rPr>
        <w:t>提供有害垃圾封闭暂存场所，生活垃圾分类企业负责收集、转运；并根据有害垃圾的品</w:t>
      </w:r>
      <w:r>
        <w:rPr>
          <w:rFonts w:ascii="宋体" w:hAnsi="宋体" w:eastAsia="宋体" w:cs="宋体"/>
          <w:color w:val="auto"/>
          <w:spacing w:val="-5"/>
          <w:sz w:val="24"/>
          <w:szCs w:val="24"/>
          <w:highlight w:val="none"/>
        </w:rPr>
        <w:t>种</w:t>
      </w:r>
      <w:r>
        <w:rPr>
          <w:rFonts w:ascii="宋体" w:hAnsi="宋体" w:eastAsia="宋体" w:cs="宋体"/>
          <w:color w:val="auto"/>
          <w:spacing w:val="-4"/>
          <w:sz w:val="24"/>
          <w:szCs w:val="24"/>
          <w:highlight w:val="none"/>
        </w:rPr>
        <w:t>和产生数量，合理确定或约定收运频率。危险废物运输、处置符合国家</w:t>
      </w:r>
      <w:r>
        <w:rPr>
          <w:rFonts w:ascii="宋体" w:hAnsi="宋体" w:eastAsia="宋体" w:cs="宋体"/>
          <w:color w:val="auto"/>
          <w:spacing w:val="-10"/>
          <w:sz w:val="24"/>
          <w:szCs w:val="24"/>
          <w:highlight w:val="none"/>
        </w:rPr>
        <w:t>有</w:t>
      </w:r>
      <w:r>
        <w:rPr>
          <w:rFonts w:ascii="宋体" w:hAnsi="宋体" w:eastAsia="宋体" w:cs="宋体"/>
          <w:color w:val="auto"/>
          <w:spacing w:val="-6"/>
          <w:sz w:val="24"/>
          <w:szCs w:val="24"/>
          <w:highlight w:val="none"/>
        </w:rPr>
        <w:t>关规定。</w:t>
      </w:r>
    </w:p>
    <w:p w14:paraId="48B92361">
      <w:pPr>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2.5</w:t>
      </w:r>
      <w:r>
        <w:rPr>
          <w:rFonts w:ascii="宋体" w:hAnsi="宋体" w:eastAsia="宋体" w:cs="宋体"/>
          <w:color w:val="auto"/>
          <w:spacing w:val="-2"/>
          <w:sz w:val="24"/>
          <w:szCs w:val="24"/>
          <w:highlight w:val="none"/>
        </w:rPr>
        <w:t>其它垃圾。除上述之外的其它生活垃圾。小区其他垃圾仍由小区物业负责收集、转运至垃圾中转</w:t>
      </w:r>
      <w:r>
        <w:rPr>
          <w:rFonts w:ascii="宋体" w:hAnsi="宋体" w:eastAsia="宋体" w:cs="宋体"/>
          <w:color w:val="auto"/>
          <w:spacing w:val="-1"/>
          <w:sz w:val="24"/>
          <w:szCs w:val="24"/>
          <w:highlight w:val="none"/>
        </w:rPr>
        <w:t>站</w:t>
      </w:r>
      <w:r>
        <w:rPr>
          <w:rFonts w:ascii="宋体" w:hAnsi="宋体" w:eastAsia="宋体" w:cs="宋体"/>
          <w:color w:val="auto"/>
          <w:sz w:val="24"/>
          <w:szCs w:val="24"/>
          <w:highlight w:val="none"/>
        </w:rPr>
        <w:t>。</w:t>
      </w:r>
    </w:p>
    <w:p w14:paraId="75B53A16">
      <w:pPr>
        <w:pStyle w:val="6"/>
        <w:spacing w:before="0" w:beforeAutospacing="0" w:after="0" w:afterAutospacing="0" w:line="360" w:lineRule="auto"/>
        <w:ind w:right="0" w:firstLine="0" w:firstLineChars="0"/>
        <w:rPr>
          <w:rFonts w:hint="eastAsia"/>
          <w:color w:val="auto"/>
          <w:highlight w:val="none"/>
        </w:rPr>
      </w:pPr>
      <w:r>
        <w:rPr>
          <w:rFonts w:hint="eastAsia"/>
          <w:color w:val="auto"/>
          <w:highlight w:val="none"/>
        </w:rPr>
        <w:t>(三)各类垃圾清运</w:t>
      </w:r>
    </w:p>
    <w:p w14:paraId="326527A0">
      <w:pPr>
        <w:spacing w:beforeAutospacing="0" w:afterAutospacing="0" w:line="360" w:lineRule="auto"/>
        <w:ind w:right="0" w:rightChars="0" w:firstLine="0" w:firstLineChars="0"/>
        <w:rPr>
          <w:rFonts w:ascii="宋体" w:hAnsi="宋体" w:eastAsia="宋体" w:cs="宋体"/>
          <w:color w:val="auto"/>
          <w:spacing w:val="-4"/>
          <w:sz w:val="24"/>
          <w:szCs w:val="24"/>
          <w:highlight w:val="none"/>
        </w:rPr>
      </w:pPr>
      <w:r>
        <w:rPr>
          <w:rFonts w:hint="eastAsia" w:ascii="宋体" w:hAnsi="宋体" w:eastAsia="宋体" w:cs="宋体"/>
          <w:color w:val="auto"/>
          <w:spacing w:val="-10"/>
          <w:sz w:val="24"/>
          <w:szCs w:val="24"/>
          <w:highlight w:val="none"/>
          <w:lang w:val="en-US" w:eastAsia="zh-CN"/>
        </w:rPr>
        <w:t>3.1</w:t>
      </w:r>
      <w:r>
        <w:rPr>
          <w:rFonts w:ascii="宋体" w:hAnsi="宋体" w:eastAsia="宋体" w:cs="宋体"/>
          <w:color w:val="auto"/>
          <w:spacing w:val="-10"/>
          <w:sz w:val="24"/>
          <w:szCs w:val="24"/>
          <w:highlight w:val="none"/>
        </w:rPr>
        <w:t>中标服</w:t>
      </w:r>
      <w:r>
        <w:rPr>
          <w:rFonts w:ascii="宋体" w:hAnsi="宋体" w:eastAsia="宋体" w:cs="宋体"/>
          <w:color w:val="auto"/>
          <w:spacing w:val="-5"/>
          <w:sz w:val="24"/>
          <w:szCs w:val="24"/>
          <w:highlight w:val="none"/>
        </w:rPr>
        <w:t>务商应当按规定的时间清运垃圾做到日产日清， 并逐步做到各类垃圾的无害</w:t>
      </w:r>
      <w:r>
        <w:rPr>
          <w:rFonts w:ascii="宋体" w:hAnsi="宋体" w:eastAsia="宋体" w:cs="宋体"/>
          <w:color w:val="auto"/>
          <w:sz w:val="24"/>
          <w:szCs w:val="24"/>
          <w:highlight w:val="none"/>
        </w:rPr>
        <w:t xml:space="preserve"> </w:t>
      </w:r>
      <w:r>
        <w:rPr>
          <w:rFonts w:ascii="宋体" w:hAnsi="宋体" w:eastAsia="宋体" w:cs="宋体"/>
          <w:color w:val="auto"/>
          <w:spacing w:val="-8"/>
          <w:sz w:val="24"/>
          <w:szCs w:val="24"/>
          <w:highlight w:val="none"/>
        </w:rPr>
        <w:t>化</w:t>
      </w:r>
      <w:r>
        <w:rPr>
          <w:rFonts w:ascii="宋体" w:hAnsi="宋体" w:eastAsia="宋体" w:cs="宋体"/>
          <w:color w:val="auto"/>
          <w:spacing w:val="-5"/>
          <w:sz w:val="24"/>
          <w:szCs w:val="24"/>
          <w:highlight w:val="none"/>
        </w:rPr>
        <w:t>处</w:t>
      </w:r>
      <w:r>
        <w:rPr>
          <w:rFonts w:ascii="宋体" w:hAnsi="宋体" w:eastAsia="宋体" w:cs="宋体"/>
          <w:color w:val="auto"/>
          <w:spacing w:val="-4"/>
          <w:sz w:val="24"/>
          <w:szCs w:val="24"/>
          <w:highlight w:val="none"/>
        </w:rPr>
        <w:t>理和综合利用。</w:t>
      </w:r>
    </w:p>
    <w:p w14:paraId="2114D7B5">
      <w:pPr>
        <w:spacing w:beforeAutospacing="0" w:afterAutospacing="0" w:line="360" w:lineRule="auto"/>
        <w:ind w:right="0" w:rightChars="0" w:firstLine="0" w:firstLineChars="0"/>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3.2</w:t>
      </w:r>
      <w:r>
        <w:rPr>
          <w:rFonts w:hint="eastAsia" w:ascii="宋体" w:hAnsi="宋体" w:eastAsia="宋体" w:cs="宋体"/>
          <w:color w:val="auto"/>
          <w:spacing w:val="-5"/>
          <w:sz w:val="24"/>
          <w:szCs w:val="24"/>
          <w:highlight w:val="none"/>
        </w:rPr>
        <w:t>生活垃圾收集清运</w:t>
      </w:r>
    </w:p>
    <w:p w14:paraId="49A7A56B">
      <w:pPr>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pacing w:val="-13"/>
          <w:sz w:val="24"/>
          <w:szCs w:val="24"/>
          <w:highlight w:val="none"/>
          <w:lang w:val="en-US" w:eastAsia="zh-CN"/>
        </w:rPr>
        <w:t>3.2.1</w:t>
      </w:r>
      <w:r>
        <w:rPr>
          <w:rFonts w:ascii="宋体" w:hAnsi="宋体" w:eastAsia="宋体" w:cs="宋体"/>
          <w:color w:val="auto"/>
          <w:spacing w:val="-10"/>
          <w:sz w:val="24"/>
          <w:szCs w:val="24"/>
          <w:highlight w:val="none"/>
        </w:rPr>
        <w:t xml:space="preserve"> 收集作业</w:t>
      </w:r>
    </w:p>
    <w:p w14:paraId="07DB6012">
      <w:pPr>
        <w:spacing w:beforeAutospacing="0" w:afterAutospacing="0" w:line="360" w:lineRule="auto"/>
        <w:ind w:right="0" w:firstLine="0" w:firstLineChars="0"/>
        <w:rPr>
          <w:rFonts w:ascii="宋体" w:hAnsi="宋体" w:eastAsia="宋体" w:cs="宋体"/>
          <w:color w:val="auto"/>
          <w:spacing w:val="-10"/>
          <w:sz w:val="24"/>
          <w:szCs w:val="24"/>
          <w:highlight w:val="none"/>
        </w:rPr>
      </w:pPr>
      <w:r>
        <w:rPr>
          <w:rFonts w:ascii="宋体" w:hAnsi="宋体" w:eastAsia="宋体" w:cs="宋体"/>
          <w:color w:val="auto"/>
          <w:spacing w:val="8"/>
          <w:sz w:val="24"/>
          <w:szCs w:val="24"/>
          <w:highlight w:val="none"/>
        </w:rPr>
        <w:t>1)生活</w:t>
      </w:r>
      <w:r>
        <w:rPr>
          <w:rFonts w:ascii="宋体" w:hAnsi="宋体" w:eastAsia="宋体" w:cs="宋体"/>
          <w:color w:val="auto"/>
          <w:spacing w:val="7"/>
          <w:sz w:val="24"/>
          <w:szCs w:val="24"/>
          <w:highlight w:val="none"/>
        </w:rPr>
        <w:t>垃</w:t>
      </w:r>
      <w:r>
        <w:rPr>
          <w:rFonts w:ascii="宋体" w:hAnsi="宋体" w:eastAsia="宋体" w:cs="宋体"/>
          <w:color w:val="auto"/>
          <w:spacing w:val="4"/>
          <w:sz w:val="24"/>
          <w:szCs w:val="24"/>
          <w:highlight w:val="none"/>
        </w:rPr>
        <w:t>圾的收集工作，应做到定时定点、日产日清，不得堆积、滞留污染城市</w:t>
      </w:r>
      <w:r>
        <w:rPr>
          <w:rFonts w:ascii="宋体" w:hAnsi="宋体" w:eastAsia="宋体" w:cs="宋体"/>
          <w:color w:val="auto"/>
          <w:spacing w:val="-10"/>
          <w:sz w:val="24"/>
          <w:szCs w:val="24"/>
          <w:highlight w:val="none"/>
        </w:rPr>
        <w:t>环境。</w:t>
      </w:r>
    </w:p>
    <w:p w14:paraId="44CB8EA6">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rPr>
        <w:t>2</w:t>
      </w:r>
      <w:r>
        <w:rPr>
          <w:rFonts w:ascii="宋体" w:hAnsi="宋体" w:eastAsia="宋体" w:cs="宋体"/>
          <w:color w:val="auto"/>
          <w:spacing w:val="-7"/>
          <w:sz w:val="24"/>
          <w:szCs w:val="24"/>
          <w:highlight w:val="none"/>
        </w:rPr>
        <w:t>) 垃圾收集点的服务半径不宜超过 70m，在未设垃圾收集站的多层住宅每 4 幢应设</w:t>
      </w:r>
      <w:r>
        <w:rPr>
          <w:rFonts w:ascii="宋体" w:hAnsi="宋体" w:eastAsia="宋体" w:cs="宋体"/>
          <w:color w:val="auto"/>
          <w:spacing w:val="-6"/>
          <w:sz w:val="24"/>
          <w:szCs w:val="24"/>
          <w:highlight w:val="none"/>
        </w:rPr>
        <w:t>置</w:t>
      </w:r>
      <w:r>
        <w:rPr>
          <w:rFonts w:ascii="宋体" w:hAnsi="宋体" w:eastAsia="宋体" w:cs="宋体"/>
          <w:color w:val="auto"/>
          <w:spacing w:val="-4"/>
          <w:sz w:val="24"/>
          <w:szCs w:val="24"/>
          <w:highlight w:val="none"/>
        </w:rPr>
        <w:t>一个垃圾收集点。</w:t>
      </w:r>
    </w:p>
    <w:p w14:paraId="1B0E59E8">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11"/>
          <w:sz w:val="24"/>
          <w:szCs w:val="24"/>
          <w:highlight w:val="none"/>
        </w:rPr>
        <w:t>3</w:t>
      </w:r>
      <w:r>
        <w:rPr>
          <w:rFonts w:ascii="宋体" w:hAnsi="宋体" w:eastAsia="宋体" w:cs="宋体"/>
          <w:color w:val="auto"/>
          <w:spacing w:val="-10"/>
          <w:sz w:val="24"/>
          <w:szCs w:val="24"/>
          <w:highlight w:val="none"/>
        </w:rPr>
        <w:t>) 垃圾收集容器应定位设置， 摆放整齐，方便居民投放。收集点及周围 5m 内应整</w:t>
      </w:r>
      <w:r>
        <w:rPr>
          <w:rFonts w:ascii="宋体" w:hAnsi="宋体" w:eastAsia="宋体" w:cs="宋体"/>
          <w:color w:val="auto"/>
          <w:sz w:val="24"/>
          <w:szCs w:val="24"/>
          <w:highlight w:val="none"/>
        </w:rPr>
        <w:t xml:space="preserve"> </w:t>
      </w:r>
      <w:r>
        <w:rPr>
          <w:rFonts w:ascii="宋体" w:hAnsi="宋体" w:eastAsia="宋体" w:cs="宋体"/>
          <w:color w:val="auto"/>
          <w:spacing w:val="-6"/>
          <w:sz w:val="24"/>
          <w:szCs w:val="24"/>
          <w:highlight w:val="none"/>
        </w:rPr>
        <w:t>洁</w:t>
      </w:r>
      <w:r>
        <w:rPr>
          <w:rFonts w:ascii="宋体" w:hAnsi="宋体" w:eastAsia="宋体" w:cs="宋体"/>
          <w:color w:val="auto"/>
          <w:spacing w:val="-3"/>
          <w:sz w:val="24"/>
          <w:szCs w:val="24"/>
          <w:highlight w:val="none"/>
        </w:rPr>
        <w:t>，无散落、存留垃圾和污水。</w:t>
      </w:r>
    </w:p>
    <w:p w14:paraId="39380E5C">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16"/>
          <w:sz w:val="24"/>
          <w:szCs w:val="24"/>
          <w:highlight w:val="none"/>
        </w:rPr>
        <w:t xml:space="preserve">4) </w:t>
      </w:r>
      <w:r>
        <w:rPr>
          <w:rFonts w:ascii="宋体" w:hAnsi="宋体" w:eastAsia="宋体" w:cs="宋体"/>
          <w:color w:val="auto"/>
          <w:spacing w:val="-15"/>
          <w:sz w:val="24"/>
          <w:szCs w:val="24"/>
          <w:highlight w:val="none"/>
        </w:rPr>
        <w:t>采</w:t>
      </w:r>
      <w:r>
        <w:rPr>
          <w:rFonts w:ascii="宋体" w:hAnsi="宋体" w:eastAsia="宋体" w:cs="宋体"/>
          <w:color w:val="auto"/>
          <w:spacing w:val="-8"/>
          <w:sz w:val="24"/>
          <w:szCs w:val="24"/>
          <w:highlight w:val="none"/>
        </w:rPr>
        <w:t>取密闭方式，逐步推行分类收集。垃圾收集容器应无残缺、破损，封闭性好，</w:t>
      </w:r>
      <w:r>
        <w:rPr>
          <w:rFonts w:ascii="宋体" w:hAnsi="宋体" w:eastAsia="宋体" w:cs="宋体"/>
          <w:color w:val="auto"/>
          <w:spacing w:val="-3"/>
          <w:sz w:val="24"/>
          <w:szCs w:val="24"/>
          <w:highlight w:val="none"/>
        </w:rPr>
        <w:t>外</w:t>
      </w:r>
      <w:r>
        <w:rPr>
          <w:rFonts w:ascii="宋体" w:hAnsi="宋体" w:eastAsia="宋体" w:cs="宋体"/>
          <w:color w:val="auto"/>
          <w:spacing w:val="-2"/>
          <w:sz w:val="24"/>
          <w:szCs w:val="24"/>
          <w:highlight w:val="none"/>
        </w:rPr>
        <w:t>体干净。构筑物内外墙面不得有明显积尘、污迹。</w:t>
      </w:r>
    </w:p>
    <w:p w14:paraId="05554A95">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rPr>
        <w:t>5</w:t>
      </w:r>
      <w:r>
        <w:rPr>
          <w:rFonts w:ascii="宋体" w:hAnsi="宋体" w:eastAsia="宋体" w:cs="宋体"/>
          <w:color w:val="auto"/>
          <w:spacing w:val="5"/>
          <w:sz w:val="24"/>
          <w:szCs w:val="24"/>
          <w:highlight w:val="none"/>
        </w:rPr>
        <w:t>)垃圾收集站(点)应定期喷洒消毒、灭蚊蝇药物等，做到无苍蝇、老鼠、蟑螂、</w:t>
      </w:r>
      <w:r>
        <w:rPr>
          <w:rFonts w:ascii="宋体" w:hAnsi="宋体" w:eastAsia="宋体" w:cs="宋体"/>
          <w:color w:val="auto"/>
          <w:spacing w:val="-9"/>
          <w:sz w:val="24"/>
          <w:szCs w:val="24"/>
          <w:highlight w:val="none"/>
        </w:rPr>
        <w:t>蚊</w:t>
      </w:r>
      <w:r>
        <w:rPr>
          <w:rFonts w:ascii="宋体" w:hAnsi="宋体" w:eastAsia="宋体" w:cs="宋体"/>
          <w:color w:val="auto"/>
          <w:spacing w:val="-8"/>
          <w:sz w:val="24"/>
          <w:szCs w:val="24"/>
          <w:highlight w:val="none"/>
        </w:rPr>
        <w:t>子等。</w:t>
      </w:r>
    </w:p>
    <w:p w14:paraId="454D0AA0">
      <w:pPr>
        <w:spacing w:beforeAutospacing="0" w:afterAutospacing="0" w:line="360" w:lineRule="auto"/>
        <w:ind w:right="0" w:firstLine="0" w:firstLineChars="0"/>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6)生活</w:t>
      </w:r>
      <w:r>
        <w:rPr>
          <w:rFonts w:ascii="宋体" w:hAnsi="宋体" w:eastAsia="宋体" w:cs="宋体"/>
          <w:color w:val="auto"/>
          <w:spacing w:val="-5"/>
          <w:sz w:val="24"/>
          <w:szCs w:val="24"/>
          <w:highlight w:val="none"/>
        </w:rPr>
        <w:t>垃</w:t>
      </w:r>
      <w:r>
        <w:rPr>
          <w:rFonts w:ascii="宋体" w:hAnsi="宋体" w:eastAsia="宋体" w:cs="宋体"/>
          <w:color w:val="auto"/>
          <w:spacing w:val="-3"/>
          <w:sz w:val="24"/>
          <w:szCs w:val="24"/>
          <w:highlight w:val="none"/>
        </w:rPr>
        <w:t>圾日清运率应达到 100%。</w:t>
      </w:r>
    </w:p>
    <w:p w14:paraId="69A4BD77">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rPr>
        <w:t>7)收集搬运过程应无遗漏、无撒漏、无渗滤液滴漏。垃圾收</w:t>
      </w:r>
      <w:r>
        <w:rPr>
          <w:rFonts w:ascii="宋体" w:hAnsi="宋体" w:eastAsia="宋体" w:cs="宋体"/>
          <w:color w:val="auto"/>
          <w:spacing w:val="-1"/>
          <w:sz w:val="24"/>
          <w:szCs w:val="24"/>
          <w:highlight w:val="none"/>
        </w:rPr>
        <w:t>集车向垃圾转运站运送</w:t>
      </w:r>
      <w:r>
        <w:rPr>
          <w:rFonts w:ascii="宋体" w:hAnsi="宋体" w:eastAsia="宋体" w:cs="宋体"/>
          <w:color w:val="auto"/>
          <w:sz w:val="24"/>
          <w:szCs w:val="24"/>
          <w:highlight w:val="none"/>
        </w:rPr>
        <w:t xml:space="preserve"> </w:t>
      </w:r>
      <w:r>
        <w:rPr>
          <w:rFonts w:ascii="宋体" w:hAnsi="宋体" w:eastAsia="宋体" w:cs="宋体"/>
          <w:color w:val="auto"/>
          <w:spacing w:val="-2"/>
          <w:sz w:val="24"/>
          <w:szCs w:val="24"/>
          <w:highlight w:val="none"/>
        </w:rPr>
        <w:t>垃圾的过程应覆盖密闭，实行</w:t>
      </w:r>
      <w:r>
        <w:rPr>
          <w:rFonts w:ascii="宋体" w:hAnsi="宋体" w:eastAsia="宋体" w:cs="宋体"/>
          <w:color w:val="auto"/>
          <w:spacing w:val="-1"/>
          <w:sz w:val="24"/>
          <w:szCs w:val="24"/>
          <w:highlight w:val="none"/>
        </w:rPr>
        <w:t>“垃圾不落地”作业，避免造成二次污染。</w:t>
      </w:r>
    </w:p>
    <w:p w14:paraId="207DCBDF">
      <w:pPr>
        <w:spacing w:beforeAutospacing="0" w:afterAutospacing="0" w:line="360" w:lineRule="auto"/>
        <w:ind w:right="0" w:firstLine="0" w:firstLineChars="0"/>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rPr>
        <w:t>8)地面清扫的垃圾应及时收集</w:t>
      </w:r>
      <w:r>
        <w:rPr>
          <w:rFonts w:ascii="宋体" w:hAnsi="宋体" w:eastAsia="宋体" w:cs="宋体"/>
          <w:color w:val="auto"/>
          <w:spacing w:val="-1"/>
          <w:sz w:val="24"/>
          <w:szCs w:val="24"/>
          <w:highlight w:val="none"/>
        </w:rPr>
        <w:t>和运输，不遗漏，不得堆放在路边。</w:t>
      </w:r>
    </w:p>
    <w:p w14:paraId="5AF53E25">
      <w:pPr>
        <w:spacing w:beforeAutospacing="0" w:afterAutospacing="0" w:line="360" w:lineRule="auto"/>
        <w:ind w:right="0" w:firstLine="0" w:firstLineChars="0"/>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9)</w:t>
      </w:r>
      <w:r>
        <w:rPr>
          <w:rFonts w:ascii="宋体" w:hAnsi="宋体" w:eastAsia="宋体" w:cs="宋体"/>
          <w:color w:val="auto"/>
          <w:spacing w:val="-2"/>
          <w:sz w:val="24"/>
          <w:szCs w:val="24"/>
          <w:highlight w:val="none"/>
        </w:rPr>
        <w:t>辖区内无主生活垃圾应及时收集和清运。</w:t>
      </w:r>
    </w:p>
    <w:p w14:paraId="0F150B82">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1"/>
          <w:sz w:val="24"/>
          <w:szCs w:val="24"/>
          <w:highlight w:val="none"/>
        </w:rPr>
        <w:t>10)辖区内学</w:t>
      </w:r>
      <w:r>
        <w:rPr>
          <w:rFonts w:ascii="宋体" w:hAnsi="宋体" w:eastAsia="宋体" w:cs="宋体"/>
          <w:color w:val="auto"/>
          <w:sz w:val="24"/>
          <w:szCs w:val="24"/>
          <w:highlight w:val="none"/>
        </w:rPr>
        <w:t xml:space="preserve">校、企事业单位、物业小区、临街店面生活垃圾应及时收集和清运， </w:t>
      </w:r>
      <w:r>
        <w:rPr>
          <w:rFonts w:ascii="宋体" w:hAnsi="宋体" w:eastAsia="宋体" w:cs="宋体"/>
          <w:color w:val="auto"/>
          <w:spacing w:val="-6"/>
          <w:sz w:val="24"/>
          <w:szCs w:val="24"/>
          <w:highlight w:val="none"/>
        </w:rPr>
        <w:t>收集和</w:t>
      </w:r>
      <w:r>
        <w:rPr>
          <w:rFonts w:ascii="宋体" w:hAnsi="宋体" w:eastAsia="宋体" w:cs="宋体"/>
          <w:color w:val="auto"/>
          <w:spacing w:val="-4"/>
          <w:sz w:val="24"/>
          <w:szCs w:val="24"/>
          <w:highlight w:val="none"/>
        </w:rPr>
        <w:t>清</w:t>
      </w:r>
      <w:r>
        <w:rPr>
          <w:rFonts w:ascii="宋体" w:hAnsi="宋体" w:eastAsia="宋体" w:cs="宋体"/>
          <w:color w:val="auto"/>
          <w:spacing w:val="-3"/>
          <w:sz w:val="24"/>
          <w:szCs w:val="24"/>
          <w:highlight w:val="none"/>
        </w:rPr>
        <w:t>运费用由双方协商。</w:t>
      </w:r>
    </w:p>
    <w:p w14:paraId="058BAA49">
      <w:pPr>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lang w:val="en-US" w:eastAsia="zh-CN"/>
        </w:rPr>
        <w:t>3.2.2</w:t>
      </w:r>
      <w:r>
        <w:rPr>
          <w:rFonts w:ascii="宋体" w:hAnsi="宋体" w:eastAsia="宋体" w:cs="宋体"/>
          <w:color w:val="auto"/>
          <w:spacing w:val="-10"/>
          <w:sz w:val="24"/>
          <w:szCs w:val="24"/>
          <w:highlight w:val="none"/>
        </w:rPr>
        <w:t>运输作业</w:t>
      </w:r>
    </w:p>
    <w:p w14:paraId="362508C0">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3"/>
          <w:sz w:val="24"/>
          <w:szCs w:val="24"/>
          <w:highlight w:val="none"/>
        </w:rPr>
        <w:t>1)生活垃圾必须采取密闭方式进行转运，禁止敞开式运送垃圾，生活垃圾清</w:t>
      </w:r>
      <w:r>
        <w:rPr>
          <w:rFonts w:ascii="宋体" w:hAnsi="宋体" w:eastAsia="宋体" w:cs="宋体"/>
          <w:color w:val="auto"/>
          <w:spacing w:val="-1"/>
          <w:sz w:val="24"/>
          <w:szCs w:val="24"/>
          <w:highlight w:val="none"/>
        </w:rPr>
        <w:t>扫</w:t>
      </w:r>
      <w:r>
        <w:rPr>
          <w:rFonts w:ascii="宋体" w:hAnsi="宋体" w:eastAsia="宋体" w:cs="宋体"/>
          <w:color w:val="auto"/>
          <w:sz w:val="24"/>
          <w:szCs w:val="24"/>
          <w:highlight w:val="none"/>
        </w:rPr>
        <w:t xml:space="preserve">、 </w:t>
      </w:r>
      <w:r>
        <w:rPr>
          <w:rFonts w:ascii="宋体" w:hAnsi="宋体" w:eastAsia="宋体" w:cs="宋体"/>
          <w:color w:val="auto"/>
          <w:spacing w:val="-2"/>
          <w:sz w:val="24"/>
          <w:szCs w:val="24"/>
          <w:highlight w:val="none"/>
        </w:rPr>
        <w:t>收集、运输、压缩、转运至泉岭、麦园垃圾处</w:t>
      </w:r>
      <w:r>
        <w:rPr>
          <w:rFonts w:ascii="宋体" w:hAnsi="宋体" w:eastAsia="宋体" w:cs="宋体"/>
          <w:color w:val="auto"/>
          <w:spacing w:val="-1"/>
          <w:sz w:val="24"/>
          <w:szCs w:val="24"/>
          <w:highlight w:val="none"/>
        </w:rPr>
        <w:t>理场或高安垃圾处理场。</w:t>
      </w:r>
    </w:p>
    <w:p w14:paraId="70E9D01A">
      <w:pPr>
        <w:spacing w:beforeAutospacing="0" w:afterAutospacing="0" w:line="360" w:lineRule="auto"/>
        <w:ind w:right="0" w:firstLine="0" w:firstLineChars="0"/>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rPr>
        <w:t>2)在垃圾运输过程中无垃圾扬、撒、拖挂和污水滴</w:t>
      </w:r>
      <w:r>
        <w:rPr>
          <w:rFonts w:ascii="宋体" w:hAnsi="宋体" w:eastAsia="宋体" w:cs="宋体"/>
          <w:color w:val="auto"/>
          <w:sz w:val="24"/>
          <w:szCs w:val="24"/>
          <w:highlight w:val="none"/>
        </w:rPr>
        <w:t>漏。</w:t>
      </w:r>
    </w:p>
    <w:p w14:paraId="0E108EF0">
      <w:pPr>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2.1</w:t>
      </w:r>
      <w:r>
        <w:rPr>
          <w:rFonts w:ascii="宋体" w:hAnsi="宋体" w:eastAsia="宋体" w:cs="宋体"/>
          <w:color w:val="auto"/>
          <w:spacing w:val="4"/>
          <w:sz w:val="24"/>
          <w:szCs w:val="24"/>
          <w:highlight w:val="none"/>
        </w:rPr>
        <w:t>)吊桶垃圾</w:t>
      </w:r>
      <w:r>
        <w:rPr>
          <w:rFonts w:ascii="宋体" w:hAnsi="宋体" w:eastAsia="宋体" w:cs="宋体"/>
          <w:color w:val="auto"/>
          <w:spacing w:val="3"/>
          <w:sz w:val="24"/>
          <w:szCs w:val="24"/>
          <w:highlight w:val="none"/>
        </w:rPr>
        <w:t>车</w:t>
      </w:r>
      <w:r>
        <w:rPr>
          <w:rFonts w:ascii="宋体" w:hAnsi="宋体" w:eastAsia="宋体" w:cs="宋体"/>
          <w:color w:val="auto"/>
          <w:spacing w:val="2"/>
          <w:sz w:val="24"/>
          <w:szCs w:val="24"/>
          <w:highlight w:val="none"/>
        </w:rPr>
        <w:t>应加盖，不得超高超载、挂包运输垃圾。</w:t>
      </w:r>
    </w:p>
    <w:p w14:paraId="2C59CE83">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lang w:val="en-US" w:eastAsia="zh-CN"/>
        </w:rPr>
        <w:t>2.2</w:t>
      </w:r>
      <w:r>
        <w:rPr>
          <w:rFonts w:ascii="宋体" w:hAnsi="宋体" w:eastAsia="宋体" w:cs="宋体"/>
          <w:color w:val="auto"/>
          <w:spacing w:val="-8"/>
          <w:sz w:val="24"/>
          <w:szCs w:val="24"/>
          <w:highlight w:val="none"/>
        </w:rPr>
        <w:t>) 垃圾转运车应加装污水收集装置， 在垃圾转运站装运垃圾时，应将污水箱的排</w:t>
      </w:r>
      <w:r>
        <w:rPr>
          <w:rFonts w:ascii="宋体" w:hAnsi="宋体" w:eastAsia="宋体" w:cs="宋体"/>
          <w:color w:val="auto"/>
          <w:spacing w:val="-2"/>
          <w:sz w:val="24"/>
          <w:szCs w:val="24"/>
          <w:highlight w:val="none"/>
        </w:rPr>
        <w:t>污口打开，将污水排放干净，</w:t>
      </w:r>
      <w:r>
        <w:rPr>
          <w:rFonts w:ascii="宋体" w:hAnsi="宋体" w:eastAsia="宋体" w:cs="宋体"/>
          <w:color w:val="auto"/>
          <w:spacing w:val="-1"/>
          <w:sz w:val="24"/>
          <w:szCs w:val="24"/>
          <w:highlight w:val="none"/>
        </w:rPr>
        <w:t>出站前再将排污水口关上，防止沿途洒漏。</w:t>
      </w:r>
    </w:p>
    <w:p w14:paraId="1BD153C1">
      <w:pPr>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pacing w:val="-16"/>
          <w:sz w:val="24"/>
          <w:szCs w:val="24"/>
          <w:highlight w:val="none"/>
          <w:lang w:val="en-US" w:eastAsia="zh-CN"/>
        </w:rPr>
        <w:t>2.3</w:t>
      </w:r>
      <w:r>
        <w:rPr>
          <w:rFonts w:ascii="宋体" w:hAnsi="宋体" w:eastAsia="宋体" w:cs="宋体"/>
          <w:color w:val="auto"/>
          <w:spacing w:val="-16"/>
          <w:sz w:val="24"/>
          <w:szCs w:val="24"/>
          <w:highlight w:val="none"/>
        </w:rPr>
        <w:t xml:space="preserve">) </w:t>
      </w:r>
      <w:r>
        <w:rPr>
          <w:rFonts w:ascii="宋体" w:hAnsi="宋体" w:eastAsia="宋体" w:cs="宋体"/>
          <w:color w:val="auto"/>
          <w:spacing w:val="-9"/>
          <w:sz w:val="24"/>
          <w:szCs w:val="24"/>
          <w:highlight w:val="none"/>
        </w:rPr>
        <w:t>在</w:t>
      </w:r>
      <w:r>
        <w:rPr>
          <w:rFonts w:ascii="宋体" w:hAnsi="宋体" w:eastAsia="宋体" w:cs="宋体"/>
          <w:color w:val="auto"/>
          <w:spacing w:val="-8"/>
          <w:sz w:val="24"/>
          <w:szCs w:val="24"/>
          <w:highlight w:val="none"/>
        </w:rPr>
        <w:t>垃圾处理场卸完垃圾后， 应将污水箱的污水排放干净，并对车辆进行清洗。</w:t>
      </w:r>
    </w:p>
    <w:p w14:paraId="60CCE62F">
      <w:pPr>
        <w:tabs>
          <w:tab w:val="left" w:pos="8160"/>
        </w:tabs>
        <w:spacing w:beforeAutospacing="0" w:afterAutospacing="0" w:line="360" w:lineRule="auto"/>
        <w:ind w:right="0" w:rightChars="0" w:firstLine="0" w:firstLineChars="0"/>
        <w:rPr>
          <w:rFonts w:ascii="宋体" w:hAnsi="宋体" w:eastAsia="宋体" w:cs="宋体"/>
          <w:color w:val="auto"/>
          <w:sz w:val="24"/>
          <w:szCs w:val="24"/>
          <w:highlight w:val="none"/>
        </w:rPr>
      </w:pPr>
      <w:r>
        <w:rPr>
          <w:rFonts w:hint="eastAsia" w:ascii="宋体" w:hAnsi="宋体" w:eastAsia="宋体" w:cs="宋体"/>
          <w:color w:val="auto"/>
          <w:spacing w:val="-20"/>
          <w:sz w:val="24"/>
          <w:szCs w:val="24"/>
          <w:highlight w:val="none"/>
          <w:lang w:val="en-US" w:eastAsia="zh-CN"/>
        </w:rPr>
        <w:t>2.4</w:t>
      </w:r>
      <w:r>
        <w:rPr>
          <w:rFonts w:ascii="宋体" w:hAnsi="宋体" w:eastAsia="宋体" w:cs="宋体"/>
          <w:color w:val="auto"/>
          <w:spacing w:val="-20"/>
          <w:sz w:val="24"/>
          <w:szCs w:val="24"/>
          <w:highlight w:val="none"/>
        </w:rPr>
        <w:t xml:space="preserve">) </w:t>
      </w:r>
      <w:r>
        <w:rPr>
          <w:rFonts w:ascii="宋体" w:hAnsi="宋体" w:eastAsia="宋体" w:cs="宋体"/>
          <w:color w:val="auto"/>
          <w:spacing w:val="-14"/>
          <w:sz w:val="24"/>
          <w:szCs w:val="24"/>
          <w:highlight w:val="none"/>
        </w:rPr>
        <w:t>经</w:t>
      </w:r>
      <w:r>
        <w:rPr>
          <w:rFonts w:ascii="宋体" w:hAnsi="宋体" w:eastAsia="宋体" w:cs="宋体"/>
          <w:color w:val="auto"/>
          <w:spacing w:val="-10"/>
          <w:sz w:val="24"/>
          <w:szCs w:val="24"/>
          <w:highlight w:val="none"/>
        </w:rPr>
        <w:t>常检查车辆密封构件， 集装箱式垃圾车应定期更换密封条，确保完好，不洒漏</w:t>
      </w:r>
      <w:r>
        <w:rPr>
          <w:rFonts w:ascii="宋体" w:hAnsi="宋体" w:eastAsia="宋体" w:cs="宋体"/>
          <w:color w:val="auto"/>
          <w:spacing w:val="-8"/>
          <w:sz w:val="24"/>
          <w:szCs w:val="24"/>
          <w:highlight w:val="none"/>
        </w:rPr>
        <w:t>污水。</w:t>
      </w:r>
    </w:p>
    <w:p w14:paraId="7ACEB5BC">
      <w:pPr>
        <w:spacing w:beforeAutospacing="0" w:afterAutospacing="0" w:line="360" w:lineRule="auto"/>
        <w:ind w:right="0" w:rightChars="0" w:firstLine="0" w:firstLineChars="0"/>
        <w:rPr>
          <w:rFonts w:hint="eastAsia" w:ascii="宋体" w:hAnsi="宋体" w:eastAsia="宋体" w:cs="宋体"/>
          <w:color w:val="auto"/>
          <w:spacing w:val="-5"/>
          <w:sz w:val="24"/>
          <w:szCs w:val="24"/>
          <w:highlight w:val="none"/>
          <w:lang w:val="en-US" w:eastAsia="zh-CN"/>
        </w:rPr>
      </w:pPr>
      <w:r>
        <w:rPr>
          <w:rFonts w:ascii="宋体" w:hAnsi="宋体" w:eastAsia="宋体" w:cs="宋体"/>
          <w:color w:val="auto"/>
          <w:spacing w:val="-2"/>
          <w:sz w:val="24"/>
          <w:szCs w:val="24"/>
          <w:highlight w:val="none"/>
        </w:rPr>
        <w:t>3)运输垃圾应尽量避开上下</w:t>
      </w:r>
      <w:r>
        <w:rPr>
          <w:rFonts w:ascii="宋体" w:hAnsi="宋体" w:eastAsia="宋体" w:cs="宋体"/>
          <w:color w:val="auto"/>
          <w:spacing w:val="-1"/>
          <w:sz w:val="24"/>
          <w:szCs w:val="24"/>
          <w:highlight w:val="none"/>
        </w:rPr>
        <w:t>班高峰期。装卸垃圾符合作业要求，不得乱倒、乱卸、</w:t>
      </w:r>
      <w:r>
        <w:rPr>
          <w:rFonts w:ascii="宋体" w:hAnsi="宋体" w:eastAsia="宋体" w:cs="宋体"/>
          <w:color w:val="auto"/>
          <w:spacing w:val="-9"/>
          <w:sz w:val="24"/>
          <w:szCs w:val="24"/>
          <w:highlight w:val="none"/>
        </w:rPr>
        <w:t>乱</w:t>
      </w:r>
      <w:r>
        <w:rPr>
          <w:rFonts w:ascii="宋体" w:hAnsi="宋体" w:eastAsia="宋体" w:cs="宋体"/>
          <w:color w:val="auto"/>
          <w:spacing w:val="-5"/>
          <w:sz w:val="24"/>
          <w:szCs w:val="24"/>
          <w:highlight w:val="none"/>
        </w:rPr>
        <w:t>抛垃圾，在居民住宅附近的垃圾站装运垃圾时，应尽量避免扰</w:t>
      </w:r>
      <w:r>
        <w:rPr>
          <w:rFonts w:hint="eastAsia" w:ascii="宋体" w:hAnsi="宋体" w:eastAsia="宋体" w:cs="宋体"/>
          <w:color w:val="auto"/>
          <w:spacing w:val="-5"/>
          <w:sz w:val="24"/>
          <w:szCs w:val="24"/>
          <w:highlight w:val="none"/>
          <w:lang w:val="en-US" w:eastAsia="zh-CN"/>
        </w:rPr>
        <w:t>民。</w:t>
      </w:r>
    </w:p>
    <w:p w14:paraId="01A82DF2">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rPr>
        <w:t>4</w:t>
      </w:r>
      <w:r>
        <w:rPr>
          <w:rFonts w:ascii="宋体" w:hAnsi="宋体" w:eastAsia="宋体" w:cs="宋体"/>
          <w:color w:val="auto"/>
          <w:spacing w:val="8"/>
          <w:sz w:val="24"/>
          <w:szCs w:val="24"/>
          <w:highlight w:val="none"/>
        </w:rPr>
        <w:t>)</w:t>
      </w:r>
      <w:r>
        <w:rPr>
          <w:rFonts w:ascii="宋体" w:hAnsi="宋体" w:eastAsia="宋体" w:cs="宋体"/>
          <w:color w:val="auto"/>
          <w:spacing w:val="5"/>
          <w:sz w:val="24"/>
          <w:szCs w:val="24"/>
          <w:highlight w:val="none"/>
        </w:rPr>
        <w:t>垃圾运输车辆应车容整洁，车况良好，车牌号码完整，车门喷印清晰的单位名</w:t>
      </w:r>
      <w:r>
        <w:rPr>
          <w:rFonts w:ascii="宋体" w:hAnsi="宋体" w:eastAsia="宋体" w:cs="宋体"/>
          <w:color w:val="auto"/>
          <w:spacing w:val="-4"/>
          <w:sz w:val="24"/>
          <w:szCs w:val="24"/>
          <w:highlight w:val="none"/>
        </w:rPr>
        <w:t>称</w:t>
      </w:r>
      <w:r>
        <w:rPr>
          <w:rFonts w:ascii="宋体" w:hAnsi="宋体" w:eastAsia="宋体" w:cs="宋体"/>
          <w:color w:val="auto"/>
          <w:spacing w:val="-3"/>
          <w:sz w:val="24"/>
          <w:szCs w:val="24"/>
          <w:highlight w:val="none"/>
        </w:rPr>
        <w:t>，车顶无乱焊铁架等现象。</w:t>
      </w:r>
    </w:p>
    <w:p w14:paraId="6A19D44E">
      <w:pPr>
        <w:spacing w:beforeAutospacing="0" w:afterAutospacing="0" w:line="360" w:lineRule="auto"/>
        <w:ind w:right="0" w:firstLine="0" w:firstLineChars="0"/>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5</w:t>
      </w:r>
      <w:r>
        <w:rPr>
          <w:rFonts w:ascii="宋体" w:hAnsi="宋体" w:eastAsia="宋体" w:cs="宋体"/>
          <w:color w:val="auto"/>
          <w:spacing w:val="2"/>
          <w:sz w:val="24"/>
          <w:szCs w:val="24"/>
          <w:highlight w:val="none"/>
        </w:rPr>
        <w:t>)垃圾装运量应以车辆的额定荷载和有效容积为限，不得超重、超高运输。</w:t>
      </w:r>
    </w:p>
    <w:p w14:paraId="5C120D71">
      <w:pPr>
        <w:tabs>
          <w:tab w:val="left" w:pos="8400"/>
          <w:tab w:val="left" w:pos="9600"/>
        </w:tabs>
        <w:spacing w:beforeAutospacing="0" w:afterAutospacing="0" w:line="360" w:lineRule="auto"/>
        <w:ind w:right="0" w:rightChars="0" w:firstLine="0" w:firstLineChars="0"/>
        <w:rPr>
          <w:rFonts w:ascii="宋体" w:hAnsi="宋体" w:eastAsia="宋体" w:cs="宋体"/>
          <w:color w:val="auto"/>
          <w:sz w:val="24"/>
          <w:szCs w:val="24"/>
          <w:highlight w:val="none"/>
        </w:rPr>
      </w:pPr>
      <w:r>
        <w:rPr>
          <w:rFonts w:ascii="宋体" w:hAnsi="宋体" w:eastAsia="宋体" w:cs="宋体"/>
          <w:color w:val="auto"/>
          <w:spacing w:val="-28"/>
          <w:sz w:val="24"/>
          <w:szCs w:val="24"/>
          <w:highlight w:val="none"/>
        </w:rPr>
        <w:t>6</w:t>
      </w:r>
      <w:r>
        <w:rPr>
          <w:rFonts w:ascii="宋体" w:hAnsi="宋体" w:eastAsia="宋体" w:cs="宋体"/>
          <w:color w:val="auto"/>
          <w:spacing w:val="-21"/>
          <w:sz w:val="24"/>
          <w:szCs w:val="24"/>
          <w:highlight w:val="none"/>
        </w:rPr>
        <w:t>)</w:t>
      </w:r>
      <w:r>
        <w:rPr>
          <w:rFonts w:ascii="宋体" w:hAnsi="宋体" w:eastAsia="宋体" w:cs="宋体"/>
          <w:color w:val="auto"/>
          <w:spacing w:val="-14"/>
          <w:sz w:val="24"/>
          <w:szCs w:val="24"/>
          <w:highlight w:val="none"/>
        </w:rPr>
        <w:t xml:space="preserve"> 车辆安全管理达到“四有一无”，即：有安全管理组织，有健全的安全管理制度；</w:t>
      </w:r>
      <w:r>
        <w:rPr>
          <w:rFonts w:ascii="宋体" w:hAnsi="宋体" w:eastAsia="宋体" w:cs="宋体"/>
          <w:color w:val="auto"/>
          <w:sz w:val="24"/>
          <w:szCs w:val="24"/>
          <w:highlight w:val="none"/>
        </w:rPr>
        <w:t xml:space="preserve"> </w:t>
      </w:r>
      <w:r>
        <w:rPr>
          <w:rFonts w:ascii="宋体" w:hAnsi="宋体" w:eastAsia="宋体" w:cs="宋体"/>
          <w:color w:val="auto"/>
          <w:spacing w:val="-2"/>
          <w:sz w:val="24"/>
          <w:szCs w:val="24"/>
          <w:highlight w:val="none"/>
        </w:rPr>
        <w:t>有完善的安全检查制度；有定期</w:t>
      </w:r>
      <w:r>
        <w:rPr>
          <w:rFonts w:ascii="宋体" w:hAnsi="宋体" w:eastAsia="宋体" w:cs="宋体"/>
          <w:color w:val="auto"/>
          <w:spacing w:val="-1"/>
          <w:sz w:val="24"/>
          <w:szCs w:val="24"/>
          <w:highlight w:val="none"/>
        </w:rPr>
        <w:t>的安全培训制度；无安全事故发生。</w:t>
      </w:r>
    </w:p>
    <w:p w14:paraId="4838FF72">
      <w:pPr>
        <w:tabs>
          <w:tab w:val="left" w:pos="8160"/>
        </w:tabs>
        <w:spacing w:beforeAutospacing="0" w:afterAutospacing="0" w:line="360" w:lineRule="auto"/>
        <w:ind w:right="0" w:rightChars="0" w:firstLine="0" w:firstLineChars="0"/>
        <w:rPr>
          <w:rFonts w:hint="eastAsia"/>
          <w:color w:val="auto"/>
          <w:highlight w:val="none"/>
          <w:lang w:val="en-US" w:eastAsia="zh-CN"/>
        </w:rPr>
      </w:pPr>
      <w:r>
        <w:rPr>
          <w:rFonts w:ascii="宋体" w:hAnsi="宋体" w:eastAsia="宋体" w:cs="宋体"/>
          <w:color w:val="auto"/>
          <w:spacing w:val="2"/>
          <w:sz w:val="24"/>
          <w:szCs w:val="24"/>
          <w:highlight w:val="none"/>
        </w:rPr>
        <w:t>7)运输作业结束，应将车辆清洗干</w:t>
      </w:r>
      <w:r>
        <w:rPr>
          <w:rFonts w:ascii="宋体" w:hAnsi="宋体" w:eastAsia="宋体" w:cs="宋体"/>
          <w:color w:val="auto"/>
          <w:spacing w:val="1"/>
          <w:sz w:val="24"/>
          <w:szCs w:val="24"/>
          <w:highlight w:val="none"/>
        </w:rPr>
        <w:t>净(结冰期除外)，清洗污水符合现行行业标准</w:t>
      </w:r>
      <w:r>
        <w:rPr>
          <w:rFonts w:ascii="宋体" w:hAnsi="宋体" w:eastAsia="宋体" w:cs="宋体"/>
          <w:color w:val="auto"/>
          <w:sz w:val="24"/>
          <w:szCs w:val="24"/>
          <w:highlight w:val="none"/>
        </w:rPr>
        <w:t xml:space="preserve"> </w:t>
      </w:r>
      <w:r>
        <w:rPr>
          <w:rFonts w:ascii="宋体" w:hAnsi="宋体" w:eastAsia="宋体" w:cs="宋体"/>
          <w:color w:val="auto"/>
          <w:spacing w:val="-2"/>
          <w:sz w:val="24"/>
          <w:szCs w:val="24"/>
          <w:highlight w:val="none"/>
        </w:rPr>
        <w:t>《污水排入城镇下水道水</w:t>
      </w:r>
      <w:r>
        <w:rPr>
          <w:rFonts w:ascii="宋体" w:hAnsi="宋体" w:eastAsia="宋体" w:cs="宋体"/>
          <w:color w:val="auto"/>
          <w:spacing w:val="-1"/>
          <w:sz w:val="24"/>
          <w:szCs w:val="24"/>
          <w:highlight w:val="none"/>
        </w:rPr>
        <w:t>质标准》 (GB/T 31962-2015)或现行国家标准《污水综合排放</w:t>
      </w:r>
      <w:r>
        <w:rPr>
          <w:rFonts w:ascii="宋体" w:hAnsi="宋体" w:eastAsia="宋体" w:cs="宋体"/>
          <w:color w:val="auto"/>
          <w:spacing w:val="-10"/>
          <w:sz w:val="24"/>
          <w:szCs w:val="24"/>
          <w:highlight w:val="none"/>
        </w:rPr>
        <w:t>标准</w:t>
      </w:r>
      <w:r>
        <w:rPr>
          <w:rFonts w:ascii="宋体" w:hAnsi="宋体" w:eastAsia="宋体" w:cs="宋体"/>
          <w:color w:val="auto"/>
          <w:spacing w:val="-9"/>
          <w:sz w:val="24"/>
          <w:szCs w:val="24"/>
          <w:highlight w:val="none"/>
        </w:rPr>
        <w:t>》</w:t>
      </w:r>
      <w:r>
        <w:rPr>
          <w:rFonts w:ascii="宋体" w:hAnsi="宋体" w:eastAsia="宋体" w:cs="宋体"/>
          <w:color w:val="auto"/>
          <w:spacing w:val="-5"/>
          <w:sz w:val="24"/>
          <w:szCs w:val="24"/>
          <w:highlight w:val="none"/>
        </w:rPr>
        <w:t xml:space="preserve"> (GB8978)后，方可排入城市污水管网或附近水体。</w:t>
      </w:r>
    </w:p>
    <w:p w14:paraId="7626F2A3">
      <w:pPr>
        <w:spacing w:beforeAutospacing="0" w:afterAutospacing="0" w:line="360" w:lineRule="auto"/>
        <w:ind w:right="0" w:firstLine="0" w:firstLineChars="0"/>
        <w:jc w:val="center"/>
        <w:rPr>
          <w:rFonts w:hint="eastAsia" w:ascii="宋体" w:hAnsi="宋体" w:eastAsia="宋体" w:cs="宋体"/>
          <w:b/>
          <w:color w:val="auto"/>
          <w:sz w:val="22"/>
          <w:szCs w:val="22"/>
          <w:highlight w:val="none"/>
        </w:rPr>
      </w:pPr>
    </w:p>
    <w:p w14:paraId="6E03BC77">
      <w:pPr>
        <w:spacing w:beforeAutospacing="0" w:afterAutospacing="0" w:line="360" w:lineRule="auto"/>
        <w:ind w:right="0" w:firstLine="0" w:firstLineChars="0"/>
        <w:jc w:val="center"/>
        <w:rPr>
          <w:rFonts w:hint="eastAsia" w:ascii="宋体" w:hAnsi="宋体" w:eastAsia="宋体" w:cs="宋体"/>
          <w:color w:val="auto"/>
          <w:spacing w:val="-2"/>
          <w:sz w:val="28"/>
          <w:szCs w:val="28"/>
          <w:highlight w:val="none"/>
          <w:lang w:val="en-US" w:eastAsia="zh-CN"/>
        </w:rPr>
      </w:pPr>
      <w:r>
        <w:rPr>
          <w:rFonts w:hint="eastAsia" w:ascii="宋体" w:hAnsi="宋体" w:eastAsia="宋体" w:cs="宋体"/>
          <w:b/>
          <w:color w:val="auto"/>
          <w:sz w:val="24"/>
          <w:szCs w:val="24"/>
          <w:highlight w:val="none"/>
        </w:rPr>
        <w:t>清扫保洁管理考核办法</w:t>
      </w:r>
    </w:p>
    <w:p w14:paraId="6EF54F04">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val="en-US" w:eastAsia="zh-CN"/>
        </w:rPr>
        <w:t>1、</w:t>
      </w:r>
      <w:r>
        <w:rPr>
          <w:rFonts w:ascii="宋体" w:hAnsi="宋体" w:eastAsia="宋体" w:cs="宋体"/>
          <w:color w:val="auto"/>
          <w:spacing w:val="-2"/>
          <w:sz w:val="24"/>
          <w:szCs w:val="24"/>
          <w:highlight w:val="none"/>
        </w:rPr>
        <w:t>考核队伍：由</w:t>
      </w:r>
      <w:r>
        <w:rPr>
          <w:rFonts w:hint="eastAsia" w:ascii="宋体" w:hAnsi="宋体" w:eastAsia="宋体" w:cs="宋体"/>
          <w:color w:val="auto"/>
          <w:spacing w:val="-2"/>
          <w:sz w:val="24"/>
          <w:szCs w:val="24"/>
          <w:highlight w:val="none"/>
          <w:lang w:val="en-US" w:eastAsia="zh-CN"/>
        </w:rPr>
        <w:t>相关单位</w:t>
      </w:r>
      <w:r>
        <w:rPr>
          <w:rFonts w:ascii="宋体" w:hAnsi="宋体" w:eastAsia="宋体" w:cs="宋体"/>
          <w:color w:val="auto"/>
          <w:spacing w:val="-2"/>
          <w:sz w:val="24"/>
          <w:szCs w:val="24"/>
          <w:highlight w:val="none"/>
        </w:rPr>
        <w:t>进行考核，以及日常督查整改情况， 按考核内</w:t>
      </w:r>
      <w:r>
        <w:rPr>
          <w:rFonts w:ascii="宋体" w:hAnsi="宋体" w:eastAsia="宋体" w:cs="宋体"/>
          <w:color w:val="auto"/>
          <w:spacing w:val="-1"/>
          <w:sz w:val="24"/>
          <w:szCs w:val="24"/>
          <w:highlight w:val="none"/>
        </w:rPr>
        <w:t>容</w:t>
      </w:r>
      <w:r>
        <w:rPr>
          <w:rFonts w:ascii="宋体" w:hAnsi="宋体" w:eastAsia="宋体" w:cs="宋体"/>
          <w:color w:val="auto"/>
          <w:sz w:val="24"/>
          <w:szCs w:val="24"/>
          <w:highlight w:val="none"/>
        </w:rPr>
        <w:t>和</w:t>
      </w:r>
      <w:r>
        <w:rPr>
          <w:rFonts w:ascii="宋体" w:hAnsi="宋体" w:eastAsia="宋体" w:cs="宋体"/>
          <w:color w:val="auto"/>
          <w:spacing w:val="-2"/>
          <w:sz w:val="24"/>
          <w:szCs w:val="24"/>
          <w:highlight w:val="none"/>
        </w:rPr>
        <w:t>标准对市场化运作服务单位进行扣分</w:t>
      </w:r>
      <w:r>
        <w:rPr>
          <w:rFonts w:ascii="宋体" w:hAnsi="宋体" w:eastAsia="宋体" w:cs="宋体"/>
          <w:color w:val="auto"/>
          <w:spacing w:val="-1"/>
          <w:sz w:val="24"/>
          <w:szCs w:val="24"/>
          <w:highlight w:val="none"/>
        </w:rPr>
        <w:t>，每月按扣分扣减服务费。</w:t>
      </w:r>
    </w:p>
    <w:p w14:paraId="2F202349">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lang w:val="en-US" w:eastAsia="zh-CN"/>
        </w:rPr>
        <w:t>2、</w:t>
      </w:r>
      <w:r>
        <w:rPr>
          <w:rFonts w:ascii="宋体" w:hAnsi="宋体" w:eastAsia="宋体" w:cs="宋体"/>
          <w:color w:val="auto"/>
          <w:spacing w:val="-15"/>
          <w:sz w:val="24"/>
          <w:szCs w:val="24"/>
          <w:highlight w:val="none"/>
        </w:rPr>
        <w:t>考</w:t>
      </w:r>
      <w:r>
        <w:rPr>
          <w:rFonts w:ascii="宋体" w:hAnsi="宋体" w:eastAsia="宋体" w:cs="宋体"/>
          <w:color w:val="auto"/>
          <w:spacing w:val="-8"/>
          <w:sz w:val="24"/>
          <w:szCs w:val="24"/>
          <w:highlight w:val="none"/>
        </w:rPr>
        <w:t>核方式： 考核采取明查与暗查相结合、突击检查与例行检查相结合，以日检、</w:t>
      </w:r>
      <w:r>
        <w:rPr>
          <w:rFonts w:ascii="宋体" w:hAnsi="宋体" w:eastAsia="宋体" w:cs="宋体"/>
          <w:color w:val="auto"/>
          <w:sz w:val="24"/>
          <w:szCs w:val="24"/>
          <w:highlight w:val="none"/>
        </w:rPr>
        <w:t xml:space="preserve"> </w:t>
      </w:r>
      <w:r>
        <w:rPr>
          <w:rFonts w:ascii="宋体" w:hAnsi="宋体" w:eastAsia="宋体" w:cs="宋体"/>
          <w:color w:val="auto"/>
          <w:spacing w:val="-4"/>
          <w:sz w:val="24"/>
          <w:szCs w:val="24"/>
          <w:highlight w:val="none"/>
        </w:rPr>
        <w:t>月检相结合的</w:t>
      </w:r>
      <w:r>
        <w:rPr>
          <w:rFonts w:ascii="宋体" w:hAnsi="宋体" w:eastAsia="宋体" w:cs="宋体"/>
          <w:color w:val="auto"/>
          <w:spacing w:val="-2"/>
          <w:sz w:val="24"/>
          <w:szCs w:val="24"/>
          <w:highlight w:val="none"/>
        </w:rPr>
        <w:t>方法，进行检查考核评分。</w:t>
      </w:r>
    </w:p>
    <w:p w14:paraId="06E0190A">
      <w:pPr>
        <w:spacing w:beforeAutospacing="0" w:afterAutospacing="0" w:line="360" w:lineRule="auto"/>
        <w:ind w:right="0" w:rightChars="0" w:firstLine="0" w:firstLineChars="0"/>
        <w:rPr>
          <w:rFonts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val="en-US" w:eastAsia="zh-CN"/>
        </w:rPr>
        <w:t>3、</w:t>
      </w:r>
      <w:r>
        <w:rPr>
          <w:rFonts w:ascii="宋体" w:hAnsi="宋体" w:eastAsia="宋体" w:cs="宋体"/>
          <w:color w:val="auto"/>
          <w:spacing w:val="-2"/>
          <w:sz w:val="24"/>
          <w:szCs w:val="24"/>
          <w:highlight w:val="none"/>
        </w:rPr>
        <w:t>考核内容：(1) 日常管理；(2) 环卫保洁；(3) 园</w:t>
      </w:r>
      <w:r>
        <w:rPr>
          <w:rFonts w:ascii="宋体" w:hAnsi="宋体" w:eastAsia="宋体" w:cs="宋体"/>
          <w:color w:val="auto"/>
          <w:spacing w:val="-1"/>
          <w:sz w:val="24"/>
          <w:szCs w:val="24"/>
          <w:highlight w:val="none"/>
        </w:rPr>
        <w:t>林绿化保洁(含行道树)；(4)</w:t>
      </w:r>
      <w:r>
        <w:rPr>
          <w:rFonts w:ascii="宋体" w:hAnsi="宋体" w:eastAsia="宋体" w:cs="宋体"/>
          <w:color w:val="auto"/>
          <w:sz w:val="24"/>
          <w:szCs w:val="24"/>
          <w:highlight w:val="none"/>
        </w:rPr>
        <w:t xml:space="preserve"> </w:t>
      </w:r>
      <w:r>
        <w:rPr>
          <w:rFonts w:ascii="宋体" w:hAnsi="宋体" w:eastAsia="宋体" w:cs="宋体"/>
          <w:color w:val="auto"/>
          <w:spacing w:val="16"/>
          <w:sz w:val="24"/>
          <w:szCs w:val="24"/>
          <w:highlight w:val="none"/>
        </w:rPr>
        <w:t>园</w:t>
      </w:r>
      <w:r>
        <w:rPr>
          <w:rFonts w:ascii="宋体" w:hAnsi="宋体" w:eastAsia="宋体" w:cs="宋体"/>
          <w:color w:val="auto"/>
          <w:spacing w:val="10"/>
          <w:sz w:val="24"/>
          <w:szCs w:val="24"/>
          <w:highlight w:val="none"/>
        </w:rPr>
        <w:t>林绿化管护(含行道树)；(5)护栏保洁；(6)垃圾分类。</w:t>
      </w:r>
    </w:p>
    <w:p w14:paraId="6BB4C0A8">
      <w:pPr>
        <w:tabs>
          <w:tab w:val="left" w:pos="8160"/>
        </w:tabs>
        <w:spacing w:beforeAutospacing="0" w:afterAutospacing="0" w:line="360" w:lineRule="auto"/>
        <w:ind w:right="0" w:rightChars="0" w:firstLine="0" w:firstLineChars="0"/>
        <w:rPr>
          <w:rFonts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lang w:val="en-US" w:eastAsia="zh-CN"/>
        </w:rPr>
        <w:t>4、</w:t>
      </w:r>
      <w:r>
        <w:rPr>
          <w:rFonts w:ascii="宋体" w:hAnsi="宋体" w:eastAsia="宋体" w:cs="宋体"/>
          <w:color w:val="auto"/>
          <w:spacing w:val="-8"/>
          <w:sz w:val="24"/>
          <w:szCs w:val="24"/>
          <w:highlight w:val="none"/>
        </w:rPr>
        <w:t>考核</w:t>
      </w:r>
      <w:r>
        <w:rPr>
          <w:rFonts w:ascii="宋体" w:hAnsi="宋体" w:eastAsia="宋体" w:cs="宋体"/>
          <w:color w:val="auto"/>
          <w:spacing w:val="-7"/>
          <w:sz w:val="24"/>
          <w:szCs w:val="24"/>
          <w:highlight w:val="none"/>
        </w:rPr>
        <w:t>队</w:t>
      </w:r>
      <w:r>
        <w:rPr>
          <w:rFonts w:ascii="宋体" w:hAnsi="宋体" w:eastAsia="宋体" w:cs="宋体"/>
          <w:color w:val="auto"/>
          <w:spacing w:val="-4"/>
          <w:sz w:val="24"/>
          <w:szCs w:val="24"/>
          <w:highlight w:val="none"/>
        </w:rPr>
        <w:t>伍日常考核中发现的问题，采集(拍照、取证) 后作为“案卷”，转派给</w:t>
      </w:r>
      <w:r>
        <w:rPr>
          <w:rFonts w:ascii="宋体" w:hAnsi="宋体" w:eastAsia="宋体" w:cs="宋体"/>
          <w:color w:val="auto"/>
          <w:spacing w:val="-3"/>
          <w:sz w:val="24"/>
          <w:szCs w:val="24"/>
          <w:highlight w:val="none"/>
        </w:rPr>
        <w:t>考</w:t>
      </w:r>
      <w:r>
        <w:rPr>
          <w:rFonts w:ascii="宋体" w:hAnsi="宋体" w:eastAsia="宋体" w:cs="宋体"/>
          <w:color w:val="auto"/>
          <w:spacing w:val="-2"/>
          <w:sz w:val="24"/>
          <w:szCs w:val="24"/>
          <w:highlight w:val="none"/>
        </w:rPr>
        <w:t>核对象进行整改，并依据考核标准进行处罚。</w:t>
      </w:r>
    </w:p>
    <w:p w14:paraId="3E523ABB">
      <w:pPr>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val="en-US" w:eastAsia="zh-CN"/>
        </w:rPr>
        <w:t>5、</w:t>
      </w:r>
      <w:r>
        <w:rPr>
          <w:rFonts w:ascii="宋体" w:hAnsi="宋体" w:eastAsia="宋体" w:cs="宋体"/>
          <w:color w:val="auto"/>
          <w:spacing w:val="-2"/>
          <w:sz w:val="24"/>
          <w:szCs w:val="24"/>
          <w:highlight w:val="none"/>
        </w:rPr>
        <w:t>同一个问题不累计处罚，按加</w:t>
      </w:r>
      <w:r>
        <w:rPr>
          <w:rFonts w:ascii="宋体" w:hAnsi="宋体" w:eastAsia="宋体" w:cs="宋体"/>
          <w:color w:val="auto"/>
          <w:spacing w:val="-1"/>
          <w:sz w:val="24"/>
          <w:szCs w:val="24"/>
          <w:highlight w:val="none"/>
        </w:rPr>
        <w:t>权平均方法折算成百分制，计入月结算。</w:t>
      </w:r>
    </w:p>
    <w:p w14:paraId="48B05156">
      <w:pPr>
        <w:spacing w:beforeAutospacing="0" w:afterAutospacing="0" w:line="360" w:lineRule="auto"/>
        <w:ind w:right="0" w:firstLine="0" w:firstLineChars="0"/>
        <w:jc w:val="left"/>
        <w:rPr>
          <w:rFonts w:hint="eastAsia" w:ascii="宋体" w:hAnsi="宋体" w:eastAsia="宋体" w:cs="宋体"/>
          <w:b/>
          <w:bCs w:val="0"/>
          <w:color w:val="auto"/>
          <w:sz w:val="24"/>
          <w:szCs w:val="24"/>
          <w:highlight w:val="none"/>
          <w:lang w:eastAsia="zh-CN"/>
        </w:rPr>
      </w:pPr>
      <w:r>
        <w:rPr>
          <w:rFonts w:hint="eastAsia" w:ascii="宋体" w:hAnsi="宋体" w:eastAsia="宋体" w:cs="宋体"/>
          <w:b/>
          <w:bCs w:val="0"/>
          <w:color w:val="auto"/>
          <w:sz w:val="24"/>
          <w:szCs w:val="24"/>
          <w:highlight w:val="none"/>
        </w:rPr>
        <w:t>考核细则</w:t>
      </w:r>
      <w:r>
        <w:rPr>
          <w:rFonts w:hint="eastAsia" w:ascii="宋体" w:hAnsi="宋体" w:eastAsia="宋体" w:cs="宋体"/>
          <w:b/>
          <w:bCs w:val="0"/>
          <w:color w:val="auto"/>
          <w:sz w:val="24"/>
          <w:szCs w:val="24"/>
          <w:highlight w:val="none"/>
          <w:lang w:eastAsia="zh-CN"/>
        </w:rPr>
        <w:t>：</w:t>
      </w:r>
    </w:p>
    <w:p w14:paraId="0DF7B07F">
      <w:pPr>
        <w:snapToGrid w:val="0"/>
        <w:spacing w:beforeAutospacing="0" w:afterAutospacing="0" w:line="360" w:lineRule="auto"/>
        <w:ind w:right="0" w:firstLine="0" w:firstLineChars="0"/>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（一）规定执行情况考核：</w:t>
      </w:r>
    </w:p>
    <w:p w14:paraId="39F7C8A2">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路面、人行道、广场或桥梁未按规定时间完成普扫作业，每路段扣</w:t>
      </w:r>
      <w:r>
        <w:rPr>
          <w:rFonts w:ascii="宋体" w:hAnsi="宋体" w:eastAsia="宋体" w:cs="宋体"/>
          <w:color w:val="auto"/>
          <w:sz w:val="24"/>
          <w:szCs w:val="24"/>
          <w:highlight w:val="none"/>
        </w:rPr>
        <w:t>5</w:t>
      </w:r>
      <w:r>
        <w:rPr>
          <w:rFonts w:hint="eastAsia" w:ascii="宋体" w:hAnsi="宋体" w:eastAsia="宋体" w:cs="宋体"/>
          <w:color w:val="auto"/>
          <w:sz w:val="24"/>
          <w:szCs w:val="24"/>
          <w:highlight w:val="none"/>
        </w:rPr>
        <w:t>0元/次。</w:t>
      </w:r>
    </w:p>
    <w:p w14:paraId="5E33331E">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保洁人员不按时上下岗，每人次扣</w:t>
      </w:r>
      <w:r>
        <w:rPr>
          <w:rFonts w:ascii="宋体" w:hAnsi="宋体" w:eastAsia="宋体" w:cs="宋体"/>
          <w:color w:val="auto"/>
          <w:sz w:val="24"/>
          <w:szCs w:val="24"/>
          <w:highlight w:val="none"/>
        </w:rPr>
        <w:t>5</w:t>
      </w:r>
      <w:r>
        <w:rPr>
          <w:rFonts w:hint="eastAsia" w:ascii="宋体" w:hAnsi="宋体" w:eastAsia="宋体" w:cs="宋体"/>
          <w:color w:val="auto"/>
          <w:sz w:val="24"/>
          <w:szCs w:val="24"/>
          <w:highlight w:val="none"/>
        </w:rPr>
        <w:t>元，脱岗的每人次扣</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0元。</w:t>
      </w:r>
    </w:p>
    <w:p w14:paraId="46FBFA81">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保洁人员未按规定着装的每人次扣</w:t>
      </w:r>
      <w:r>
        <w:rPr>
          <w:rFonts w:ascii="宋体" w:hAnsi="宋体" w:eastAsia="宋体" w:cs="宋体"/>
          <w:color w:val="auto"/>
          <w:sz w:val="24"/>
          <w:szCs w:val="24"/>
          <w:highlight w:val="none"/>
        </w:rPr>
        <w:t>5</w:t>
      </w:r>
      <w:r>
        <w:rPr>
          <w:rFonts w:hint="eastAsia" w:ascii="宋体" w:hAnsi="宋体" w:eastAsia="宋体" w:cs="宋体"/>
          <w:color w:val="auto"/>
          <w:sz w:val="24"/>
          <w:szCs w:val="24"/>
          <w:highlight w:val="none"/>
        </w:rPr>
        <w:t>元；。</w:t>
      </w:r>
    </w:p>
    <w:p w14:paraId="5527D7CE">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未按规定时间完成水洗作业的每次扣</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00元。</w:t>
      </w:r>
    </w:p>
    <w:p w14:paraId="04026283">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电动三轮保洁车必须每天参与保洁作业，根据各分包核定的电动三轮保洁车的数量，各分包每天实际参与作业的电动三轮保洁车的数量为核定数量×80%。未达到要求数量的，按照扣除</w:t>
      </w:r>
      <w:r>
        <w:rPr>
          <w:rFonts w:ascii="宋体" w:hAnsi="宋体" w:eastAsia="宋体" w:cs="宋体"/>
          <w:color w:val="auto"/>
          <w:sz w:val="24"/>
          <w:szCs w:val="24"/>
          <w:highlight w:val="none"/>
        </w:rPr>
        <w:t>3</w:t>
      </w:r>
      <w:r>
        <w:rPr>
          <w:rFonts w:hint="eastAsia" w:ascii="宋体" w:hAnsi="宋体" w:eastAsia="宋体" w:cs="宋体"/>
          <w:color w:val="auto"/>
          <w:sz w:val="24"/>
          <w:szCs w:val="24"/>
          <w:highlight w:val="none"/>
        </w:rPr>
        <w:t>0元/天/辆的标准处罚。</w:t>
      </w:r>
    </w:p>
    <w:p w14:paraId="31BBF4C8">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将垃圾清扫至绿化带或雨水井中，每发现1次扣</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0元。</w:t>
      </w:r>
    </w:p>
    <w:p w14:paraId="6D245E8A">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焚烧树叶、杂物，发现一次扣</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00元。</w:t>
      </w:r>
    </w:p>
    <w:p w14:paraId="3F351E83">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果皮箱未放垃圾袋，每只扣5元。</w:t>
      </w:r>
    </w:p>
    <w:p w14:paraId="0E540233">
      <w:pPr>
        <w:snapToGrid w:val="0"/>
        <w:spacing w:beforeAutospacing="0" w:afterAutospacing="0" w:line="360" w:lineRule="auto"/>
        <w:ind w:right="0" w:firstLine="0" w:firstLineChars="0"/>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（二）日常清扫保洁状态考核：</w:t>
      </w:r>
    </w:p>
    <w:p w14:paraId="6ABD547E">
      <w:pPr>
        <w:snapToGrid w:val="0"/>
        <w:spacing w:beforeAutospacing="0" w:afterAutospacing="0" w:line="360" w:lineRule="auto"/>
        <w:ind w:right="0" w:firstLine="0" w:firstLineChars="0"/>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1</w:t>
      </w:r>
      <w:r>
        <w:rPr>
          <w:rFonts w:hint="eastAsia" w:ascii="宋体" w:hAnsi="宋体" w:eastAsia="宋体" w:cs="宋体"/>
          <w:b/>
          <w:color w:val="auto"/>
          <w:sz w:val="24"/>
          <w:szCs w:val="24"/>
          <w:highlight w:val="none"/>
        </w:rPr>
        <w:t>、道路清扫保洁考核</w:t>
      </w:r>
    </w:p>
    <w:p w14:paraId="35BA1704">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 有明显废弃物，50平方米以内果皮、烟头、杂物5件以上，每处扣0.</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w:t>
      </w:r>
    </w:p>
    <w:p w14:paraId="2B6BFEA3">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2）成堆垃圾没有及时清理，1立方米以内扣0.</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分，超过1立方米扣</w:t>
      </w:r>
      <w:r>
        <w:rPr>
          <w:rFonts w:hint="eastAsia" w:ascii="宋体" w:hAnsi="宋体" w:eastAsia="宋体" w:cs="宋体"/>
          <w:color w:val="auto"/>
          <w:sz w:val="24"/>
          <w:szCs w:val="24"/>
          <w:highlight w:val="none"/>
          <w:lang w:val="en-US" w:eastAsia="zh-CN"/>
        </w:rPr>
        <w:t>0.5</w:t>
      </w:r>
      <w:r>
        <w:rPr>
          <w:rFonts w:hint="eastAsia" w:ascii="宋体" w:hAnsi="宋体" w:eastAsia="宋体" w:cs="宋体"/>
          <w:color w:val="auto"/>
          <w:sz w:val="24"/>
          <w:szCs w:val="24"/>
          <w:highlight w:val="none"/>
        </w:rPr>
        <w:t>分。</w:t>
      </w:r>
    </w:p>
    <w:p w14:paraId="5E2324D4">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3）路牙和隔离桩下有明显灰沙带，长度在</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0米以内的扣0.</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0米以上的扣</w:t>
      </w:r>
      <w:r>
        <w:rPr>
          <w:rFonts w:hint="eastAsia" w:ascii="宋体" w:hAnsi="宋体" w:eastAsia="宋体" w:cs="宋体"/>
          <w:color w:val="auto"/>
          <w:sz w:val="24"/>
          <w:szCs w:val="24"/>
          <w:highlight w:val="none"/>
          <w:lang w:val="en-US" w:eastAsia="zh-CN"/>
        </w:rPr>
        <w:t>0.2</w:t>
      </w:r>
      <w:r>
        <w:rPr>
          <w:rFonts w:hint="eastAsia" w:ascii="宋体" w:hAnsi="宋体" w:eastAsia="宋体" w:cs="宋体"/>
          <w:color w:val="auto"/>
          <w:sz w:val="24"/>
          <w:szCs w:val="24"/>
          <w:highlight w:val="none"/>
        </w:rPr>
        <w:t>分。</w:t>
      </w:r>
    </w:p>
    <w:p w14:paraId="61CD97B9">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4）污水积留没有及时清理，每1平方米扣0.1分。</w:t>
      </w:r>
    </w:p>
    <w:p w14:paraId="334C665E">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5）人行道、路牙有明显青苔、杂草、沙尘、污泥的，</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平方米以内，每处扣0.</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平方米以上扣0.</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w:t>
      </w:r>
    </w:p>
    <w:p w14:paraId="68BE1080">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6）树穴周围有成堆垃圾、杂物、烟头的，每棵树穴扣0.</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w:t>
      </w:r>
    </w:p>
    <w:p w14:paraId="0570B255">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7） 超过道路废弃物单项控制指标的，每超过1件扣0.1分。</w:t>
      </w:r>
    </w:p>
    <w:p w14:paraId="098CFD9D">
      <w:pPr>
        <w:snapToGrid w:val="0"/>
        <w:spacing w:beforeAutospacing="0" w:afterAutospacing="0" w:line="360" w:lineRule="auto"/>
        <w:ind w:right="0" w:firstLine="0" w:firstLineChars="0"/>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2</w:t>
      </w:r>
      <w:r>
        <w:rPr>
          <w:rFonts w:hint="eastAsia" w:ascii="宋体" w:hAnsi="宋体" w:eastAsia="宋体" w:cs="宋体"/>
          <w:b/>
          <w:color w:val="auto"/>
          <w:sz w:val="24"/>
          <w:szCs w:val="24"/>
          <w:highlight w:val="none"/>
        </w:rPr>
        <w:t>、环卫设施考核</w:t>
      </w:r>
    </w:p>
    <w:p w14:paraId="416DB46E">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1）果皮箱、垃圾桶周边垃圾多、明显不洁的，每处扣0.</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w:t>
      </w:r>
    </w:p>
    <w:p w14:paraId="698636BE">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）果皮箱、垃圾桶内垃圾积压、满溢的，每个扣0.</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w:t>
      </w:r>
    </w:p>
    <w:p w14:paraId="1FDE1C06">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）环卫工具、车辆占盲道扣0.</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w:t>
      </w:r>
    </w:p>
    <w:p w14:paraId="7D74E1ED">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）作业工具摆放不整齐或放在绿化带内，有碍观瞻的，每处扣0.</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w:t>
      </w:r>
    </w:p>
    <w:p w14:paraId="37F63C5A">
      <w:pPr>
        <w:snapToGrid w:val="0"/>
        <w:spacing w:beforeAutospacing="0" w:afterAutospacing="0" w:line="360" w:lineRule="auto"/>
        <w:ind w:right="0" w:firstLine="0" w:firstLineChars="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）果皮箱、垃圾桶等环卫设施损坏未及时修复、报告的，未及时修复、报告每个扣0.2分。</w:t>
      </w:r>
    </w:p>
    <w:p w14:paraId="153D6136">
      <w:pPr>
        <w:snapToGrid w:val="0"/>
        <w:spacing w:beforeAutospacing="0" w:afterAutospacing="0" w:line="360" w:lineRule="auto"/>
        <w:ind w:right="0" w:firstLine="0" w:firstLineChars="0"/>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（三）督查督办工作考核：</w:t>
      </w:r>
    </w:p>
    <w:p w14:paraId="45C38B33">
      <w:pPr>
        <w:widowControl/>
        <w:spacing w:beforeAutospacing="0" w:afterAutospacing="0" w:line="360" w:lineRule="auto"/>
        <w:ind w:right="0" w:firstLine="0" w:firstLineChars="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1、因清扫保洁不力，在管养区域内被城管督查、文明创建督查、创卫督查通报、市长热线、城管热线、群众投诉或新闻媒体曝光的，经核查属实，且未在规定时间内按要求处理完通报、曝光、投诉等内容的，每次扣</w:t>
      </w:r>
      <w:r>
        <w:rPr>
          <w:rFonts w:ascii="宋体" w:hAnsi="宋体" w:eastAsia="宋体" w:cs="宋体"/>
          <w:color w:val="auto"/>
          <w:sz w:val="24"/>
          <w:szCs w:val="24"/>
          <w:highlight w:val="none"/>
        </w:rPr>
        <w:t>2</w:t>
      </w:r>
      <w:r>
        <w:rPr>
          <w:rFonts w:hint="eastAsia" w:ascii="宋体" w:hAnsi="宋体" w:eastAsia="宋体" w:cs="宋体"/>
          <w:color w:val="auto"/>
          <w:sz w:val="24"/>
          <w:szCs w:val="24"/>
          <w:highlight w:val="none"/>
        </w:rPr>
        <w:t>000元。</w:t>
      </w:r>
    </w:p>
    <w:p w14:paraId="6FE05D19">
      <w:pPr>
        <w:widowControl/>
        <w:spacing w:beforeAutospacing="0" w:afterAutospacing="0" w:line="360" w:lineRule="auto"/>
        <w:ind w:right="0" w:firstLine="0" w:firstLineChars="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2、市、区、局领导安排的重大保障活动，因工作不力，未完成任务的，每次扣</w:t>
      </w:r>
      <w:r>
        <w:rPr>
          <w:rFonts w:ascii="宋体" w:hAnsi="宋体" w:eastAsia="宋体" w:cs="宋体"/>
          <w:color w:val="auto"/>
          <w:sz w:val="24"/>
          <w:szCs w:val="24"/>
          <w:highlight w:val="none"/>
        </w:rPr>
        <w:t>2</w:t>
      </w:r>
      <w:r>
        <w:rPr>
          <w:rFonts w:hint="eastAsia" w:ascii="宋体" w:hAnsi="宋体" w:eastAsia="宋体" w:cs="宋体"/>
          <w:color w:val="auto"/>
          <w:sz w:val="24"/>
          <w:szCs w:val="24"/>
          <w:highlight w:val="none"/>
        </w:rPr>
        <w:t>000元。</w:t>
      </w:r>
    </w:p>
    <w:p w14:paraId="58303D26">
      <w:pPr>
        <w:widowControl/>
        <w:spacing w:beforeAutospacing="0" w:afterAutospacing="0" w:line="360" w:lineRule="auto"/>
        <w:ind w:right="0" w:firstLine="0" w:firstLineChars="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、按时支付工人工资及福利待遇，发现未按时支付工人工资及福利待遇的，每人次扣</w:t>
      </w:r>
      <w:r>
        <w:rPr>
          <w:rFonts w:ascii="宋体" w:hAnsi="宋体" w:eastAsia="宋体" w:cs="宋体"/>
          <w:color w:val="auto"/>
          <w:sz w:val="24"/>
          <w:szCs w:val="24"/>
          <w:highlight w:val="none"/>
        </w:rPr>
        <w:t>1</w:t>
      </w:r>
      <w:r>
        <w:rPr>
          <w:rFonts w:hint="eastAsia" w:ascii="宋体" w:hAnsi="宋体" w:eastAsia="宋体" w:cs="宋体"/>
          <w:color w:val="auto"/>
          <w:sz w:val="24"/>
          <w:szCs w:val="24"/>
          <w:highlight w:val="none"/>
        </w:rPr>
        <w:t>000元；环卫工人上访查实的，每人次扣</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000元。</w:t>
      </w:r>
    </w:p>
    <w:p w14:paraId="36D29CEA">
      <w:pPr>
        <w:jc w:val="center"/>
        <w:rPr>
          <w:rFonts w:hint="eastAsia" w:ascii="宋体" w:hAnsi="宋体" w:eastAsia="宋体"/>
          <w:b/>
          <w:bCs/>
          <w:color w:val="auto"/>
          <w:sz w:val="28"/>
          <w:szCs w:val="32"/>
          <w:highlight w:val="none"/>
          <w:lang w:val="en-US" w:eastAsia="zh-CN"/>
        </w:rPr>
      </w:pPr>
    </w:p>
    <w:p w14:paraId="652490E2">
      <w:pPr>
        <w:jc w:val="center"/>
        <w:rPr>
          <w:rFonts w:hint="eastAsia" w:ascii="宋体" w:hAnsi="宋体" w:eastAsia="宋体"/>
          <w:b/>
          <w:bCs/>
          <w:color w:val="auto"/>
          <w:sz w:val="28"/>
          <w:szCs w:val="32"/>
          <w:highlight w:val="none"/>
          <w:lang w:val="en-US" w:eastAsia="zh-CN"/>
        </w:rPr>
      </w:pPr>
      <w:r>
        <w:rPr>
          <w:rFonts w:hint="eastAsia" w:ascii="宋体" w:hAnsi="宋体" w:eastAsia="宋体"/>
          <w:b/>
          <w:bCs/>
          <w:color w:val="auto"/>
          <w:sz w:val="28"/>
          <w:szCs w:val="32"/>
          <w:highlight w:val="none"/>
          <w:lang w:val="en-US" w:eastAsia="zh-CN"/>
        </w:rPr>
        <w:t>路灯日常维护</w:t>
      </w:r>
    </w:p>
    <w:p w14:paraId="6447DBBC">
      <w:pPr>
        <w:pStyle w:val="12"/>
        <w:spacing w:line="360" w:lineRule="auto"/>
        <w:ind w:firstLine="0"/>
        <w:jc w:val="both"/>
        <w:rPr>
          <w:rFonts w:hint="eastAsia" w:ascii="宋体" w:hAnsi="宋体" w:eastAsia="宋体" w:cs="宋体"/>
          <w:b/>
          <w:bCs/>
          <w:snapToGrid w:val="0"/>
          <w:color w:val="auto"/>
          <w:kern w:val="0"/>
          <w:sz w:val="24"/>
          <w:szCs w:val="24"/>
          <w:highlight w:val="none"/>
          <w:lang w:val="en-US" w:eastAsia="en-US" w:bidi="ar-SA"/>
        </w:rPr>
      </w:pPr>
      <w:r>
        <w:rPr>
          <w:rFonts w:hint="eastAsia" w:hAnsi="宋体" w:eastAsia="宋体" w:cs="宋体"/>
          <w:b/>
          <w:bCs/>
          <w:snapToGrid w:val="0"/>
          <w:color w:val="auto"/>
          <w:kern w:val="0"/>
          <w:sz w:val="24"/>
          <w:szCs w:val="24"/>
          <w:highlight w:val="none"/>
          <w:lang w:val="en-US" w:eastAsia="zh-CN" w:bidi="ar-SA"/>
        </w:rPr>
        <w:t>（一）</w:t>
      </w:r>
      <w:r>
        <w:rPr>
          <w:rFonts w:hint="eastAsia" w:ascii="宋体" w:hAnsi="宋体" w:eastAsia="宋体" w:cs="宋体"/>
          <w:b/>
          <w:bCs/>
          <w:snapToGrid w:val="0"/>
          <w:color w:val="auto"/>
          <w:kern w:val="0"/>
          <w:sz w:val="24"/>
          <w:szCs w:val="24"/>
          <w:highlight w:val="none"/>
          <w:lang w:val="en-US" w:eastAsia="en-US" w:bidi="ar-SA"/>
        </w:rPr>
        <w:t xml:space="preserve"> 服务范围与对象</w:t>
      </w:r>
    </w:p>
    <w:p w14:paraId="1D68499D">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中标人需负责指定区域内所有公共照明设施的日常巡查、养护、维修及应急抢修工作。具体服务对象包括但不限于：路灯灯杆、灯具（含光源）、地下电缆管线、控制箱（柜）、变压器、配电室、检查井以及相关的金属构件和基础等附属设备。</w:t>
      </w:r>
    </w:p>
    <w:p w14:paraId="082F7DAD">
      <w:pPr>
        <w:pStyle w:val="12"/>
        <w:spacing w:line="360" w:lineRule="auto"/>
        <w:ind w:firstLine="0"/>
        <w:jc w:val="both"/>
        <w:rPr>
          <w:rFonts w:hint="eastAsia" w:ascii="宋体" w:hAnsi="宋体" w:eastAsia="宋体" w:cs="宋体"/>
          <w:b/>
          <w:bCs/>
          <w:snapToGrid w:val="0"/>
          <w:color w:val="auto"/>
          <w:kern w:val="0"/>
          <w:sz w:val="24"/>
          <w:szCs w:val="24"/>
          <w:highlight w:val="none"/>
          <w:lang w:val="en-US" w:eastAsia="en-US" w:bidi="ar-SA"/>
        </w:rPr>
      </w:pPr>
      <w:r>
        <w:rPr>
          <w:rFonts w:hint="eastAsia" w:hAnsi="宋体" w:eastAsia="宋体" w:cs="宋体"/>
          <w:b/>
          <w:bCs/>
          <w:snapToGrid w:val="0"/>
          <w:color w:val="auto"/>
          <w:kern w:val="0"/>
          <w:sz w:val="24"/>
          <w:szCs w:val="24"/>
          <w:highlight w:val="none"/>
          <w:lang w:val="en-US" w:eastAsia="zh-CN" w:bidi="ar-SA"/>
        </w:rPr>
        <w:t>（二）</w:t>
      </w:r>
      <w:r>
        <w:rPr>
          <w:rFonts w:hint="eastAsia" w:ascii="宋体" w:hAnsi="宋体" w:eastAsia="宋体" w:cs="宋体"/>
          <w:b/>
          <w:bCs/>
          <w:snapToGrid w:val="0"/>
          <w:color w:val="auto"/>
          <w:kern w:val="0"/>
          <w:sz w:val="24"/>
          <w:szCs w:val="24"/>
          <w:highlight w:val="none"/>
          <w:lang w:val="en-US" w:eastAsia="en-US" w:bidi="ar-SA"/>
        </w:rPr>
        <w:t>核心质量指标</w:t>
      </w:r>
    </w:p>
    <w:p w14:paraId="5B657150">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亮灯率要求：路灯照明亮灯率应达到98%、设施完好率应达到96%及以上，应急处置迅速高效，无安全生产事故等应当符合《城市道路照明设施运行维护技术标准》（T/CMEA21)。</w:t>
      </w:r>
    </w:p>
    <w:p w14:paraId="05E18129">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设施完好率： 各类照明设施（包括灯杆、箱体、线缆等）的整体完好率须保持在9</w:t>
      </w:r>
      <w:r>
        <w:rPr>
          <w:rFonts w:hint="eastAsia" w:hAnsi="宋体" w:eastAsia="宋体" w:cs="宋体"/>
          <w:snapToGrid w:val="0"/>
          <w:color w:val="auto"/>
          <w:kern w:val="0"/>
          <w:sz w:val="24"/>
          <w:szCs w:val="24"/>
          <w:highlight w:val="none"/>
          <w:lang w:val="en-US" w:eastAsia="zh-CN" w:bidi="ar-SA"/>
        </w:rPr>
        <w:t>6</w:t>
      </w:r>
      <w:r>
        <w:rPr>
          <w:rFonts w:hint="eastAsia" w:ascii="宋体" w:hAnsi="宋体" w:eastAsia="宋体" w:cs="宋体"/>
          <w:snapToGrid w:val="0"/>
          <w:color w:val="auto"/>
          <w:kern w:val="0"/>
          <w:sz w:val="24"/>
          <w:szCs w:val="24"/>
          <w:highlight w:val="none"/>
          <w:lang w:val="en-US" w:eastAsia="en-US" w:bidi="ar-SA"/>
        </w:rPr>
        <w:t>%及以上，确保无倾斜、无破损、无锈蚀，外观整洁。</w:t>
      </w:r>
    </w:p>
    <w:p w14:paraId="25585D2D">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hAnsi="宋体" w:eastAsia="宋体" w:cs="宋体"/>
          <w:b/>
          <w:bCs/>
          <w:snapToGrid w:val="0"/>
          <w:color w:val="auto"/>
          <w:kern w:val="0"/>
          <w:sz w:val="24"/>
          <w:szCs w:val="24"/>
          <w:highlight w:val="none"/>
          <w:lang w:val="en-US" w:eastAsia="zh-CN" w:bidi="ar-SA"/>
        </w:rPr>
        <w:t>（三）</w:t>
      </w:r>
      <w:r>
        <w:rPr>
          <w:rFonts w:hint="eastAsia" w:ascii="宋体" w:hAnsi="宋体" w:eastAsia="宋体" w:cs="宋体"/>
          <w:b/>
          <w:bCs/>
          <w:snapToGrid w:val="0"/>
          <w:color w:val="auto"/>
          <w:kern w:val="0"/>
          <w:sz w:val="24"/>
          <w:szCs w:val="24"/>
          <w:highlight w:val="none"/>
          <w:lang w:val="en-US" w:eastAsia="en-US" w:bidi="ar-SA"/>
        </w:rPr>
        <w:t>巡查与维护机制</w:t>
      </w:r>
    </w:p>
    <w:p w14:paraId="106C8B56">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常态化巡查： 建立严格的日常巡修制度，每周至少对辖区内路灯进行一次全覆盖亮灯情况普查，每月完成一轮针对线路、控制箱、灯容灯貌的深度巡视，并建立详实的巡查台账。</w:t>
      </w:r>
    </w:p>
    <w:p w14:paraId="3392B0BD">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预防性维护： 定期对配电箱、变压器等供电设备进行安全检测（如电流电压测量、接地电阻测试等），及时更换老化配件，做好防漏电、防小动物等措施。根据季节变化及主管部门要求，及时调整路灯的启闭时间。</w:t>
      </w:r>
    </w:p>
    <w:p w14:paraId="3362904D">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hAnsi="宋体" w:eastAsia="宋体" w:cs="宋体"/>
          <w:b/>
          <w:bCs/>
          <w:snapToGrid w:val="0"/>
          <w:color w:val="auto"/>
          <w:kern w:val="0"/>
          <w:sz w:val="24"/>
          <w:szCs w:val="24"/>
          <w:highlight w:val="none"/>
          <w:lang w:val="en-US" w:eastAsia="zh-CN" w:bidi="ar-SA"/>
        </w:rPr>
        <w:t>（四）</w:t>
      </w:r>
      <w:r>
        <w:rPr>
          <w:rFonts w:hint="eastAsia" w:ascii="宋体" w:hAnsi="宋体" w:eastAsia="宋体" w:cs="宋体"/>
          <w:b/>
          <w:bCs/>
          <w:snapToGrid w:val="0"/>
          <w:color w:val="auto"/>
          <w:kern w:val="0"/>
          <w:sz w:val="24"/>
          <w:szCs w:val="24"/>
          <w:highlight w:val="none"/>
          <w:lang w:val="en-US" w:eastAsia="en-US" w:bidi="ar-SA"/>
        </w:rPr>
        <w:t>故障响应与修复时效</w:t>
      </w:r>
    </w:p>
    <w:p w14:paraId="2132796D">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全天候报修： 必须设立24小时值班电话，随时受理公众报修及投诉，并做好详细记录。</w:t>
      </w:r>
    </w:p>
    <w:p w14:paraId="7B7CFB33">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快速处置： 接到故障报告或巡查发现一般性故障（如单盏灯具损坏），应在24小时内完成修复；如遇恶劣天气等特殊原因，最迟不得超过48小时。</w:t>
      </w:r>
    </w:p>
    <w:p w14:paraId="343EA13C">
      <w:pPr>
        <w:pStyle w:val="12"/>
        <w:spacing w:line="360" w:lineRule="auto"/>
        <w:ind w:firstLine="0"/>
        <w:jc w:val="both"/>
        <w:rPr>
          <w:rFonts w:hint="eastAsia"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en-US" w:bidi="ar-SA"/>
        </w:rPr>
        <w:t>应急抢修： 遇到线路短路、配电箱故障导致的大面积灭灯，或因交通事故、台风暴雨等不可抗力造成的严重损坏，必须在1至2小时内抵达现场设置安全警示并采取临时措施，迅速组织力量抢修，尽快消除安全隐患并恢复亮灯。</w:t>
      </w:r>
      <w:r>
        <w:rPr>
          <w:rFonts w:hint="eastAsia" w:cs="宋体"/>
          <w:snapToGrid w:val="0"/>
          <w:color w:val="auto"/>
          <w:kern w:val="0"/>
          <w:sz w:val="24"/>
          <w:szCs w:val="24"/>
          <w:highlight w:val="none"/>
          <w:lang w:val="en-US" w:eastAsia="zh-CN" w:bidi="ar-SA"/>
        </w:rPr>
        <w:t>如遇不可抗力等其他的特殊情况，由双方另行协商确定。</w:t>
      </w:r>
    </w:p>
    <w:p w14:paraId="797A67A1">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hAnsi="宋体" w:eastAsia="宋体" w:cs="宋体"/>
          <w:b/>
          <w:bCs/>
          <w:snapToGrid w:val="0"/>
          <w:color w:val="auto"/>
          <w:kern w:val="0"/>
          <w:sz w:val="24"/>
          <w:szCs w:val="24"/>
          <w:highlight w:val="none"/>
          <w:lang w:val="en-US" w:eastAsia="zh-CN" w:bidi="ar-SA"/>
        </w:rPr>
        <w:t>（五）</w:t>
      </w:r>
      <w:r>
        <w:rPr>
          <w:rFonts w:hint="eastAsia" w:ascii="宋体" w:hAnsi="宋体" w:eastAsia="宋体" w:cs="宋体"/>
          <w:b/>
          <w:bCs/>
          <w:snapToGrid w:val="0"/>
          <w:color w:val="auto"/>
          <w:kern w:val="0"/>
          <w:sz w:val="24"/>
          <w:szCs w:val="24"/>
          <w:highlight w:val="none"/>
          <w:lang w:val="en-US" w:eastAsia="en-US" w:bidi="ar-SA"/>
        </w:rPr>
        <w:t>安全生产与文明施工</w:t>
      </w:r>
    </w:p>
    <w:p w14:paraId="72CDC09C">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人员资质与安全： 所有作业人员必须经过专业培训并持证上岗，统一着装。作业期间必须严格遵守交通安全规则和电力安全操作规程，规范穿戴绝缘手套、防滑鞋、安全带等劳动保护用品。</w:t>
      </w:r>
    </w:p>
    <w:p w14:paraId="21347B80">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现场管理： 维护作业应尽量避开交通早晚高峰，做到“快进快出”。在作业现场周边必须设置规范的警示标志和隔离设施，确保行人和车辆安全。若发生任何安全责任事故，均由中标人承担全部法律和经济责任。</w:t>
      </w:r>
    </w:p>
    <w:p w14:paraId="6C3110EC">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hAnsi="宋体" w:eastAsia="宋体" w:cs="宋体"/>
          <w:b/>
          <w:bCs/>
          <w:snapToGrid w:val="0"/>
          <w:color w:val="auto"/>
          <w:kern w:val="0"/>
          <w:sz w:val="24"/>
          <w:szCs w:val="24"/>
          <w:highlight w:val="none"/>
          <w:lang w:val="en-US" w:eastAsia="zh-CN" w:bidi="ar-SA"/>
        </w:rPr>
        <w:t>（六）</w:t>
      </w:r>
      <w:r>
        <w:rPr>
          <w:rFonts w:hint="eastAsia" w:ascii="宋体" w:hAnsi="宋体" w:eastAsia="宋体" w:cs="宋体"/>
          <w:b/>
          <w:bCs/>
          <w:snapToGrid w:val="0"/>
          <w:color w:val="auto"/>
          <w:kern w:val="0"/>
          <w:sz w:val="24"/>
          <w:szCs w:val="24"/>
          <w:highlight w:val="none"/>
          <w:lang w:val="en-US" w:eastAsia="en-US" w:bidi="ar-SA"/>
        </w:rPr>
        <w:t>档案管理与综合协调</w:t>
      </w:r>
    </w:p>
    <w:p w14:paraId="45167937">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资料建档： 建立健全辖区内路灯设施的电子及纸质档案（包括分布图、控制系统图、巡查记录、维修台账等），并根据实际情况动态更新，保证资料的准确性。</w:t>
      </w:r>
    </w:p>
    <w:p w14:paraId="73411956">
      <w:pPr>
        <w:pStyle w:val="12"/>
        <w:spacing w:line="360" w:lineRule="auto"/>
        <w:ind w:firstLine="0"/>
        <w:jc w:val="both"/>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snapToGrid w:val="0"/>
          <w:color w:val="auto"/>
          <w:kern w:val="0"/>
          <w:sz w:val="24"/>
          <w:szCs w:val="24"/>
          <w:highlight w:val="none"/>
          <w:lang w:val="en-US" w:eastAsia="en-US" w:bidi="ar-SA"/>
        </w:rPr>
        <w:t>外部协调： 自行负责协调供电部门、属地街道、社区及周边群众的关系。妥善处理因维护作业产生的矛盾，严禁擅自在灯杆上挂设广告、横幅或私拉乱接电线，发现相关违规行为应及时制止并向主管部门报告。</w:t>
      </w:r>
    </w:p>
    <w:p w14:paraId="5D028CB2">
      <w:pPr>
        <w:pStyle w:val="12"/>
        <w:numPr>
          <w:ilvl w:val="0"/>
          <w:numId w:val="1"/>
        </w:numPr>
        <w:spacing w:line="360" w:lineRule="auto"/>
        <w:ind w:left="0" w:leftChars="0" w:firstLine="0" w:firstLineChars="0"/>
        <w:jc w:val="both"/>
        <w:rPr>
          <w:rFonts w:hint="eastAsia" w:hAnsi="宋体" w:eastAsia="宋体" w:cs="宋体"/>
          <w:b/>
          <w:bCs/>
          <w:color w:val="auto"/>
          <w:sz w:val="24"/>
          <w:szCs w:val="24"/>
          <w:highlight w:val="none"/>
          <w:lang w:val="en-US" w:eastAsia="zh-CN"/>
        </w:rPr>
      </w:pPr>
      <w:r>
        <w:rPr>
          <w:rFonts w:hint="eastAsia" w:hAnsi="宋体" w:eastAsia="宋体" w:cs="宋体"/>
          <w:b/>
          <w:bCs/>
          <w:color w:val="auto"/>
          <w:sz w:val="24"/>
          <w:szCs w:val="24"/>
          <w:highlight w:val="none"/>
          <w:lang w:val="en-US" w:eastAsia="zh-CN"/>
        </w:rPr>
        <w:t>路灯日常维护人员配置详见下表：</w:t>
      </w:r>
    </w:p>
    <w:tbl>
      <w:tblPr>
        <w:tblStyle w:val="9"/>
        <w:tblW w:w="86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7"/>
        <w:gridCol w:w="1550"/>
        <w:gridCol w:w="739"/>
        <w:gridCol w:w="739"/>
        <w:gridCol w:w="4867"/>
      </w:tblGrid>
      <w:tr w14:paraId="663C3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757" w:type="dxa"/>
            <w:vAlign w:val="center"/>
          </w:tcPr>
          <w:p w14:paraId="49F5ADC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序号</w:t>
            </w:r>
          </w:p>
        </w:tc>
        <w:tc>
          <w:tcPr>
            <w:tcW w:w="1550" w:type="dxa"/>
            <w:vAlign w:val="center"/>
          </w:tcPr>
          <w:p w14:paraId="67D72BA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岗位名称</w:t>
            </w:r>
          </w:p>
        </w:tc>
        <w:tc>
          <w:tcPr>
            <w:tcW w:w="739" w:type="dxa"/>
            <w:shd w:val="clear" w:color="auto" w:fill="auto"/>
            <w:vAlign w:val="center"/>
          </w:tcPr>
          <w:p w14:paraId="1F29D47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vertAlign w:val="baseline"/>
                <w:lang w:val="en-US" w:eastAsia="zh-CN" w:bidi="ar-SA"/>
              </w:rPr>
            </w:pPr>
            <w:r>
              <w:rPr>
                <w:rFonts w:hint="eastAsia" w:ascii="宋体" w:hAnsi="宋体" w:eastAsia="宋体" w:cs="宋体"/>
                <w:color w:val="auto"/>
                <w:sz w:val="24"/>
                <w:szCs w:val="24"/>
                <w:highlight w:val="none"/>
                <w:vertAlign w:val="baseline"/>
                <w:lang w:val="en-US" w:eastAsia="zh-CN"/>
              </w:rPr>
              <w:t>人数</w:t>
            </w:r>
          </w:p>
        </w:tc>
        <w:tc>
          <w:tcPr>
            <w:tcW w:w="739" w:type="dxa"/>
            <w:vAlign w:val="center"/>
          </w:tcPr>
          <w:p w14:paraId="61818E8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单位</w:t>
            </w:r>
          </w:p>
        </w:tc>
        <w:tc>
          <w:tcPr>
            <w:tcW w:w="4867" w:type="dxa"/>
            <w:vAlign w:val="center"/>
          </w:tcPr>
          <w:p w14:paraId="41241D1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岗位事务要求</w:t>
            </w:r>
          </w:p>
        </w:tc>
      </w:tr>
      <w:tr w14:paraId="5C3E5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7" w:hRule="atLeast"/>
          <w:jc w:val="center"/>
        </w:trPr>
        <w:tc>
          <w:tcPr>
            <w:tcW w:w="757" w:type="dxa"/>
            <w:vAlign w:val="center"/>
          </w:tcPr>
          <w:p w14:paraId="46D06A4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1</w:t>
            </w:r>
          </w:p>
        </w:tc>
        <w:tc>
          <w:tcPr>
            <w:tcW w:w="1550" w:type="dxa"/>
            <w:vAlign w:val="center"/>
          </w:tcPr>
          <w:p w14:paraId="1588AE1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主修、辅助</w:t>
            </w:r>
          </w:p>
        </w:tc>
        <w:tc>
          <w:tcPr>
            <w:tcW w:w="739" w:type="dxa"/>
            <w:shd w:val="clear" w:color="auto" w:fill="auto"/>
            <w:vAlign w:val="center"/>
          </w:tcPr>
          <w:p w14:paraId="4289253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z w:val="24"/>
                <w:szCs w:val="24"/>
                <w:highlight w:val="none"/>
                <w:vertAlign w:val="baseline"/>
                <w:lang w:val="en-US" w:eastAsia="zh-CN" w:bidi="ar-SA"/>
              </w:rPr>
            </w:pPr>
            <w:r>
              <w:rPr>
                <w:rFonts w:hint="eastAsia" w:ascii="宋体" w:hAnsi="宋体" w:eastAsia="宋体" w:cs="宋体"/>
                <w:color w:val="auto"/>
                <w:sz w:val="24"/>
                <w:szCs w:val="24"/>
                <w:highlight w:val="none"/>
                <w:vertAlign w:val="baseline"/>
                <w:lang w:val="en-US" w:eastAsia="zh-CN"/>
              </w:rPr>
              <w:t>4</w:t>
            </w:r>
          </w:p>
        </w:tc>
        <w:tc>
          <w:tcPr>
            <w:tcW w:w="739" w:type="dxa"/>
            <w:vAlign w:val="center"/>
          </w:tcPr>
          <w:p w14:paraId="60F8701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人</w:t>
            </w:r>
          </w:p>
        </w:tc>
        <w:tc>
          <w:tcPr>
            <w:tcW w:w="4867" w:type="dxa"/>
            <w:vAlign w:val="center"/>
          </w:tcPr>
          <w:p w14:paraId="2E19730A">
            <w:pPr>
              <w:pStyle w:val="11"/>
              <w:widowControl w:val="0"/>
              <w:spacing w:before="136" w:line="360" w:lineRule="auto"/>
              <w:jc w:val="left"/>
              <w:rPr>
                <w:rFonts w:hint="eastAsia" w:ascii="宋体" w:hAnsi="宋体" w:eastAsia="宋体" w:cs="宋体"/>
                <w:color w:val="auto"/>
                <w:sz w:val="24"/>
                <w:szCs w:val="24"/>
                <w:highlight w:val="none"/>
                <w:vertAlign w:val="baseline"/>
              </w:rPr>
            </w:pPr>
            <w:r>
              <w:rPr>
                <w:rFonts w:hint="eastAsia" w:ascii="宋体" w:hAnsi="宋体" w:eastAsia="宋体" w:cs="宋体"/>
                <w:snapToGrid w:val="0"/>
                <w:color w:val="auto"/>
                <w:kern w:val="0"/>
                <w:sz w:val="24"/>
                <w:szCs w:val="24"/>
                <w:highlight w:val="none"/>
                <w:vertAlign w:val="baseline"/>
                <w:lang w:val="en-US" w:eastAsia="zh-CN" w:bidi="ar-SA"/>
              </w:rPr>
              <w:t>需具备低压电工证2人、焊工证1人及高空作业证1人。【</w:t>
            </w:r>
            <w:r>
              <w:rPr>
                <w:rFonts w:hint="eastAsia" w:ascii="宋体" w:hAnsi="宋体" w:eastAsia="宋体" w:cs="宋体"/>
                <w:b/>
                <w:bCs/>
                <w:color w:val="auto"/>
                <w:kern w:val="2"/>
                <w:sz w:val="24"/>
                <w:szCs w:val="24"/>
                <w:highlight w:val="none"/>
                <w:lang w:val="en-US" w:eastAsia="zh-CN" w:bidi="ar-SA"/>
              </w:rPr>
              <w:t>须提供本人身份证、相关证书</w:t>
            </w:r>
            <w:r>
              <w:rPr>
                <w:rFonts w:hint="eastAsia" w:ascii="宋体" w:hAnsi="宋体" w:eastAsia="宋体" w:cs="宋体"/>
                <w:b/>
                <w:bCs/>
                <w:color w:val="auto"/>
                <w:spacing w:val="34"/>
                <w:sz w:val="24"/>
                <w:szCs w:val="24"/>
                <w:highlight w:val="none"/>
              </w:rPr>
              <w:t>原件扫描</w:t>
            </w:r>
            <w:r>
              <w:rPr>
                <w:rFonts w:hint="eastAsia" w:ascii="宋体" w:hAnsi="宋体" w:eastAsia="宋体" w:cs="宋体"/>
                <w:b/>
                <w:bCs/>
                <w:color w:val="auto"/>
                <w:spacing w:val="43"/>
                <w:sz w:val="24"/>
                <w:szCs w:val="24"/>
                <w:highlight w:val="none"/>
              </w:rPr>
              <w:t>加盖</w:t>
            </w:r>
            <w:r>
              <w:rPr>
                <w:rFonts w:hint="eastAsia" w:ascii="宋体" w:hAnsi="宋体" w:eastAsia="宋体" w:cs="宋体"/>
                <w:b/>
                <w:bCs/>
                <w:color w:val="auto"/>
                <w:spacing w:val="43"/>
                <w:sz w:val="24"/>
                <w:szCs w:val="24"/>
                <w:highlight w:val="none"/>
                <w:lang w:eastAsia="zh-CN"/>
              </w:rPr>
              <w:t>投标人</w:t>
            </w:r>
            <w:r>
              <w:rPr>
                <w:rFonts w:hint="eastAsia" w:ascii="宋体" w:hAnsi="宋体" w:eastAsia="宋体" w:cs="宋体"/>
                <w:b/>
                <w:bCs/>
                <w:color w:val="auto"/>
                <w:spacing w:val="43"/>
                <w:sz w:val="24"/>
                <w:szCs w:val="24"/>
                <w:highlight w:val="none"/>
              </w:rPr>
              <w:t>公章及</w:t>
            </w:r>
            <w:r>
              <w:rPr>
                <w:rFonts w:hint="eastAsia" w:ascii="宋体" w:hAnsi="宋体" w:eastAsia="宋体" w:cs="宋体"/>
                <w:b/>
                <w:bCs/>
                <w:color w:val="auto"/>
                <w:sz w:val="24"/>
                <w:szCs w:val="24"/>
                <w:highlight w:val="none"/>
              </w:rPr>
              <w:t>开标前6个月内</w:t>
            </w:r>
            <w:r>
              <w:rPr>
                <w:rFonts w:hint="eastAsia" w:ascii="宋体" w:hAnsi="宋体" w:eastAsia="宋体" w:cs="宋体"/>
                <w:b/>
                <w:bCs/>
                <w:color w:val="auto"/>
                <w:sz w:val="24"/>
                <w:szCs w:val="24"/>
                <w:highlight w:val="none"/>
                <w:lang w:eastAsia="zh-CN"/>
              </w:rPr>
              <w:t>（任意1个月）</w:t>
            </w:r>
            <w:r>
              <w:rPr>
                <w:rFonts w:hint="eastAsia" w:ascii="宋体" w:hAnsi="宋体" w:eastAsia="宋体" w:cs="宋体"/>
                <w:b/>
                <w:bCs/>
                <w:color w:val="auto"/>
                <w:sz w:val="24"/>
                <w:szCs w:val="24"/>
                <w:highlight w:val="none"/>
              </w:rPr>
              <w:t>的</w:t>
            </w:r>
            <w:r>
              <w:rPr>
                <w:rFonts w:hint="eastAsia" w:ascii="宋体" w:hAnsi="宋体" w:eastAsia="宋体" w:cs="宋体"/>
                <w:b/>
                <w:bCs/>
                <w:color w:val="auto"/>
                <w:sz w:val="24"/>
                <w:szCs w:val="24"/>
                <w:highlight w:val="none"/>
                <w:lang w:eastAsia="zh-CN"/>
              </w:rPr>
              <w:t>工资流水</w:t>
            </w:r>
            <w:r>
              <w:rPr>
                <w:rFonts w:hint="eastAsia" w:ascii="宋体" w:hAnsi="宋体" w:eastAsia="宋体" w:cs="宋体"/>
                <w:b/>
                <w:bCs/>
                <w:color w:val="auto"/>
                <w:sz w:val="24"/>
                <w:szCs w:val="24"/>
                <w:highlight w:val="none"/>
              </w:rPr>
              <w:t>凭证扫描件加盖</w:t>
            </w:r>
            <w:r>
              <w:rPr>
                <w:rFonts w:hint="eastAsia" w:ascii="宋体" w:hAnsi="宋体" w:eastAsia="宋体" w:cs="宋体"/>
                <w:b/>
                <w:bCs/>
                <w:color w:val="auto"/>
                <w:sz w:val="24"/>
                <w:szCs w:val="24"/>
                <w:highlight w:val="none"/>
                <w:lang w:val="en-US" w:eastAsia="zh-CN"/>
              </w:rPr>
              <w:t>投标人</w:t>
            </w:r>
            <w:r>
              <w:rPr>
                <w:rFonts w:hint="eastAsia" w:ascii="宋体" w:hAnsi="宋体" w:eastAsia="宋体" w:cs="宋体"/>
                <w:b/>
                <w:bCs/>
                <w:color w:val="auto"/>
                <w:sz w:val="24"/>
                <w:szCs w:val="24"/>
                <w:highlight w:val="none"/>
              </w:rPr>
              <w:t>公章</w:t>
            </w:r>
            <w:r>
              <w:rPr>
                <w:rFonts w:hint="eastAsia" w:ascii="宋体" w:hAnsi="宋体" w:eastAsia="宋体" w:cs="宋体"/>
                <w:b/>
                <w:bCs/>
                <w:color w:val="auto"/>
                <w:sz w:val="24"/>
                <w:szCs w:val="24"/>
                <w:highlight w:val="none"/>
                <w:lang w:val="en-US" w:eastAsia="zh-CN"/>
              </w:rPr>
              <w:t>为依据</w:t>
            </w:r>
            <w:r>
              <w:rPr>
                <w:rFonts w:hint="eastAsia" w:ascii="宋体" w:hAnsi="宋体" w:eastAsia="宋体" w:cs="宋体"/>
                <w:b/>
                <w:bCs/>
                <w:color w:val="auto"/>
                <w:spacing w:val="-3"/>
                <w:sz w:val="24"/>
                <w:szCs w:val="24"/>
                <w:highlight w:val="none"/>
              </w:rPr>
              <w:t xml:space="preserve"> </w:t>
            </w:r>
            <w:r>
              <w:rPr>
                <w:rFonts w:hint="eastAsia" w:ascii="宋体" w:hAnsi="宋体" w:eastAsia="宋体" w:cs="宋体"/>
                <w:b/>
                <w:bCs/>
                <w:color w:val="auto"/>
                <w:sz w:val="24"/>
                <w:szCs w:val="24"/>
                <w:highlight w:val="none"/>
              </w:rPr>
              <w:t>,未提供或</w:t>
            </w:r>
            <w:r>
              <w:rPr>
                <w:rFonts w:hint="eastAsia" w:ascii="宋体" w:hAnsi="宋体" w:eastAsia="宋体" w:cs="宋体"/>
                <w:b/>
                <w:bCs/>
                <w:color w:val="auto"/>
                <w:sz w:val="24"/>
                <w:szCs w:val="24"/>
                <w:highlight w:val="none"/>
                <w:lang w:val="en-US" w:eastAsia="zh-CN"/>
              </w:rPr>
              <w:t>提供</w:t>
            </w:r>
            <w:r>
              <w:rPr>
                <w:rFonts w:hint="eastAsia" w:ascii="宋体" w:hAnsi="宋体" w:eastAsia="宋体" w:cs="宋体"/>
                <w:b/>
                <w:bCs/>
                <w:color w:val="auto"/>
                <w:sz w:val="24"/>
                <w:szCs w:val="24"/>
                <w:highlight w:val="none"/>
              </w:rPr>
              <w:t>不符合</w:t>
            </w:r>
            <w:r>
              <w:rPr>
                <w:rFonts w:hint="eastAsia" w:ascii="宋体" w:hAnsi="宋体" w:eastAsia="宋体" w:cs="宋体"/>
                <w:b/>
                <w:bCs/>
                <w:color w:val="auto"/>
                <w:sz w:val="24"/>
                <w:szCs w:val="24"/>
                <w:highlight w:val="none"/>
                <w:lang w:eastAsia="zh-CN"/>
              </w:rPr>
              <w:t>要求视为无效响应</w:t>
            </w:r>
            <w:r>
              <w:rPr>
                <w:rFonts w:hint="eastAsia" w:ascii="宋体" w:hAnsi="宋体" w:eastAsia="宋体" w:cs="宋体"/>
                <w:b/>
                <w:bCs/>
                <w:color w:val="auto"/>
                <w:sz w:val="24"/>
                <w:szCs w:val="24"/>
                <w:highlight w:val="none"/>
              </w:rPr>
              <w:t xml:space="preserve"> 。</w:t>
            </w:r>
            <w:r>
              <w:rPr>
                <w:rFonts w:hint="eastAsia" w:ascii="宋体" w:hAnsi="宋体" w:eastAsia="宋体" w:cs="宋体"/>
                <w:color w:val="auto"/>
                <w:spacing w:val="-1"/>
                <w:sz w:val="24"/>
                <w:szCs w:val="24"/>
                <w:highlight w:val="none"/>
                <w:lang w:val="en-US" w:eastAsia="zh-CN"/>
              </w:rPr>
              <w:t>】</w:t>
            </w:r>
          </w:p>
        </w:tc>
      </w:tr>
    </w:tbl>
    <w:p w14:paraId="34244ADA">
      <w:pPr>
        <w:keepNext w:val="0"/>
        <w:keepLines w:val="0"/>
        <w:widowControl/>
        <w:numPr>
          <w:ilvl w:val="0"/>
          <w:numId w:val="0"/>
        </w:numPr>
        <w:suppressLineNumbers w:val="0"/>
        <w:spacing w:line="360" w:lineRule="auto"/>
        <w:jc w:val="both"/>
        <w:rPr>
          <w:rFonts w:hint="eastAsia" w:ascii="宋体" w:hAnsi="宋体" w:eastAsia="宋体" w:cs="宋体"/>
          <w:b/>
          <w:bCs/>
          <w:snapToGrid w:val="0"/>
          <w:color w:val="000000"/>
          <w:kern w:val="0"/>
          <w:sz w:val="24"/>
          <w:szCs w:val="24"/>
          <w:highlight w:val="none"/>
          <w:lang w:val="en-US" w:eastAsia="zh-CN" w:bidi="ar"/>
        </w:rPr>
      </w:pPr>
    </w:p>
    <w:p w14:paraId="42C12522">
      <w:pPr>
        <w:keepNext w:val="0"/>
        <w:keepLines w:val="0"/>
        <w:widowControl/>
        <w:numPr>
          <w:ilvl w:val="0"/>
          <w:numId w:val="0"/>
        </w:numPr>
        <w:suppressLineNumbers w:val="0"/>
        <w:spacing w:line="360" w:lineRule="auto"/>
        <w:jc w:val="both"/>
        <w:rPr>
          <w:rFonts w:hint="eastAsia" w:ascii="宋体" w:hAnsi="宋体" w:eastAsia="宋体" w:cs="宋体"/>
          <w:b/>
          <w:bCs/>
          <w:snapToGrid w:val="0"/>
          <w:color w:val="000000"/>
          <w:kern w:val="0"/>
          <w:sz w:val="24"/>
          <w:szCs w:val="24"/>
          <w:highlight w:val="none"/>
          <w:lang w:val="en-US" w:eastAsia="zh-CN" w:bidi="ar"/>
        </w:rPr>
      </w:pPr>
      <w:r>
        <w:rPr>
          <w:rFonts w:hint="eastAsia" w:ascii="宋体" w:hAnsi="宋体" w:eastAsia="宋体" w:cs="宋体"/>
          <w:b/>
          <w:bCs/>
          <w:snapToGrid w:val="0"/>
          <w:color w:val="000000"/>
          <w:kern w:val="0"/>
          <w:sz w:val="24"/>
          <w:szCs w:val="24"/>
          <w:highlight w:val="none"/>
          <w:lang w:val="en-US" w:eastAsia="zh-CN" w:bidi="ar"/>
        </w:rPr>
        <w:t>（八）本项目路灯日常维护实行“量化评分定级 + 违规事项倒扣”的双重考核机制。依据《路灯日常维护量化考核表》进行现场量化打分（总分100分），考核结果分为三个等级，作为季度服务费支付及合同履约评价的依据：</w:t>
      </w:r>
    </w:p>
    <w:p w14:paraId="7FC39AB7">
      <w:pPr>
        <w:keepNext w:val="0"/>
        <w:keepLines w:val="0"/>
        <w:widowControl/>
        <w:numPr>
          <w:ilvl w:val="0"/>
          <w:numId w:val="0"/>
        </w:numPr>
        <w:suppressLineNumbers w:val="0"/>
        <w:spacing w:line="360" w:lineRule="auto"/>
        <w:jc w:val="both"/>
        <w:rPr>
          <w:rFonts w:hint="eastAsia" w:ascii="宋体" w:hAnsi="宋体" w:eastAsia="宋体" w:cs="宋体"/>
          <w:b/>
          <w:bCs/>
          <w:snapToGrid w:val="0"/>
          <w:color w:val="000000"/>
          <w:kern w:val="0"/>
          <w:sz w:val="24"/>
          <w:szCs w:val="24"/>
          <w:highlight w:val="none"/>
          <w:lang w:val="en-US" w:eastAsia="zh-CN" w:bidi="ar"/>
        </w:rPr>
      </w:pPr>
      <w:r>
        <w:rPr>
          <w:rFonts w:hint="eastAsia" w:ascii="宋体" w:hAnsi="宋体" w:eastAsia="宋体" w:cs="宋体"/>
          <w:b/>
          <w:bCs/>
          <w:snapToGrid w:val="0"/>
          <w:color w:val="000000"/>
          <w:kern w:val="0"/>
          <w:sz w:val="24"/>
          <w:szCs w:val="24"/>
          <w:highlight w:val="none"/>
          <w:lang w:val="en-US" w:eastAsia="zh-CN" w:bidi="ar"/>
        </w:rPr>
        <w:t>•优秀（90-100分）：各项指标达标，无重大违规，全额支付当月管护费（扣除具体违规罚款后）。</w:t>
      </w:r>
    </w:p>
    <w:p w14:paraId="198B7BF8">
      <w:pPr>
        <w:keepNext w:val="0"/>
        <w:keepLines w:val="0"/>
        <w:widowControl/>
        <w:numPr>
          <w:ilvl w:val="0"/>
          <w:numId w:val="0"/>
        </w:numPr>
        <w:suppressLineNumbers w:val="0"/>
        <w:spacing w:line="360" w:lineRule="auto"/>
        <w:jc w:val="both"/>
        <w:rPr>
          <w:rFonts w:hint="eastAsia" w:ascii="宋体" w:hAnsi="宋体" w:eastAsia="宋体" w:cs="宋体"/>
          <w:b/>
          <w:bCs/>
          <w:snapToGrid w:val="0"/>
          <w:color w:val="000000"/>
          <w:kern w:val="0"/>
          <w:sz w:val="24"/>
          <w:szCs w:val="24"/>
          <w:highlight w:val="none"/>
          <w:lang w:val="en-US" w:eastAsia="zh-CN" w:bidi="ar"/>
        </w:rPr>
      </w:pPr>
      <w:r>
        <w:rPr>
          <w:rFonts w:hint="eastAsia" w:ascii="宋体" w:hAnsi="宋体" w:eastAsia="宋体" w:cs="宋体"/>
          <w:b/>
          <w:bCs/>
          <w:snapToGrid w:val="0"/>
          <w:color w:val="000000"/>
          <w:kern w:val="0"/>
          <w:sz w:val="24"/>
          <w:szCs w:val="24"/>
          <w:highlight w:val="none"/>
          <w:lang w:val="en-US" w:eastAsia="zh-CN" w:bidi="ar"/>
        </w:rPr>
        <w:t>•合格（75-89分）：基本满足运维要求，需针对扣分项进行整改，按实际考核情况结算费用。</w:t>
      </w:r>
    </w:p>
    <w:p w14:paraId="4A02B02A">
      <w:pPr>
        <w:keepNext w:val="0"/>
        <w:keepLines w:val="0"/>
        <w:widowControl/>
        <w:numPr>
          <w:ilvl w:val="0"/>
          <w:numId w:val="0"/>
        </w:numPr>
        <w:suppressLineNumbers w:val="0"/>
        <w:spacing w:line="360" w:lineRule="auto"/>
        <w:jc w:val="both"/>
        <w:rPr>
          <w:rFonts w:hint="default" w:ascii="宋体" w:hAnsi="宋体" w:eastAsia="宋体" w:cs="宋体"/>
          <w:snapToGrid w:val="0"/>
          <w:color w:val="000000"/>
          <w:kern w:val="0"/>
          <w:sz w:val="24"/>
          <w:szCs w:val="24"/>
          <w:highlight w:val="none"/>
          <w:lang w:val="en-US" w:eastAsia="zh-CN" w:bidi="ar"/>
        </w:rPr>
      </w:pPr>
      <w:r>
        <w:rPr>
          <w:rFonts w:hint="eastAsia" w:ascii="宋体" w:hAnsi="宋体" w:eastAsia="宋体" w:cs="宋体"/>
          <w:b/>
          <w:bCs/>
          <w:snapToGrid w:val="0"/>
          <w:color w:val="000000"/>
          <w:kern w:val="0"/>
          <w:sz w:val="24"/>
          <w:szCs w:val="24"/>
          <w:highlight w:val="none"/>
          <w:lang w:val="en-US" w:eastAsia="zh-CN" w:bidi="ar"/>
        </w:rPr>
        <w:t>•不合格（75分以下）：运维质量未达标，招标人有权要求限期整改或依据合同条款追究违约责任。在量化考核的基础上，若出现《</w:t>
      </w:r>
      <w:r>
        <w:rPr>
          <w:rFonts w:hint="eastAsia" w:hAnsi="宋体" w:eastAsia="宋体" w:cs="宋体"/>
          <w:b/>
          <w:bCs/>
          <w:color w:val="auto"/>
          <w:sz w:val="24"/>
          <w:szCs w:val="24"/>
          <w:highlight w:val="none"/>
          <w:lang w:val="en-US" w:eastAsia="zh-CN"/>
        </w:rPr>
        <w:t>路灯日常维护考核负面清单》</w:t>
      </w:r>
      <w:r>
        <w:rPr>
          <w:rFonts w:hint="eastAsia" w:ascii="宋体" w:hAnsi="宋体" w:eastAsia="宋体" w:cs="宋体"/>
          <w:b/>
          <w:bCs/>
          <w:snapToGrid w:val="0"/>
          <w:color w:val="000000"/>
          <w:kern w:val="0"/>
          <w:sz w:val="24"/>
          <w:szCs w:val="24"/>
          <w:highlight w:val="none"/>
          <w:lang w:val="en-US" w:eastAsia="zh-CN" w:bidi="ar"/>
        </w:rPr>
        <w:t>具体违规行为，将直接执行经济扣罚，累计计算，从当月承包费/管护费中扣除。（注：量化评分定级详见《路灯日常维护量化考核表》；违规事项倒扣详见《</w:t>
      </w:r>
      <w:r>
        <w:rPr>
          <w:rFonts w:hint="eastAsia" w:hAnsi="宋体" w:eastAsia="宋体" w:cs="宋体"/>
          <w:b/>
          <w:bCs/>
          <w:color w:val="auto"/>
          <w:sz w:val="24"/>
          <w:szCs w:val="24"/>
          <w:highlight w:val="none"/>
          <w:lang w:val="en-US" w:eastAsia="zh-CN"/>
        </w:rPr>
        <w:t>路灯日常维护考核负面清单》）</w:t>
      </w:r>
    </w:p>
    <w:p w14:paraId="4A4FC346">
      <w:pPr>
        <w:pStyle w:val="7"/>
        <w:ind w:left="0" w:leftChars="0" w:firstLine="0" w:firstLineChars="0"/>
        <w:jc w:val="center"/>
        <w:rPr>
          <w:rFonts w:hint="eastAsia" w:ascii="宋体" w:hAnsi="宋体" w:eastAsia="宋体" w:cs="宋体"/>
          <w:b/>
          <w:bCs/>
          <w:snapToGrid w:val="0"/>
          <w:color w:val="000000"/>
          <w:kern w:val="0"/>
          <w:sz w:val="24"/>
          <w:szCs w:val="24"/>
          <w:highlight w:val="none"/>
          <w:lang w:val="en-US" w:eastAsia="zh-CN" w:bidi="ar"/>
        </w:rPr>
      </w:pPr>
      <w:r>
        <w:rPr>
          <w:rFonts w:hint="eastAsia" w:ascii="宋体" w:hAnsi="宋体" w:eastAsia="宋体" w:cs="宋体"/>
          <w:b/>
          <w:bCs/>
          <w:snapToGrid w:val="0"/>
          <w:color w:val="000000"/>
          <w:kern w:val="0"/>
          <w:sz w:val="24"/>
          <w:szCs w:val="24"/>
          <w:highlight w:val="none"/>
          <w:lang w:val="en-US" w:eastAsia="zh-CN" w:bidi="ar"/>
        </w:rPr>
        <w:t>《路灯日常维护量化考核表》</w:t>
      </w:r>
    </w:p>
    <w:tbl>
      <w:tblPr>
        <w:tblStyle w:val="8"/>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0" w:type="dxa"/>
          <w:bottom w:w="0" w:type="dxa"/>
          <w:right w:w="0" w:type="dxa"/>
        </w:tblCellMar>
      </w:tblPr>
      <w:tblGrid>
        <w:gridCol w:w="835"/>
        <w:gridCol w:w="1525"/>
        <w:gridCol w:w="710"/>
        <w:gridCol w:w="1642"/>
        <w:gridCol w:w="1643"/>
        <w:gridCol w:w="725"/>
        <w:gridCol w:w="1180"/>
      </w:tblGrid>
      <w:tr w14:paraId="75E864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c>
          <w:tcPr>
            <w:tcW w:w="835" w:type="dxa"/>
          </w:tcPr>
          <w:p w14:paraId="6B87A570">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序号</w:t>
            </w:r>
          </w:p>
        </w:tc>
        <w:tc>
          <w:tcPr>
            <w:tcW w:w="1525" w:type="dxa"/>
          </w:tcPr>
          <w:p w14:paraId="4E0B3AB0">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考核项目</w:t>
            </w:r>
          </w:p>
        </w:tc>
        <w:tc>
          <w:tcPr>
            <w:tcW w:w="710" w:type="dxa"/>
          </w:tcPr>
          <w:p w14:paraId="53F9EF59">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标准分值</w:t>
            </w:r>
          </w:p>
        </w:tc>
        <w:tc>
          <w:tcPr>
            <w:tcW w:w="1642" w:type="dxa"/>
          </w:tcPr>
          <w:p w14:paraId="19FBB6CA">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考核量化标准</w:t>
            </w:r>
          </w:p>
        </w:tc>
        <w:tc>
          <w:tcPr>
            <w:tcW w:w="1643" w:type="dxa"/>
          </w:tcPr>
          <w:p w14:paraId="351BC1DB">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扣分细则</w:t>
            </w:r>
          </w:p>
        </w:tc>
        <w:tc>
          <w:tcPr>
            <w:tcW w:w="725" w:type="dxa"/>
          </w:tcPr>
          <w:p w14:paraId="279E1456">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实际得分</w:t>
            </w:r>
          </w:p>
        </w:tc>
        <w:tc>
          <w:tcPr>
            <w:tcW w:w="1180" w:type="dxa"/>
          </w:tcPr>
          <w:p w14:paraId="4DBE75D3">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备注</w:t>
            </w:r>
          </w:p>
        </w:tc>
      </w:tr>
      <w:tr w14:paraId="1C7DAA6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c>
          <w:tcPr>
            <w:tcW w:w="835" w:type="dxa"/>
          </w:tcPr>
          <w:p w14:paraId="4C624D2B">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1</w:t>
            </w:r>
          </w:p>
        </w:tc>
        <w:tc>
          <w:tcPr>
            <w:tcW w:w="1525" w:type="dxa"/>
          </w:tcPr>
          <w:p w14:paraId="5FC00397">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亮灯率达标</w:t>
            </w:r>
          </w:p>
        </w:tc>
        <w:tc>
          <w:tcPr>
            <w:tcW w:w="710" w:type="dxa"/>
          </w:tcPr>
          <w:p w14:paraId="2E946099">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35分</w:t>
            </w:r>
          </w:p>
        </w:tc>
        <w:tc>
          <w:tcPr>
            <w:tcW w:w="1642" w:type="dxa"/>
          </w:tcPr>
          <w:p w14:paraId="395E51D1">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辖区内路灯亮灯率≥98%，无大面积灭灯、单灯长灭、灯光闪烁、灯光昏暗、灯具漏电不亮现象</w:t>
            </w:r>
          </w:p>
        </w:tc>
        <w:tc>
          <w:tcPr>
            <w:tcW w:w="1643" w:type="dxa"/>
          </w:tcPr>
          <w:p w14:paraId="596D15D5">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lang w:val="en-US" w:eastAsia="zh-CN"/>
              </w:rPr>
              <w:t>1、</w:t>
            </w:r>
            <w:r>
              <w:rPr>
                <w:rFonts w:hint="eastAsia" w:asciiTheme="minorEastAsia" w:hAnsiTheme="minorEastAsia" w:eastAsiaTheme="minorEastAsia" w:cstheme="minorEastAsia"/>
                <w:b w:val="0"/>
                <w:i w:val="0"/>
                <w:spacing w:val="0"/>
                <w:sz w:val="24"/>
                <w:szCs w:val="24"/>
              </w:rPr>
              <w:t>每发现1盏不亮/闪烁/昏暗扣2分</w:t>
            </w:r>
            <w:r>
              <w:rPr>
                <w:rFonts w:hint="eastAsia" w:asciiTheme="minorEastAsia" w:hAnsiTheme="minorEastAsia" w:eastAsiaTheme="minorEastAsia" w:cstheme="minorEastAsia"/>
                <w:b w:val="0"/>
                <w:i w:val="0"/>
                <w:spacing w:val="0"/>
                <w:sz w:val="24"/>
                <w:szCs w:val="24"/>
                <w:lang w:eastAsia="zh-CN"/>
              </w:rPr>
              <w:t>；</w:t>
            </w:r>
          </w:p>
          <w:p w14:paraId="67574F6B">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lang w:val="en-US" w:eastAsia="zh-CN"/>
              </w:rPr>
              <w:t>2、</w:t>
            </w:r>
            <w:r>
              <w:rPr>
                <w:rFonts w:hint="eastAsia" w:asciiTheme="minorEastAsia" w:hAnsiTheme="minorEastAsia" w:eastAsiaTheme="minorEastAsia" w:cstheme="minorEastAsia"/>
                <w:b w:val="0"/>
                <w:i w:val="0"/>
                <w:spacing w:val="0"/>
                <w:sz w:val="24"/>
                <w:szCs w:val="24"/>
              </w:rPr>
              <w:t>亮灯率每低于标准1%扣5分</w:t>
            </w:r>
            <w:r>
              <w:rPr>
                <w:rFonts w:hint="eastAsia" w:asciiTheme="minorEastAsia" w:hAnsiTheme="minorEastAsia" w:eastAsiaTheme="minorEastAsia" w:cstheme="minorEastAsia"/>
                <w:b w:val="0"/>
                <w:i w:val="0"/>
                <w:spacing w:val="0"/>
                <w:sz w:val="24"/>
                <w:szCs w:val="24"/>
                <w:lang w:eastAsia="zh-CN"/>
              </w:rPr>
              <w:t>；</w:t>
            </w:r>
          </w:p>
          <w:p w14:paraId="2F24D7A9">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lang w:val="en-US" w:eastAsia="zh-CN"/>
              </w:rPr>
              <w:t>3、</w:t>
            </w:r>
            <w:r>
              <w:rPr>
                <w:rFonts w:hint="eastAsia" w:asciiTheme="minorEastAsia" w:hAnsiTheme="minorEastAsia" w:eastAsiaTheme="minorEastAsia" w:cstheme="minorEastAsia"/>
                <w:b w:val="0"/>
                <w:i w:val="0"/>
                <w:spacing w:val="0"/>
                <w:sz w:val="24"/>
                <w:szCs w:val="24"/>
              </w:rPr>
              <w:t>大面积灭灯（10盏及以上）此项直接扣完</w:t>
            </w:r>
          </w:p>
        </w:tc>
        <w:tc>
          <w:tcPr>
            <w:tcW w:w="725" w:type="dxa"/>
          </w:tcPr>
          <w:p w14:paraId="0F2F75A6">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 xml:space="preserve"> </w:t>
            </w:r>
          </w:p>
        </w:tc>
        <w:tc>
          <w:tcPr>
            <w:tcW w:w="1180" w:type="dxa"/>
          </w:tcPr>
          <w:p w14:paraId="38430EBF">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现场逐路段核查</w:t>
            </w:r>
          </w:p>
        </w:tc>
      </w:tr>
      <w:tr w14:paraId="4875F7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c>
          <w:tcPr>
            <w:tcW w:w="835" w:type="dxa"/>
          </w:tcPr>
          <w:p w14:paraId="6AE63CDE">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2</w:t>
            </w:r>
          </w:p>
        </w:tc>
        <w:tc>
          <w:tcPr>
            <w:tcW w:w="1525" w:type="dxa"/>
          </w:tcPr>
          <w:p w14:paraId="12CB2711">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路灯设施完好</w:t>
            </w:r>
          </w:p>
        </w:tc>
        <w:tc>
          <w:tcPr>
            <w:tcW w:w="710" w:type="dxa"/>
          </w:tcPr>
          <w:p w14:paraId="1CE156F6">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25分</w:t>
            </w:r>
          </w:p>
        </w:tc>
        <w:tc>
          <w:tcPr>
            <w:tcW w:w="1642" w:type="dxa"/>
          </w:tcPr>
          <w:p w14:paraId="69FD84F3">
            <w:pPr>
              <w:pageBreakBefore w:val="0"/>
              <w:numPr>
                <w:ilvl w:val="0"/>
                <w:numId w:val="0"/>
              </w:numPr>
              <w:wordWrap/>
              <w:spacing w:before="0" w:after="0" w:line="240" w:lineRule="auto"/>
              <w:ind w:leftChars="0" w:right="0" w:rightChars="0"/>
              <w:jc w:val="both"/>
              <w:textAlignment w:val="auto"/>
              <w:rPr>
                <w:rFonts w:hint="eastAsia" w:asciiTheme="minorEastAsia" w:hAnsiTheme="minorEastAsia" w:eastAsiaTheme="minorEastAsia" w:cstheme="minorEastAsia"/>
                <w:b w:val="0"/>
                <w:i w:val="0"/>
                <w:spacing w:val="0"/>
                <w:sz w:val="24"/>
                <w:szCs w:val="24"/>
              </w:rPr>
            </w:pPr>
            <w:r>
              <w:rPr>
                <w:rFonts w:hint="eastAsia" w:asciiTheme="minorEastAsia" w:hAnsiTheme="minorEastAsia" w:eastAsiaTheme="minorEastAsia" w:cstheme="minorEastAsia"/>
                <w:b w:val="0"/>
                <w:i w:val="0"/>
                <w:spacing w:val="0"/>
                <w:sz w:val="24"/>
                <w:szCs w:val="24"/>
                <w:lang w:val="en-US" w:eastAsia="zh-CN"/>
              </w:rPr>
              <w:t>1、</w:t>
            </w:r>
            <w:r>
              <w:rPr>
                <w:rFonts w:hint="eastAsia" w:asciiTheme="minorEastAsia" w:hAnsiTheme="minorEastAsia" w:eastAsiaTheme="minorEastAsia" w:cstheme="minorEastAsia"/>
                <w:b w:val="0"/>
                <w:i w:val="0"/>
                <w:spacing w:val="0"/>
                <w:sz w:val="24"/>
                <w:szCs w:val="24"/>
              </w:rPr>
              <w:t>灯杆无倾斜、破损、锈蚀、变形</w:t>
            </w:r>
            <w:r>
              <w:rPr>
                <w:rFonts w:hint="eastAsia" w:asciiTheme="minorEastAsia" w:hAnsiTheme="minorEastAsia" w:eastAsiaTheme="minorEastAsia" w:cstheme="minorEastAsia"/>
                <w:b w:val="0"/>
                <w:i w:val="0"/>
                <w:spacing w:val="0"/>
                <w:sz w:val="24"/>
                <w:szCs w:val="24"/>
                <w:lang w:eastAsia="zh-CN"/>
              </w:rPr>
              <w:t>；</w:t>
            </w:r>
          </w:p>
          <w:p w14:paraId="5A16025D">
            <w:pPr>
              <w:pageBreakBefore w:val="0"/>
              <w:numPr>
                <w:ilvl w:val="0"/>
                <w:numId w:val="0"/>
              </w:numPr>
              <w:wordWrap/>
              <w:spacing w:before="0" w:after="0" w:line="240" w:lineRule="auto"/>
              <w:ind w:leftChars="0" w:right="0" w:rightChars="0"/>
              <w:jc w:val="both"/>
              <w:textAlignment w:val="auto"/>
              <w:rPr>
                <w:rFonts w:hint="eastAsia" w:asciiTheme="minorEastAsia" w:hAnsiTheme="minorEastAsia" w:eastAsiaTheme="minorEastAsia" w:cstheme="minorEastAsia"/>
                <w:b w:val="0"/>
                <w:i w:val="0"/>
                <w:spacing w:val="0"/>
                <w:sz w:val="24"/>
                <w:szCs w:val="24"/>
              </w:rPr>
            </w:pPr>
            <w:r>
              <w:rPr>
                <w:rFonts w:hint="eastAsia" w:asciiTheme="minorEastAsia" w:hAnsiTheme="minorEastAsia" w:eastAsiaTheme="minorEastAsia" w:cstheme="minorEastAsia"/>
                <w:b w:val="0"/>
                <w:i w:val="0"/>
                <w:spacing w:val="0"/>
                <w:sz w:val="24"/>
                <w:szCs w:val="24"/>
                <w:lang w:val="en-US" w:eastAsia="zh-CN"/>
              </w:rPr>
              <w:t>2、</w:t>
            </w:r>
            <w:r>
              <w:rPr>
                <w:rFonts w:hint="eastAsia" w:asciiTheme="minorEastAsia" w:hAnsiTheme="minorEastAsia" w:eastAsiaTheme="minorEastAsia" w:cstheme="minorEastAsia"/>
                <w:b w:val="0"/>
                <w:i w:val="0"/>
                <w:spacing w:val="0"/>
                <w:sz w:val="24"/>
                <w:szCs w:val="24"/>
              </w:rPr>
              <w:t>灯罩、灯头完好无破损、漏水</w:t>
            </w:r>
            <w:r>
              <w:rPr>
                <w:rFonts w:hint="eastAsia" w:asciiTheme="minorEastAsia" w:hAnsiTheme="minorEastAsia" w:eastAsiaTheme="minorEastAsia" w:cstheme="minorEastAsia"/>
                <w:b w:val="0"/>
                <w:i w:val="0"/>
                <w:spacing w:val="0"/>
                <w:sz w:val="24"/>
                <w:szCs w:val="24"/>
                <w:lang w:eastAsia="zh-CN"/>
              </w:rPr>
              <w:t>；</w:t>
            </w:r>
          </w:p>
          <w:p w14:paraId="31AB322C">
            <w:pPr>
              <w:pageBreakBefore w:val="0"/>
              <w:numPr>
                <w:ilvl w:val="0"/>
                <w:numId w:val="0"/>
              </w:numPr>
              <w:wordWrap/>
              <w:spacing w:before="0" w:after="0" w:line="240" w:lineRule="auto"/>
              <w:ind w:leftChars="0" w:right="0" w:rightChars="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lang w:val="en-US" w:eastAsia="zh-CN"/>
              </w:rPr>
              <w:t>3、</w:t>
            </w:r>
            <w:r>
              <w:rPr>
                <w:rFonts w:hint="eastAsia" w:asciiTheme="minorEastAsia" w:hAnsiTheme="minorEastAsia" w:eastAsiaTheme="minorEastAsia" w:cstheme="minorEastAsia"/>
                <w:b w:val="0"/>
                <w:i w:val="0"/>
                <w:spacing w:val="0"/>
                <w:sz w:val="24"/>
                <w:szCs w:val="24"/>
              </w:rPr>
              <w:t>线路、接线盒无裸露</w:t>
            </w:r>
            <w:r>
              <w:rPr>
                <w:rFonts w:hint="eastAsia" w:asciiTheme="minorEastAsia" w:hAnsiTheme="minorEastAsia" w:eastAsiaTheme="minorEastAsia" w:cstheme="minorEastAsia"/>
                <w:b w:val="0"/>
                <w:i w:val="0"/>
                <w:spacing w:val="0"/>
                <w:sz w:val="24"/>
                <w:szCs w:val="24"/>
                <w:lang w:eastAsia="zh-CN"/>
              </w:rPr>
              <w:t>；</w:t>
            </w:r>
          </w:p>
          <w:p w14:paraId="5C970A4F">
            <w:pPr>
              <w:pageBreakBefore w:val="0"/>
              <w:numPr>
                <w:ilvl w:val="0"/>
                <w:numId w:val="0"/>
              </w:numPr>
              <w:wordWrap/>
              <w:spacing w:before="0" w:after="0" w:line="240" w:lineRule="auto"/>
              <w:ind w:leftChars="0" w:right="0" w:rightChars="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lang w:val="en-US" w:eastAsia="zh-CN"/>
              </w:rPr>
              <w:t>4、</w:t>
            </w:r>
            <w:r>
              <w:rPr>
                <w:rFonts w:hint="eastAsia" w:asciiTheme="minorEastAsia" w:hAnsiTheme="minorEastAsia" w:eastAsiaTheme="minorEastAsia" w:cstheme="minorEastAsia"/>
                <w:b w:val="0"/>
                <w:i w:val="0"/>
                <w:spacing w:val="0"/>
                <w:sz w:val="24"/>
                <w:szCs w:val="24"/>
              </w:rPr>
              <w:t>配电箱完好、关闭严密、内部整洁、无线路杂乱</w:t>
            </w:r>
          </w:p>
        </w:tc>
        <w:tc>
          <w:tcPr>
            <w:tcW w:w="1643" w:type="dxa"/>
          </w:tcPr>
          <w:p w14:paraId="4C1D5373">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lang w:val="en-US" w:eastAsia="zh-CN"/>
              </w:rPr>
              <w:t>1、</w:t>
            </w:r>
            <w:r>
              <w:rPr>
                <w:rFonts w:hint="eastAsia" w:asciiTheme="minorEastAsia" w:hAnsiTheme="minorEastAsia" w:eastAsiaTheme="minorEastAsia" w:cstheme="minorEastAsia"/>
                <w:b w:val="0"/>
                <w:i w:val="0"/>
                <w:spacing w:val="0"/>
                <w:sz w:val="24"/>
                <w:szCs w:val="24"/>
              </w:rPr>
              <w:t>灯杆倾斜/破损每处扣4分</w:t>
            </w:r>
            <w:r>
              <w:rPr>
                <w:rFonts w:hint="eastAsia" w:asciiTheme="minorEastAsia" w:hAnsiTheme="minorEastAsia" w:eastAsiaTheme="minorEastAsia" w:cstheme="minorEastAsia"/>
                <w:b w:val="0"/>
                <w:i w:val="0"/>
                <w:spacing w:val="0"/>
                <w:sz w:val="24"/>
                <w:szCs w:val="24"/>
                <w:lang w:eastAsia="zh-CN"/>
              </w:rPr>
              <w:t>；</w:t>
            </w:r>
          </w:p>
          <w:p w14:paraId="7B6ADCAA">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lang w:val="en-US" w:eastAsia="zh-CN"/>
              </w:rPr>
              <w:t>2、</w:t>
            </w:r>
            <w:r>
              <w:rPr>
                <w:rFonts w:hint="eastAsia" w:asciiTheme="minorEastAsia" w:hAnsiTheme="minorEastAsia" w:eastAsiaTheme="minorEastAsia" w:cstheme="minorEastAsia"/>
                <w:b w:val="0"/>
                <w:i w:val="0"/>
                <w:spacing w:val="0"/>
                <w:sz w:val="24"/>
                <w:szCs w:val="24"/>
              </w:rPr>
              <w:t>灯罩/灯头损坏每处扣4分</w:t>
            </w:r>
            <w:r>
              <w:rPr>
                <w:rFonts w:hint="eastAsia" w:asciiTheme="minorEastAsia" w:hAnsiTheme="minorEastAsia" w:eastAsiaTheme="minorEastAsia" w:cstheme="minorEastAsia"/>
                <w:b w:val="0"/>
                <w:i w:val="0"/>
                <w:spacing w:val="0"/>
                <w:sz w:val="24"/>
                <w:szCs w:val="24"/>
                <w:lang w:eastAsia="zh-CN"/>
              </w:rPr>
              <w:t>；</w:t>
            </w:r>
          </w:p>
          <w:p w14:paraId="0B913D32">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lang w:val="en-US" w:eastAsia="zh-CN"/>
              </w:rPr>
              <w:t>3、</w:t>
            </w:r>
            <w:r>
              <w:rPr>
                <w:rFonts w:hint="eastAsia" w:asciiTheme="minorEastAsia" w:hAnsiTheme="minorEastAsia" w:eastAsiaTheme="minorEastAsia" w:cstheme="minorEastAsia"/>
                <w:b w:val="0"/>
                <w:i w:val="0"/>
                <w:spacing w:val="0"/>
                <w:sz w:val="24"/>
                <w:szCs w:val="24"/>
              </w:rPr>
              <w:t>线路裸露/老化每处扣4分</w:t>
            </w:r>
            <w:r>
              <w:rPr>
                <w:rFonts w:hint="eastAsia" w:asciiTheme="minorEastAsia" w:hAnsiTheme="minorEastAsia" w:eastAsiaTheme="minorEastAsia" w:cstheme="minorEastAsia"/>
                <w:b w:val="0"/>
                <w:i w:val="0"/>
                <w:spacing w:val="0"/>
                <w:sz w:val="24"/>
                <w:szCs w:val="24"/>
                <w:lang w:eastAsia="zh-CN"/>
              </w:rPr>
              <w:t>；</w:t>
            </w:r>
          </w:p>
          <w:p w14:paraId="37ECAF8F">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lang w:val="en-US" w:eastAsia="zh-CN"/>
              </w:rPr>
              <w:t>4、</w:t>
            </w:r>
            <w:r>
              <w:rPr>
                <w:rFonts w:hint="eastAsia" w:asciiTheme="minorEastAsia" w:hAnsiTheme="minorEastAsia" w:eastAsiaTheme="minorEastAsia" w:cstheme="minorEastAsia"/>
                <w:b w:val="0"/>
                <w:i w:val="0"/>
                <w:spacing w:val="0"/>
                <w:sz w:val="24"/>
                <w:szCs w:val="24"/>
              </w:rPr>
              <w:t>配电箱破损、未上锁、线路杂乱扣5分</w:t>
            </w:r>
          </w:p>
        </w:tc>
        <w:tc>
          <w:tcPr>
            <w:tcW w:w="725" w:type="dxa"/>
          </w:tcPr>
          <w:p w14:paraId="578A85C9">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 xml:space="preserve"> </w:t>
            </w:r>
          </w:p>
        </w:tc>
        <w:tc>
          <w:tcPr>
            <w:tcW w:w="1180" w:type="dxa"/>
          </w:tcPr>
          <w:p w14:paraId="34F727B8">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查看灯杆、灯具、线路、配电箱</w:t>
            </w:r>
          </w:p>
        </w:tc>
      </w:tr>
      <w:tr w14:paraId="20FFB9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c>
          <w:tcPr>
            <w:tcW w:w="835" w:type="dxa"/>
          </w:tcPr>
          <w:p w14:paraId="59EE7AF9">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3</w:t>
            </w:r>
          </w:p>
        </w:tc>
        <w:tc>
          <w:tcPr>
            <w:tcW w:w="1525" w:type="dxa"/>
          </w:tcPr>
          <w:p w14:paraId="7193C4B9">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设施清洁整洁</w:t>
            </w:r>
          </w:p>
        </w:tc>
        <w:tc>
          <w:tcPr>
            <w:tcW w:w="710" w:type="dxa"/>
          </w:tcPr>
          <w:p w14:paraId="2CB1427A">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lang w:val="en-US" w:eastAsia="zh-CN"/>
              </w:rPr>
              <w:t>5</w:t>
            </w:r>
            <w:r>
              <w:rPr>
                <w:rFonts w:hint="eastAsia" w:asciiTheme="minorEastAsia" w:hAnsiTheme="minorEastAsia" w:eastAsiaTheme="minorEastAsia" w:cstheme="minorEastAsia"/>
                <w:b w:val="0"/>
                <w:i w:val="0"/>
                <w:spacing w:val="0"/>
                <w:sz w:val="24"/>
                <w:szCs w:val="24"/>
              </w:rPr>
              <w:t>分</w:t>
            </w:r>
          </w:p>
        </w:tc>
        <w:tc>
          <w:tcPr>
            <w:tcW w:w="1642" w:type="dxa"/>
          </w:tcPr>
          <w:p w14:paraId="4F6299C4">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灯杆无乱贴小广告、无积尘油污，灯具干净无污渍，无杂物缠绕</w:t>
            </w:r>
          </w:p>
        </w:tc>
        <w:tc>
          <w:tcPr>
            <w:tcW w:w="1643" w:type="dxa"/>
          </w:tcPr>
          <w:p w14:paraId="3C75FECA">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lang w:val="en-US" w:eastAsia="zh-CN"/>
              </w:rPr>
              <w:t>1、</w:t>
            </w:r>
            <w:r>
              <w:rPr>
                <w:rFonts w:hint="eastAsia" w:asciiTheme="minorEastAsia" w:hAnsiTheme="minorEastAsia" w:eastAsiaTheme="minorEastAsia" w:cstheme="minorEastAsia"/>
                <w:b w:val="0"/>
                <w:i w:val="0"/>
                <w:spacing w:val="0"/>
                <w:sz w:val="24"/>
                <w:szCs w:val="24"/>
              </w:rPr>
              <w:t>每发现1根灯杆有小广告/积尘严重扣1分</w:t>
            </w:r>
            <w:r>
              <w:rPr>
                <w:rFonts w:hint="eastAsia" w:asciiTheme="minorEastAsia" w:hAnsiTheme="minorEastAsia" w:eastAsiaTheme="minorEastAsia" w:cstheme="minorEastAsia"/>
                <w:b w:val="0"/>
                <w:i w:val="0"/>
                <w:spacing w:val="0"/>
                <w:sz w:val="24"/>
                <w:szCs w:val="24"/>
                <w:lang w:eastAsia="zh-CN"/>
              </w:rPr>
              <w:t>；</w:t>
            </w:r>
          </w:p>
          <w:p w14:paraId="5073AB2F">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lang w:val="en-US" w:eastAsia="zh-CN"/>
              </w:rPr>
              <w:t>2、</w:t>
            </w:r>
            <w:r>
              <w:rPr>
                <w:rFonts w:hint="eastAsia" w:asciiTheme="minorEastAsia" w:hAnsiTheme="minorEastAsia" w:eastAsiaTheme="minorEastAsia" w:cstheme="minorEastAsia"/>
                <w:b w:val="0"/>
                <w:i w:val="0"/>
                <w:spacing w:val="0"/>
                <w:sz w:val="24"/>
                <w:szCs w:val="24"/>
              </w:rPr>
              <w:t>多处违规累计扣分</w:t>
            </w:r>
          </w:p>
        </w:tc>
        <w:tc>
          <w:tcPr>
            <w:tcW w:w="725" w:type="dxa"/>
          </w:tcPr>
          <w:p w14:paraId="07FA9C9E">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 xml:space="preserve"> </w:t>
            </w:r>
          </w:p>
        </w:tc>
        <w:tc>
          <w:tcPr>
            <w:tcW w:w="1180" w:type="dxa"/>
          </w:tcPr>
          <w:p w14:paraId="70643CE2">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目视检查</w:t>
            </w:r>
          </w:p>
        </w:tc>
      </w:tr>
      <w:tr w14:paraId="2F2E8F8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c>
          <w:tcPr>
            <w:tcW w:w="835" w:type="dxa"/>
          </w:tcPr>
          <w:p w14:paraId="1043DE81">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4</w:t>
            </w:r>
          </w:p>
        </w:tc>
        <w:tc>
          <w:tcPr>
            <w:tcW w:w="1525" w:type="dxa"/>
          </w:tcPr>
          <w:p w14:paraId="709D3076">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故障及时处置</w:t>
            </w:r>
          </w:p>
        </w:tc>
        <w:tc>
          <w:tcPr>
            <w:tcW w:w="710" w:type="dxa"/>
          </w:tcPr>
          <w:p w14:paraId="6FEC4FC1">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15分</w:t>
            </w:r>
          </w:p>
        </w:tc>
        <w:tc>
          <w:tcPr>
            <w:tcW w:w="1642" w:type="dxa"/>
          </w:tcPr>
          <w:p w14:paraId="681640D6">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接到路灯故障报修、巡查发现故障，24小时内到场处置，48小时内修复完毕，无逾期未整改、遗留故障</w:t>
            </w:r>
          </w:p>
        </w:tc>
        <w:tc>
          <w:tcPr>
            <w:tcW w:w="1643" w:type="dxa"/>
          </w:tcPr>
          <w:p w14:paraId="0241796B">
            <w:pPr>
              <w:pageBreakBefore w:val="0"/>
              <w:numPr>
                <w:ilvl w:val="0"/>
                <w:numId w:val="2"/>
              </w:numPr>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rPr>
              <w:t>逾期未抢修每起扣3分</w:t>
            </w:r>
            <w:r>
              <w:rPr>
                <w:rFonts w:hint="eastAsia" w:asciiTheme="minorEastAsia" w:hAnsiTheme="minorEastAsia" w:eastAsiaTheme="minorEastAsia" w:cstheme="minorEastAsia"/>
                <w:b w:val="0"/>
                <w:i w:val="0"/>
                <w:spacing w:val="0"/>
                <w:sz w:val="24"/>
                <w:szCs w:val="24"/>
                <w:lang w:eastAsia="zh-CN"/>
              </w:rPr>
              <w:t>；</w:t>
            </w:r>
          </w:p>
          <w:p w14:paraId="26C60630">
            <w:pPr>
              <w:pageBreakBefore w:val="0"/>
              <w:numPr>
                <w:ilvl w:val="0"/>
                <w:numId w:val="2"/>
              </w:numPr>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故障未及时修复每盏扣2分</w:t>
            </w:r>
            <w:r>
              <w:rPr>
                <w:rFonts w:hint="eastAsia" w:asciiTheme="minorEastAsia" w:hAnsiTheme="minorEastAsia" w:eastAsiaTheme="minorEastAsia" w:cstheme="minorEastAsia"/>
                <w:b w:val="0"/>
                <w:i w:val="0"/>
                <w:spacing w:val="0"/>
                <w:sz w:val="24"/>
                <w:szCs w:val="24"/>
                <w:lang w:eastAsia="zh-CN"/>
              </w:rPr>
              <w:t>；</w:t>
            </w:r>
          </w:p>
          <w:p w14:paraId="75BEFDD4">
            <w:pPr>
              <w:pageBreakBefore w:val="0"/>
              <w:numPr>
                <w:ilvl w:val="0"/>
                <w:numId w:val="2"/>
              </w:numPr>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遗留故障、反复故障每处扣4分</w:t>
            </w:r>
          </w:p>
        </w:tc>
        <w:tc>
          <w:tcPr>
            <w:tcW w:w="725" w:type="dxa"/>
          </w:tcPr>
          <w:p w14:paraId="394FE45D">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 xml:space="preserve"> </w:t>
            </w:r>
          </w:p>
        </w:tc>
        <w:tc>
          <w:tcPr>
            <w:tcW w:w="1180" w:type="dxa"/>
          </w:tcPr>
          <w:p w14:paraId="471AD165">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核查故障记录、现场核查整改情况</w:t>
            </w:r>
          </w:p>
        </w:tc>
      </w:tr>
      <w:tr w14:paraId="384FA11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c>
          <w:tcPr>
            <w:tcW w:w="835" w:type="dxa"/>
          </w:tcPr>
          <w:p w14:paraId="2E16D612">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5</w:t>
            </w:r>
          </w:p>
        </w:tc>
        <w:tc>
          <w:tcPr>
            <w:tcW w:w="1525" w:type="dxa"/>
          </w:tcPr>
          <w:p w14:paraId="3819E102">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日常巡查管理</w:t>
            </w:r>
          </w:p>
        </w:tc>
        <w:tc>
          <w:tcPr>
            <w:tcW w:w="710" w:type="dxa"/>
          </w:tcPr>
          <w:p w14:paraId="7AB32324">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10分</w:t>
            </w:r>
          </w:p>
        </w:tc>
        <w:tc>
          <w:tcPr>
            <w:tcW w:w="1642" w:type="dxa"/>
          </w:tcPr>
          <w:p w14:paraId="2072FA53">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每日常态化巡查，巡查台账完整、记录详实，隐患问题及时登记、上报、闭环整改</w:t>
            </w:r>
          </w:p>
        </w:tc>
        <w:tc>
          <w:tcPr>
            <w:tcW w:w="1643" w:type="dxa"/>
          </w:tcPr>
          <w:p w14:paraId="54E246D2">
            <w:pPr>
              <w:pageBreakBefore w:val="0"/>
              <w:numPr>
                <w:ilvl w:val="0"/>
                <w:numId w:val="3"/>
              </w:numPr>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rPr>
              <w:t>无日常巡查记录扣5分</w:t>
            </w:r>
            <w:r>
              <w:rPr>
                <w:rFonts w:hint="eastAsia" w:asciiTheme="minorEastAsia" w:hAnsiTheme="minorEastAsia" w:eastAsiaTheme="minorEastAsia" w:cstheme="minorEastAsia"/>
                <w:b w:val="0"/>
                <w:i w:val="0"/>
                <w:spacing w:val="0"/>
                <w:sz w:val="24"/>
                <w:szCs w:val="24"/>
                <w:lang w:eastAsia="zh-CN"/>
              </w:rPr>
              <w:t>；</w:t>
            </w:r>
          </w:p>
          <w:p w14:paraId="5DC1D51C">
            <w:pPr>
              <w:pageBreakBefore w:val="0"/>
              <w:numPr>
                <w:ilvl w:val="0"/>
                <w:numId w:val="3"/>
              </w:numPr>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巡查记录不全、隐患未登记上报扣2-5分</w:t>
            </w:r>
          </w:p>
        </w:tc>
        <w:tc>
          <w:tcPr>
            <w:tcW w:w="725" w:type="dxa"/>
          </w:tcPr>
          <w:p w14:paraId="67C17AC2">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 xml:space="preserve"> </w:t>
            </w:r>
          </w:p>
        </w:tc>
        <w:tc>
          <w:tcPr>
            <w:tcW w:w="1180" w:type="dxa"/>
          </w:tcPr>
          <w:p w14:paraId="3335F34B">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查阅巡查台账</w:t>
            </w:r>
          </w:p>
        </w:tc>
      </w:tr>
      <w:tr w14:paraId="62FE47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c>
          <w:tcPr>
            <w:tcW w:w="835" w:type="dxa"/>
          </w:tcPr>
          <w:p w14:paraId="49B655A9">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6</w:t>
            </w:r>
          </w:p>
        </w:tc>
        <w:tc>
          <w:tcPr>
            <w:tcW w:w="1525" w:type="dxa"/>
          </w:tcPr>
          <w:p w14:paraId="0CE16D01">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安全规范运维</w:t>
            </w:r>
          </w:p>
        </w:tc>
        <w:tc>
          <w:tcPr>
            <w:tcW w:w="710" w:type="dxa"/>
          </w:tcPr>
          <w:p w14:paraId="45279536">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5分</w:t>
            </w:r>
          </w:p>
        </w:tc>
        <w:tc>
          <w:tcPr>
            <w:tcW w:w="1642" w:type="dxa"/>
          </w:tcPr>
          <w:p w14:paraId="3996C3EB">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运维作业规范，无安全隐患，设施无安全风险，无安全事故发生</w:t>
            </w:r>
          </w:p>
        </w:tc>
        <w:tc>
          <w:tcPr>
            <w:tcW w:w="1643" w:type="dxa"/>
          </w:tcPr>
          <w:p w14:paraId="7BC3D37B">
            <w:pPr>
              <w:pageBreakBefore w:val="0"/>
              <w:numPr>
                <w:ilvl w:val="0"/>
                <w:numId w:val="4"/>
              </w:numPr>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rPr>
              <w:t>发现安全隐患未整改扣3-5分</w:t>
            </w:r>
            <w:r>
              <w:rPr>
                <w:rFonts w:hint="eastAsia" w:asciiTheme="minorEastAsia" w:hAnsiTheme="minorEastAsia" w:eastAsiaTheme="minorEastAsia" w:cstheme="minorEastAsia"/>
                <w:b w:val="0"/>
                <w:i w:val="0"/>
                <w:spacing w:val="0"/>
                <w:sz w:val="24"/>
                <w:szCs w:val="24"/>
                <w:lang w:eastAsia="zh-CN"/>
              </w:rPr>
              <w:t>；</w:t>
            </w:r>
          </w:p>
          <w:p w14:paraId="2AC97748">
            <w:pPr>
              <w:pageBreakBefore w:val="0"/>
              <w:numPr>
                <w:ilvl w:val="0"/>
                <w:numId w:val="4"/>
              </w:numPr>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发生安全事故此项直接扣完</w:t>
            </w:r>
          </w:p>
        </w:tc>
        <w:tc>
          <w:tcPr>
            <w:tcW w:w="725" w:type="dxa"/>
          </w:tcPr>
          <w:p w14:paraId="463E0687">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 xml:space="preserve"> </w:t>
            </w:r>
          </w:p>
        </w:tc>
        <w:tc>
          <w:tcPr>
            <w:tcW w:w="1180" w:type="dxa"/>
          </w:tcPr>
          <w:p w14:paraId="20CAB836">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现场排查安全隐患</w:t>
            </w:r>
          </w:p>
        </w:tc>
      </w:tr>
      <w:tr w14:paraId="3455FE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0" w:type="dxa"/>
            <w:bottom w:w="0" w:type="dxa"/>
            <w:right w:w="0" w:type="dxa"/>
          </w:tblCellMar>
        </w:tblPrEx>
        <w:tc>
          <w:tcPr>
            <w:tcW w:w="835" w:type="dxa"/>
          </w:tcPr>
          <w:p w14:paraId="4B587432">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7</w:t>
            </w:r>
          </w:p>
        </w:tc>
        <w:tc>
          <w:tcPr>
            <w:tcW w:w="1525" w:type="dxa"/>
          </w:tcPr>
          <w:p w14:paraId="5FB5ECAE">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i w:val="0"/>
                <w:spacing w:val="0"/>
                <w:sz w:val="24"/>
                <w:szCs w:val="24"/>
              </w:rPr>
              <w:t>整改落实情况</w:t>
            </w:r>
          </w:p>
        </w:tc>
        <w:tc>
          <w:tcPr>
            <w:tcW w:w="710" w:type="dxa"/>
          </w:tcPr>
          <w:p w14:paraId="47E42A64">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5分</w:t>
            </w:r>
          </w:p>
        </w:tc>
        <w:tc>
          <w:tcPr>
            <w:tcW w:w="1642" w:type="dxa"/>
          </w:tcPr>
          <w:p w14:paraId="00487947">
            <w:pPr>
              <w:pageBreakBefore w:val="0"/>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上级督查、日常考核发现问题，全部按期整改到位</w:t>
            </w:r>
          </w:p>
        </w:tc>
        <w:tc>
          <w:tcPr>
            <w:tcW w:w="1643" w:type="dxa"/>
          </w:tcPr>
          <w:p w14:paraId="5BC23079">
            <w:pPr>
              <w:pageBreakBefore w:val="0"/>
              <w:numPr>
                <w:ilvl w:val="0"/>
                <w:numId w:val="5"/>
              </w:numPr>
              <w:wordWrap/>
              <w:spacing w:before="0" w:after="0" w:line="240" w:lineRule="auto"/>
              <w:ind w:left="0" w:right="0" w:firstLine="0"/>
              <w:jc w:val="both"/>
              <w:textAlignment w:val="auto"/>
              <w:rPr>
                <w:rFonts w:hint="eastAsia" w:asciiTheme="minorEastAsia" w:hAnsiTheme="minorEastAsia" w:eastAsiaTheme="minorEastAsia" w:cstheme="minorEastAsia"/>
                <w:b w:val="0"/>
                <w:i w:val="0"/>
                <w:spacing w:val="0"/>
                <w:sz w:val="24"/>
                <w:szCs w:val="24"/>
                <w:lang w:eastAsia="zh-CN"/>
              </w:rPr>
            </w:pPr>
            <w:r>
              <w:rPr>
                <w:rFonts w:hint="eastAsia" w:asciiTheme="minorEastAsia" w:hAnsiTheme="minorEastAsia" w:eastAsiaTheme="minorEastAsia" w:cstheme="minorEastAsia"/>
                <w:b w:val="0"/>
                <w:i w:val="0"/>
                <w:spacing w:val="0"/>
                <w:sz w:val="24"/>
                <w:szCs w:val="24"/>
              </w:rPr>
              <w:t>问题未按期整改每项扣3分</w:t>
            </w:r>
            <w:r>
              <w:rPr>
                <w:rFonts w:hint="eastAsia" w:asciiTheme="minorEastAsia" w:hAnsiTheme="minorEastAsia" w:eastAsiaTheme="minorEastAsia" w:cstheme="minorEastAsia"/>
                <w:b w:val="0"/>
                <w:i w:val="0"/>
                <w:spacing w:val="0"/>
                <w:sz w:val="24"/>
                <w:szCs w:val="24"/>
                <w:lang w:eastAsia="zh-CN"/>
              </w:rPr>
              <w:t>；</w:t>
            </w:r>
          </w:p>
          <w:p w14:paraId="0E92DE17">
            <w:pPr>
              <w:pageBreakBefore w:val="0"/>
              <w:numPr>
                <w:ilvl w:val="0"/>
                <w:numId w:val="5"/>
              </w:numPr>
              <w:wordWrap/>
              <w:spacing w:before="0" w:after="0" w:line="240" w:lineRule="auto"/>
              <w:ind w:left="0" w:right="0" w:firstLine="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整改不到位每项扣2分</w:t>
            </w:r>
          </w:p>
        </w:tc>
        <w:tc>
          <w:tcPr>
            <w:tcW w:w="725" w:type="dxa"/>
          </w:tcPr>
          <w:p w14:paraId="715C49C3">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 xml:space="preserve"> </w:t>
            </w:r>
          </w:p>
        </w:tc>
        <w:tc>
          <w:tcPr>
            <w:tcW w:w="1180" w:type="dxa"/>
          </w:tcPr>
          <w:p w14:paraId="59AC122A">
            <w:pPr>
              <w:pageBreakBefore w:val="0"/>
              <w:wordWrap/>
              <w:spacing w:before="0" w:after="0" w:line="240" w:lineRule="auto"/>
              <w:ind w:left="0" w:right="0" w:firstLine="0"/>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val="0"/>
                <w:i w:val="0"/>
                <w:spacing w:val="0"/>
                <w:sz w:val="24"/>
                <w:szCs w:val="24"/>
              </w:rPr>
              <w:t>核查整改回执、现场复核</w:t>
            </w:r>
          </w:p>
        </w:tc>
      </w:tr>
    </w:tbl>
    <w:p w14:paraId="2F8CBDD7">
      <w:pPr>
        <w:pStyle w:val="6"/>
        <w:rPr>
          <w:rFonts w:hint="eastAsia"/>
          <w:highlight w:val="none"/>
          <w:lang w:val="en-US" w:eastAsia="zh-CN"/>
        </w:rPr>
      </w:pPr>
    </w:p>
    <w:p w14:paraId="3E7F9DB6">
      <w:pPr>
        <w:pStyle w:val="12"/>
        <w:numPr>
          <w:ilvl w:val="0"/>
          <w:numId w:val="0"/>
        </w:numPr>
        <w:spacing w:line="360" w:lineRule="auto"/>
        <w:ind w:leftChars="0"/>
        <w:jc w:val="center"/>
        <w:rPr>
          <w:rFonts w:hint="eastAsia" w:hAnsi="宋体" w:eastAsia="宋体" w:cs="宋体"/>
          <w:b/>
          <w:bCs/>
          <w:color w:val="auto"/>
          <w:sz w:val="24"/>
          <w:szCs w:val="24"/>
          <w:highlight w:val="none"/>
          <w:lang w:val="en-US" w:eastAsia="zh-CN"/>
        </w:rPr>
      </w:pPr>
      <w:r>
        <w:rPr>
          <w:rFonts w:hint="eastAsia" w:ascii="宋体" w:hAnsi="宋体" w:eastAsia="宋体" w:cs="宋体"/>
          <w:b/>
          <w:bCs/>
          <w:snapToGrid w:val="0"/>
          <w:color w:val="000000"/>
          <w:kern w:val="0"/>
          <w:sz w:val="24"/>
          <w:szCs w:val="24"/>
          <w:highlight w:val="none"/>
          <w:lang w:val="en-US" w:eastAsia="zh-CN" w:bidi="ar"/>
        </w:rPr>
        <w:t>《</w:t>
      </w:r>
      <w:r>
        <w:rPr>
          <w:rFonts w:hint="eastAsia" w:hAnsi="宋体" w:eastAsia="宋体" w:cs="宋体"/>
          <w:b/>
          <w:bCs/>
          <w:color w:val="auto"/>
          <w:sz w:val="24"/>
          <w:szCs w:val="24"/>
          <w:highlight w:val="none"/>
          <w:lang w:val="en-US" w:eastAsia="zh-CN"/>
        </w:rPr>
        <w:t>路灯日常维护考核负面清单》</w:t>
      </w:r>
    </w:p>
    <w:p w14:paraId="7D52BACF">
      <w:pPr>
        <w:keepNext w:val="0"/>
        <w:keepLines w:val="0"/>
        <w:widowControl/>
        <w:numPr>
          <w:ilvl w:val="0"/>
          <w:numId w:val="0"/>
        </w:numPr>
        <w:suppressLineNumbers w:val="0"/>
        <w:spacing w:line="360" w:lineRule="auto"/>
        <w:jc w:val="both"/>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snapToGrid w:val="0"/>
          <w:color w:val="000000"/>
          <w:kern w:val="0"/>
          <w:sz w:val="24"/>
          <w:szCs w:val="24"/>
          <w:highlight w:val="none"/>
          <w:lang w:val="en-US" w:eastAsia="zh-CN" w:bidi="ar"/>
        </w:rPr>
        <w:t xml:space="preserve">1、检查亮化设施按路段考核：路灯照明亮灯率应达到98%、设施完好率应达到96%及以上，应急处置迅速高效，无安全生产事故等应当符合《城市道路照明设施运行维护技术标准》（T/CMEA21)。考核亮灯率应达到98%及以上不扣罚，98%以下每条路亮灯率每降低一个百分点扣罚成交人当月承包费 100 元。 </w:t>
      </w:r>
    </w:p>
    <w:p w14:paraId="7B97D2A1">
      <w:pPr>
        <w:keepNext w:val="0"/>
        <w:keepLines w:val="0"/>
        <w:widowControl/>
        <w:numPr>
          <w:ilvl w:val="0"/>
          <w:numId w:val="0"/>
        </w:numPr>
        <w:suppressLineNumbers w:val="0"/>
        <w:spacing w:line="360" w:lineRule="auto"/>
        <w:jc w:val="both"/>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snapToGrid w:val="0"/>
          <w:color w:val="000000"/>
          <w:kern w:val="0"/>
          <w:sz w:val="24"/>
          <w:szCs w:val="24"/>
          <w:highlight w:val="none"/>
          <w:lang w:val="en-US" w:eastAsia="zh-CN" w:bidi="ar"/>
        </w:rPr>
        <w:t xml:space="preserve">2、服务期间工作人员没按规范操作，没配戴安全帽和没做好相应安全措施，发现一次 （处）扣罚管护费 200 元，发现一次无证上岗作业扣罚当月管护费 300 元，累计计算。 </w:t>
      </w:r>
    </w:p>
    <w:p w14:paraId="70C73E8B">
      <w:pPr>
        <w:keepNext w:val="0"/>
        <w:keepLines w:val="0"/>
        <w:widowControl/>
        <w:numPr>
          <w:ilvl w:val="0"/>
          <w:numId w:val="0"/>
        </w:numPr>
        <w:suppressLineNumbers w:val="0"/>
        <w:spacing w:line="360" w:lineRule="auto"/>
        <w:jc w:val="both"/>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snapToGrid w:val="0"/>
          <w:color w:val="000000"/>
          <w:kern w:val="0"/>
          <w:sz w:val="24"/>
          <w:szCs w:val="24"/>
          <w:highlight w:val="none"/>
          <w:lang w:val="en-US" w:eastAsia="zh-CN" w:bidi="ar"/>
        </w:rPr>
        <w:t xml:space="preserve">3、随意更换亮化设施配件的规格型号、随意拆好换差或拆东换西发现一处扣罚当月管护费 200 元，并按原件恢复。 </w:t>
      </w:r>
    </w:p>
    <w:p w14:paraId="6D962BA8">
      <w:pPr>
        <w:keepNext w:val="0"/>
        <w:keepLines w:val="0"/>
        <w:widowControl/>
        <w:numPr>
          <w:ilvl w:val="0"/>
          <w:numId w:val="0"/>
        </w:numPr>
        <w:suppressLineNumbers w:val="0"/>
        <w:spacing w:line="360" w:lineRule="auto"/>
        <w:jc w:val="both"/>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snapToGrid w:val="0"/>
          <w:color w:val="000000"/>
          <w:kern w:val="0"/>
          <w:sz w:val="24"/>
          <w:szCs w:val="24"/>
          <w:highlight w:val="none"/>
          <w:lang w:val="en-US" w:eastAsia="zh-CN" w:bidi="ar"/>
        </w:rPr>
        <w:t xml:space="preserve">4、亮化设施的电源不能私自对外供电，否则发现一次扣罚管护费300 元，若要对外供电必须经招标人同意，由招标人办理相关手续（凭用电通知）。 </w:t>
      </w:r>
    </w:p>
    <w:p w14:paraId="7E67951A">
      <w:pPr>
        <w:keepNext w:val="0"/>
        <w:keepLines w:val="0"/>
        <w:widowControl/>
        <w:numPr>
          <w:ilvl w:val="0"/>
          <w:numId w:val="0"/>
        </w:numPr>
        <w:suppressLineNumbers w:val="0"/>
        <w:spacing w:line="360" w:lineRule="auto"/>
        <w:jc w:val="both"/>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snapToGrid w:val="0"/>
          <w:color w:val="000000"/>
          <w:kern w:val="0"/>
          <w:sz w:val="24"/>
          <w:szCs w:val="24"/>
          <w:highlight w:val="none"/>
          <w:lang w:val="en-US" w:eastAsia="zh-CN" w:bidi="ar"/>
        </w:rPr>
        <w:t xml:space="preserve">5、亮灯和关灯时间凡以时控操作的误差时间超过±10 分钟以上，每次罚款 100 元，未按抄告单规定的要求内完成工作的每次罚款 200 元。 </w:t>
      </w:r>
    </w:p>
    <w:p w14:paraId="7B84B8A0">
      <w:pPr>
        <w:keepNext w:val="0"/>
        <w:keepLines w:val="0"/>
        <w:widowControl/>
        <w:numPr>
          <w:ilvl w:val="0"/>
          <w:numId w:val="0"/>
        </w:numPr>
        <w:suppressLineNumbers w:val="0"/>
        <w:spacing w:line="360" w:lineRule="auto"/>
        <w:jc w:val="both"/>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snapToGrid w:val="0"/>
          <w:color w:val="000000"/>
          <w:kern w:val="0"/>
          <w:sz w:val="24"/>
          <w:szCs w:val="24"/>
          <w:highlight w:val="none"/>
          <w:lang w:val="en-US" w:eastAsia="zh-CN" w:bidi="ar"/>
        </w:rPr>
        <w:t xml:space="preserve">6、维护亮化设施时没按招标人要求及时修复，超过壹天每天扣罚 50 元，累计计算。承包期间如果同一处修复超过三次以上每处扣罚 200 元。 </w:t>
      </w:r>
    </w:p>
    <w:p w14:paraId="6529B023">
      <w:pPr>
        <w:keepNext w:val="0"/>
        <w:keepLines w:val="0"/>
        <w:widowControl/>
        <w:numPr>
          <w:ilvl w:val="0"/>
          <w:numId w:val="0"/>
        </w:numPr>
        <w:suppressLineNumbers w:val="0"/>
        <w:spacing w:line="360" w:lineRule="auto"/>
        <w:jc w:val="both"/>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snapToGrid w:val="0"/>
          <w:color w:val="000000"/>
          <w:kern w:val="0"/>
          <w:sz w:val="24"/>
          <w:szCs w:val="24"/>
          <w:highlight w:val="none"/>
          <w:lang w:val="en-US" w:eastAsia="zh-CN" w:bidi="ar"/>
        </w:rPr>
        <w:t xml:space="preserve">7、服务期内因亮化设施不能正常工作，造成招标人损失或新闻曝光，或区级以上领导批评，每次扣罚中标人管护费 1000 元。性质特别严重，影响到招标人工作正常开展或给招标人造成重大损失，招标人有权单方解除合同并由中标人赔偿损失。 </w:t>
      </w:r>
    </w:p>
    <w:p w14:paraId="5198970C">
      <w:pPr>
        <w:keepNext w:val="0"/>
        <w:keepLines w:val="0"/>
        <w:widowControl/>
        <w:numPr>
          <w:ilvl w:val="0"/>
          <w:numId w:val="0"/>
        </w:numPr>
        <w:suppressLineNumbers w:val="0"/>
        <w:spacing w:line="360" w:lineRule="auto"/>
        <w:jc w:val="both"/>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snapToGrid w:val="0"/>
          <w:color w:val="000000"/>
          <w:kern w:val="0"/>
          <w:sz w:val="24"/>
          <w:szCs w:val="24"/>
          <w:highlight w:val="none"/>
          <w:lang w:val="en-US" w:eastAsia="zh-CN" w:bidi="ar"/>
        </w:rPr>
        <w:t xml:space="preserve">8、承包期间不得随意减少人员或抽调人员从事与承包无关的工作，否则每发现一次扣罚 200 元。 </w:t>
      </w:r>
    </w:p>
    <w:p w14:paraId="424B7AD3">
      <w:pPr>
        <w:keepNext w:val="0"/>
        <w:keepLines w:val="0"/>
        <w:widowControl/>
        <w:numPr>
          <w:ilvl w:val="0"/>
          <w:numId w:val="0"/>
        </w:numPr>
        <w:suppressLineNumbers w:val="0"/>
        <w:spacing w:line="360" w:lineRule="auto"/>
        <w:jc w:val="both"/>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snapToGrid w:val="0"/>
          <w:color w:val="000000"/>
          <w:kern w:val="0"/>
          <w:sz w:val="24"/>
          <w:szCs w:val="24"/>
          <w:highlight w:val="none"/>
          <w:lang w:val="en-US" w:eastAsia="zh-CN" w:bidi="ar"/>
        </w:rPr>
        <w:t>9、中标人未按时报送巡查及维修记录（每周），每次扣罚 100 元，未按时报送维修统计及工作计划（每月）每次扣罚 200 元。记录不真实，有弄虚作假现象的每次扣罚 300 元。</w:t>
      </w:r>
    </w:p>
    <w:p w14:paraId="326FB366">
      <w:pPr>
        <w:spacing w:before="169" w:line="369" w:lineRule="auto"/>
        <w:ind w:right="147" w:rightChars="0"/>
        <w:jc w:val="center"/>
        <w:rPr>
          <w:rFonts w:hint="eastAsia" w:ascii="宋体" w:hAnsi="宋体" w:eastAsia="宋体" w:cs="宋体"/>
          <w:b/>
          <w:bCs/>
          <w:color w:val="auto"/>
          <w:sz w:val="24"/>
          <w:szCs w:val="24"/>
          <w:highlight w:val="none"/>
        </w:rPr>
      </w:pPr>
      <w:r>
        <w:rPr>
          <w:rFonts w:ascii="宋体" w:hAnsi="宋体" w:eastAsia="宋体" w:cs="宋体"/>
          <w:b/>
          <w:bCs/>
          <w:color w:val="auto"/>
          <w:sz w:val="24"/>
          <w:szCs w:val="24"/>
          <w:highlight w:val="none"/>
        </w:rPr>
        <w:br w:type="page"/>
      </w:r>
      <w:r>
        <w:rPr>
          <w:rFonts w:hint="eastAsia" w:ascii="宋体" w:hAnsi="宋体" w:eastAsia="宋体" w:cs="宋体"/>
          <w:b/>
          <w:bCs/>
          <w:color w:val="auto"/>
          <w:sz w:val="28"/>
          <w:szCs w:val="28"/>
          <w:highlight w:val="none"/>
        </w:rPr>
        <w:t>绿化养护</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rPr>
        <w:t>道路保洁</w:t>
      </w:r>
      <w:r>
        <w:rPr>
          <w:rFonts w:hint="eastAsia" w:ascii="宋体" w:hAnsi="宋体" w:eastAsia="宋体" w:cs="宋体"/>
          <w:b/>
          <w:bCs/>
          <w:color w:val="auto"/>
          <w:sz w:val="28"/>
          <w:szCs w:val="28"/>
          <w:highlight w:val="none"/>
          <w:lang w:eastAsia="zh-CN"/>
        </w:rPr>
        <w:t>及</w:t>
      </w:r>
      <w:r>
        <w:rPr>
          <w:rFonts w:hint="eastAsia" w:ascii="宋体" w:hAnsi="宋体" w:eastAsia="宋体" w:cs="宋体"/>
          <w:b/>
          <w:bCs/>
          <w:color w:val="auto"/>
          <w:sz w:val="28"/>
          <w:szCs w:val="28"/>
          <w:highlight w:val="none"/>
        </w:rPr>
        <w:t>路灯日常维护机械配置</w:t>
      </w:r>
    </w:p>
    <w:p w14:paraId="0828D3BE">
      <w:pPr>
        <w:keepNext w:val="0"/>
        <w:keepLines w:val="0"/>
        <w:pageBreakBefore w:val="0"/>
        <w:widowControl w:val="0"/>
        <w:tabs>
          <w:tab w:val="left" w:pos="8160"/>
        </w:tabs>
        <w:kinsoku/>
        <w:wordWrap/>
        <w:overflowPunct/>
        <w:topLinePunct w:val="0"/>
        <w:autoSpaceDE/>
        <w:autoSpaceDN/>
        <w:bidi w:val="0"/>
        <w:adjustRightInd/>
        <w:snapToGrid/>
        <w:spacing w:line="370" w:lineRule="auto"/>
        <w:ind w:right="0" w:rightChars="0"/>
        <w:textAlignment w:val="auto"/>
        <w:rPr>
          <w:rFonts w:hint="eastAsia" w:ascii="宋体" w:hAnsi="宋体" w:eastAsia="宋体" w:cs="宋体"/>
          <w:b/>
          <w:bCs/>
          <w:color w:val="auto"/>
          <w:spacing w:val="-4"/>
          <w:sz w:val="24"/>
          <w:szCs w:val="24"/>
          <w:highlight w:val="none"/>
        </w:rPr>
      </w:pPr>
      <w:r>
        <w:rPr>
          <w:rFonts w:hint="eastAsia" w:ascii="宋体" w:hAnsi="宋体" w:eastAsia="宋体" w:cs="宋体"/>
          <w:b/>
          <w:bCs/>
          <w:color w:val="auto"/>
          <w:spacing w:val="-4"/>
          <w:sz w:val="24"/>
          <w:szCs w:val="24"/>
          <w:highlight w:val="none"/>
        </w:rPr>
        <w:t>(1) 设备配置</w:t>
      </w:r>
    </w:p>
    <w:p w14:paraId="5E1DD897">
      <w:pPr>
        <w:pStyle w:val="6"/>
        <w:spacing w:line="360" w:lineRule="auto"/>
        <w:ind w:firstLine="480" w:firstLineChars="200"/>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投标人必须按设备配置表要求</w:t>
      </w:r>
      <w:r>
        <w:rPr>
          <w:rFonts w:hint="eastAsia" w:cs="宋体"/>
          <w:color w:val="auto"/>
          <w:kern w:val="2"/>
          <w:sz w:val="24"/>
          <w:szCs w:val="24"/>
          <w:highlight w:val="none"/>
          <w:lang w:val="en-US" w:eastAsia="zh-CN" w:bidi="ar-SA"/>
        </w:rPr>
        <w:t>并满足本项目日常养护使用要求</w:t>
      </w:r>
      <w:r>
        <w:rPr>
          <w:rFonts w:hint="eastAsia" w:ascii="宋体" w:hAnsi="宋体" w:eastAsia="宋体" w:cs="宋体"/>
          <w:color w:val="auto"/>
          <w:kern w:val="2"/>
          <w:sz w:val="24"/>
          <w:szCs w:val="24"/>
          <w:highlight w:val="none"/>
          <w:lang w:val="en-US" w:eastAsia="zh-CN" w:bidi="ar-SA"/>
        </w:rPr>
        <w:t>。中标后经采购人确认设备配置无误后签订采购合同。如经采购人确认中标人提供的设备配置不满足要求，将视为提供虚假材料谋取中标行为，中标无效，采购人有权没收其投标保证金，并按政府采购法相关条款提请监督机构给予行政处罚。采购人将按本项目评审得分由高到低的顺序，顺延选择下一名排序人按其服务报价承接该项目的服务工作或重新组织采购活动。</w:t>
      </w:r>
    </w:p>
    <w:tbl>
      <w:tblPr>
        <w:tblStyle w:val="13"/>
        <w:tblpPr w:leftFromText="180" w:rightFromText="180" w:vertAnchor="text" w:horzAnchor="page" w:tblpX="1645" w:tblpY="95"/>
        <w:tblOverlap w:val="never"/>
        <w:tblW w:w="8610"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789"/>
        <w:gridCol w:w="1764"/>
        <w:gridCol w:w="900"/>
        <w:gridCol w:w="2395"/>
        <w:gridCol w:w="2762"/>
      </w:tblGrid>
      <w:tr w14:paraId="16FAD2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blHeader/>
        </w:trPr>
        <w:tc>
          <w:tcPr>
            <w:tcW w:w="789" w:type="dxa"/>
            <w:noWrap w:val="0"/>
            <w:vAlign w:val="center"/>
          </w:tcPr>
          <w:p w14:paraId="018C5AB5">
            <w:pPr>
              <w:keepNext w:val="0"/>
              <w:keepLines w:val="0"/>
              <w:pageBreakBefore w:val="0"/>
              <w:wordWrap/>
              <w:overflowPunct/>
              <w:topLinePunct w:val="0"/>
              <w:autoSpaceDE w:val="0"/>
              <w:autoSpaceDN w:val="0"/>
              <w:bidi w:val="0"/>
              <w:snapToGrid w:val="0"/>
              <w:spacing w:before="1" w:line="320" w:lineRule="exact"/>
              <w:ind w:left="0" w:leftChars="0" w:right="0" w:rightChars="0" w:firstLine="0" w:firstLineChars="0"/>
              <w:jc w:val="center"/>
              <w:rPr>
                <w:rFonts w:hint="eastAsia" w:ascii="宋体" w:hAnsi="宋体" w:eastAsia="宋体" w:cs="宋体"/>
                <w:b/>
                <w:bCs/>
                <w:color w:val="auto"/>
                <w:spacing w:val="10"/>
                <w:sz w:val="24"/>
                <w:szCs w:val="24"/>
                <w:highlight w:val="none"/>
              </w:rPr>
            </w:pPr>
            <w:r>
              <w:rPr>
                <w:rFonts w:hint="eastAsia" w:ascii="宋体" w:hAnsi="宋体" w:eastAsia="宋体" w:cs="宋体"/>
                <w:b/>
                <w:bCs/>
                <w:color w:val="auto"/>
                <w:spacing w:val="10"/>
                <w:sz w:val="24"/>
                <w:szCs w:val="24"/>
                <w:highlight w:val="none"/>
              </w:rPr>
              <w:t>编号</w:t>
            </w:r>
          </w:p>
        </w:tc>
        <w:tc>
          <w:tcPr>
            <w:tcW w:w="1764" w:type="dxa"/>
            <w:noWrap w:val="0"/>
            <w:vAlign w:val="center"/>
          </w:tcPr>
          <w:p w14:paraId="0D836ABB">
            <w:pPr>
              <w:keepNext w:val="0"/>
              <w:keepLines w:val="0"/>
              <w:pageBreakBefore w:val="0"/>
              <w:wordWrap/>
              <w:overflowPunct/>
              <w:topLinePunct w:val="0"/>
              <w:autoSpaceDE w:val="0"/>
              <w:autoSpaceDN w:val="0"/>
              <w:bidi w:val="0"/>
              <w:snapToGrid w:val="0"/>
              <w:spacing w:before="1" w:line="320" w:lineRule="exact"/>
              <w:ind w:left="0" w:leftChars="0" w:right="0" w:rightChars="0" w:firstLine="0" w:firstLineChars="0"/>
              <w:jc w:val="center"/>
              <w:rPr>
                <w:rFonts w:hint="eastAsia" w:ascii="宋体" w:hAnsi="宋体" w:eastAsia="宋体" w:cs="宋体"/>
                <w:b/>
                <w:bCs/>
                <w:color w:val="auto"/>
                <w:spacing w:val="10"/>
                <w:sz w:val="24"/>
                <w:szCs w:val="24"/>
                <w:highlight w:val="none"/>
              </w:rPr>
            </w:pPr>
            <w:r>
              <w:rPr>
                <w:rFonts w:hint="eastAsia" w:ascii="宋体" w:hAnsi="宋体" w:eastAsia="宋体" w:cs="宋体"/>
                <w:b/>
                <w:bCs/>
                <w:color w:val="auto"/>
                <w:spacing w:val="10"/>
                <w:sz w:val="24"/>
                <w:szCs w:val="24"/>
                <w:highlight w:val="none"/>
              </w:rPr>
              <w:t>名称</w:t>
            </w:r>
          </w:p>
        </w:tc>
        <w:tc>
          <w:tcPr>
            <w:tcW w:w="900" w:type="dxa"/>
            <w:noWrap w:val="0"/>
            <w:vAlign w:val="center"/>
          </w:tcPr>
          <w:p w14:paraId="11196CF7">
            <w:pPr>
              <w:keepNext w:val="0"/>
              <w:keepLines w:val="0"/>
              <w:pageBreakBefore w:val="0"/>
              <w:wordWrap/>
              <w:overflowPunct/>
              <w:topLinePunct w:val="0"/>
              <w:autoSpaceDE w:val="0"/>
              <w:autoSpaceDN w:val="0"/>
              <w:bidi w:val="0"/>
              <w:snapToGrid w:val="0"/>
              <w:spacing w:before="1" w:line="320" w:lineRule="exact"/>
              <w:ind w:left="0" w:leftChars="0" w:right="0" w:rightChars="0" w:firstLine="0" w:firstLineChars="0"/>
              <w:jc w:val="center"/>
              <w:rPr>
                <w:rFonts w:hint="eastAsia" w:ascii="宋体" w:hAnsi="宋体" w:eastAsia="宋体" w:cs="宋体"/>
                <w:b/>
                <w:bCs/>
                <w:color w:val="auto"/>
                <w:spacing w:val="10"/>
                <w:sz w:val="24"/>
                <w:szCs w:val="24"/>
                <w:highlight w:val="none"/>
              </w:rPr>
            </w:pPr>
            <w:r>
              <w:rPr>
                <w:rFonts w:hint="eastAsia" w:ascii="宋体" w:hAnsi="宋体" w:eastAsia="宋体" w:cs="宋体"/>
                <w:b/>
                <w:bCs/>
                <w:color w:val="auto"/>
                <w:spacing w:val="10"/>
                <w:sz w:val="24"/>
                <w:szCs w:val="24"/>
                <w:highlight w:val="none"/>
              </w:rPr>
              <w:t>数量</w:t>
            </w:r>
          </w:p>
        </w:tc>
        <w:tc>
          <w:tcPr>
            <w:tcW w:w="2395" w:type="dxa"/>
            <w:noWrap w:val="0"/>
            <w:vAlign w:val="center"/>
          </w:tcPr>
          <w:p w14:paraId="510351E6">
            <w:pPr>
              <w:keepNext w:val="0"/>
              <w:keepLines w:val="0"/>
              <w:pageBreakBefore w:val="0"/>
              <w:wordWrap/>
              <w:overflowPunct/>
              <w:topLinePunct w:val="0"/>
              <w:autoSpaceDE w:val="0"/>
              <w:autoSpaceDN w:val="0"/>
              <w:bidi w:val="0"/>
              <w:snapToGrid w:val="0"/>
              <w:spacing w:before="1" w:line="320" w:lineRule="exact"/>
              <w:ind w:left="0" w:leftChars="0" w:right="0" w:rightChars="0" w:firstLine="0" w:firstLineChars="0"/>
              <w:jc w:val="center"/>
              <w:rPr>
                <w:rFonts w:hint="eastAsia" w:ascii="宋体" w:hAnsi="宋体" w:eastAsia="宋体" w:cs="宋体"/>
                <w:b/>
                <w:bCs/>
                <w:color w:val="auto"/>
                <w:spacing w:val="10"/>
                <w:sz w:val="24"/>
                <w:szCs w:val="24"/>
                <w:highlight w:val="none"/>
                <w:lang w:eastAsia="zh-CN"/>
              </w:rPr>
            </w:pPr>
            <w:r>
              <w:rPr>
                <w:rFonts w:hint="eastAsia" w:ascii="宋体" w:hAnsi="宋体" w:eastAsia="宋体" w:cs="宋体"/>
                <w:b/>
                <w:bCs/>
                <w:color w:val="auto"/>
                <w:spacing w:val="10"/>
                <w:sz w:val="24"/>
                <w:szCs w:val="24"/>
                <w:highlight w:val="none"/>
                <w:lang w:eastAsia="zh-CN"/>
              </w:rPr>
              <w:t>要求</w:t>
            </w:r>
          </w:p>
        </w:tc>
        <w:tc>
          <w:tcPr>
            <w:tcW w:w="2762" w:type="dxa"/>
            <w:noWrap w:val="0"/>
            <w:vAlign w:val="center"/>
          </w:tcPr>
          <w:p w14:paraId="45EF002D">
            <w:pPr>
              <w:keepNext w:val="0"/>
              <w:keepLines w:val="0"/>
              <w:pageBreakBefore w:val="0"/>
              <w:wordWrap/>
              <w:overflowPunct/>
              <w:topLinePunct w:val="0"/>
              <w:autoSpaceDE w:val="0"/>
              <w:autoSpaceDN w:val="0"/>
              <w:bidi w:val="0"/>
              <w:snapToGrid w:val="0"/>
              <w:spacing w:before="1" w:line="320" w:lineRule="exact"/>
              <w:ind w:left="0" w:leftChars="0" w:right="0" w:rightChars="0" w:firstLine="0" w:firstLineChars="0"/>
              <w:jc w:val="center"/>
              <w:rPr>
                <w:rFonts w:hint="eastAsia" w:ascii="宋体" w:hAnsi="宋体" w:eastAsia="宋体" w:cs="宋体"/>
                <w:b/>
                <w:bCs/>
                <w:color w:val="auto"/>
                <w:spacing w:val="10"/>
                <w:sz w:val="24"/>
                <w:szCs w:val="24"/>
                <w:highlight w:val="none"/>
              </w:rPr>
            </w:pPr>
            <w:r>
              <w:rPr>
                <w:rFonts w:hint="eastAsia" w:ascii="宋体" w:hAnsi="宋体" w:eastAsia="宋体" w:cs="宋体"/>
                <w:b/>
                <w:bCs/>
                <w:color w:val="auto"/>
                <w:spacing w:val="10"/>
                <w:sz w:val="24"/>
                <w:szCs w:val="24"/>
                <w:highlight w:val="none"/>
              </w:rPr>
              <w:t>备注</w:t>
            </w:r>
          </w:p>
        </w:tc>
      </w:tr>
      <w:tr w14:paraId="3D5FA2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789" w:type="dxa"/>
            <w:noWrap w:val="0"/>
            <w:vAlign w:val="center"/>
          </w:tcPr>
          <w:p w14:paraId="66CCCE14">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rPr>
              <w:t>1</w:t>
            </w:r>
          </w:p>
        </w:tc>
        <w:tc>
          <w:tcPr>
            <w:tcW w:w="1764" w:type="dxa"/>
            <w:noWrap w:val="0"/>
            <w:vAlign w:val="center"/>
          </w:tcPr>
          <w:p w14:paraId="07E3E4BA">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rPr>
              <w:t>洒水车</w:t>
            </w:r>
          </w:p>
        </w:tc>
        <w:tc>
          <w:tcPr>
            <w:tcW w:w="900" w:type="dxa"/>
            <w:noWrap w:val="0"/>
            <w:vAlign w:val="center"/>
          </w:tcPr>
          <w:p w14:paraId="7DDF4D28">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rPr>
              <w:t>2 辆</w:t>
            </w:r>
          </w:p>
        </w:tc>
        <w:tc>
          <w:tcPr>
            <w:tcW w:w="2395" w:type="dxa"/>
            <w:noWrap w:val="0"/>
            <w:vAlign w:val="center"/>
          </w:tcPr>
          <w:p w14:paraId="177C82FA">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lang w:eastAsia="zh-CN"/>
              </w:rPr>
              <w:t>核定载质量</w:t>
            </w:r>
            <w:r>
              <w:rPr>
                <w:rFonts w:hint="eastAsia" w:ascii="宋体" w:hAnsi="宋体" w:eastAsia="宋体" w:cs="宋体"/>
                <w:b w:val="0"/>
                <w:bCs w:val="0"/>
                <w:color w:val="auto"/>
                <w:spacing w:val="10"/>
                <w:sz w:val="24"/>
                <w:szCs w:val="24"/>
                <w:highlight w:val="none"/>
              </w:rPr>
              <w:t>≥</w:t>
            </w:r>
            <w:r>
              <w:rPr>
                <w:rFonts w:hint="eastAsia" w:ascii="宋体" w:hAnsi="宋体" w:eastAsia="宋体" w:cs="宋体"/>
                <w:b w:val="0"/>
                <w:bCs w:val="0"/>
                <w:color w:val="auto"/>
                <w:spacing w:val="10"/>
                <w:sz w:val="24"/>
                <w:szCs w:val="24"/>
                <w:highlight w:val="none"/>
                <w:lang w:val="en-US" w:eastAsia="zh-CN"/>
              </w:rPr>
              <w:t>10</w:t>
            </w:r>
            <w:r>
              <w:rPr>
                <w:rFonts w:hint="eastAsia" w:ascii="宋体" w:hAnsi="宋体" w:eastAsia="宋体" w:cs="宋体"/>
                <w:b w:val="0"/>
                <w:bCs w:val="0"/>
                <w:color w:val="auto"/>
                <w:spacing w:val="10"/>
                <w:sz w:val="24"/>
                <w:szCs w:val="24"/>
                <w:highlight w:val="none"/>
              </w:rPr>
              <w:t>吨</w:t>
            </w:r>
          </w:p>
        </w:tc>
        <w:tc>
          <w:tcPr>
            <w:tcW w:w="2762" w:type="dxa"/>
            <w:vMerge w:val="restart"/>
            <w:noWrap w:val="0"/>
            <w:vAlign w:val="center"/>
          </w:tcPr>
          <w:p w14:paraId="6D49741B">
            <w:pPr>
              <w:pStyle w:val="12"/>
              <w:keepNext w:val="0"/>
              <w:keepLines w:val="0"/>
              <w:pageBreakBefore w:val="0"/>
              <w:numPr>
                <w:ilvl w:val="0"/>
                <w:numId w:val="0"/>
              </w:numPr>
              <w:wordWrap/>
              <w:overflowPunct/>
              <w:topLinePunct w:val="0"/>
              <w:autoSpaceDE w:val="0"/>
              <w:autoSpaceDN w:val="0"/>
              <w:bidi w:val="0"/>
              <w:snapToGrid w:val="0"/>
              <w:spacing w:line="320" w:lineRule="exact"/>
              <w:ind w:left="0" w:leftChars="0" w:right="0" w:rightChars="0" w:firstLine="0" w:firstLineChars="0"/>
              <w:jc w:val="both"/>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车辆为投标人自有的，须提供相关车辆行驶证（须在投标单位名下）及购置发票为依据）；车辆为投标人租赁的，须提供租赁合同（合同剩余租赁期应自投标截止之日起大于6个月）及车辆行驶证（须与出租方名称一致）为依据。</w:t>
            </w:r>
            <w:r>
              <w:rPr>
                <w:rFonts w:hint="eastAsia" w:ascii="宋体" w:hAnsi="宋体" w:eastAsia="宋体" w:cs="宋体"/>
                <w:color w:val="auto"/>
                <w:spacing w:val="-1"/>
                <w:sz w:val="24"/>
                <w:szCs w:val="24"/>
                <w:highlight w:val="none"/>
                <w:lang w:val="en-US" w:eastAsia="zh-CN"/>
              </w:rPr>
              <w:t>【</w:t>
            </w:r>
            <w:r>
              <w:rPr>
                <w:rFonts w:hint="eastAsia" w:ascii="宋体" w:hAnsi="宋体" w:eastAsia="宋体" w:cs="宋体"/>
                <w:b/>
                <w:bCs/>
                <w:color w:val="auto"/>
                <w:spacing w:val="-1"/>
                <w:sz w:val="24"/>
                <w:szCs w:val="24"/>
                <w:highlight w:val="none"/>
                <w:lang w:val="en-US" w:eastAsia="zh-CN"/>
              </w:rPr>
              <w:t>注：</w:t>
            </w:r>
            <w:r>
              <w:rPr>
                <w:rFonts w:hint="eastAsia" w:ascii="宋体" w:hAnsi="宋体" w:eastAsia="宋体" w:cs="宋体"/>
                <w:b/>
                <w:bCs/>
                <w:color w:val="auto"/>
                <w:sz w:val="24"/>
                <w:szCs w:val="24"/>
                <w:highlight w:val="none"/>
              </w:rPr>
              <w:t>未提供或</w:t>
            </w:r>
            <w:r>
              <w:rPr>
                <w:rFonts w:hint="eastAsia" w:ascii="宋体" w:hAnsi="宋体" w:eastAsia="宋体" w:cs="宋体"/>
                <w:b/>
                <w:bCs/>
                <w:color w:val="auto"/>
                <w:sz w:val="24"/>
                <w:szCs w:val="24"/>
                <w:highlight w:val="none"/>
                <w:lang w:val="en-US" w:eastAsia="zh-CN"/>
              </w:rPr>
              <w:t>提供</w:t>
            </w:r>
            <w:r>
              <w:rPr>
                <w:rFonts w:hint="eastAsia" w:ascii="宋体" w:hAnsi="宋体" w:eastAsia="宋体" w:cs="宋体"/>
                <w:b/>
                <w:bCs/>
                <w:color w:val="auto"/>
                <w:sz w:val="24"/>
                <w:szCs w:val="24"/>
                <w:highlight w:val="none"/>
              </w:rPr>
              <w:t>不符合</w:t>
            </w:r>
            <w:r>
              <w:rPr>
                <w:rFonts w:hint="eastAsia" w:ascii="宋体" w:hAnsi="宋体" w:eastAsia="宋体" w:cs="宋体"/>
                <w:b/>
                <w:bCs/>
                <w:color w:val="auto"/>
                <w:sz w:val="24"/>
                <w:szCs w:val="24"/>
                <w:highlight w:val="none"/>
                <w:lang w:eastAsia="zh-CN"/>
              </w:rPr>
              <w:t>要求视为无效响应</w:t>
            </w:r>
            <w:r>
              <w:rPr>
                <w:rFonts w:hint="eastAsia" w:ascii="宋体" w:hAnsi="宋体" w:eastAsia="宋体" w:cs="宋体"/>
                <w:b/>
                <w:bCs/>
                <w:color w:val="auto"/>
                <w:sz w:val="24"/>
                <w:szCs w:val="24"/>
                <w:highlight w:val="none"/>
              </w:rPr>
              <w:t xml:space="preserve"> 。</w:t>
            </w:r>
            <w:r>
              <w:rPr>
                <w:rFonts w:hint="eastAsia" w:ascii="宋体" w:hAnsi="宋体" w:eastAsia="宋体" w:cs="宋体"/>
                <w:color w:val="auto"/>
                <w:spacing w:val="-1"/>
                <w:sz w:val="24"/>
                <w:szCs w:val="24"/>
                <w:highlight w:val="none"/>
                <w:lang w:val="en-US" w:eastAsia="zh-CN"/>
              </w:rPr>
              <w:t>】</w:t>
            </w:r>
          </w:p>
        </w:tc>
      </w:tr>
      <w:tr w14:paraId="2AAA98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789" w:type="dxa"/>
            <w:noWrap w:val="0"/>
            <w:vAlign w:val="center"/>
          </w:tcPr>
          <w:p w14:paraId="298D3D6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rPr>
              <w:t>2</w:t>
            </w:r>
          </w:p>
        </w:tc>
        <w:tc>
          <w:tcPr>
            <w:tcW w:w="1764" w:type="dxa"/>
            <w:noWrap w:val="0"/>
            <w:vAlign w:val="center"/>
          </w:tcPr>
          <w:p w14:paraId="438A065F">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kern w:val="2"/>
                <w:sz w:val="24"/>
                <w:szCs w:val="24"/>
                <w:highlight w:val="none"/>
                <w:lang w:val="en-US" w:eastAsia="zh-CN" w:bidi="ar-SA"/>
              </w:rPr>
            </w:pPr>
            <w:r>
              <w:rPr>
                <w:rFonts w:hint="eastAsia" w:ascii="宋体" w:hAnsi="宋体" w:eastAsia="宋体" w:cs="宋体"/>
                <w:b w:val="0"/>
                <w:bCs w:val="0"/>
                <w:color w:val="auto"/>
                <w:spacing w:val="10"/>
                <w:sz w:val="24"/>
                <w:szCs w:val="24"/>
                <w:highlight w:val="none"/>
                <w:lang w:eastAsia="zh-CN"/>
              </w:rPr>
              <w:t>压缩式垃圾车</w:t>
            </w:r>
          </w:p>
        </w:tc>
        <w:tc>
          <w:tcPr>
            <w:tcW w:w="900" w:type="dxa"/>
            <w:noWrap w:val="0"/>
            <w:vAlign w:val="center"/>
          </w:tcPr>
          <w:p w14:paraId="2FCCE209">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kern w:val="2"/>
                <w:sz w:val="24"/>
                <w:szCs w:val="24"/>
                <w:highlight w:val="none"/>
                <w:lang w:val="en-US" w:eastAsia="zh-CN" w:bidi="ar-SA"/>
              </w:rPr>
            </w:pPr>
            <w:r>
              <w:rPr>
                <w:rFonts w:hint="eastAsia" w:ascii="宋体" w:hAnsi="宋体" w:eastAsia="宋体" w:cs="宋体"/>
                <w:b w:val="0"/>
                <w:bCs w:val="0"/>
                <w:color w:val="auto"/>
                <w:spacing w:val="10"/>
                <w:sz w:val="24"/>
                <w:szCs w:val="24"/>
                <w:highlight w:val="none"/>
                <w:lang w:val="en-US" w:eastAsia="zh-CN"/>
              </w:rPr>
              <w:t>2</w:t>
            </w:r>
            <w:r>
              <w:rPr>
                <w:rFonts w:hint="eastAsia" w:ascii="宋体" w:hAnsi="宋体" w:eastAsia="宋体" w:cs="宋体"/>
                <w:b w:val="0"/>
                <w:bCs w:val="0"/>
                <w:color w:val="auto"/>
                <w:spacing w:val="10"/>
                <w:sz w:val="24"/>
                <w:szCs w:val="24"/>
                <w:highlight w:val="none"/>
              </w:rPr>
              <w:t>辆</w:t>
            </w:r>
          </w:p>
        </w:tc>
        <w:tc>
          <w:tcPr>
            <w:tcW w:w="2395" w:type="dxa"/>
            <w:noWrap w:val="0"/>
            <w:vAlign w:val="center"/>
          </w:tcPr>
          <w:p w14:paraId="184DC25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eastAsia="zh-CN"/>
              </w:rPr>
              <w:t>核定载质量</w:t>
            </w:r>
            <w:r>
              <w:rPr>
                <w:rFonts w:hint="eastAsia" w:ascii="宋体" w:hAnsi="宋体" w:eastAsia="宋体" w:cs="宋体"/>
                <w:b w:val="0"/>
                <w:bCs w:val="0"/>
                <w:color w:val="auto"/>
                <w:spacing w:val="10"/>
                <w:sz w:val="24"/>
                <w:szCs w:val="24"/>
                <w:highlight w:val="none"/>
              </w:rPr>
              <w:t>≥</w:t>
            </w:r>
            <w:r>
              <w:rPr>
                <w:rFonts w:hint="eastAsia" w:ascii="宋体" w:hAnsi="宋体" w:eastAsia="宋体" w:cs="宋体"/>
                <w:b w:val="0"/>
                <w:bCs w:val="0"/>
                <w:color w:val="auto"/>
                <w:spacing w:val="10"/>
                <w:sz w:val="24"/>
                <w:szCs w:val="24"/>
                <w:highlight w:val="none"/>
                <w:lang w:val="en-US" w:eastAsia="zh-CN"/>
              </w:rPr>
              <w:t>5</w:t>
            </w:r>
            <w:r>
              <w:rPr>
                <w:rFonts w:hint="eastAsia" w:ascii="宋体" w:hAnsi="宋体" w:eastAsia="宋体" w:cs="宋体"/>
                <w:b w:val="0"/>
                <w:bCs w:val="0"/>
                <w:color w:val="auto"/>
                <w:spacing w:val="10"/>
                <w:sz w:val="24"/>
                <w:szCs w:val="24"/>
                <w:highlight w:val="none"/>
              </w:rPr>
              <w:t>吨</w:t>
            </w:r>
          </w:p>
        </w:tc>
        <w:tc>
          <w:tcPr>
            <w:tcW w:w="2762" w:type="dxa"/>
            <w:vMerge w:val="continue"/>
            <w:noWrap w:val="0"/>
            <w:vAlign w:val="center"/>
          </w:tcPr>
          <w:p w14:paraId="53DE57AB">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both"/>
              <w:textAlignment w:val="auto"/>
              <w:rPr>
                <w:rFonts w:hint="eastAsia" w:ascii="宋体" w:hAnsi="宋体" w:eastAsia="宋体" w:cs="宋体"/>
                <w:b w:val="0"/>
                <w:bCs w:val="0"/>
                <w:color w:val="auto"/>
                <w:spacing w:val="10"/>
                <w:kern w:val="2"/>
                <w:sz w:val="24"/>
                <w:szCs w:val="24"/>
                <w:highlight w:val="none"/>
                <w:lang w:val="en-US" w:eastAsia="zh-CN" w:bidi="ar-SA"/>
              </w:rPr>
            </w:pPr>
          </w:p>
        </w:tc>
      </w:tr>
      <w:tr w14:paraId="483451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789" w:type="dxa"/>
            <w:noWrap w:val="0"/>
            <w:vAlign w:val="center"/>
          </w:tcPr>
          <w:p w14:paraId="1AF73DC8">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1764" w:type="dxa"/>
            <w:noWrap w:val="0"/>
            <w:vAlign w:val="center"/>
          </w:tcPr>
          <w:p w14:paraId="5D7A637E">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b w:val="0"/>
                <w:bCs w:val="0"/>
                <w:color w:val="auto"/>
                <w:spacing w:val="10"/>
                <w:sz w:val="24"/>
                <w:szCs w:val="24"/>
                <w:highlight w:val="none"/>
                <w:lang w:val="en-US" w:eastAsia="zh-CN"/>
              </w:rPr>
              <w:t>清洗车</w:t>
            </w:r>
          </w:p>
        </w:tc>
        <w:tc>
          <w:tcPr>
            <w:tcW w:w="900" w:type="dxa"/>
            <w:noWrap w:val="0"/>
            <w:vAlign w:val="center"/>
          </w:tcPr>
          <w:p w14:paraId="14E9F63B">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lang w:val="en-US" w:eastAsia="zh-CN"/>
              </w:rPr>
              <w:t>1</w:t>
            </w:r>
            <w:r>
              <w:rPr>
                <w:rFonts w:hint="eastAsia" w:ascii="宋体" w:hAnsi="宋体" w:eastAsia="宋体" w:cs="宋体"/>
                <w:b w:val="0"/>
                <w:bCs w:val="0"/>
                <w:color w:val="auto"/>
                <w:spacing w:val="10"/>
                <w:sz w:val="24"/>
                <w:szCs w:val="24"/>
                <w:highlight w:val="none"/>
              </w:rPr>
              <w:t>辆</w:t>
            </w:r>
          </w:p>
        </w:tc>
        <w:tc>
          <w:tcPr>
            <w:tcW w:w="2395" w:type="dxa"/>
            <w:noWrap w:val="0"/>
            <w:vAlign w:val="center"/>
          </w:tcPr>
          <w:p w14:paraId="14F3BC92">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路面养护车或高压冲洗车</w:t>
            </w:r>
          </w:p>
        </w:tc>
        <w:tc>
          <w:tcPr>
            <w:tcW w:w="2762" w:type="dxa"/>
            <w:vMerge w:val="continue"/>
            <w:noWrap w:val="0"/>
            <w:vAlign w:val="center"/>
          </w:tcPr>
          <w:p w14:paraId="685C4E52">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both"/>
              <w:textAlignment w:val="auto"/>
              <w:rPr>
                <w:rFonts w:hint="eastAsia" w:ascii="宋体" w:hAnsi="宋体" w:eastAsia="宋体" w:cs="宋体"/>
                <w:b w:val="0"/>
                <w:bCs w:val="0"/>
                <w:color w:val="auto"/>
                <w:spacing w:val="10"/>
                <w:sz w:val="24"/>
                <w:szCs w:val="24"/>
                <w:highlight w:val="none"/>
              </w:rPr>
            </w:pPr>
          </w:p>
        </w:tc>
      </w:tr>
      <w:tr w14:paraId="1BD5C9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789" w:type="dxa"/>
            <w:noWrap w:val="0"/>
            <w:vAlign w:val="center"/>
          </w:tcPr>
          <w:p w14:paraId="498D656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4</w:t>
            </w:r>
          </w:p>
        </w:tc>
        <w:tc>
          <w:tcPr>
            <w:tcW w:w="1764" w:type="dxa"/>
            <w:noWrap w:val="0"/>
            <w:vAlign w:val="center"/>
          </w:tcPr>
          <w:p w14:paraId="63522ABB">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eastAsia="zh-CN"/>
              </w:rPr>
            </w:pPr>
            <w:r>
              <w:rPr>
                <w:rFonts w:hint="eastAsia" w:ascii="宋体" w:hAnsi="宋体" w:eastAsia="宋体" w:cs="宋体"/>
                <w:b w:val="0"/>
                <w:bCs w:val="0"/>
                <w:color w:val="auto"/>
                <w:spacing w:val="10"/>
                <w:sz w:val="24"/>
                <w:szCs w:val="24"/>
                <w:highlight w:val="none"/>
              </w:rPr>
              <w:t>洗扫车</w:t>
            </w:r>
          </w:p>
        </w:tc>
        <w:tc>
          <w:tcPr>
            <w:tcW w:w="900" w:type="dxa"/>
            <w:noWrap w:val="0"/>
            <w:vAlign w:val="center"/>
          </w:tcPr>
          <w:p w14:paraId="2F030773">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lang w:val="en-US" w:eastAsia="zh-CN"/>
              </w:rPr>
              <w:t>1</w:t>
            </w:r>
            <w:r>
              <w:rPr>
                <w:rFonts w:hint="eastAsia" w:ascii="宋体" w:hAnsi="宋体" w:eastAsia="宋体" w:cs="宋体"/>
                <w:b w:val="0"/>
                <w:bCs w:val="0"/>
                <w:color w:val="auto"/>
                <w:spacing w:val="10"/>
                <w:sz w:val="24"/>
                <w:szCs w:val="24"/>
                <w:highlight w:val="none"/>
              </w:rPr>
              <w:t xml:space="preserve"> 辆</w:t>
            </w:r>
          </w:p>
        </w:tc>
        <w:tc>
          <w:tcPr>
            <w:tcW w:w="2395" w:type="dxa"/>
            <w:noWrap w:val="0"/>
            <w:vAlign w:val="center"/>
          </w:tcPr>
          <w:p w14:paraId="17D7A3B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eastAsia="zh-CN"/>
              </w:rPr>
              <w:t>总质量</w:t>
            </w:r>
            <w:r>
              <w:rPr>
                <w:rFonts w:hint="eastAsia" w:ascii="宋体" w:hAnsi="宋体" w:eastAsia="宋体" w:cs="宋体"/>
                <w:b w:val="0"/>
                <w:bCs w:val="0"/>
                <w:color w:val="auto"/>
                <w:spacing w:val="10"/>
                <w:sz w:val="24"/>
                <w:szCs w:val="24"/>
                <w:highlight w:val="none"/>
              </w:rPr>
              <w:t>≥</w:t>
            </w:r>
            <w:r>
              <w:rPr>
                <w:rFonts w:hint="eastAsia" w:ascii="宋体" w:hAnsi="宋体" w:eastAsia="宋体" w:cs="宋体"/>
                <w:b w:val="0"/>
                <w:bCs w:val="0"/>
                <w:color w:val="auto"/>
                <w:spacing w:val="10"/>
                <w:sz w:val="24"/>
                <w:szCs w:val="24"/>
                <w:highlight w:val="none"/>
                <w:lang w:val="en-US" w:eastAsia="zh-CN"/>
              </w:rPr>
              <w:t>18</w:t>
            </w:r>
            <w:r>
              <w:rPr>
                <w:rFonts w:hint="eastAsia" w:ascii="宋体" w:hAnsi="宋体" w:eastAsia="宋体" w:cs="宋体"/>
                <w:b w:val="0"/>
                <w:bCs w:val="0"/>
                <w:color w:val="auto"/>
                <w:spacing w:val="10"/>
                <w:sz w:val="24"/>
                <w:szCs w:val="24"/>
                <w:highlight w:val="none"/>
              </w:rPr>
              <w:t>吨</w:t>
            </w:r>
          </w:p>
        </w:tc>
        <w:tc>
          <w:tcPr>
            <w:tcW w:w="2762" w:type="dxa"/>
            <w:vMerge w:val="continue"/>
            <w:noWrap w:val="0"/>
            <w:vAlign w:val="center"/>
          </w:tcPr>
          <w:p w14:paraId="7ADF517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both"/>
              <w:textAlignment w:val="auto"/>
              <w:rPr>
                <w:rFonts w:hint="eastAsia" w:ascii="宋体" w:hAnsi="宋体" w:eastAsia="宋体" w:cs="宋体"/>
                <w:b w:val="0"/>
                <w:bCs w:val="0"/>
                <w:color w:val="auto"/>
                <w:spacing w:val="10"/>
                <w:kern w:val="2"/>
                <w:sz w:val="24"/>
                <w:szCs w:val="24"/>
                <w:highlight w:val="none"/>
                <w:lang w:val="en-US" w:eastAsia="zh-CN" w:bidi="ar-SA"/>
              </w:rPr>
            </w:pPr>
          </w:p>
        </w:tc>
      </w:tr>
      <w:tr w14:paraId="50FB27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789" w:type="dxa"/>
            <w:noWrap w:val="0"/>
            <w:vAlign w:val="center"/>
          </w:tcPr>
          <w:p w14:paraId="2B76BAE6">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5</w:t>
            </w:r>
          </w:p>
        </w:tc>
        <w:tc>
          <w:tcPr>
            <w:tcW w:w="1764" w:type="dxa"/>
            <w:shd w:val="clear" w:color="auto" w:fill="auto"/>
            <w:noWrap w:val="0"/>
            <w:vAlign w:val="center"/>
          </w:tcPr>
          <w:p w14:paraId="285F31C8">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sz w:val="24"/>
                <w:szCs w:val="24"/>
                <w:highlight w:val="none"/>
                <w:lang w:val="en-US" w:eastAsia="en-US" w:bidi="ar-SA"/>
              </w:rPr>
            </w:pPr>
            <w:r>
              <w:rPr>
                <w:rFonts w:hint="eastAsia" w:ascii="宋体" w:hAnsi="宋体" w:eastAsia="宋体" w:cs="宋体"/>
                <w:b w:val="0"/>
                <w:bCs w:val="0"/>
                <w:color w:val="auto"/>
                <w:spacing w:val="10"/>
                <w:sz w:val="24"/>
                <w:szCs w:val="24"/>
                <w:highlight w:val="none"/>
              </w:rPr>
              <w:t>16米登高车</w:t>
            </w:r>
          </w:p>
        </w:tc>
        <w:tc>
          <w:tcPr>
            <w:tcW w:w="900" w:type="dxa"/>
            <w:shd w:val="clear" w:color="auto" w:fill="auto"/>
            <w:noWrap w:val="0"/>
            <w:vAlign w:val="center"/>
          </w:tcPr>
          <w:p w14:paraId="4BF9B60A">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sz w:val="24"/>
                <w:szCs w:val="24"/>
                <w:highlight w:val="none"/>
                <w:lang w:val="en-US" w:eastAsia="zh-CN" w:bidi="ar-SA"/>
              </w:rPr>
            </w:pPr>
            <w:r>
              <w:rPr>
                <w:rFonts w:hint="eastAsia" w:ascii="宋体" w:hAnsi="宋体" w:eastAsia="宋体" w:cs="宋体"/>
                <w:b w:val="0"/>
                <w:bCs w:val="0"/>
                <w:color w:val="auto"/>
                <w:spacing w:val="10"/>
                <w:sz w:val="24"/>
                <w:szCs w:val="24"/>
                <w:highlight w:val="none"/>
              </w:rPr>
              <w:t>1台</w:t>
            </w:r>
          </w:p>
        </w:tc>
        <w:tc>
          <w:tcPr>
            <w:tcW w:w="2395" w:type="dxa"/>
            <w:noWrap w:val="0"/>
            <w:vAlign w:val="center"/>
          </w:tcPr>
          <w:p w14:paraId="2229CF68">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w:t>
            </w:r>
          </w:p>
        </w:tc>
        <w:tc>
          <w:tcPr>
            <w:tcW w:w="2762" w:type="dxa"/>
            <w:vMerge w:val="continue"/>
            <w:noWrap w:val="0"/>
            <w:vAlign w:val="center"/>
          </w:tcPr>
          <w:p w14:paraId="717B830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both"/>
              <w:textAlignment w:val="auto"/>
              <w:rPr>
                <w:rFonts w:hint="eastAsia" w:ascii="宋体" w:hAnsi="宋体" w:eastAsia="宋体" w:cs="宋体"/>
                <w:b w:val="0"/>
                <w:bCs w:val="0"/>
                <w:color w:val="auto"/>
                <w:spacing w:val="10"/>
                <w:kern w:val="2"/>
                <w:sz w:val="24"/>
                <w:szCs w:val="24"/>
                <w:highlight w:val="none"/>
                <w:lang w:val="en-US" w:eastAsia="zh-CN" w:bidi="ar-SA"/>
              </w:rPr>
            </w:pPr>
          </w:p>
        </w:tc>
      </w:tr>
      <w:tr w14:paraId="633793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789" w:type="dxa"/>
            <w:noWrap w:val="0"/>
            <w:vAlign w:val="center"/>
          </w:tcPr>
          <w:p w14:paraId="48C1CF2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6</w:t>
            </w:r>
          </w:p>
        </w:tc>
        <w:tc>
          <w:tcPr>
            <w:tcW w:w="1764" w:type="dxa"/>
            <w:shd w:val="clear" w:color="auto" w:fill="auto"/>
            <w:noWrap w:val="0"/>
            <w:vAlign w:val="center"/>
          </w:tcPr>
          <w:p w14:paraId="6492FF2E">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kern w:val="2"/>
                <w:sz w:val="24"/>
                <w:szCs w:val="24"/>
                <w:highlight w:val="none"/>
                <w:lang w:val="en-US" w:eastAsia="zh-CN" w:bidi="ar-SA"/>
              </w:rPr>
            </w:pPr>
            <w:r>
              <w:rPr>
                <w:rFonts w:hint="eastAsia" w:ascii="宋体" w:hAnsi="宋体" w:eastAsia="宋体" w:cs="宋体"/>
                <w:b w:val="0"/>
                <w:bCs w:val="0"/>
                <w:color w:val="auto"/>
                <w:spacing w:val="10"/>
                <w:kern w:val="2"/>
                <w:sz w:val="24"/>
                <w:szCs w:val="24"/>
                <w:highlight w:val="none"/>
                <w:lang w:val="en-US" w:eastAsia="zh-CN" w:bidi="ar-SA"/>
              </w:rPr>
              <w:t>工具车</w:t>
            </w:r>
          </w:p>
        </w:tc>
        <w:tc>
          <w:tcPr>
            <w:tcW w:w="900" w:type="dxa"/>
            <w:shd w:val="clear" w:color="auto" w:fill="auto"/>
            <w:noWrap w:val="0"/>
            <w:vAlign w:val="center"/>
          </w:tcPr>
          <w:p w14:paraId="6DAF95FE">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kern w:val="2"/>
                <w:sz w:val="24"/>
                <w:szCs w:val="24"/>
                <w:highlight w:val="none"/>
                <w:lang w:val="en-US" w:eastAsia="zh-CN" w:bidi="ar-SA"/>
              </w:rPr>
            </w:pPr>
            <w:r>
              <w:rPr>
                <w:rFonts w:hint="eastAsia" w:ascii="宋体" w:hAnsi="宋体" w:eastAsia="宋体" w:cs="宋体"/>
                <w:b w:val="0"/>
                <w:bCs w:val="0"/>
                <w:color w:val="auto"/>
                <w:spacing w:val="10"/>
                <w:sz w:val="24"/>
                <w:szCs w:val="24"/>
                <w:highlight w:val="none"/>
              </w:rPr>
              <w:t>1台</w:t>
            </w:r>
          </w:p>
        </w:tc>
        <w:tc>
          <w:tcPr>
            <w:tcW w:w="2395" w:type="dxa"/>
            <w:noWrap w:val="0"/>
            <w:vAlign w:val="center"/>
          </w:tcPr>
          <w:p w14:paraId="204A3805">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皮卡车或轻型货车</w:t>
            </w:r>
          </w:p>
        </w:tc>
        <w:tc>
          <w:tcPr>
            <w:tcW w:w="2762" w:type="dxa"/>
            <w:vMerge w:val="continue"/>
            <w:noWrap w:val="0"/>
            <w:vAlign w:val="center"/>
          </w:tcPr>
          <w:p w14:paraId="7A618876">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both"/>
              <w:textAlignment w:val="auto"/>
              <w:rPr>
                <w:rFonts w:hint="eastAsia" w:ascii="宋体" w:hAnsi="宋体" w:eastAsia="宋体" w:cs="宋体"/>
                <w:b w:val="0"/>
                <w:bCs w:val="0"/>
                <w:color w:val="auto"/>
                <w:spacing w:val="10"/>
                <w:kern w:val="2"/>
                <w:sz w:val="24"/>
                <w:szCs w:val="24"/>
                <w:highlight w:val="none"/>
                <w:lang w:val="en-US" w:eastAsia="zh-CN" w:bidi="ar-SA"/>
              </w:rPr>
            </w:pPr>
          </w:p>
        </w:tc>
      </w:tr>
      <w:tr w14:paraId="0F6252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789" w:type="dxa"/>
            <w:noWrap w:val="0"/>
            <w:vAlign w:val="center"/>
          </w:tcPr>
          <w:p w14:paraId="4827CD73">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7</w:t>
            </w:r>
          </w:p>
        </w:tc>
        <w:tc>
          <w:tcPr>
            <w:tcW w:w="1764" w:type="dxa"/>
            <w:shd w:val="clear" w:color="auto" w:fill="auto"/>
            <w:noWrap w:val="0"/>
            <w:vAlign w:val="center"/>
          </w:tcPr>
          <w:p w14:paraId="48F4337D">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巡查车</w:t>
            </w:r>
          </w:p>
        </w:tc>
        <w:tc>
          <w:tcPr>
            <w:tcW w:w="900" w:type="dxa"/>
            <w:shd w:val="clear" w:color="auto" w:fill="auto"/>
            <w:noWrap w:val="0"/>
            <w:vAlign w:val="center"/>
          </w:tcPr>
          <w:p w14:paraId="148B8A29">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sz w:val="24"/>
                <w:szCs w:val="24"/>
                <w:highlight w:val="none"/>
                <w:lang w:val="en-US" w:eastAsia="zh-CN" w:bidi="ar-SA"/>
              </w:rPr>
            </w:pPr>
            <w:r>
              <w:rPr>
                <w:rFonts w:hint="eastAsia" w:ascii="宋体" w:hAnsi="宋体" w:eastAsia="宋体" w:cs="宋体"/>
                <w:b w:val="0"/>
                <w:bCs w:val="0"/>
                <w:color w:val="auto"/>
                <w:spacing w:val="10"/>
                <w:sz w:val="24"/>
                <w:szCs w:val="24"/>
                <w:highlight w:val="none"/>
              </w:rPr>
              <w:t>1台</w:t>
            </w:r>
          </w:p>
        </w:tc>
        <w:tc>
          <w:tcPr>
            <w:tcW w:w="2395" w:type="dxa"/>
            <w:noWrap w:val="0"/>
            <w:vAlign w:val="center"/>
          </w:tcPr>
          <w:p w14:paraId="1F970A22">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皮卡车或小汽车</w:t>
            </w:r>
          </w:p>
        </w:tc>
        <w:tc>
          <w:tcPr>
            <w:tcW w:w="2762" w:type="dxa"/>
            <w:vMerge w:val="continue"/>
            <w:noWrap w:val="0"/>
            <w:vAlign w:val="center"/>
          </w:tcPr>
          <w:p w14:paraId="13FF5F68">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both"/>
              <w:textAlignment w:val="auto"/>
              <w:rPr>
                <w:rFonts w:hint="eastAsia" w:ascii="宋体" w:hAnsi="宋体" w:eastAsia="宋体" w:cs="宋体"/>
                <w:b w:val="0"/>
                <w:bCs w:val="0"/>
                <w:color w:val="auto"/>
                <w:spacing w:val="10"/>
                <w:kern w:val="2"/>
                <w:sz w:val="24"/>
                <w:szCs w:val="24"/>
                <w:highlight w:val="none"/>
                <w:lang w:val="en-US" w:eastAsia="zh-CN" w:bidi="ar-SA"/>
              </w:rPr>
            </w:pPr>
          </w:p>
        </w:tc>
      </w:tr>
      <w:tr w14:paraId="394B40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19D522E6">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8</w:t>
            </w:r>
          </w:p>
        </w:tc>
        <w:tc>
          <w:tcPr>
            <w:tcW w:w="1764" w:type="dxa"/>
            <w:noWrap w:val="0"/>
            <w:vAlign w:val="center"/>
          </w:tcPr>
          <w:p w14:paraId="1280D75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rPr>
              <w:t>草坪修剪机</w:t>
            </w:r>
          </w:p>
        </w:tc>
        <w:tc>
          <w:tcPr>
            <w:tcW w:w="900" w:type="dxa"/>
            <w:noWrap w:val="0"/>
            <w:vAlign w:val="center"/>
          </w:tcPr>
          <w:p w14:paraId="02744A03">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lang w:val="en-US" w:eastAsia="zh-CN"/>
              </w:rPr>
              <w:t>1</w:t>
            </w:r>
            <w:r>
              <w:rPr>
                <w:rFonts w:hint="eastAsia" w:ascii="宋体" w:hAnsi="宋体" w:eastAsia="宋体" w:cs="宋体"/>
                <w:b w:val="0"/>
                <w:bCs w:val="0"/>
                <w:color w:val="auto"/>
                <w:spacing w:val="10"/>
                <w:sz w:val="24"/>
                <w:szCs w:val="24"/>
                <w:highlight w:val="none"/>
              </w:rPr>
              <w:t>台</w:t>
            </w:r>
          </w:p>
        </w:tc>
        <w:tc>
          <w:tcPr>
            <w:tcW w:w="2395" w:type="dxa"/>
            <w:noWrap w:val="0"/>
            <w:vAlign w:val="center"/>
          </w:tcPr>
          <w:p w14:paraId="5F3BBCC5">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default"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w:t>
            </w:r>
          </w:p>
        </w:tc>
        <w:tc>
          <w:tcPr>
            <w:tcW w:w="2762" w:type="dxa"/>
            <w:vMerge w:val="restart"/>
            <w:noWrap w:val="0"/>
            <w:vAlign w:val="center"/>
          </w:tcPr>
          <w:p w14:paraId="4EC34875">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both"/>
              <w:textAlignment w:val="auto"/>
              <w:rPr>
                <w:rFonts w:hint="eastAsia" w:ascii="宋体" w:hAnsi="宋体" w:eastAsia="宋体" w:cs="宋体"/>
                <w:b w:val="0"/>
                <w:bCs w:val="0"/>
                <w:color w:val="auto"/>
                <w:spacing w:val="10"/>
                <w:sz w:val="24"/>
                <w:szCs w:val="24"/>
                <w:highlight w:val="none"/>
                <w:lang w:eastAsia="zh-CN"/>
              </w:rPr>
            </w:pPr>
            <w:r>
              <w:rPr>
                <w:rFonts w:hint="eastAsia" w:ascii="宋体" w:hAnsi="宋体" w:eastAsia="宋体" w:cs="宋体"/>
                <w:b/>
                <w:bCs/>
                <w:color w:val="auto"/>
                <w:sz w:val="24"/>
                <w:szCs w:val="24"/>
                <w:highlight w:val="none"/>
                <w:lang w:val="en-US" w:eastAsia="zh-CN"/>
              </w:rPr>
              <w:t>设备为投标人自有的，须提供相关购置发票为依据）；设备为投标人租赁的，须提供租赁合同（合同剩余租赁期应自投标截止之日起大于6个月）为依据。</w:t>
            </w:r>
            <w:r>
              <w:rPr>
                <w:rFonts w:hint="eastAsia" w:ascii="宋体" w:hAnsi="宋体" w:eastAsia="宋体" w:cs="宋体"/>
                <w:color w:val="auto"/>
                <w:spacing w:val="-1"/>
                <w:sz w:val="24"/>
                <w:szCs w:val="24"/>
                <w:highlight w:val="none"/>
                <w:lang w:val="en-US" w:eastAsia="zh-CN"/>
              </w:rPr>
              <w:t>【</w:t>
            </w:r>
            <w:r>
              <w:rPr>
                <w:rFonts w:hint="eastAsia" w:ascii="宋体" w:hAnsi="宋体" w:eastAsia="宋体" w:cs="宋体"/>
                <w:b/>
                <w:bCs/>
                <w:color w:val="auto"/>
                <w:spacing w:val="-1"/>
                <w:sz w:val="24"/>
                <w:szCs w:val="24"/>
                <w:highlight w:val="none"/>
                <w:lang w:val="en-US" w:eastAsia="zh-CN"/>
              </w:rPr>
              <w:t>注：</w:t>
            </w:r>
            <w:r>
              <w:rPr>
                <w:rFonts w:hint="eastAsia" w:ascii="宋体" w:hAnsi="宋体" w:eastAsia="宋体" w:cs="宋体"/>
                <w:b/>
                <w:bCs/>
                <w:color w:val="auto"/>
                <w:sz w:val="24"/>
                <w:szCs w:val="24"/>
                <w:highlight w:val="none"/>
              </w:rPr>
              <w:t>未提供或</w:t>
            </w:r>
            <w:r>
              <w:rPr>
                <w:rFonts w:hint="eastAsia" w:ascii="宋体" w:hAnsi="宋体" w:eastAsia="宋体" w:cs="宋体"/>
                <w:b/>
                <w:bCs/>
                <w:color w:val="auto"/>
                <w:sz w:val="24"/>
                <w:szCs w:val="24"/>
                <w:highlight w:val="none"/>
                <w:lang w:val="en-US" w:eastAsia="zh-CN"/>
              </w:rPr>
              <w:t>提供</w:t>
            </w:r>
            <w:r>
              <w:rPr>
                <w:rFonts w:hint="eastAsia" w:ascii="宋体" w:hAnsi="宋体" w:eastAsia="宋体" w:cs="宋体"/>
                <w:b/>
                <w:bCs/>
                <w:color w:val="auto"/>
                <w:sz w:val="24"/>
                <w:szCs w:val="24"/>
                <w:highlight w:val="none"/>
              </w:rPr>
              <w:t>不符合</w:t>
            </w:r>
            <w:r>
              <w:rPr>
                <w:rFonts w:hint="eastAsia" w:ascii="宋体" w:hAnsi="宋体" w:eastAsia="宋体" w:cs="宋体"/>
                <w:b/>
                <w:bCs/>
                <w:color w:val="auto"/>
                <w:sz w:val="24"/>
                <w:szCs w:val="24"/>
                <w:highlight w:val="none"/>
                <w:lang w:eastAsia="zh-CN"/>
              </w:rPr>
              <w:t>要求视为无效响应</w:t>
            </w:r>
            <w:r>
              <w:rPr>
                <w:rFonts w:hint="eastAsia" w:ascii="宋体" w:hAnsi="宋体" w:eastAsia="宋体" w:cs="宋体"/>
                <w:b/>
                <w:bCs/>
                <w:color w:val="auto"/>
                <w:sz w:val="24"/>
                <w:szCs w:val="24"/>
                <w:highlight w:val="none"/>
              </w:rPr>
              <w:t xml:space="preserve"> 。</w:t>
            </w:r>
            <w:r>
              <w:rPr>
                <w:rFonts w:hint="eastAsia" w:ascii="宋体" w:hAnsi="宋体" w:eastAsia="宋体" w:cs="宋体"/>
                <w:color w:val="auto"/>
                <w:spacing w:val="-1"/>
                <w:sz w:val="24"/>
                <w:szCs w:val="24"/>
                <w:highlight w:val="none"/>
                <w:lang w:val="en-US" w:eastAsia="zh-CN"/>
              </w:rPr>
              <w:t>】</w:t>
            </w:r>
          </w:p>
        </w:tc>
      </w:tr>
      <w:tr w14:paraId="6DBF6A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75E6F3E7">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9</w:t>
            </w:r>
          </w:p>
        </w:tc>
        <w:tc>
          <w:tcPr>
            <w:tcW w:w="1764" w:type="dxa"/>
            <w:noWrap w:val="0"/>
            <w:vAlign w:val="center"/>
          </w:tcPr>
          <w:p w14:paraId="51DE74A3">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rPr>
              <w:t>绿篱机</w:t>
            </w:r>
          </w:p>
        </w:tc>
        <w:tc>
          <w:tcPr>
            <w:tcW w:w="900" w:type="dxa"/>
            <w:noWrap w:val="0"/>
            <w:vAlign w:val="center"/>
          </w:tcPr>
          <w:p w14:paraId="1B518507">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lang w:val="en-US" w:eastAsia="zh-CN"/>
              </w:rPr>
              <w:t>1</w:t>
            </w:r>
            <w:r>
              <w:rPr>
                <w:rFonts w:hint="eastAsia" w:ascii="宋体" w:hAnsi="宋体" w:eastAsia="宋体" w:cs="宋体"/>
                <w:b w:val="0"/>
                <w:bCs w:val="0"/>
                <w:color w:val="auto"/>
                <w:spacing w:val="10"/>
                <w:sz w:val="24"/>
                <w:szCs w:val="24"/>
                <w:highlight w:val="none"/>
              </w:rPr>
              <w:t>台</w:t>
            </w:r>
          </w:p>
        </w:tc>
        <w:tc>
          <w:tcPr>
            <w:tcW w:w="2395" w:type="dxa"/>
            <w:noWrap w:val="0"/>
            <w:vAlign w:val="center"/>
          </w:tcPr>
          <w:p w14:paraId="10844A2E">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default"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w:t>
            </w:r>
          </w:p>
        </w:tc>
        <w:tc>
          <w:tcPr>
            <w:tcW w:w="2762" w:type="dxa"/>
            <w:vMerge w:val="continue"/>
            <w:noWrap w:val="0"/>
            <w:vAlign w:val="center"/>
          </w:tcPr>
          <w:p w14:paraId="0429D5C4">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p>
        </w:tc>
      </w:tr>
      <w:tr w14:paraId="0EEE05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38B57B00">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10</w:t>
            </w:r>
          </w:p>
        </w:tc>
        <w:tc>
          <w:tcPr>
            <w:tcW w:w="1764" w:type="dxa"/>
            <w:noWrap w:val="0"/>
            <w:vAlign w:val="center"/>
          </w:tcPr>
          <w:p w14:paraId="0907E6E0">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rPr>
              <w:t>油锯</w:t>
            </w:r>
          </w:p>
        </w:tc>
        <w:tc>
          <w:tcPr>
            <w:tcW w:w="900" w:type="dxa"/>
            <w:noWrap w:val="0"/>
            <w:vAlign w:val="center"/>
          </w:tcPr>
          <w:p w14:paraId="3AF9FBE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w:t>
            </w:r>
            <w:r>
              <w:rPr>
                <w:rFonts w:hint="eastAsia" w:ascii="宋体" w:hAnsi="宋体" w:eastAsia="宋体" w:cs="宋体"/>
                <w:b w:val="0"/>
                <w:bCs w:val="0"/>
                <w:color w:val="auto"/>
                <w:spacing w:val="10"/>
                <w:sz w:val="24"/>
                <w:szCs w:val="24"/>
                <w:highlight w:val="none"/>
              </w:rPr>
              <w:t>台</w:t>
            </w:r>
          </w:p>
        </w:tc>
        <w:tc>
          <w:tcPr>
            <w:tcW w:w="2395" w:type="dxa"/>
            <w:noWrap w:val="0"/>
            <w:vAlign w:val="center"/>
          </w:tcPr>
          <w:p w14:paraId="2EDB36A5">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default"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w:t>
            </w:r>
          </w:p>
        </w:tc>
        <w:tc>
          <w:tcPr>
            <w:tcW w:w="2762" w:type="dxa"/>
            <w:vMerge w:val="continue"/>
            <w:noWrap w:val="0"/>
            <w:vAlign w:val="center"/>
          </w:tcPr>
          <w:p w14:paraId="35BAF4DF">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p>
        </w:tc>
      </w:tr>
      <w:tr w14:paraId="293FA6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4DD452A1">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11</w:t>
            </w:r>
          </w:p>
        </w:tc>
        <w:tc>
          <w:tcPr>
            <w:tcW w:w="1764" w:type="dxa"/>
            <w:noWrap w:val="0"/>
            <w:vAlign w:val="center"/>
          </w:tcPr>
          <w:p w14:paraId="0B6FA8C7">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rPr>
              <w:t>修草机</w:t>
            </w:r>
          </w:p>
        </w:tc>
        <w:tc>
          <w:tcPr>
            <w:tcW w:w="900" w:type="dxa"/>
            <w:noWrap w:val="0"/>
            <w:vAlign w:val="center"/>
          </w:tcPr>
          <w:p w14:paraId="11BEA973">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2</w:t>
            </w:r>
            <w:r>
              <w:rPr>
                <w:rFonts w:hint="eastAsia" w:ascii="宋体" w:hAnsi="宋体" w:eastAsia="宋体" w:cs="宋体"/>
                <w:b w:val="0"/>
                <w:bCs w:val="0"/>
                <w:color w:val="auto"/>
                <w:spacing w:val="10"/>
                <w:sz w:val="24"/>
                <w:szCs w:val="24"/>
                <w:highlight w:val="none"/>
              </w:rPr>
              <w:t>台</w:t>
            </w:r>
          </w:p>
        </w:tc>
        <w:tc>
          <w:tcPr>
            <w:tcW w:w="2395" w:type="dxa"/>
            <w:noWrap w:val="0"/>
            <w:vAlign w:val="center"/>
          </w:tcPr>
          <w:p w14:paraId="7985CD20">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default"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w:t>
            </w:r>
          </w:p>
        </w:tc>
        <w:tc>
          <w:tcPr>
            <w:tcW w:w="2762" w:type="dxa"/>
            <w:vMerge w:val="continue"/>
            <w:noWrap w:val="0"/>
            <w:vAlign w:val="center"/>
          </w:tcPr>
          <w:p w14:paraId="6EE55DD6">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p>
        </w:tc>
      </w:tr>
      <w:tr w14:paraId="049427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4C744CE2">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12</w:t>
            </w:r>
          </w:p>
        </w:tc>
        <w:tc>
          <w:tcPr>
            <w:tcW w:w="1764" w:type="dxa"/>
            <w:noWrap w:val="0"/>
            <w:vAlign w:val="center"/>
          </w:tcPr>
          <w:p w14:paraId="7347A29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rPr>
              <w:t>割灌机</w:t>
            </w:r>
          </w:p>
        </w:tc>
        <w:tc>
          <w:tcPr>
            <w:tcW w:w="900" w:type="dxa"/>
            <w:noWrap w:val="0"/>
            <w:vAlign w:val="center"/>
          </w:tcPr>
          <w:p w14:paraId="159192E8">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w:t>
            </w:r>
            <w:r>
              <w:rPr>
                <w:rFonts w:hint="eastAsia" w:ascii="宋体" w:hAnsi="宋体" w:eastAsia="宋体" w:cs="宋体"/>
                <w:b w:val="0"/>
                <w:bCs w:val="0"/>
                <w:color w:val="auto"/>
                <w:spacing w:val="10"/>
                <w:sz w:val="24"/>
                <w:szCs w:val="24"/>
                <w:highlight w:val="none"/>
              </w:rPr>
              <w:t>台</w:t>
            </w:r>
          </w:p>
        </w:tc>
        <w:tc>
          <w:tcPr>
            <w:tcW w:w="2395" w:type="dxa"/>
            <w:noWrap w:val="0"/>
            <w:vAlign w:val="center"/>
          </w:tcPr>
          <w:p w14:paraId="110CCB37">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default"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w:t>
            </w:r>
          </w:p>
        </w:tc>
        <w:tc>
          <w:tcPr>
            <w:tcW w:w="2762" w:type="dxa"/>
            <w:vMerge w:val="continue"/>
            <w:noWrap w:val="0"/>
            <w:vAlign w:val="center"/>
          </w:tcPr>
          <w:p w14:paraId="594B5521">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p>
        </w:tc>
      </w:tr>
      <w:tr w14:paraId="3E36E9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3424CF4D">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13</w:t>
            </w:r>
          </w:p>
        </w:tc>
        <w:tc>
          <w:tcPr>
            <w:tcW w:w="1764" w:type="dxa"/>
            <w:noWrap w:val="0"/>
            <w:vAlign w:val="center"/>
          </w:tcPr>
          <w:p w14:paraId="67CCBACE">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rPr>
              <w:t>高枝油锯</w:t>
            </w:r>
          </w:p>
        </w:tc>
        <w:tc>
          <w:tcPr>
            <w:tcW w:w="900" w:type="dxa"/>
            <w:noWrap w:val="0"/>
            <w:vAlign w:val="center"/>
          </w:tcPr>
          <w:p w14:paraId="077FA91F">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2</w:t>
            </w:r>
            <w:r>
              <w:rPr>
                <w:rFonts w:hint="eastAsia" w:ascii="宋体" w:hAnsi="宋体" w:eastAsia="宋体" w:cs="宋体"/>
                <w:b w:val="0"/>
                <w:bCs w:val="0"/>
                <w:color w:val="auto"/>
                <w:spacing w:val="10"/>
                <w:sz w:val="24"/>
                <w:szCs w:val="24"/>
                <w:highlight w:val="none"/>
                <w:lang w:eastAsia="zh-CN"/>
              </w:rPr>
              <w:t>台</w:t>
            </w:r>
          </w:p>
        </w:tc>
        <w:tc>
          <w:tcPr>
            <w:tcW w:w="2395" w:type="dxa"/>
            <w:noWrap w:val="0"/>
            <w:vAlign w:val="center"/>
          </w:tcPr>
          <w:p w14:paraId="2C06C02E">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default"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w:t>
            </w:r>
          </w:p>
        </w:tc>
        <w:tc>
          <w:tcPr>
            <w:tcW w:w="2762" w:type="dxa"/>
            <w:vMerge w:val="continue"/>
            <w:noWrap w:val="0"/>
            <w:vAlign w:val="center"/>
          </w:tcPr>
          <w:p w14:paraId="6E6518BD">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eastAsia="zh-CN"/>
              </w:rPr>
            </w:pPr>
          </w:p>
        </w:tc>
      </w:tr>
      <w:tr w14:paraId="2D2407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73E6C305">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14</w:t>
            </w:r>
          </w:p>
        </w:tc>
        <w:tc>
          <w:tcPr>
            <w:tcW w:w="1764" w:type="dxa"/>
            <w:noWrap w:val="0"/>
            <w:vAlign w:val="center"/>
          </w:tcPr>
          <w:p w14:paraId="11870A6E">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rPr>
            </w:pPr>
            <w:r>
              <w:rPr>
                <w:rFonts w:hint="eastAsia" w:ascii="宋体" w:hAnsi="宋体" w:eastAsia="宋体" w:cs="宋体"/>
                <w:b w:val="0"/>
                <w:bCs w:val="0"/>
                <w:color w:val="auto"/>
                <w:spacing w:val="10"/>
                <w:sz w:val="24"/>
                <w:szCs w:val="24"/>
                <w:highlight w:val="none"/>
              </w:rPr>
              <w:t>打药机</w:t>
            </w:r>
          </w:p>
        </w:tc>
        <w:tc>
          <w:tcPr>
            <w:tcW w:w="900" w:type="dxa"/>
            <w:noWrap w:val="0"/>
            <w:vAlign w:val="center"/>
          </w:tcPr>
          <w:p w14:paraId="0F9964B8">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w:t>
            </w:r>
            <w:r>
              <w:rPr>
                <w:rFonts w:hint="eastAsia" w:ascii="宋体" w:hAnsi="宋体" w:eastAsia="宋体" w:cs="宋体"/>
                <w:b w:val="0"/>
                <w:bCs w:val="0"/>
                <w:color w:val="auto"/>
                <w:spacing w:val="10"/>
                <w:sz w:val="24"/>
                <w:szCs w:val="24"/>
                <w:highlight w:val="none"/>
              </w:rPr>
              <w:t>台</w:t>
            </w:r>
          </w:p>
        </w:tc>
        <w:tc>
          <w:tcPr>
            <w:tcW w:w="2395" w:type="dxa"/>
            <w:noWrap w:val="0"/>
            <w:vAlign w:val="center"/>
          </w:tcPr>
          <w:p w14:paraId="422DEB6A">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default"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w:t>
            </w:r>
          </w:p>
        </w:tc>
        <w:tc>
          <w:tcPr>
            <w:tcW w:w="2762" w:type="dxa"/>
            <w:vMerge w:val="continue"/>
            <w:noWrap w:val="0"/>
            <w:vAlign w:val="center"/>
          </w:tcPr>
          <w:p w14:paraId="6591EE64">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eastAsia="zh-CN"/>
              </w:rPr>
            </w:pPr>
          </w:p>
        </w:tc>
      </w:tr>
      <w:tr w14:paraId="15F87E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5046A0C3">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15</w:t>
            </w:r>
          </w:p>
        </w:tc>
        <w:tc>
          <w:tcPr>
            <w:tcW w:w="1764" w:type="dxa"/>
            <w:shd w:val="clear" w:color="auto" w:fill="auto"/>
            <w:noWrap w:val="0"/>
            <w:vAlign w:val="center"/>
          </w:tcPr>
          <w:p w14:paraId="0823EA96">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sz w:val="24"/>
                <w:szCs w:val="24"/>
                <w:highlight w:val="none"/>
                <w:lang w:val="en-US" w:eastAsia="en-US" w:bidi="ar-SA"/>
              </w:rPr>
            </w:pPr>
            <w:r>
              <w:rPr>
                <w:rFonts w:hint="eastAsia" w:ascii="宋体" w:hAnsi="宋体" w:eastAsia="宋体" w:cs="宋体"/>
                <w:b w:val="0"/>
                <w:bCs w:val="0"/>
                <w:color w:val="auto"/>
                <w:spacing w:val="10"/>
                <w:sz w:val="24"/>
                <w:szCs w:val="24"/>
                <w:highlight w:val="none"/>
              </w:rPr>
              <w:t>检测仪器</w:t>
            </w:r>
          </w:p>
        </w:tc>
        <w:tc>
          <w:tcPr>
            <w:tcW w:w="900" w:type="dxa"/>
            <w:shd w:val="clear" w:color="auto" w:fill="auto"/>
            <w:noWrap w:val="0"/>
            <w:vAlign w:val="center"/>
          </w:tcPr>
          <w:p w14:paraId="21077CDD">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sz w:val="24"/>
                <w:szCs w:val="24"/>
                <w:highlight w:val="none"/>
                <w:lang w:val="en-US" w:eastAsia="zh-CN" w:bidi="ar-SA"/>
              </w:rPr>
            </w:pPr>
            <w:r>
              <w:rPr>
                <w:rFonts w:hint="eastAsia" w:ascii="宋体" w:hAnsi="宋体" w:eastAsia="宋体" w:cs="宋体"/>
                <w:b w:val="0"/>
                <w:bCs w:val="0"/>
                <w:color w:val="auto"/>
                <w:spacing w:val="10"/>
                <w:sz w:val="24"/>
                <w:szCs w:val="24"/>
                <w:highlight w:val="none"/>
                <w:lang w:val="en-US" w:eastAsia="zh-CN"/>
              </w:rPr>
              <w:t>1</w:t>
            </w:r>
            <w:r>
              <w:rPr>
                <w:rFonts w:hint="eastAsia" w:ascii="宋体" w:hAnsi="宋体" w:eastAsia="宋体" w:cs="宋体"/>
                <w:b w:val="0"/>
                <w:bCs w:val="0"/>
                <w:color w:val="auto"/>
                <w:spacing w:val="10"/>
                <w:sz w:val="24"/>
                <w:szCs w:val="24"/>
                <w:highlight w:val="none"/>
                <w:lang w:eastAsia="zh-CN"/>
              </w:rPr>
              <w:t>套</w:t>
            </w:r>
          </w:p>
        </w:tc>
        <w:tc>
          <w:tcPr>
            <w:tcW w:w="2395" w:type="dxa"/>
            <w:noWrap w:val="0"/>
            <w:vAlign w:val="center"/>
          </w:tcPr>
          <w:p w14:paraId="71ECCBCF">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default"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路灯维护类</w:t>
            </w:r>
            <w:r>
              <w:rPr>
                <w:rFonts w:hint="eastAsia" w:ascii="宋体" w:hAnsi="宋体" w:eastAsia="宋体" w:cs="宋体"/>
                <w:b w:val="0"/>
                <w:bCs w:val="0"/>
                <w:color w:val="auto"/>
                <w:spacing w:val="10"/>
                <w:sz w:val="24"/>
                <w:szCs w:val="24"/>
                <w:highlight w:val="none"/>
              </w:rPr>
              <w:t>检测仪器</w:t>
            </w:r>
          </w:p>
        </w:tc>
        <w:tc>
          <w:tcPr>
            <w:tcW w:w="2762" w:type="dxa"/>
            <w:vMerge w:val="continue"/>
            <w:noWrap w:val="0"/>
            <w:vAlign w:val="center"/>
          </w:tcPr>
          <w:p w14:paraId="4A01F53D">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eastAsia="zh-CN"/>
              </w:rPr>
            </w:pPr>
          </w:p>
        </w:tc>
      </w:tr>
      <w:tr w14:paraId="1722D9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6292367C">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16</w:t>
            </w:r>
          </w:p>
        </w:tc>
        <w:tc>
          <w:tcPr>
            <w:tcW w:w="1764" w:type="dxa"/>
            <w:shd w:val="clear" w:color="auto" w:fill="auto"/>
            <w:noWrap w:val="0"/>
            <w:vAlign w:val="center"/>
          </w:tcPr>
          <w:p w14:paraId="26EA0EF8">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sz w:val="24"/>
                <w:szCs w:val="24"/>
                <w:highlight w:val="none"/>
                <w:lang w:val="en-US" w:eastAsia="en-US" w:bidi="ar-SA"/>
              </w:rPr>
            </w:pPr>
            <w:r>
              <w:rPr>
                <w:rFonts w:hint="eastAsia" w:ascii="宋体" w:hAnsi="宋体" w:eastAsia="宋体" w:cs="宋体"/>
                <w:b w:val="0"/>
                <w:bCs w:val="0"/>
                <w:color w:val="auto"/>
                <w:spacing w:val="10"/>
                <w:sz w:val="24"/>
                <w:szCs w:val="24"/>
                <w:highlight w:val="none"/>
              </w:rPr>
              <w:t>维修工具</w:t>
            </w:r>
          </w:p>
        </w:tc>
        <w:tc>
          <w:tcPr>
            <w:tcW w:w="900" w:type="dxa"/>
            <w:shd w:val="clear" w:color="auto" w:fill="auto"/>
            <w:noWrap w:val="0"/>
            <w:vAlign w:val="center"/>
          </w:tcPr>
          <w:p w14:paraId="5D2AF61F">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sz w:val="24"/>
                <w:szCs w:val="24"/>
                <w:highlight w:val="none"/>
                <w:lang w:val="en-US" w:eastAsia="zh-CN" w:bidi="ar-SA"/>
              </w:rPr>
            </w:pPr>
            <w:r>
              <w:rPr>
                <w:rFonts w:hint="eastAsia" w:ascii="宋体" w:hAnsi="宋体" w:eastAsia="宋体" w:cs="宋体"/>
                <w:b w:val="0"/>
                <w:bCs w:val="0"/>
                <w:color w:val="auto"/>
                <w:spacing w:val="10"/>
                <w:sz w:val="24"/>
                <w:szCs w:val="24"/>
                <w:highlight w:val="none"/>
                <w:lang w:val="en-US" w:eastAsia="zh-CN"/>
              </w:rPr>
              <w:t>2</w:t>
            </w:r>
            <w:r>
              <w:rPr>
                <w:rFonts w:hint="eastAsia" w:ascii="宋体" w:hAnsi="宋体" w:eastAsia="宋体" w:cs="宋体"/>
                <w:b w:val="0"/>
                <w:bCs w:val="0"/>
                <w:color w:val="auto"/>
                <w:spacing w:val="10"/>
                <w:sz w:val="24"/>
                <w:szCs w:val="24"/>
                <w:highlight w:val="none"/>
                <w:lang w:eastAsia="zh-CN"/>
              </w:rPr>
              <w:t>套</w:t>
            </w:r>
          </w:p>
        </w:tc>
        <w:tc>
          <w:tcPr>
            <w:tcW w:w="2395" w:type="dxa"/>
            <w:noWrap w:val="0"/>
            <w:vAlign w:val="center"/>
          </w:tcPr>
          <w:p w14:paraId="77778A93">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default"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路灯维护类维修工具</w:t>
            </w:r>
          </w:p>
        </w:tc>
        <w:tc>
          <w:tcPr>
            <w:tcW w:w="2762" w:type="dxa"/>
            <w:vMerge w:val="continue"/>
            <w:noWrap w:val="0"/>
            <w:vAlign w:val="center"/>
          </w:tcPr>
          <w:p w14:paraId="5AEF8677">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eastAsia="zh-CN"/>
              </w:rPr>
            </w:pPr>
          </w:p>
        </w:tc>
      </w:tr>
      <w:tr w14:paraId="70D90B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789" w:type="dxa"/>
            <w:noWrap w:val="0"/>
            <w:vAlign w:val="center"/>
          </w:tcPr>
          <w:p w14:paraId="1F6B5670">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17</w:t>
            </w:r>
          </w:p>
        </w:tc>
        <w:tc>
          <w:tcPr>
            <w:tcW w:w="1764" w:type="dxa"/>
            <w:shd w:val="clear" w:color="auto" w:fill="auto"/>
            <w:noWrap w:val="0"/>
            <w:vAlign w:val="center"/>
          </w:tcPr>
          <w:p w14:paraId="6E671EFA">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sz w:val="24"/>
                <w:szCs w:val="24"/>
                <w:highlight w:val="none"/>
                <w:lang w:val="en-US" w:eastAsia="zh-CN" w:bidi="ar-SA"/>
              </w:rPr>
            </w:pPr>
            <w:r>
              <w:rPr>
                <w:rFonts w:hint="eastAsia" w:ascii="宋体" w:hAnsi="宋体" w:eastAsia="宋体" w:cs="宋体"/>
                <w:b w:val="0"/>
                <w:bCs w:val="0"/>
                <w:color w:val="auto"/>
                <w:spacing w:val="10"/>
                <w:sz w:val="24"/>
                <w:szCs w:val="24"/>
                <w:highlight w:val="none"/>
                <w:lang w:val="en-US" w:eastAsia="zh-CN"/>
              </w:rPr>
              <w:t>安全装备</w:t>
            </w:r>
          </w:p>
        </w:tc>
        <w:tc>
          <w:tcPr>
            <w:tcW w:w="900" w:type="dxa"/>
            <w:shd w:val="clear" w:color="auto" w:fill="auto"/>
            <w:noWrap w:val="0"/>
            <w:vAlign w:val="center"/>
          </w:tcPr>
          <w:p w14:paraId="19BCD6E9">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snapToGrid w:val="0"/>
                <w:color w:val="auto"/>
                <w:spacing w:val="10"/>
                <w:sz w:val="24"/>
                <w:szCs w:val="24"/>
                <w:highlight w:val="none"/>
                <w:lang w:val="en-US" w:eastAsia="zh-CN" w:bidi="ar-SA"/>
              </w:rPr>
            </w:pPr>
            <w:r>
              <w:rPr>
                <w:rFonts w:hint="eastAsia" w:ascii="宋体" w:hAnsi="宋体" w:eastAsia="宋体" w:cs="宋体"/>
                <w:b w:val="0"/>
                <w:bCs w:val="0"/>
                <w:color w:val="auto"/>
                <w:spacing w:val="10"/>
                <w:sz w:val="24"/>
                <w:szCs w:val="24"/>
                <w:highlight w:val="none"/>
                <w:lang w:val="en-US" w:eastAsia="zh-CN"/>
              </w:rPr>
              <w:t>4套</w:t>
            </w:r>
          </w:p>
        </w:tc>
        <w:tc>
          <w:tcPr>
            <w:tcW w:w="2395" w:type="dxa"/>
            <w:noWrap w:val="0"/>
            <w:vAlign w:val="center"/>
          </w:tcPr>
          <w:p w14:paraId="474757C6">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val="en-US" w:eastAsia="zh-CN"/>
              </w:rPr>
            </w:pPr>
            <w:r>
              <w:rPr>
                <w:rFonts w:hint="eastAsia" w:ascii="宋体" w:hAnsi="宋体" w:eastAsia="宋体" w:cs="宋体"/>
                <w:b w:val="0"/>
                <w:bCs w:val="0"/>
                <w:color w:val="auto"/>
                <w:spacing w:val="10"/>
                <w:sz w:val="24"/>
                <w:szCs w:val="24"/>
                <w:highlight w:val="none"/>
                <w:lang w:val="en-US" w:eastAsia="zh-CN"/>
              </w:rPr>
              <w:t>路灯维护类安全装备</w:t>
            </w:r>
          </w:p>
        </w:tc>
        <w:tc>
          <w:tcPr>
            <w:tcW w:w="2762" w:type="dxa"/>
            <w:vMerge w:val="continue"/>
            <w:noWrap w:val="0"/>
            <w:vAlign w:val="center"/>
          </w:tcPr>
          <w:p w14:paraId="4770D3C4">
            <w:pPr>
              <w:keepNext w:val="0"/>
              <w:keepLines w:val="0"/>
              <w:pageBreakBefore w:val="0"/>
              <w:widowControl w:val="0"/>
              <w:kinsoku/>
              <w:wordWrap/>
              <w:overflowPunct/>
              <w:topLinePunct w:val="0"/>
              <w:autoSpaceDE/>
              <w:autoSpaceDN/>
              <w:bidi w:val="0"/>
              <w:adjustRightInd/>
              <w:snapToGrid w:val="0"/>
              <w:spacing w:before="1" w:line="320" w:lineRule="exact"/>
              <w:ind w:left="0" w:leftChars="0" w:right="0" w:rightChars="0" w:firstLine="0" w:firstLineChars="0"/>
              <w:jc w:val="center"/>
              <w:textAlignment w:val="auto"/>
              <w:rPr>
                <w:rFonts w:hint="eastAsia" w:ascii="宋体" w:hAnsi="宋体" w:eastAsia="宋体" w:cs="宋体"/>
                <w:b w:val="0"/>
                <w:bCs w:val="0"/>
                <w:color w:val="auto"/>
                <w:spacing w:val="10"/>
                <w:sz w:val="24"/>
                <w:szCs w:val="24"/>
                <w:highlight w:val="none"/>
                <w:lang w:eastAsia="zh-CN"/>
              </w:rPr>
            </w:pPr>
          </w:p>
        </w:tc>
      </w:tr>
    </w:tbl>
    <w:p w14:paraId="453C87E5">
      <w:pPr>
        <w:spacing w:line="114" w:lineRule="exact"/>
        <w:rPr>
          <w:rFonts w:hint="eastAsia" w:ascii="宋体" w:hAnsi="宋体" w:eastAsia="宋体" w:cs="宋体"/>
          <w:color w:val="auto"/>
          <w:highlight w:val="none"/>
        </w:rPr>
      </w:pPr>
    </w:p>
    <w:p w14:paraId="08115267">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eastAsia" w:eastAsia="宋体"/>
          <w:color w:val="auto"/>
          <w:highlight w:val="none"/>
          <w:lang w:val="en-US" w:eastAsia="zh-CN"/>
        </w:rPr>
        <w:sectPr>
          <w:footerReference r:id="rId3" w:type="default"/>
          <w:pgSz w:w="11906" w:h="16839"/>
          <w:pgMar w:top="1440" w:right="1800" w:bottom="1440" w:left="1800" w:header="0" w:footer="1138" w:gutter="0"/>
          <w:pgNumType w:fmt="decimal"/>
          <w:cols w:space="720" w:num="1"/>
        </w:sectPr>
      </w:pPr>
    </w:p>
    <w:p w14:paraId="4E8E3989">
      <w:pPr>
        <w:spacing w:before="169" w:line="369" w:lineRule="auto"/>
        <w:ind w:right="147" w:rightChars="0"/>
        <w:jc w:val="center"/>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lang w:eastAsia="zh-CN"/>
        </w:rPr>
        <w:t>工程量清单</w:t>
      </w:r>
    </w:p>
    <w:p w14:paraId="643491DF">
      <w:pPr>
        <w:spacing w:before="169" w:line="369" w:lineRule="auto"/>
        <w:ind w:right="147" w:rightChars="0"/>
        <w:jc w:val="center"/>
        <w:rPr>
          <w:rFonts w:hint="eastAsia" w:ascii="宋体" w:hAnsi="宋体" w:eastAsia="宋体" w:cs="宋体"/>
          <w:b/>
          <w:bCs/>
          <w:color w:val="auto"/>
          <w:sz w:val="24"/>
          <w:szCs w:val="24"/>
          <w:highlight w:val="none"/>
          <w:lang w:eastAsia="zh-CN"/>
        </w:rPr>
      </w:pPr>
    </w:p>
    <w:p w14:paraId="7DCD7929">
      <w:pPr>
        <w:numPr>
          <w:ilvl w:val="0"/>
          <w:numId w:val="0"/>
        </w:numPr>
        <w:spacing w:line="360" w:lineRule="auto"/>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rPr>
        <w:t>工程量清单表（详见下表）</w:t>
      </w:r>
      <w:r>
        <w:rPr>
          <w:rFonts w:hint="eastAsia" w:ascii="宋体" w:hAnsi="宋体" w:eastAsia="宋体" w:cs="宋体"/>
          <w:b/>
          <w:color w:val="auto"/>
          <w:sz w:val="24"/>
          <w:szCs w:val="24"/>
          <w:highlight w:val="none"/>
          <w:lang w:eastAsia="zh-CN"/>
        </w:rPr>
        <w:t>：</w:t>
      </w:r>
    </w:p>
    <w:tbl>
      <w:tblPr>
        <w:tblStyle w:val="8"/>
        <w:tblW w:w="94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90"/>
        <w:gridCol w:w="2462"/>
        <w:gridCol w:w="967"/>
        <w:gridCol w:w="967"/>
        <w:gridCol w:w="967"/>
        <w:gridCol w:w="967"/>
        <w:gridCol w:w="2327"/>
      </w:tblGrid>
      <w:tr w14:paraId="78FF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540" w:hRule="atLeast"/>
          <w:jc w:val="center"/>
        </w:trPr>
        <w:tc>
          <w:tcPr>
            <w:tcW w:w="9447" w:type="dxa"/>
            <w:gridSpan w:val="7"/>
            <w:shd w:val="clear" w:color="auto" w:fill="auto"/>
            <w:vAlign w:val="center"/>
          </w:tcPr>
          <w:p w14:paraId="28423C8D">
            <w:pPr>
              <w:keepNext w:val="0"/>
              <w:keepLines w:val="0"/>
              <w:widowControl/>
              <w:suppressLineNumbers w:val="0"/>
              <w:jc w:val="center"/>
              <w:textAlignment w:val="center"/>
              <w:rPr>
                <w:rStyle w:val="15"/>
                <w:rFonts w:hint="eastAsia" w:ascii="宋体" w:hAnsi="宋体" w:eastAsia="宋体" w:cs="宋体"/>
                <w:sz w:val="24"/>
                <w:szCs w:val="24"/>
                <w:lang w:val="en-US" w:eastAsia="zh-CN" w:bidi="ar"/>
              </w:rPr>
            </w:pPr>
            <w:r>
              <w:rPr>
                <w:rStyle w:val="14"/>
                <w:rFonts w:hint="eastAsia" w:ascii="宋体" w:hAnsi="宋体" w:eastAsia="宋体" w:cs="宋体"/>
                <w:sz w:val="24"/>
                <w:szCs w:val="24"/>
                <w:lang w:val="en-US" w:eastAsia="zh-CN" w:bidi="ar"/>
              </w:rPr>
              <w:t>2026</w:t>
            </w:r>
            <w:r>
              <w:rPr>
                <w:rStyle w:val="15"/>
                <w:rFonts w:hint="eastAsia" w:ascii="宋体" w:hAnsi="宋体" w:eastAsia="宋体" w:cs="宋体"/>
                <w:sz w:val="24"/>
                <w:szCs w:val="24"/>
                <w:lang w:val="en-US" w:eastAsia="zh-CN" w:bidi="ar"/>
              </w:rPr>
              <w:t>年</w:t>
            </w:r>
            <w:r>
              <w:rPr>
                <w:rStyle w:val="14"/>
                <w:rFonts w:hint="eastAsia" w:ascii="宋体" w:hAnsi="宋体" w:eastAsia="宋体" w:cs="宋体"/>
                <w:sz w:val="24"/>
                <w:szCs w:val="24"/>
                <w:lang w:val="en-US" w:eastAsia="zh-CN" w:bidi="ar"/>
              </w:rPr>
              <w:t>7</w:t>
            </w:r>
            <w:r>
              <w:rPr>
                <w:rStyle w:val="15"/>
                <w:rFonts w:hint="eastAsia" w:ascii="宋体" w:hAnsi="宋体" w:eastAsia="宋体" w:cs="宋体"/>
                <w:sz w:val="24"/>
                <w:szCs w:val="24"/>
                <w:lang w:val="en-US" w:eastAsia="zh-CN" w:bidi="ar"/>
              </w:rPr>
              <w:t>月</w:t>
            </w:r>
            <w:r>
              <w:rPr>
                <w:rStyle w:val="14"/>
                <w:rFonts w:hint="eastAsia" w:ascii="宋体" w:hAnsi="宋体" w:eastAsia="宋体" w:cs="宋体"/>
                <w:sz w:val="24"/>
                <w:szCs w:val="24"/>
                <w:lang w:val="en-US" w:eastAsia="zh-CN" w:bidi="ar"/>
              </w:rPr>
              <w:t>-2028</w:t>
            </w:r>
            <w:r>
              <w:rPr>
                <w:rStyle w:val="15"/>
                <w:rFonts w:hint="eastAsia" w:ascii="宋体" w:hAnsi="宋体" w:eastAsia="宋体" w:cs="宋体"/>
                <w:sz w:val="24"/>
                <w:szCs w:val="24"/>
                <w:lang w:val="en-US" w:eastAsia="zh-CN" w:bidi="ar"/>
              </w:rPr>
              <w:t>年</w:t>
            </w:r>
            <w:r>
              <w:rPr>
                <w:rStyle w:val="14"/>
                <w:rFonts w:hint="eastAsia" w:ascii="宋体" w:hAnsi="宋体" w:eastAsia="宋体" w:cs="宋体"/>
                <w:sz w:val="24"/>
                <w:szCs w:val="24"/>
                <w:lang w:val="en-US" w:eastAsia="zh-CN" w:bidi="ar"/>
              </w:rPr>
              <w:t>6</w:t>
            </w:r>
            <w:r>
              <w:rPr>
                <w:rStyle w:val="15"/>
                <w:rFonts w:hint="eastAsia" w:ascii="宋体" w:hAnsi="宋体" w:eastAsia="宋体" w:cs="宋体"/>
                <w:sz w:val="24"/>
                <w:szCs w:val="24"/>
                <w:lang w:val="en-US" w:eastAsia="zh-CN" w:bidi="ar"/>
              </w:rPr>
              <w:t>月物流园区绿化养护、道路保洁及路灯日常维护服务采购项目</w:t>
            </w:r>
          </w:p>
          <w:p w14:paraId="45C8A537">
            <w:pPr>
              <w:keepNext w:val="0"/>
              <w:keepLines w:val="0"/>
              <w:widowControl/>
              <w:suppressLineNumbers w:val="0"/>
              <w:jc w:val="center"/>
              <w:textAlignment w:val="center"/>
              <w:rPr>
                <w:rStyle w:val="14"/>
                <w:rFonts w:hint="eastAsia" w:ascii="宋体" w:hAnsi="宋体" w:eastAsia="宋体" w:cs="宋体"/>
                <w:sz w:val="24"/>
                <w:szCs w:val="24"/>
                <w:lang w:val="en-US" w:eastAsia="zh-CN" w:bidi="ar"/>
              </w:rPr>
            </w:pPr>
            <w:r>
              <w:rPr>
                <w:rStyle w:val="15"/>
                <w:rFonts w:hint="eastAsia" w:ascii="宋体" w:hAnsi="宋体" w:eastAsia="宋体" w:cs="宋体"/>
                <w:sz w:val="24"/>
                <w:szCs w:val="24"/>
                <w:lang w:val="en-US" w:eastAsia="zh-CN" w:bidi="ar"/>
              </w:rPr>
              <w:t>预算金额汇总</w:t>
            </w:r>
          </w:p>
        </w:tc>
      </w:tr>
      <w:tr w14:paraId="4EBD0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700" w:hRule="atLeast"/>
          <w:jc w:val="center"/>
        </w:trPr>
        <w:tc>
          <w:tcPr>
            <w:tcW w:w="790" w:type="dxa"/>
            <w:shd w:val="clear" w:color="FFFFFF" w:fill="FFFFFF"/>
            <w:vAlign w:val="center"/>
          </w:tcPr>
          <w:p w14:paraId="38E3C44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2462" w:type="dxa"/>
            <w:shd w:val="clear" w:color="FFFFFF" w:fill="FFFFFF"/>
            <w:vAlign w:val="center"/>
          </w:tcPr>
          <w:p w14:paraId="319C706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道路名称</w:t>
            </w:r>
          </w:p>
        </w:tc>
        <w:tc>
          <w:tcPr>
            <w:tcW w:w="967" w:type="dxa"/>
            <w:shd w:val="clear" w:color="FFFFFF" w:fill="FFFFFF"/>
            <w:vAlign w:val="center"/>
          </w:tcPr>
          <w:p w14:paraId="774146D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计量</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单位</w:t>
            </w:r>
          </w:p>
        </w:tc>
        <w:tc>
          <w:tcPr>
            <w:tcW w:w="967" w:type="dxa"/>
            <w:shd w:val="clear" w:color="FFFFFF" w:fill="FFFFFF"/>
            <w:vAlign w:val="center"/>
          </w:tcPr>
          <w:p w14:paraId="084C51D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967" w:type="dxa"/>
            <w:shd w:val="clear" w:color="auto" w:fill="auto"/>
            <w:vAlign w:val="center"/>
          </w:tcPr>
          <w:p w14:paraId="77A7E53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sz w:val="24"/>
                <w:szCs w:val="24"/>
                <w:u w:val="none"/>
              </w:rPr>
              <w:t>单价</w:t>
            </w:r>
          </w:p>
          <w:p w14:paraId="28F7C9A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lang w:eastAsia="zh-CN"/>
              </w:rPr>
            </w:pPr>
            <w:r>
              <w:rPr>
                <w:rFonts w:hint="eastAsia" w:ascii="宋体" w:hAnsi="宋体" w:eastAsia="宋体" w:cs="宋体"/>
                <w:b/>
                <w:bCs/>
                <w:i w:val="0"/>
                <w:iCs w:val="0"/>
                <w:color w:val="000000"/>
                <w:sz w:val="24"/>
                <w:szCs w:val="24"/>
                <w:u w:val="none"/>
                <w:lang w:eastAsia="zh-CN"/>
              </w:rPr>
              <w:t>（元）</w:t>
            </w:r>
          </w:p>
        </w:tc>
        <w:tc>
          <w:tcPr>
            <w:tcW w:w="967" w:type="dxa"/>
            <w:shd w:val="clear" w:color="auto" w:fill="auto"/>
            <w:vAlign w:val="center"/>
          </w:tcPr>
          <w:p w14:paraId="09F2C41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lang w:eastAsia="zh-CN"/>
              </w:rPr>
            </w:pPr>
            <w:r>
              <w:rPr>
                <w:rFonts w:hint="eastAsia" w:ascii="宋体" w:hAnsi="宋体" w:eastAsia="宋体" w:cs="宋体"/>
                <w:b/>
                <w:bCs/>
                <w:i w:val="0"/>
                <w:iCs w:val="0"/>
                <w:color w:val="000000"/>
                <w:sz w:val="24"/>
                <w:szCs w:val="24"/>
                <w:u w:val="none"/>
                <w:lang w:eastAsia="zh-CN"/>
              </w:rPr>
              <w:t>总计</w:t>
            </w:r>
          </w:p>
          <w:p w14:paraId="52659A4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sz w:val="24"/>
                <w:szCs w:val="24"/>
                <w:u w:val="none"/>
                <w:lang w:eastAsia="zh-CN"/>
              </w:rPr>
              <w:t>（元）</w:t>
            </w:r>
          </w:p>
        </w:tc>
        <w:tc>
          <w:tcPr>
            <w:tcW w:w="2327" w:type="dxa"/>
            <w:shd w:val="clear" w:color="auto" w:fill="auto"/>
            <w:vAlign w:val="center"/>
          </w:tcPr>
          <w:p w14:paraId="1AC6BB8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lang w:eastAsia="zh-CN"/>
              </w:rPr>
            </w:pPr>
            <w:r>
              <w:rPr>
                <w:rFonts w:hint="eastAsia" w:ascii="宋体" w:hAnsi="宋体" w:eastAsia="宋体" w:cs="宋体"/>
                <w:b/>
                <w:bCs/>
                <w:i w:val="0"/>
                <w:iCs w:val="0"/>
                <w:color w:val="000000"/>
                <w:sz w:val="24"/>
                <w:szCs w:val="24"/>
                <w:u w:val="none"/>
                <w:lang w:eastAsia="zh-CN"/>
              </w:rPr>
              <w:t>备注</w:t>
            </w:r>
          </w:p>
        </w:tc>
      </w:tr>
      <w:tr w14:paraId="28FEB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jc w:val="center"/>
        </w:trPr>
        <w:tc>
          <w:tcPr>
            <w:tcW w:w="790" w:type="dxa"/>
            <w:shd w:val="clear" w:color="FFFFFF" w:fill="FFFFFF"/>
            <w:vAlign w:val="center"/>
          </w:tcPr>
          <w:p w14:paraId="5E5B1E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462" w:type="dxa"/>
            <w:shd w:val="clear" w:color="auto" w:fill="auto"/>
            <w:vAlign w:val="center"/>
          </w:tcPr>
          <w:p w14:paraId="1E650F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物流园区绿化养护、道路保洁</w:t>
            </w:r>
          </w:p>
        </w:tc>
        <w:tc>
          <w:tcPr>
            <w:tcW w:w="967" w:type="dxa"/>
            <w:shd w:val="clear" w:color="auto" w:fill="auto"/>
            <w:vAlign w:val="center"/>
          </w:tcPr>
          <w:p w14:paraId="167568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w:t>
            </w:r>
          </w:p>
        </w:tc>
        <w:tc>
          <w:tcPr>
            <w:tcW w:w="967" w:type="dxa"/>
            <w:shd w:val="clear" w:color="auto" w:fill="auto"/>
            <w:vAlign w:val="center"/>
          </w:tcPr>
          <w:p w14:paraId="696413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7" w:type="dxa"/>
            <w:shd w:val="clear" w:color="auto" w:fill="auto"/>
            <w:vAlign w:val="center"/>
          </w:tcPr>
          <w:p w14:paraId="062FC4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967" w:type="dxa"/>
            <w:shd w:val="clear" w:color="auto" w:fill="auto"/>
            <w:vAlign w:val="center"/>
          </w:tcPr>
          <w:p w14:paraId="095BC8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2327" w:type="dxa"/>
            <w:shd w:val="clear" w:color="auto" w:fill="auto"/>
            <w:vAlign w:val="center"/>
          </w:tcPr>
          <w:p w14:paraId="63BCC4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工程量据实结算</w:t>
            </w:r>
          </w:p>
        </w:tc>
      </w:tr>
      <w:tr w14:paraId="743D4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5" w:hRule="atLeast"/>
          <w:jc w:val="center"/>
        </w:trPr>
        <w:tc>
          <w:tcPr>
            <w:tcW w:w="790" w:type="dxa"/>
            <w:shd w:val="clear" w:color="FFFFFF" w:fill="FFFFFF"/>
            <w:vAlign w:val="center"/>
          </w:tcPr>
          <w:p w14:paraId="5D38D3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462" w:type="dxa"/>
            <w:shd w:val="clear" w:color="auto" w:fill="auto"/>
            <w:vAlign w:val="center"/>
          </w:tcPr>
          <w:p w14:paraId="44D4C5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路灯日常维护服务</w:t>
            </w:r>
          </w:p>
        </w:tc>
        <w:tc>
          <w:tcPr>
            <w:tcW w:w="967" w:type="dxa"/>
            <w:shd w:val="clear" w:color="auto" w:fill="auto"/>
            <w:vAlign w:val="center"/>
          </w:tcPr>
          <w:p w14:paraId="46AAD2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w:t>
            </w:r>
          </w:p>
        </w:tc>
        <w:tc>
          <w:tcPr>
            <w:tcW w:w="967" w:type="dxa"/>
            <w:shd w:val="clear" w:color="auto" w:fill="auto"/>
            <w:vAlign w:val="center"/>
          </w:tcPr>
          <w:p w14:paraId="1496D7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7" w:type="dxa"/>
            <w:shd w:val="clear" w:color="auto" w:fill="auto"/>
            <w:vAlign w:val="center"/>
          </w:tcPr>
          <w:p w14:paraId="30C268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967" w:type="dxa"/>
            <w:shd w:val="clear" w:color="auto" w:fill="auto"/>
            <w:vAlign w:val="center"/>
          </w:tcPr>
          <w:p w14:paraId="6F1A81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2327" w:type="dxa"/>
            <w:shd w:val="clear" w:color="auto" w:fill="auto"/>
            <w:vAlign w:val="center"/>
          </w:tcPr>
          <w:p w14:paraId="06F8B7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工程量据实结算</w:t>
            </w:r>
          </w:p>
          <w:p w14:paraId="442C31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路灯照明亮灯率应达到98%、设施完好率应达到96%及以上，应急处置迅速高效，无安全生产事故等应当符合《城市道路照明设施运行维护技术标准》（T/CMEA21)。</w:t>
            </w:r>
          </w:p>
        </w:tc>
      </w:tr>
      <w:tr w14:paraId="548D8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0" w:hRule="atLeast"/>
          <w:jc w:val="center"/>
        </w:trPr>
        <w:tc>
          <w:tcPr>
            <w:tcW w:w="790" w:type="dxa"/>
            <w:shd w:val="clear" w:color="FFFFFF" w:fill="FFFFFF"/>
            <w:vAlign w:val="center"/>
          </w:tcPr>
          <w:p w14:paraId="023CB4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462" w:type="dxa"/>
            <w:shd w:val="clear" w:color="auto" w:fill="auto"/>
            <w:vAlign w:val="center"/>
          </w:tcPr>
          <w:p w14:paraId="30CE98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合计（含6%税金）</w:t>
            </w:r>
          </w:p>
        </w:tc>
        <w:tc>
          <w:tcPr>
            <w:tcW w:w="967" w:type="dxa"/>
            <w:shd w:val="clear" w:color="auto" w:fill="auto"/>
            <w:vAlign w:val="center"/>
          </w:tcPr>
          <w:p w14:paraId="0B06F9CF">
            <w:pPr>
              <w:jc w:val="center"/>
              <w:rPr>
                <w:rFonts w:hint="eastAsia" w:ascii="宋体" w:hAnsi="宋体" w:eastAsia="宋体" w:cs="宋体"/>
                <w:i w:val="0"/>
                <w:iCs w:val="0"/>
                <w:color w:val="000000"/>
                <w:sz w:val="24"/>
                <w:szCs w:val="24"/>
                <w:u w:val="none"/>
              </w:rPr>
            </w:pPr>
          </w:p>
        </w:tc>
        <w:tc>
          <w:tcPr>
            <w:tcW w:w="967" w:type="dxa"/>
            <w:shd w:val="clear" w:color="auto" w:fill="auto"/>
            <w:vAlign w:val="center"/>
          </w:tcPr>
          <w:p w14:paraId="2ADD8E9D">
            <w:pPr>
              <w:jc w:val="center"/>
              <w:rPr>
                <w:rFonts w:hint="eastAsia" w:ascii="宋体" w:hAnsi="宋体" w:eastAsia="宋体" w:cs="宋体"/>
                <w:i w:val="0"/>
                <w:iCs w:val="0"/>
                <w:color w:val="000000"/>
                <w:sz w:val="24"/>
                <w:szCs w:val="24"/>
                <w:u w:val="none"/>
              </w:rPr>
            </w:pPr>
          </w:p>
        </w:tc>
        <w:tc>
          <w:tcPr>
            <w:tcW w:w="967" w:type="dxa"/>
            <w:shd w:val="clear" w:color="auto" w:fill="auto"/>
            <w:vAlign w:val="center"/>
          </w:tcPr>
          <w:p w14:paraId="327B6E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967" w:type="dxa"/>
            <w:shd w:val="clear" w:color="auto" w:fill="auto"/>
            <w:vAlign w:val="center"/>
          </w:tcPr>
          <w:p w14:paraId="4032B5A6">
            <w:pPr>
              <w:jc w:val="center"/>
              <w:rPr>
                <w:rFonts w:hint="eastAsia" w:ascii="宋体" w:hAnsi="宋体" w:eastAsia="宋体" w:cs="宋体"/>
                <w:i w:val="0"/>
                <w:iCs w:val="0"/>
                <w:color w:val="000000"/>
                <w:sz w:val="24"/>
                <w:szCs w:val="24"/>
                <w:u w:val="none"/>
              </w:rPr>
            </w:pPr>
          </w:p>
        </w:tc>
        <w:tc>
          <w:tcPr>
            <w:tcW w:w="2327" w:type="dxa"/>
            <w:shd w:val="clear" w:color="auto" w:fill="auto"/>
            <w:vAlign w:val="center"/>
          </w:tcPr>
          <w:p w14:paraId="0E41A097">
            <w:pPr>
              <w:jc w:val="center"/>
              <w:rPr>
                <w:rFonts w:hint="eastAsia" w:ascii="宋体" w:hAnsi="宋体" w:eastAsia="宋体" w:cs="宋体"/>
                <w:i w:val="0"/>
                <w:iCs w:val="0"/>
                <w:color w:val="000000"/>
                <w:sz w:val="24"/>
                <w:szCs w:val="24"/>
                <w:u w:val="none"/>
              </w:rPr>
            </w:pPr>
          </w:p>
        </w:tc>
      </w:tr>
    </w:tbl>
    <w:p w14:paraId="57DC32C2">
      <w:pPr>
        <w:spacing w:before="169" w:line="369" w:lineRule="auto"/>
        <w:ind w:right="147" w:rightChars="0"/>
        <w:jc w:val="center"/>
        <w:rPr>
          <w:rFonts w:hint="eastAsia" w:ascii="宋体" w:hAnsi="宋体" w:eastAsia="宋体" w:cs="宋体"/>
          <w:b/>
          <w:bCs/>
          <w:color w:val="auto"/>
          <w:sz w:val="24"/>
          <w:szCs w:val="24"/>
          <w:highlight w:val="none"/>
          <w:lang w:eastAsia="zh-CN"/>
        </w:rPr>
      </w:pPr>
    </w:p>
    <w:p w14:paraId="01E18A88">
      <w:pPr>
        <w:spacing w:before="169" w:line="369" w:lineRule="auto"/>
        <w:ind w:right="147" w:rightChars="0"/>
        <w:jc w:val="center"/>
        <w:rPr>
          <w:rFonts w:hint="eastAsia" w:ascii="宋体" w:hAnsi="宋体" w:eastAsia="宋体" w:cs="宋体"/>
          <w:b/>
          <w:bCs/>
          <w:color w:val="auto"/>
          <w:sz w:val="24"/>
          <w:szCs w:val="24"/>
          <w:highlight w:val="none"/>
          <w:lang w:eastAsia="zh-CN"/>
        </w:rPr>
      </w:pPr>
    </w:p>
    <w:p w14:paraId="727029F4">
      <w:pPr>
        <w:spacing w:before="169" w:line="369" w:lineRule="auto"/>
        <w:ind w:right="147" w:rightChars="0"/>
        <w:jc w:val="center"/>
        <w:rPr>
          <w:rFonts w:hint="eastAsia" w:ascii="宋体" w:hAnsi="宋体" w:eastAsia="宋体" w:cs="宋体"/>
          <w:b/>
          <w:bCs/>
          <w:color w:val="auto"/>
          <w:sz w:val="24"/>
          <w:szCs w:val="24"/>
          <w:highlight w:val="none"/>
          <w:lang w:eastAsia="zh-CN"/>
        </w:rPr>
      </w:pPr>
    </w:p>
    <w:p w14:paraId="70169178">
      <w:pPr>
        <w:spacing w:before="169" w:line="369" w:lineRule="auto"/>
        <w:ind w:right="147" w:rightChars="0"/>
        <w:jc w:val="center"/>
        <w:rPr>
          <w:rFonts w:hint="eastAsia" w:ascii="宋体" w:hAnsi="宋体" w:eastAsia="宋体" w:cs="宋体"/>
          <w:b/>
          <w:bCs/>
          <w:color w:val="auto"/>
          <w:sz w:val="24"/>
          <w:szCs w:val="24"/>
          <w:highlight w:val="none"/>
          <w:lang w:eastAsia="zh-CN"/>
        </w:rPr>
      </w:pPr>
    </w:p>
    <w:p w14:paraId="56755DB2">
      <w:pPr>
        <w:spacing w:before="169" w:line="369" w:lineRule="auto"/>
        <w:ind w:right="147" w:rightChars="0"/>
        <w:jc w:val="both"/>
        <w:rPr>
          <w:rFonts w:hint="eastAsia" w:ascii="宋体" w:hAnsi="宋体" w:eastAsia="宋体" w:cs="宋体"/>
          <w:b/>
          <w:bCs/>
          <w:color w:val="auto"/>
          <w:sz w:val="24"/>
          <w:szCs w:val="24"/>
          <w:highlight w:val="none"/>
          <w:lang w:eastAsia="zh-CN"/>
        </w:rPr>
      </w:pPr>
    </w:p>
    <w:p w14:paraId="551A72D5">
      <w:pPr>
        <w:spacing w:before="169" w:line="369" w:lineRule="auto"/>
        <w:ind w:right="147" w:rightChars="0"/>
        <w:jc w:val="center"/>
        <w:rPr>
          <w:rFonts w:hint="eastAsia" w:ascii="宋体" w:hAnsi="宋体" w:eastAsia="宋体" w:cs="宋体"/>
          <w:b/>
          <w:bCs/>
          <w:color w:val="auto"/>
          <w:sz w:val="24"/>
          <w:szCs w:val="24"/>
          <w:highlight w:val="none"/>
          <w:lang w:eastAsia="zh-CN"/>
        </w:rPr>
      </w:pPr>
    </w:p>
    <w:tbl>
      <w:tblPr>
        <w:tblStyle w:val="8"/>
        <w:tblW w:w="93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672"/>
        <w:gridCol w:w="2166"/>
        <w:gridCol w:w="2001"/>
        <w:gridCol w:w="1096"/>
        <w:gridCol w:w="1176"/>
        <w:gridCol w:w="1100"/>
        <w:gridCol w:w="1101"/>
      </w:tblGrid>
      <w:tr w14:paraId="699E0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9312" w:type="dxa"/>
            <w:gridSpan w:val="7"/>
            <w:shd w:val="clear" w:color="auto" w:fill="auto"/>
            <w:vAlign w:val="center"/>
          </w:tcPr>
          <w:p w14:paraId="46366D92">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Style w:val="14"/>
                <w:rFonts w:hint="eastAsia" w:ascii="宋体" w:hAnsi="宋体" w:eastAsia="宋体" w:cs="宋体"/>
                <w:sz w:val="24"/>
                <w:szCs w:val="24"/>
                <w:highlight w:val="none"/>
                <w:lang w:val="en-US" w:eastAsia="zh-CN" w:bidi="ar"/>
              </w:rPr>
              <w:t>年度物流园区绿化养护、道路保洁及路灯日常维护服务预算</w:t>
            </w:r>
          </w:p>
        </w:tc>
      </w:tr>
      <w:tr w14:paraId="3445C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FFFFFF" w:fill="FFFFFF"/>
            <w:vAlign w:val="center"/>
          </w:tcPr>
          <w:p w14:paraId="24A7AE6D">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序号</w:t>
            </w:r>
          </w:p>
        </w:tc>
        <w:tc>
          <w:tcPr>
            <w:tcW w:w="2166" w:type="dxa"/>
            <w:shd w:val="clear" w:color="FFFFFF" w:fill="FFFFFF"/>
            <w:vAlign w:val="center"/>
          </w:tcPr>
          <w:p w14:paraId="0EC49A34">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道路名称</w:t>
            </w:r>
          </w:p>
        </w:tc>
        <w:tc>
          <w:tcPr>
            <w:tcW w:w="2001" w:type="dxa"/>
            <w:shd w:val="clear" w:color="FFFFFF" w:fill="FFFFFF"/>
            <w:vAlign w:val="center"/>
          </w:tcPr>
          <w:p w14:paraId="40EAD090">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项目分类</w:t>
            </w:r>
          </w:p>
        </w:tc>
        <w:tc>
          <w:tcPr>
            <w:tcW w:w="1096" w:type="dxa"/>
            <w:shd w:val="clear" w:color="FFFFFF" w:fill="FFFFFF"/>
            <w:vAlign w:val="center"/>
          </w:tcPr>
          <w:p w14:paraId="43F86621">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计量</w:t>
            </w:r>
          </w:p>
          <w:p w14:paraId="59ED8A15">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单位</w:t>
            </w:r>
          </w:p>
        </w:tc>
        <w:tc>
          <w:tcPr>
            <w:tcW w:w="1176" w:type="dxa"/>
            <w:shd w:val="clear" w:color="FFFFFF" w:fill="FFFFFF"/>
            <w:vAlign w:val="center"/>
          </w:tcPr>
          <w:p w14:paraId="534ADAA3">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工程量</w:t>
            </w:r>
          </w:p>
        </w:tc>
        <w:tc>
          <w:tcPr>
            <w:tcW w:w="1100" w:type="dxa"/>
            <w:shd w:val="clear" w:color="auto" w:fill="auto"/>
            <w:vAlign w:val="center"/>
          </w:tcPr>
          <w:p w14:paraId="2727DA62">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highlight w:val="none"/>
                <w:u w:val="none"/>
                <w:lang w:val="en-US" w:eastAsia="zh-CN" w:bidi="ar"/>
              </w:rPr>
            </w:pPr>
            <w:r>
              <w:rPr>
                <w:rFonts w:hint="eastAsia" w:ascii="宋体" w:hAnsi="宋体" w:eastAsia="宋体" w:cs="宋体"/>
                <w:b/>
                <w:bCs/>
                <w:i w:val="0"/>
                <w:iCs w:val="0"/>
                <w:color w:val="000000"/>
                <w:kern w:val="0"/>
                <w:sz w:val="22"/>
                <w:szCs w:val="22"/>
                <w:highlight w:val="none"/>
                <w:u w:val="none"/>
                <w:lang w:val="en-US" w:eastAsia="zh-CN" w:bidi="ar"/>
              </w:rPr>
              <w:t>单价</w:t>
            </w:r>
          </w:p>
          <w:p w14:paraId="221D6470">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（元）</w:t>
            </w:r>
          </w:p>
        </w:tc>
        <w:tc>
          <w:tcPr>
            <w:tcW w:w="1101" w:type="dxa"/>
            <w:shd w:val="clear" w:color="auto" w:fill="auto"/>
            <w:vAlign w:val="center"/>
          </w:tcPr>
          <w:p w14:paraId="2534CE48">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lang w:eastAsia="zh-CN"/>
              </w:rPr>
            </w:pPr>
            <w:r>
              <w:rPr>
                <w:rFonts w:hint="eastAsia" w:ascii="宋体" w:hAnsi="宋体" w:eastAsia="宋体" w:cs="宋体"/>
                <w:b/>
                <w:bCs/>
                <w:i w:val="0"/>
                <w:iCs w:val="0"/>
                <w:color w:val="000000"/>
                <w:sz w:val="22"/>
                <w:szCs w:val="22"/>
                <w:highlight w:val="none"/>
                <w:u w:val="none"/>
                <w:lang w:eastAsia="zh-CN"/>
              </w:rPr>
              <w:t>总计</w:t>
            </w:r>
          </w:p>
          <w:p w14:paraId="335C1AF1">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（元）</w:t>
            </w:r>
          </w:p>
        </w:tc>
      </w:tr>
      <w:tr w14:paraId="49625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6058965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2166" w:type="dxa"/>
            <w:vMerge w:val="restart"/>
            <w:shd w:val="clear" w:color="auto" w:fill="auto"/>
            <w:vAlign w:val="center"/>
          </w:tcPr>
          <w:p w14:paraId="0C2877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十一经路（宝苍路-六纬路）</w:t>
            </w:r>
          </w:p>
        </w:tc>
        <w:tc>
          <w:tcPr>
            <w:tcW w:w="2001" w:type="dxa"/>
            <w:shd w:val="clear" w:color="auto" w:fill="auto"/>
            <w:vAlign w:val="center"/>
          </w:tcPr>
          <w:p w14:paraId="254BE91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676669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5030349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17820</w:t>
            </w:r>
          </w:p>
        </w:tc>
        <w:tc>
          <w:tcPr>
            <w:tcW w:w="1100" w:type="dxa"/>
            <w:shd w:val="clear" w:color="auto" w:fill="auto"/>
            <w:vAlign w:val="center"/>
          </w:tcPr>
          <w:p w14:paraId="4FDE244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3E8C26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r>
      <w:tr w14:paraId="4A341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3DC4D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2166" w:type="dxa"/>
            <w:vMerge w:val="continue"/>
            <w:shd w:val="clear" w:color="auto" w:fill="auto"/>
            <w:vAlign w:val="center"/>
          </w:tcPr>
          <w:p w14:paraId="4D593B0C">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05A778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1B9355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7EFCDD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298</w:t>
            </w:r>
          </w:p>
        </w:tc>
        <w:tc>
          <w:tcPr>
            <w:tcW w:w="1100" w:type="dxa"/>
            <w:shd w:val="clear" w:color="auto" w:fill="auto"/>
            <w:vAlign w:val="center"/>
          </w:tcPr>
          <w:p w14:paraId="0CBAA9C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490F33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r>
      <w:tr w14:paraId="11008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167357B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2166" w:type="dxa"/>
            <w:vMerge w:val="restart"/>
            <w:shd w:val="clear" w:color="auto" w:fill="auto"/>
            <w:vAlign w:val="center"/>
          </w:tcPr>
          <w:p w14:paraId="31DE06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五纬路</w:t>
            </w:r>
          </w:p>
        </w:tc>
        <w:tc>
          <w:tcPr>
            <w:tcW w:w="2001" w:type="dxa"/>
            <w:shd w:val="clear" w:color="auto" w:fill="auto"/>
            <w:vAlign w:val="center"/>
          </w:tcPr>
          <w:p w14:paraId="5BE4E9A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67704CB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5CD05E9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18620</w:t>
            </w:r>
          </w:p>
        </w:tc>
        <w:tc>
          <w:tcPr>
            <w:tcW w:w="1100" w:type="dxa"/>
            <w:shd w:val="clear" w:color="auto" w:fill="auto"/>
            <w:vAlign w:val="center"/>
          </w:tcPr>
          <w:p w14:paraId="36856FF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3E850F4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r>
      <w:tr w14:paraId="7145A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446B59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2166" w:type="dxa"/>
            <w:vMerge w:val="continue"/>
            <w:shd w:val="clear" w:color="auto" w:fill="auto"/>
            <w:vAlign w:val="center"/>
          </w:tcPr>
          <w:p w14:paraId="573CB0C8">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0631DD7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7A735B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632D702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312</w:t>
            </w:r>
          </w:p>
        </w:tc>
        <w:tc>
          <w:tcPr>
            <w:tcW w:w="1100" w:type="dxa"/>
            <w:shd w:val="clear" w:color="auto" w:fill="auto"/>
            <w:vAlign w:val="center"/>
          </w:tcPr>
          <w:p w14:paraId="2BA8D0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DCAF2E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r>
      <w:tr w14:paraId="6780E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26453B5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2166" w:type="dxa"/>
            <w:vMerge w:val="restart"/>
            <w:shd w:val="clear" w:color="auto" w:fill="auto"/>
            <w:vAlign w:val="center"/>
          </w:tcPr>
          <w:p w14:paraId="673A60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社会停车场</w:t>
            </w:r>
          </w:p>
        </w:tc>
        <w:tc>
          <w:tcPr>
            <w:tcW w:w="2001" w:type="dxa"/>
            <w:shd w:val="clear" w:color="auto" w:fill="auto"/>
            <w:vAlign w:val="center"/>
          </w:tcPr>
          <w:p w14:paraId="29DEE4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744DE70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744A77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7647.48</w:t>
            </w:r>
          </w:p>
        </w:tc>
        <w:tc>
          <w:tcPr>
            <w:tcW w:w="1100" w:type="dxa"/>
            <w:shd w:val="clear" w:color="auto" w:fill="auto"/>
            <w:vAlign w:val="center"/>
          </w:tcPr>
          <w:p w14:paraId="24DCD2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5A535B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r>
      <w:tr w14:paraId="03517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7EE7B3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2166" w:type="dxa"/>
            <w:vMerge w:val="continue"/>
            <w:shd w:val="clear" w:color="auto" w:fill="auto"/>
            <w:vAlign w:val="center"/>
          </w:tcPr>
          <w:p w14:paraId="5270F134">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1844B2F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草皮养护</w:t>
            </w:r>
          </w:p>
        </w:tc>
        <w:tc>
          <w:tcPr>
            <w:tcW w:w="1096" w:type="dxa"/>
            <w:shd w:val="clear" w:color="auto" w:fill="auto"/>
            <w:vAlign w:val="center"/>
          </w:tcPr>
          <w:p w14:paraId="2A4827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BB2C7A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7352.52</w:t>
            </w:r>
          </w:p>
        </w:tc>
        <w:tc>
          <w:tcPr>
            <w:tcW w:w="1100" w:type="dxa"/>
            <w:shd w:val="clear" w:color="auto" w:fill="auto"/>
            <w:vAlign w:val="center"/>
          </w:tcPr>
          <w:p w14:paraId="25D5A8E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0D07B25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p>
        </w:tc>
      </w:tr>
      <w:tr w14:paraId="47546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330F24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2166" w:type="dxa"/>
            <w:vMerge w:val="continue"/>
            <w:shd w:val="clear" w:color="auto" w:fill="auto"/>
            <w:vAlign w:val="center"/>
          </w:tcPr>
          <w:p w14:paraId="72F221F5">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228C684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苗木养护</w:t>
            </w:r>
          </w:p>
        </w:tc>
        <w:tc>
          <w:tcPr>
            <w:tcW w:w="1096" w:type="dxa"/>
            <w:shd w:val="clear" w:color="auto" w:fill="auto"/>
            <w:vAlign w:val="center"/>
          </w:tcPr>
          <w:p w14:paraId="0418324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234225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53</w:t>
            </w:r>
          </w:p>
        </w:tc>
        <w:tc>
          <w:tcPr>
            <w:tcW w:w="1100" w:type="dxa"/>
            <w:shd w:val="clear" w:color="auto" w:fill="auto"/>
            <w:vAlign w:val="center"/>
          </w:tcPr>
          <w:p w14:paraId="030D654D">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6F7D0AA3">
            <w:pPr>
              <w:jc w:val="center"/>
              <w:rPr>
                <w:rFonts w:hint="eastAsia" w:ascii="宋体" w:hAnsi="宋体" w:eastAsia="宋体" w:cs="宋体"/>
                <w:i w:val="0"/>
                <w:iCs w:val="0"/>
                <w:color w:val="000000"/>
                <w:sz w:val="24"/>
                <w:szCs w:val="24"/>
                <w:highlight w:val="none"/>
                <w:u w:val="none"/>
              </w:rPr>
            </w:pPr>
          </w:p>
        </w:tc>
      </w:tr>
      <w:tr w14:paraId="0E7D7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28CB1D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2166" w:type="dxa"/>
            <w:vMerge w:val="restart"/>
            <w:shd w:val="clear" w:color="auto" w:fill="auto"/>
            <w:vAlign w:val="center"/>
          </w:tcPr>
          <w:p w14:paraId="46AE1E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六纬路及十二经路南延伸段</w:t>
            </w:r>
          </w:p>
        </w:tc>
        <w:tc>
          <w:tcPr>
            <w:tcW w:w="2001" w:type="dxa"/>
            <w:shd w:val="clear" w:color="auto" w:fill="auto"/>
            <w:vAlign w:val="center"/>
          </w:tcPr>
          <w:p w14:paraId="48CFCBA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7022D87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250E2B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11080</w:t>
            </w:r>
          </w:p>
        </w:tc>
        <w:tc>
          <w:tcPr>
            <w:tcW w:w="1100" w:type="dxa"/>
            <w:shd w:val="clear" w:color="auto" w:fill="auto"/>
            <w:vAlign w:val="center"/>
          </w:tcPr>
          <w:p w14:paraId="0182B82D">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EB95D52">
            <w:pPr>
              <w:jc w:val="center"/>
              <w:rPr>
                <w:rFonts w:hint="eastAsia" w:ascii="宋体" w:hAnsi="宋体" w:eastAsia="宋体" w:cs="宋体"/>
                <w:i w:val="0"/>
                <w:iCs w:val="0"/>
                <w:color w:val="000000"/>
                <w:sz w:val="24"/>
                <w:szCs w:val="24"/>
                <w:highlight w:val="none"/>
                <w:u w:val="none"/>
              </w:rPr>
            </w:pPr>
          </w:p>
        </w:tc>
      </w:tr>
      <w:tr w14:paraId="33E62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03CA883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2166" w:type="dxa"/>
            <w:vMerge w:val="continue"/>
            <w:shd w:val="clear" w:color="auto" w:fill="auto"/>
            <w:vAlign w:val="center"/>
          </w:tcPr>
          <w:p w14:paraId="07DBC41E">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4E7EDC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7D43129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7037BA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186</w:t>
            </w:r>
          </w:p>
        </w:tc>
        <w:tc>
          <w:tcPr>
            <w:tcW w:w="1100" w:type="dxa"/>
            <w:shd w:val="clear" w:color="auto" w:fill="auto"/>
            <w:vAlign w:val="center"/>
          </w:tcPr>
          <w:p w14:paraId="615AC179">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2A7D851F">
            <w:pPr>
              <w:jc w:val="center"/>
              <w:rPr>
                <w:rFonts w:hint="eastAsia" w:ascii="宋体" w:hAnsi="宋体" w:eastAsia="宋体" w:cs="宋体"/>
                <w:i w:val="0"/>
                <w:iCs w:val="0"/>
                <w:color w:val="000000"/>
                <w:sz w:val="24"/>
                <w:szCs w:val="24"/>
                <w:highlight w:val="none"/>
                <w:u w:val="none"/>
              </w:rPr>
            </w:pPr>
          </w:p>
        </w:tc>
      </w:tr>
      <w:tr w14:paraId="375DD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7096BF8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c>
          <w:tcPr>
            <w:tcW w:w="2166" w:type="dxa"/>
            <w:shd w:val="clear" w:color="auto" w:fill="auto"/>
            <w:vAlign w:val="center"/>
          </w:tcPr>
          <w:p w14:paraId="39D547D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广润建材物流仓库以西绿化带</w:t>
            </w:r>
          </w:p>
        </w:tc>
        <w:tc>
          <w:tcPr>
            <w:tcW w:w="2001" w:type="dxa"/>
            <w:shd w:val="clear" w:color="auto" w:fill="auto"/>
            <w:vAlign w:val="center"/>
          </w:tcPr>
          <w:p w14:paraId="275BC6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2DC4D5B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4F23E9D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1089.4</w:t>
            </w:r>
          </w:p>
        </w:tc>
        <w:tc>
          <w:tcPr>
            <w:tcW w:w="1100" w:type="dxa"/>
            <w:shd w:val="clear" w:color="auto" w:fill="auto"/>
            <w:vAlign w:val="center"/>
          </w:tcPr>
          <w:p w14:paraId="4C1E13B3">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B59A6E0">
            <w:pPr>
              <w:jc w:val="center"/>
              <w:rPr>
                <w:rFonts w:hint="eastAsia" w:ascii="宋体" w:hAnsi="宋体" w:eastAsia="宋体" w:cs="宋体"/>
                <w:i w:val="0"/>
                <w:iCs w:val="0"/>
                <w:color w:val="000000"/>
                <w:sz w:val="24"/>
                <w:szCs w:val="24"/>
                <w:highlight w:val="none"/>
                <w:u w:val="none"/>
              </w:rPr>
            </w:pPr>
          </w:p>
        </w:tc>
      </w:tr>
      <w:tr w14:paraId="6E78D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0527C9F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w:t>
            </w:r>
          </w:p>
        </w:tc>
        <w:tc>
          <w:tcPr>
            <w:tcW w:w="2166" w:type="dxa"/>
            <w:shd w:val="clear" w:color="auto" w:fill="auto"/>
            <w:vAlign w:val="center"/>
          </w:tcPr>
          <w:p w14:paraId="65E87E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十六地块区间道</w:t>
            </w:r>
          </w:p>
        </w:tc>
        <w:tc>
          <w:tcPr>
            <w:tcW w:w="2001" w:type="dxa"/>
            <w:shd w:val="clear" w:color="auto" w:fill="auto"/>
            <w:vAlign w:val="center"/>
          </w:tcPr>
          <w:p w14:paraId="35BED3A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658234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6FD064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4132.65</w:t>
            </w:r>
          </w:p>
        </w:tc>
        <w:tc>
          <w:tcPr>
            <w:tcW w:w="1100" w:type="dxa"/>
            <w:shd w:val="clear" w:color="auto" w:fill="auto"/>
            <w:vAlign w:val="center"/>
          </w:tcPr>
          <w:p w14:paraId="03E2FE53">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34792C0A">
            <w:pPr>
              <w:jc w:val="center"/>
              <w:rPr>
                <w:rFonts w:hint="eastAsia" w:ascii="宋体" w:hAnsi="宋体" w:eastAsia="宋体" w:cs="宋体"/>
                <w:i w:val="0"/>
                <w:iCs w:val="0"/>
                <w:color w:val="000000"/>
                <w:sz w:val="24"/>
                <w:szCs w:val="24"/>
                <w:highlight w:val="none"/>
                <w:u w:val="none"/>
              </w:rPr>
            </w:pPr>
          </w:p>
        </w:tc>
      </w:tr>
      <w:tr w14:paraId="27B3E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0A7FF56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w:t>
            </w:r>
          </w:p>
        </w:tc>
        <w:tc>
          <w:tcPr>
            <w:tcW w:w="2166" w:type="dxa"/>
            <w:shd w:val="clear" w:color="auto" w:fill="auto"/>
            <w:vAlign w:val="center"/>
          </w:tcPr>
          <w:p w14:paraId="32BE9B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四纬路（平安北路以西）</w:t>
            </w:r>
          </w:p>
        </w:tc>
        <w:tc>
          <w:tcPr>
            <w:tcW w:w="2001" w:type="dxa"/>
            <w:shd w:val="clear" w:color="auto" w:fill="auto"/>
            <w:vAlign w:val="center"/>
          </w:tcPr>
          <w:p w14:paraId="3C7F0A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4A85329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3EA204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6390</w:t>
            </w:r>
          </w:p>
        </w:tc>
        <w:tc>
          <w:tcPr>
            <w:tcW w:w="1100" w:type="dxa"/>
            <w:shd w:val="clear" w:color="auto" w:fill="auto"/>
            <w:vAlign w:val="center"/>
          </w:tcPr>
          <w:p w14:paraId="7C5AB85C">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41D3EC6F">
            <w:pPr>
              <w:jc w:val="center"/>
              <w:rPr>
                <w:rFonts w:hint="eastAsia" w:ascii="宋体" w:hAnsi="宋体" w:eastAsia="宋体" w:cs="宋体"/>
                <w:i w:val="0"/>
                <w:iCs w:val="0"/>
                <w:color w:val="000000"/>
                <w:sz w:val="24"/>
                <w:szCs w:val="24"/>
                <w:highlight w:val="none"/>
                <w:u w:val="none"/>
              </w:rPr>
            </w:pPr>
          </w:p>
        </w:tc>
      </w:tr>
      <w:tr w14:paraId="14CA5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31DDBEC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13</w:t>
            </w:r>
          </w:p>
        </w:tc>
        <w:tc>
          <w:tcPr>
            <w:tcW w:w="2166" w:type="dxa"/>
            <w:vMerge w:val="restart"/>
            <w:shd w:val="clear" w:color="auto" w:fill="auto"/>
            <w:vAlign w:val="center"/>
          </w:tcPr>
          <w:p w14:paraId="3D6A5DD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平安南路（320国道-五纬路）</w:t>
            </w:r>
          </w:p>
        </w:tc>
        <w:tc>
          <w:tcPr>
            <w:tcW w:w="2001" w:type="dxa"/>
            <w:shd w:val="clear" w:color="auto" w:fill="auto"/>
            <w:vAlign w:val="center"/>
          </w:tcPr>
          <w:p w14:paraId="5CC45C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3BA773C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55379B1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36660</w:t>
            </w:r>
          </w:p>
        </w:tc>
        <w:tc>
          <w:tcPr>
            <w:tcW w:w="1100" w:type="dxa"/>
            <w:shd w:val="clear" w:color="auto" w:fill="auto"/>
            <w:vAlign w:val="center"/>
          </w:tcPr>
          <w:p w14:paraId="4F3903A0">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A8F044D">
            <w:pPr>
              <w:jc w:val="center"/>
              <w:rPr>
                <w:rFonts w:hint="eastAsia" w:ascii="宋体" w:hAnsi="宋体" w:eastAsia="宋体" w:cs="宋体"/>
                <w:i w:val="0"/>
                <w:iCs w:val="0"/>
                <w:color w:val="000000"/>
                <w:sz w:val="24"/>
                <w:szCs w:val="24"/>
                <w:highlight w:val="none"/>
                <w:u w:val="none"/>
              </w:rPr>
            </w:pPr>
          </w:p>
        </w:tc>
      </w:tr>
      <w:tr w14:paraId="16022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6FFA86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w:t>
            </w:r>
          </w:p>
        </w:tc>
        <w:tc>
          <w:tcPr>
            <w:tcW w:w="2166" w:type="dxa"/>
            <w:vMerge w:val="continue"/>
            <w:shd w:val="clear" w:color="auto" w:fill="auto"/>
            <w:vAlign w:val="center"/>
          </w:tcPr>
          <w:p w14:paraId="7E67510C">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72C4B4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32AEB5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4316F4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220</w:t>
            </w:r>
          </w:p>
        </w:tc>
        <w:tc>
          <w:tcPr>
            <w:tcW w:w="1100" w:type="dxa"/>
            <w:shd w:val="clear" w:color="auto" w:fill="auto"/>
            <w:vAlign w:val="center"/>
          </w:tcPr>
          <w:p w14:paraId="08A820B5">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32A8D88F">
            <w:pPr>
              <w:jc w:val="center"/>
              <w:rPr>
                <w:rFonts w:hint="eastAsia" w:ascii="宋体" w:hAnsi="宋体" w:eastAsia="宋体" w:cs="宋体"/>
                <w:i w:val="0"/>
                <w:iCs w:val="0"/>
                <w:color w:val="000000"/>
                <w:sz w:val="24"/>
                <w:szCs w:val="24"/>
                <w:highlight w:val="none"/>
                <w:u w:val="none"/>
              </w:rPr>
            </w:pPr>
          </w:p>
        </w:tc>
      </w:tr>
      <w:tr w14:paraId="15AF6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50910F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15</w:t>
            </w:r>
          </w:p>
        </w:tc>
        <w:tc>
          <w:tcPr>
            <w:tcW w:w="2166" w:type="dxa"/>
            <w:vMerge w:val="restart"/>
            <w:shd w:val="clear" w:color="auto" w:fill="auto"/>
            <w:vAlign w:val="center"/>
          </w:tcPr>
          <w:p w14:paraId="621E248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景秀路</w:t>
            </w:r>
          </w:p>
        </w:tc>
        <w:tc>
          <w:tcPr>
            <w:tcW w:w="2001" w:type="dxa"/>
            <w:shd w:val="clear" w:color="auto" w:fill="auto"/>
            <w:vAlign w:val="center"/>
          </w:tcPr>
          <w:p w14:paraId="45C1D75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33CBB2F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3C6A0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22520</w:t>
            </w:r>
          </w:p>
        </w:tc>
        <w:tc>
          <w:tcPr>
            <w:tcW w:w="1100" w:type="dxa"/>
            <w:shd w:val="clear" w:color="auto" w:fill="auto"/>
            <w:vAlign w:val="center"/>
          </w:tcPr>
          <w:p w14:paraId="6763C476">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189EBF1E">
            <w:pPr>
              <w:jc w:val="center"/>
              <w:rPr>
                <w:rFonts w:hint="eastAsia" w:ascii="宋体" w:hAnsi="宋体" w:eastAsia="宋体" w:cs="宋体"/>
                <w:i w:val="0"/>
                <w:iCs w:val="0"/>
                <w:color w:val="000000"/>
                <w:sz w:val="24"/>
                <w:szCs w:val="24"/>
                <w:highlight w:val="none"/>
                <w:u w:val="none"/>
              </w:rPr>
            </w:pPr>
          </w:p>
        </w:tc>
      </w:tr>
      <w:tr w14:paraId="3F950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1388C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16</w:t>
            </w:r>
          </w:p>
        </w:tc>
        <w:tc>
          <w:tcPr>
            <w:tcW w:w="2166" w:type="dxa"/>
            <w:vMerge w:val="continue"/>
            <w:shd w:val="clear" w:color="auto" w:fill="auto"/>
            <w:vAlign w:val="center"/>
          </w:tcPr>
          <w:p w14:paraId="15A24E78">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4C32FB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1F887A8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0CDF0A8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60</w:t>
            </w:r>
          </w:p>
        </w:tc>
        <w:tc>
          <w:tcPr>
            <w:tcW w:w="1100" w:type="dxa"/>
            <w:shd w:val="clear" w:color="auto" w:fill="auto"/>
            <w:vAlign w:val="center"/>
          </w:tcPr>
          <w:p w14:paraId="001A1AEB">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2308840D">
            <w:pPr>
              <w:jc w:val="center"/>
              <w:rPr>
                <w:rFonts w:hint="eastAsia" w:ascii="宋体" w:hAnsi="宋体" w:eastAsia="宋体" w:cs="宋体"/>
                <w:i w:val="0"/>
                <w:iCs w:val="0"/>
                <w:color w:val="000000"/>
                <w:sz w:val="24"/>
                <w:szCs w:val="24"/>
                <w:highlight w:val="none"/>
                <w:u w:val="none"/>
              </w:rPr>
            </w:pPr>
          </w:p>
        </w:tc>
      </w:tr>
      <w:tr w14:paraId="7D73A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5C2555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17</w:t>
            </w:r>
          </w:p>
        </w:tc>
        <w:tc>
          <w:tcPr>
            <w:tcW w:w="2166" w:type="dxa"/>
            <w:vMerge w:val="restart"/>
            <w:shd w:val="clear" w:color="auto" w:fill="auto"/>
            <w:vAlign w:val="center"/>
          </w:tcPr>
          <w:p w14:paraId="3E8CC5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宝苍路</w:t>
            </w:r>
          </w:p>
        </w:tc>
        <w:tc>
          <w:tcPr>
            <w:tcW w:w="2001" w:type="dxa"/>
            <w:shd w:val="clear" w:color="auto" w:fill="auto"/>
            <w:vAlign w:val="center"/>
          </w:tcPr>
          <w:p w14:paraId="59650FB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15750A4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D6AAF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12320</w:t>
            </w:r>
          </w:p>
        </w:tc>
        <w:tc>
          <w:tcPr>
            <w:tcW w:w="1100" w:type="dxa"/>
            <w:shd w:val="clear" w:color="auto" w:fill="auto"/>
            <w:vAlign w:val="center"/>
          </w:tcPr>
          <w:p w14:paraId="222D98D4">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BC1EE7C">
            <w:pPr>
              <w:jc w:val="center"/>
              <w:rPr>
                <w:rFonts w:hint="eastAsia" w:ascii="宋体" w:hAnsi="宋体" w:eastAsia="宋体" w:cs="宋体"/>
                <w:i w:val="0"/>
                <w:iCs w:val="0"/>
                <w:color w:val="000000"/>
                <w:sz w:val="24"/>
                <w:szCs w:val="24"/>
                <w:highlight w:val="none"/>
                <w:u w:val="none"/>
              </w:rPr>
            </w:pPr>
          </w:p>
        </w:tc>
      </w:tr>
      <w:tr w14:paraId="5529B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7136DB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18</w:t>
            </w:r>
          </w:p>
        </w:tc>
        <w:tc>
          <w:tcPr>
            <w:tcW w:w="2166" w:type="dxa"/>
            <w:vMerge w:val="continue"/>
            <w:shd w:val="clear" w:color="auto" w:fill="auto"/>
            <w:vAlign w:val="center"/>
          </w:tcPr>
          <w:p w14:paraId="317B35CB">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2768C0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5410AB7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1B43A8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214</w:t>
            </w:r>
          </w:p>
        </w:tc>
        <w:tc>
          <w:tcPr>
            <w:tcW w:w="1100" w:type="dxa"/>
            <w:shd w:val="clear" w:color="auto" w:fill="auto"/>
            <w:vAlign w:val="center"/>
          </w:tcPr>
          <w:p w14:paraId="17596B04">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8F0C3EB">
            <w:pPr>
              <w:jc w:val="center"/>
              <w:rPr>
                <w:rFonts w:hint="eastAsia" w:ascii="宋体" w:hAnsi="宋体" w:eastAsia="宋体" w:cs="宋体"/>
                <w:i w:val="0"/>
                <w:iCs w:val="0"/>
                <w:color w:val="000000"/>
                <w:sz w:val="24"/>
                <w:szCs w:val="24"/>
                <w:highlight w:val="none"/>
                <w:u w:val="none"/>
              </w:rPr>
            </w:pPr>
          </w:p>
        </w:tc>
      </w:tr>
      <w:tr w14:paraId="5596D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CE2CC1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19</w:t>
            </w:r>
          </w:p>
        </w:tc>
        <w:tc>
          <w:tcPr>
            <w:tcW w:w="2166" w:type="dxa"/>
            <w:vMerge w:val="restart"/>
            <w:shd w:val="clear" w:color="auto" w:fill="auto"/>
            <w:vAlign w:val="center"/>
          </w:tcPr>
          <w:p w14:paraId="144FC45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岱宝山路（宝苍路-320国道）</w:t>
            </w:r>
          </w:p>
        </w:tc>
        <w:tc>
          <w:tcPr>
            <w:tcW w:w="2001" w:type="dxa"/>
            <w:shd w:val="clear" w:color="auto" w:fill="auto"/>
            <w:vAlign w:val="center"/>
          </w:tcPr>
          <w:p w14:paraId="3DB028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7283110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5F95BFB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19124</w:t>
            </w:r>
          </w:p>
        </w:tc>
        <w:tc>
          <w:tcPr>
            <w:tcW w:w="1100" w:type="dxa"/>
            <w:shd w:val="clear" w:color="auto" w:fill="auto"/>
            <w:vAlign w:val="center"/>
          </w:tcPr>
          <w:p w14:paraId="397A5581">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25C79DB8">
            <w:pPr>
              <w:jc w:val="center"/>
              <w:rPr>
                <w:rFonts w:hint="eastAsia" w:ascii="宋体" w:hAnsi="宋体" w:eastAsia="宋体" w:cs="宋体"/>
                <w:i w:val="0"/>
                <w:iCs w:val="0"/>
                <w:color w:val="000000"/>
                <w:sz w:val="24"/>
                <w:szCs w:val="24"/>
                <w:highlight w:val="none"/>
                <w:u w:val="none"/>
              </w:rPr>
            </w:pPr>
          </w:p>
        </w:tc>
      </w:tr>
      <w:tr w14:paraId="766D0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151D225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w:t>
            </w:r>
          </w:p>
        </w:tc>
        <w:tc>
          <w:tcPr>
            <w:tcW w:w="2166" w:type="dxa"/>
            <w:vMerge w:val="continue"/>
            <w:shd w:val="clear" w:color="auto" w:fill="auto"/>
            <w:vAlign w:val="center"/>
          </w:tcPr>
          <w:p w14:paraId="4C91C703">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529ACFA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42E718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63A706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326</w:t>
            </w:r>
          </w:p>
        </w:tc>
        <w:tc>
          <w:tcPr>
            <w:tcW w:w="1100" w:type="dxa"/>
            <w:shd w:val="clear" w:color="auto" w:fill="auto"/>
            <w:vAlign w:val="center"/>
          </w:tcPr>
          <w:p w14:paraId="370EC361">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83C018E">
            <w:pPr>
              <w:jc w:val="center"/>
              <w:rPr>
                <w:rFonts w:hint="eastAsia" w:ascii="宋体" w:hAnsi="宋体" w:eastAsia="宋体" w:cs="宋体"/>
                <w:i w:val="0"/>
                <w:iCs w:val="0"/>
                <w:color w:val="000000"/>
                <w:sz w:val="24"/>
                <w:szCs w:val="24"/>
                <w:highlight w:val="none"/>
                <w:u w:val="none"/>
              </w:rPr>
            </w:pPr>
          </w:p>
        </w:tc>
      </w:tr>
      <w:tr w14:paraId="52734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55FAABA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21</w:t>
            </w:r>
          </w:p>
        </w:tc>
        <w:tc>
          <w:tcPr>
            <w:tcW w:w="2166" w:type="dxa"/>
            <w:vMerge w:val="restart"/>
            <w:shd w:val="clear" w:color="auto" w:fill="auto"/>
            <w:vAlign w:val="center"/>
          </w:tcPr>
          <w:p w14:paraId="0DEDD2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塔池路</w:t>
            </w:r>
          </w:p>
        </w:tc>
        <w:tc>
          <w:tcPr>
            <w:tcW w:w="2001" w:type="dxa"/>
            <w:shd w:val="clear" w:color="auto" w:fill="auto"/>
            <w:vAlign w:val="center"/>
          </w:tcPr>
          <w:p w14:paraId="01438FF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5B6D2AF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CBE2DA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17470.84</w:t>
            </w:r>
          </w:p>
        </w:tc>
        <w:tc>
          <w:tcPr>
            <w:tcW w:w="1100" w:type="dxa"/>
            <w:shd w:val="clear" w:color="auto" w:fill="auto"/>
            <w:vAlign w:val="center"/>
          </w:tcPr>
          <w:p w14:paraId="24965ABB">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0C594B0C">
            <w:pPr>
              <w:jc w:val="center"/>
              <w:rPr>
                <w:rFonts w:hint="eastAsia" w:ascii="宋体" w:hAnsi="宋体" w:eastAsia="宋体" w:cs="宋体"/>
                <w:i w:val="0"/>
                <w:iCs w:val="0"/>
                <w:color w:val="000000"/>
                <w:sz w:val="24"/>
                <w:szCs w:val="24"/>
                <w:highlight w:val="none"/>
                <w:u w:val="none"/>
              </w:rPr>
            </w:pPr>
          </w:p>
        </w:tc>
      </w:tr>
      <w:tr w14:paraId="00E6C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4D0E29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22</w:t>
            </w:r>
          </w:p>
        </w:tc>
        <w:tc>
          <w:tcPr>
            <w:tcW w:w="2166" w:type="dxa"/>
            <w:vMerge w:val="continue"/>
            <w:shd w:val="clear" w:color="auto" w:fill="auto"/>
            <w:vAlign w:val="center"/>
          </w:tcPr>
          <w:p w14:paraId="686AF4DA">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2CA3BA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1A1F1D8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312621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264</w:t>
            </w:r>
          </w:p>
        </w:tc>
        <w:tc>
          <w:tcPr>
            <w:tcW w:w="1100" w:type="dxa"/>
            <w:shd w:val="clear" w:color="auto" w:fill="auto"/>
            <w:vAlign w:val="center"/>
          </w:tcPr>
          <w:p w14:paraId="4B6BA915">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143BCE16">
            <w:pPr>
              <w:jc w:val="center"/>
              <w:rPr>
                <w:rFonts w:hint="eastAsia" w:ascii="宋体" w:hAnsi="宋体" w:eastAsia="宋体" w:cs="宋体"/>
                <w:i w:val="0"/>
                <w:iCs w:val="0"/>
                <w:color w:val="000000"/>
                <w:sz w:val="24"/>
                <w:szCs w:val="24"/>
                <w:highlight w:val="none"/>
                <w:u w:val="none"/>
              </w:rPr>
            </w:pPr>
          </w:p>
        </w:tc>
      </w:tr>
      <w:tr w14:paraId="7C0EE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7DD0F06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23</w:t>
            </w:r>
          </w:p>
        </w:tc>
        <w:tc>
          <w:tcPr>
            <w:tcW w:w="2166" w:type="dxa"/>
            <w:vMerge w:val="continue"/>
            <w:shd w:val="clear" w:color="auto" w:fill="auto"/>
            <w:vAlign w:val="center"/>
          </w:tcPr>
          <w:p w14:paraId="48D30803">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00B1B87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3FC01F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7C43B4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2081.16</w:t>
            </w:r>
          </w:p>
        </w:tc>
        <w:tc>
          <w:tcPr>
            <w:tcW w:w="1100" w:type="dxa"/>
            <w:shd w:val="clear" w:color="auto" w:fill="auto"/>
            <w:vAlign w:val="center"/>
          </w:tcPr>
          <w:p w14:paraId="22F6EA93">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1A55C9AF">
            <w:pPr>
              <w:jc w:val="center"/>
              <w:rPr>
                <w:rFonts w:hint="eastAsia" w:ascii="宋体" w:hAnsi="宋体" w:eastAsia="宋体" w:cs="宋体"/>
                <w:i w:val="0"/>
                <w:iCs w:val="0"/>
                <w:color w:val="000000"/>
                <w:sz w:val="24"/>
                <w:szCs w:val="24"/>
                <w:highlight w:val="none"/>
                <w:u w:val="none"/>
              </w:rPr>
            </w:pPr>
          </w:p>
        </w:tc>
      </w:tr>
      <w:tr w14:paraId="5A908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033D1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24</w:t>
            </w:r>
          </w:p>
        </w:tc>
        <w:tc>
          <w:tcPr>
            <w:tcW w:w="2166" w:type="dxa"/>
            <w:vMerge w:val="restart"/>
            <w:shd w:val="clear" w:color="auto" w:fill="auto"/>
            <w:vAlign w:val="center"/>
          </w:tcPr>
          <w:p w14:paraId="6B85AD7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平安北路</w:t>
            </w:r>
          </w:p>
        </w:tc>
        <w:tc>
          <w:tcPr>
            <w:tcW w:w="2001" w:type="dxa"/>
            <w:shd w:val="clear" w:color="auto" w:fill="auto"/>
            <w:vAlign w:val="center"/>
          </w:tcPr>
          <w:p w14:paraId="541365D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2278CEE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6F2B957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30000</w:t>
            </w:r>
          </w:p>
        </w:tc>
        <w:tc>
          <w:tcPr>
            <w:tcW w:w="1100" w:type="dxa"/>
            <w:shd w:val="clear" w:color="auto" w:fill="auto"/>
            <w:vAlign w:val="center"/>
          </w:tcPr>
          <w:p w14:paraId="7127D752">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308A56D">
            <w:pPr>
              <w:jc w:val="center"/>
              <w:rPr>
                <w:rFonts w:hint="eastAsia" w:ascii="宋体" w:hAnsi="宋体" w:eastAsia="宋体" w:cs="宋体"/>
                <w:i w:val="0"/>
                <w:iCs w:val="0"/>
                <w:color w:val="000000"/>
                <w:sz w:val="24"/>
                <w:szCs w:val="24"/>
                <w:highlight w:val="none"/>
                <w:u w:val="none"/>
              </w:rPr>
            </w:pPr>
          </w:p>
        </w:tc>
      </w:tr>
      <w:tr w14:paraId="7F85E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28ECC94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25</w:t>
            </w:r>
          </w:p>
        </w:tc>
        <w:tc>
          <w:tcPr>
            <w:tcW w:w="2166" w:type="dxa"/>
            <w:vMerge w:val="continue"/>
            <w:shd w:val="clear" w:color="auto" w:fill="auto"/>
            <w:vAlign w:val="center"/>
          </w:tcPr>
          <w:p w14:paraId="539D5830">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05EB248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39EB250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16F7C4B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1470</w:t>
            </w:r>
          </w:p>
        </w:tc>
        <w:tc>
          <w:tcPr>
            <w:tcW w:w="1100" w:type="dxa"/>
            <w:shd w:val="clear" w:color="auto" w:fill="auto"/>
            <w:vAlign w:val="center"/>
          </w:tcPr>
          <w:p w14:paraId="29D40F1A">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F4198D2">
            <w:pPr>
              <w:jc w:val="center"/>
              <w:rPr>
                <w:rFonts w:hint="eastAsia" w:ascii="宋体" w:hAnsi="宋体" w:eastAsia="宋体" w:cs="宋体"/>
                <w:i w:val="0"/>
                <w:iCs w:val="0"/>
                <w:color w:val="000000"/>
                <w:sz w:val="24"/>
                <w:szCs w:val="24"/>
                <w:highlight w:val="none"/>
                <w:u w:val="none"/>
              </w:rPr>
            </w:pPr>
          </w:p>
        </w:tc>
      </w:tr>
      <w:tr w14:paraId="4960C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3A1247C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26</w:t>
            </w:r>
          </w:p>
        </w:tc>
        <w:tc>
          <w:tcPr>
            <w:tcW w:w="2166" w:type="dxa"/>
            <w:vMerge w:val="restart"/>
            <w:shd w:val="clear" w:color="auto" w:fill="auto"/>
            <w:vAlign w:val="center"/>
          </w:tcPr>
          <w:p w14:paraId="3B8A114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天洁东路延伸段（南站路-十六经路）</w:t>
            </w:r>
          </w:p>
        </w:tc>
        <w:tc>
          <w:tcPr>
            <w:tcW w:w="2001" w:type="dxa"/>
            <w:shd w:val="clear" w:color="auto" w:fill="auto"/>
            <w:vAlign w:val="center"/>
          </w:tcPr>
          <w:p w14:paraId="28277B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4C8D9C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7E59E27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97700</w:t>
            </w:r>
          </w:p>
        </w:tc>
        <w:tc>
          <w:tcPr>
            <w:tcW w:w="1100" w:type="dxa"/>
            <w:shd w:val="clear" w:color="auto" w:fill="auto"/>
            <w:vAlign w:val="center"/>
          </w:tcPr>
          <w:p w14:paraId="7492BA89">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29AEA38">
            <w:pPr>
              <w:jc w:val="center"/>
              <w:rPr>
                <w:rFonts w:hint="eastAsia" w:ascii="宋体" w:hAnsi="宋体" w:eastAsia="宋体" w:cs="宋体"/>
                <w:i w:val="0"/>
                <w:iCs w:val="0"/>
                <w:color w:val="000000"/>
                <w:sz w:val="24"/>
                <w:szCs w:val="24"/>
                <w:highlight w:val="none"/>
                <w:u w:val="none"/>
              </w:rPr>
            </w:pPr>
          </w:p>
        </w:tc>
      </w:tr>
      <w:tr w14:paraId="0EF95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ED1B79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27</w:t>
            </w:r>
          </w:p>
        </w:tc>
        <w:tc>
          <w:tcPr>
            <w:tcW w:w="2166" w:type="dxa"/>
            <w:vMerge w:val="continue"/>
            <w:shd w:val="clear" w:color="auto" w:fill="auto"/>
            <w:vAlign w:val="center"/>
          </w:tcPr>
          <w:p w14:paraId="6D775BC7">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031B5F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1DC29C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03154FB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636</w:t>
            </w:r>
          </w:p>
        </w:tc>
        <w:tc>
          <w:tcPr>
            <w:tcW w:w="1100" w:type="dxa"/>
            <w:shd w:val="clear" w:color="auto" w:fill="auto"/>
            <w:vAlign w:val="center"/>
          </w:tcPr>
          <w:p w14:paraId="699C2EAD">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0561671E">
            <w:pPr>
              <w:jc w:val="center"/>
              <w:rPr>
                <w:rFonts w:hint="eastAsia" w:ascii="宋体" w:hAnsi="宋体" w:eastAsia="宋体" w:cs="宋体"/>
                <w:i w:val="0"/>
                <w:iCs w:val="0"/>
                <w:color w:val="000000"/>
                <w:sz w:val="24"/>
                <w:szCs w:val="24"/>
                <w:highlight w:val="none"/>
                <w:u w:val="none"/>
              </w:rPr>
            </w:pPr>
          </w:p>
        </w:tc>
      </w:tr>
      <w:tr w14:paraId="2D5EA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19A267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28</w:t>
            </w:r>
          </w:p>
        </w:tc>
        <w:tc>
          <w:tcPr>
            <w:tcW w:w="2166" w:type="dxa"/>
            <w:vMerge w:val="continue"/>
            <w:shd w:val="clear" w:color="auto" w:fill="auto"/>
            <w:vAlign w:val="center"/>
          </w:tcPr>
          <w:p w14:paraId="20EB3134">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4AA6265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774C55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5AD079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4600</w:t>
            </w:r>
          </w:p>
        </w:tc>
        <w:tc>
          <w:tcPr>
            <w:tcW w:w="1100" w:type="dxa"/>
            <w:shd w:val="clear" w:color="auto" w:fill="auto"/>
            <w:vAlign w:val="center"/>
          </w:tcPr>
          <w:p w14:paraId="54A39D12">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6794B754">
            <w:pPr>
              <w:jc w:val="center"/>
              <w:rPr>
                <w:rFonts w:hint="eastAsia" w:ascii="宋体" w:hAnsi="宋体" w:eastAsia="宋体" w:cs="宋体"/>
                <w:i w:val="0"/>
                <w:iCs w:val="0"/>
                <w:color w:val="000000"/>
                <w:sz w:val="24"/>
                <w:szCs w:val="24"/>
                <w:highlight w:val="none"/>
                <w:u w:val="none"/>
              </w:rPr>
            </w:pPr>
          </w:p>
        </w:tc>
      </w:tr>
      <w:tr w14:paraId="5203C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3C67642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29</w:t>
            </w:r>
          </w:p>
        </w:tc>
        <w:tc>
          <w:tcPr>
            <w:tcW w:w="2166" w:type="dxa"/>
            <w:vMerge w:val="restart"/>
            <w:shd w:val="clear" w:color="auto" w:fill="auto"/>
            <w:vAlign w:val="center"/>
          </w:tcPr>
          <w:p w14:paraId="210406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十六经路道路</w:t>
            </w:r>
          </w:p>
        </w:tc>
        <w:tc>
          <w:tcPr>
            <w:tcW w:w="2001" w:type="dxa"/>
            <w:shd w:val="clear" w:color="auto" w:fill="auto"/>
            <w:vAlign w:val="center"/>
          </w:tcPr>
          <w:p w14:paraId="61B6CF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4380BEF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49C7AC2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30770</w:t>
            </w:r>
          </w:p>
        </w:tc>
        <w:tc>
          <w:tcPr>
            <w:tcW w:w="1100" w:type="dxa"/>
            <w:shd w:val="clear" w:color="auto" w:fill="auto"/>
            <w:vAlign w:val="center"/>
          </w:tcPr>
          <w:p w14:paraId="64EE1C0D">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64FFBD6">
            <w:pPr>
              <w:jc w:val="center"/>
              <w:rPr>
                <w:rFonts w:hint="eastAsia" w:ascii="宋体" w:hAnsi="宋体" w:eastAsia="宋体" w:cs="宋体"/>
                <w:i w:val="0"/>
                <w:iCs w:val="0"/>
                <w:color w:val="000000"/>
                <w:sz w:val="24"/>
                <w:szCs w:val="24"/>
                <w:highlight w:val="none"/>
                <w:u w:val="none"/>
              </w:rPr>
            </w:pPr>
          </w:p>
        </w:tc>
      </w:tr>
      <w:tr w14:paraId="71927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6B4A56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30</w:t>
            </w:r>
          </w:p>
        </w:tc>
        <w:tc>
          <w:tcPr>
            <w:tcW w:w="2166" w:type="dxa"/>
            <w:vMerge w:val="continue"/>
            <w:shd w:val="clear" w:color="auto" w:fill="auto"/>
            <w:vAlign w:val="center"/>
          </w:tcPr>
          <w:p w14:paraId="273E9844">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186010A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076E02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76A8C2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328</w:t>
            </w:r>
          </w:p>
        </w:tc>
        <w:tc>
          <w:tcPr>
            <w:tcW w:w="1100" w:type="dxa"/>
            <w:shd w:val="clear" w:color="auto" w:fill="auto"/>
            <w:vAlign w:val="center"/>
          </w:tcPr>
          <w:p w14:paraId="50BCC643">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22140AA6">
            <w:pPr>
              <w:jc w:val="center"/>
              <w:rPr>
                <w:rFonts w:hint="eastAsia" w:ascii="宋体" w:hAnsi="宋体" w:eastAsia="宋体" w:cs="宋体"/>
                <w:i w:val="0"/>
                <w:iCs w:val="0"/>
                <w:color w:val="000000"/>
                <w:sz w:val="24"/>
                <w:szCs w:val="24"/>
                <w:highlight w:val="none"/>
                <w:u w:val="none"/>
              </w:rPr>
            </w:pPr>
          </w:p>
        </w:tc>
      </w:tr>
      <w:tr w14:paraId="14A7A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3469A82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31</w:t>
            </w:r>
          </w:p>
        </w:tc>
        <w:tc>
          <w:tcPr>
            <w:tcW w:w="2166" w:type="dxa"/>
            <w:vMerge w:val="restart"/>
            <w:shd w:val="clear" w:color="auto" w:fill="auto"/>
            <w:vAlign w:val="center"/>
          </w:tcPr>
          <w:p w14:paraId="6EAD912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十五经路</w:t>
            </w:r>
          </w:p>
        </w:tc>
        <w:tc>
          <w:tcPr>
            <w:tcW w:w="2001" w:type="dxa"/>
            <w:shd w:val="clear" w:color="auto" w:fill="auto"/>
            <w:vAlign w:val="center"/>
          </w:tcPr>
          <w:p w14:paraId="48E1C0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71278A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208699B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28000</w:t>
            </w:r>
          </w:p>
        </w:tc>
        <w:tc>
          <w:tcPr>
            <w:tcW w:w="1100" w:type="dxa"/>
            <w:shd w:val="clear" w:color="auto" w:fill="auto"/>
            <w:vAlign w:val="center"/>
          </w:tcPr>
          <w:p w14:paraId="12BD5296">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D557821">
            <w:pPr>
              <w:jc w:val="center"/>
              <w:rPr>
                <w:rFonts w:hint="eastAsia" w:ascii="宋体" w:hAnsi="宋体" w:eastAsia="宋体" w:cs="宋体"/>
                <w:i w:val="0"/>
                <w:iCs w:val="0"/>
                <w:color w:val="000000"/>
                <w:sz w:val="24"/>
                <w:szCs w:val="24"/>
                <w:highlight w:val="none"/>
                <w:u w:val="none"/>
              </w:rPr>
            </w:pPr>
          </w:p>
        </w:tc>
      </w:tr>
      <w:tr w14:paraId="5F308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1F982E6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w:t>
            </w:r>
          </w:p>
        </w:tc>
        <w:tc>
          <w:tcPr>
            <w:tcW w:w="2166" w:type="dxa"/>
            <w:vMerge w:val="continue"/>
            <w:shd w:val="clear" w:color="auto" w:fill="auto"/>
            <w:vAlign w:val="center"/>
          </w:tcPr>
          <w:p w14:paraId="6DFE1573">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1B870E1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13A4094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58D6901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328</w:t>
            </w:r>
          </w:p>
        </w:tc>
        <w:tc>
          <w:tcPr>
            <w:tcW w:w="1100" w:type="dxa"/>
            <w:shd w:val="clear" w:color="auto" w:fill="auto"/>
            <w:vAlign w:val="center"/>
          </w:tcPr>
          <w:p w14:paraId="20BF688E">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6233C248">
            <w:pPr>
              <w:jc w:val="center"/>
              <w:rPr>
                <w:rFonts w:hint="eastAsia" w:ascii="宋体" w:hAnsi="宋体" w:eastAsia="宋体" w:cs="宋体"/>
                <w:i w:val="0"/>
                <w:iCs w:val="0"/>
                <w:color w:val="000000"/>
                <w:sz w:val="24"/>
                <w:szCs w:val="24"/>
                <w:highlight w:val="none"/>
                <w:u w:val="none"/>
              </w:rPr>
            </w:pPr>
          </w:p>
        </w:tc>
      </w:tr>
      <w:tr w14:paraId="5D4FF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B3D60E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33</w:t>
            </w:r>
          </w:p>
        </w:tc>
        <w:tc>
          <w:tcPr>
            <w:tcW w:w="2166" w:type="dxa"/>
            <w:vMerge w:val="restart"/>
            <w:shd w:val="clear" w:color="auto" w:fill="auto"/>
            <w:vAlign w:val="center"/>
          </w:tcPr>
          <w:p w14:paraId="1805644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十二经路</w:t>
            </w:r>
          </w:p>
        </w:tc>
        <w:tc>
          <w:tcPr>
            <w:tcW w:w="2001" w:type="dxa"/>
            <w:shd w:val="clear" w:color="auto" w:fill="auto"/>
            <w:vAlign w:val="center"/>
          </w:tcPr>
          <w:p w14:paraId="4CBE73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4D63D35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F0E99A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12420</w:t>
            </w:r>
          </w:p>
        </w:tc>
        <w:tc>
          <w:tcPr>
            <w:tcW w:w="1100" w:type="dxa"/>
            <w:shd w:val="clear" w:color="auto" w:fill="auto"/>
            <w:vAlign w:val="center"/>
          </w:tcPr>
          <w:p w14:paraId="34CB08A4">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2872942F">
            <w:pPr>
              <w:jc w:val="center"/>
              <w:rPr>
                <w:rFonts w:hint="eastAsia" w:ascii="宋体" w:hAnsi="宋体" w:eastAsia="宋体" w:cs="宋体"/>
                <w:i w:val="0"/>
                <w:iCs w:val="0"/>
                <w:color w:val="000000"/>
                <w:sz w:val="24"/>
                <w:szCs w:val="24"/>
                <w:highlight w:val="none"/>
                <w:u w:val="none"/>
              </w:rPr>
            </w:pPr>
          </w:p>
        </w:tc>
      </w:tr>
      <w:tr w14:paraId="14AE8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2B5647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34</w:t>
            </w:r>
          </w:p>
        </w:tc>
        <w:tc>
          <w:tcPr>
            <w:tcW w:w="2166" w:type="dxa"/>
            <w:vMerge w:val="continue"/>
            <w:shd w:val="clear" w:color="auto" w:fill="auto"/>
            <w:vAlign w:val="center"/>
          </w:tcPr>
          <w:p w14:paraId="0CC739AD">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1F6B3E4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74BCD1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66028C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230</w:t>
            </w:r>
          </w:p>
        </w:tc>
        <w:tc>
          <w:tcPr>
            <w:tcW w:w="1100" w:type="dxa"/>
            <w:shd w:val="clear" w:color="auto" w:fill="auto"/>
            <w:vAlign w:val="center"/>
          </w:tcPr>
          <w:p w14:paraId="156220A4">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728AA57">
            <w:pPr>
              <w:jc w:val="center"/>
              <w:rPr>
                <w:rFonts w:hint="eastAsia" w:ascii="宋体" w:hAnsi="宋体" w:eastAsia="宋体" w:cs="宋体"/>
                <w:i w:val="0"/>
                <w:iCs w:val="0"/>
                <w:color w:val="000000"/>
                <w:sz w:val="24"/>
                <w:szCs w:val="24"/>
                <w:highlight w:val="none"/>
                <w:u w:val="none"/>
              </w:rPr>
            </w:pPr>
          </w:p>
        </w:tc>
      </w:tr>
      <w:tr w14:paraId="4E746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B4AAB7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35</w:t>
            </w:r>
          </w:p>
        </w:tc>
        <w:tc>
          <w:tcPr>
            <w:tcW w:w="2166" w:type="dxa"/>
            <w:vMerge w:val="restart"/>
            <w:shd w:val="clear" w:color="auto" w:fill="auto"/>
            <w:vAlign w:val="center"/>
          </w:tcPr>
          <w:p w14:paraId="09BDFC9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十四经路</w:t>
            </w:r>
          </w:p>
        </w:tc>
        <w:tc>
          <w:tcPr>
            <w:tcW w:w="2001" w:type="dxa"/>
            <w:shd w:val="clear" w:color="auto" w:fill="auto"/>
            <w:vAlign w:val="center"/>
          </w:tcPr>
          <w:p w14:paraId="401A3F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779313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38CF48E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58154</w:t>
            </w:r>
          </w:p>
        </w:tc>
        <w:tc>
          <w:tcPr>
            <w:tcW w:w="1100" w:type="dxa"/>
            <w:shd w:val="clear" w:color="auto" w:fill="auto"/>
            <w:vAlign w:val="center"/>
          </w:tcPr>
          <w:p w14:paraId="1C8E01BB">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4498610A">
            <w:pPr>
              <w:jc w:val="center"/>
              <w:rPr>
                <w:rFonts w:hint="eastAsia" w:ascii="宋体" w:hAnsi="宋体" w:eastAsia="宋体" w:cs="宋体"/>
                <w:i w:val="0"/>
                <w:iCs w:val="0"/>
                <w:color w:val="000000"/>
                <w:sz w:val="24"/>
                <w:szCs w:val="24"/>
                <w:highlight w:val="none"/>
                <w:u w:val="none"/>
              </w:rPr>
            </w:pPr>
          </w:p>
        </w:tc>
      </w:tr>
      <w:tr w14:paraId="5747C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1F0A9D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36</w:t>
            </w:r>
          </w:p>
        </w:tc>
        <w:tc>
          <w:tcPr>
            <w:tcW w:w="2166" w:type="dxa"/>
            <w:vMerge w:val="continue"/>
            <w:shd w:val="clear" w:color="auto" w:fill="auto"/>
            <w:vAlign w:val="center"/>
          </w:tcPr>
          <w:p w14:paraId="1E0D5578">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6B6D12E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4AF5BF0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71BF49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384</w:t>
            </w:r>
          </w:p>
        </w:tc>
        <w:tc>
          <w:tcPr>
            <w:tcW w:w="1100" w:type="dxa"/>
            <w:shd w:val="clear" w:color="auto" w:fill="auto"/>
            <w:vAlign w:val="center"/>
          </w:tcPr>
          <w:p w14:paraId="23126605">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A0851BD">
            <w:pPr>
              <w:jc w:val="center"/>
              <w:rPr>
                <w:rFonts w:hint="eastAsia" w:ascii="宋体" w:hAnsi="宋体" w:eastAsia="宋体" w:cs="宋体"/>
                <w:i w:val="0"/>
                <w:iCs w:val="0"/>
                <w:color w:val="000000"/>
                <w:sz w:val="24"/>
                <w:szCs w:val="24"/>
                <w:highlight w:val="none"/>
                <w:u w:val="none"/>
              </w:rPr>
            </w:pPr>
          </w:p>
        </w:tc>
      </w:tr>
      <w:tr w14:paraId="31606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092F25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37</w:t>
            </w:r>
          </w:p>
        </w:tc>
        <w:tc>
          <w:tcPr>
            <w:tcW w:w="2166" w:type="dxa"/>
            <w:vMerge w:val="continue"/>
            <w:shd w:val="clear" w:color="auto" w:fill="auto"/>
            <w:vAlign w:val="center"/>
          </w:tcPr>
          <w:p w14:paraId="08CDE8C7">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0650C8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22E19A8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75B5F2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7218.64</w:t>
            </w:r>
          </w:p>
        </w:tc>
        <w:tc>
          <w:tcPr>
            <w:tcW w:w="1100" w:type="dxa"/>
            <w:shd w:val="clear" w:color="auto" w:fill="auto"/>
            <w:vAlign w:val="center"/>
          </w:tcPr>
          <w:p w14:paraId="1981AFFC">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3EAF3EF8">
            <w:pPr>
              <w:jc w:val="center"/>
              <w:rPr>
                <w:rFonts w:hint="eastAsia" w:ascii="宋体" w:hAnsi="宋体" w:eastAsia="宋体" w:cs="宋体"/>
                <w:i w:val="0"/>
                <w:iCs w:val="0"/>
                <w:color w:val="000000"/>
                <w:sz w:val="24"/>
                <w:szCs w:val="24"/>
                <w:highlight w:val="none"/>
                <w:u w:val="none"/>
              </w:rPr>
            </w:pPr>
          </w:p>
        </w:tc>
      </w:tr>
      <w:tr w14:paraId="0A249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007F8D6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38</w:t>
            </w:r>
          </w:p>
        </w:tc>
        <w:tc>
          <w:tcPr>
            <w:tcW w:w="2166" w:type="dxa"/>
            <w:vMerge w:val="restart"/>
            <w:shd w:val="clear" w:color="auto" w:fill="auto"/>
            <w:vAlign w:val="center"/>
          </w:tcPr>
          <w:p w14:paraId="7756F0A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三纬东路南</w:t>
            </w:r>
          </w:p>
        </w:tc>
        <w:tc>
          <w:tcPr>
            <w:tcW w:w="2001" w:type="dxa"/>
            <w:shd w:val="clear" w:color="auto" w:fill="auto"/>
            <w:vAlign w:val="center"/>
          </w:tcPr>
          <w:p w14:paraId="2484D74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19C2DDB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2AEC38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20776</w:t>
            </w:r>
          </w:p>
        </w:tc>
        <w:tc>
          <w:tcPr>
            <w:tcW w:w="1100" w:type="dxa"/>
            <w:shd w:val="clear" w:color="auto" w:fill="auto"/>
            <w:vAlign w:val="center"/>
          </w:tcPr>
          <w:p w14:paraId="4D954905">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47B8862C">
            <w:pPr>
              <w:jc w:val="center"/>
              <w:rPr>
                <w:rFonts w:hint="eastAsia" w:ascii="宋体" w:hAnsi="宋体" w:eastAsia="宋体" w:cs="宋体"/>
                <w:i w:val="0"/>
                <w:iCs w:val="0"/>
                <w:color w:val="000000"/>
                <w:sz w:val="24"/>
                <w:szCs w:val="24"/>
                <w:highlight w:val="none"/>
                <w:u w:val="none"/>
              </w:rPr>
            </w:pPr>
          </w:p>
        </w:tc>
      </w:tr>
      <w:tr w14:paraId="0E614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37861F7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39</w:t>
            </w:r>
          </w:p>
        </w:tc>
        <w:tc>
          <w:tcPr>
            <w:tcW w:w="2166" w:type="dxa"/>
            <w:vMerge w:val="continue"/>
            <w:shd w:val="clear" w:color="auto" w:fill="auto"/>
            <w:vAlign w:val="center"/>
          </w:tcPr>
          <w:p w14:paraId="176E91A1">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500128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行道树池</w:t>
            </w:r>
          </w:p>
        </w:tc>
        <w:tc>
          <w:tcPr>
            <w:tcW w:w="1096" w:type="dxa"/>
            <w:shd w:val="clear" w:color="auto" w:fill="auto"/>
            <w:vAlign w:val="center"/>
          </w:tcPr>
          <w:p w14:paraId="433A7E9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个</w:t>
            </w:r>
          </w:p>
        </w:tc>
        <w:tc>
          <w:tcPr>
            <w:tcW w:w="1176" w:type="dxa"/>
            <w:shd w:val="clear" w:color="auto" w:fill="auto"/>
            <w:vAlign w:val="center"/>
          </w:tcPr>
          <w:p w14:paraId="4E348BE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246</w:t>
            </w:r>
          </w:p>
        </w:tc>
        <w:tc>
          <w:tcPr>
            <w:tcW w:w="1100" w:type="dxa"/>
            <w:shd w:val="clear" w:color="auto" w:fill="auto"/>
            <w:vAlign w:val="center"/>
          </w:tcPr>
          <w:p w14:paraId="089DB518">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03B095B4">
            <w:pPr>
              <w:jc w:val="center"/>
              <w:rPr>
                <w:rFonts w:hint="eastAsia" w:ascii="宋体" w:hAnsi="宋体" w:eastAsia="宋体" w:cs="宋体"/>
                <w:i w:val="0"/>
                <w:iCs w:val="0"/>
                <w:color w:val="000000"/>
                <w:sz w:val="24"/>
                <w:szCs w:val="24"/>
                <w:highlight w:val="none"/>
                <w:u w:val="none"/>
              </w:rPr>
            </w:pPr>
          </w:p>
        </w:tc>
      </w:tr>
      <w:tr w14:paraId="25B03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412962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40</w:t>
            </w:r>
          </w:p>
        </w:tc>
        <w:tc>
          <w:tcPr>
            <w:tcW w:w="2166" w:type="dxa"/>
            <w:shd w:val="clear" w:color="auto" w:fill="auto"/>
            <w:vAlign w:val="center"/>
          </w:tcPr>
          <w:p w14:paraId="682BF6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320国道南侧区间道</w:t>
            </w:r>
          </w:p>
        </w:tc>
        <w:tc>
          <w:tcPr>
            <w:tcW w:w="2001" w:type="dxa"/>
            <w:shd w:val="clear" w:color="auto" w:fill="auto"/>
            <w:vAlign w:val="center"/>
          </w:tcPr>
          <w:p w14:paraId="3C8C8C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2B6E86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6CCBB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3600</w:t>
            </w:r>
          </w:p>
        </w:tc>
        <w:tc>
          <w:tcPr>
            <w:tcW w:w="1100" w:type="dxa"/>
            <w:shd w:val="clear" w:color="auto" w:fill="auto"/>
            <w:vAlign w:val="center"/>
          </w:tcPr>
          <w:p w14:paraId="50B5D66C">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FC832A9">
            <w:pPr>
              <w:jc w:val="center"/>
              <w:rPr>
                <w:rFonts w:hint="eastAsia" w:ascii="宋体" w:hAnsi="宋体" w:eastAsia="宋体" w:cs="宋体"/>
                <w:i w:val="0"/>
                <w:iCs w:val="0"/>
                <w:color w:val="000000"/>
                <w:sz w:val="24"/>
                <w:szCs w:val="24"/>
                <w:highlight w:val="none"/>
                <w:u w:val="none"/>
              </w:rPr>
            </w:pPr>
          </w:p>
        </w:tc>
      </w:tr>
      <w:tr w14:paraId="3112A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151B9EA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41</w:t>
            </w:r>
          </w:p>
        </w:tc>
        <w:tc>
          <w:tcPr>
            <w:tcW w:w="2166" w:type="dxa"/>
            <w:shd w:val="clear" w:color="auto" w:fill="auto"/>
            <w:vAlign w:val="center"/>
          </w:tcPr>
          <w:p w14:paraId="06C19C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320国道两侧（下桂路口-东川路口）</w:t>
            </w:r>
          </w:p>
        </w:tc>
        <w:tc>
          <w:tcPr>
            <w:tcW w:w="2001" w:type="dxa"/>
            <w:shd w:val="clear" w:color="auto" w:fill="auto"/>
            <w:vAlign w:val="center"/>
          </w:tcPr>
          <w:p w14:paraId="31B1CFF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5C4F53C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m3</w:t>
            </w:r>
          </w:p>
        </w:tc>
        <w:tc>
          <w:tcPr>
            <w:tcW w:w="1176" w:type="dxa"/>
            <w:shd w:val="clear" w:color="auto" w:fill="auto"/>
            <w:vAlign w:val="center"/>
          </w:tcPr>
          <w:p w14:paraId="591C9CF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34520.61</w:t>
            </w:r>
          </w:p>
        </w:tc>
        <w:tc>
          <w:tcPr>
            <w:tcW w:w="1100" w:type="dxa"/>
            <w:shd w:val="clear" w:color="auto" w:fill="auto"/>
            <w:vAlign w:val="center"/>
          </w:tcPr>
          <w:p w14:paraId="18122EA4">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01789E00">
            <w:pPr>
              <w:jc w:val="center"/>
              <w:rPr>
                <w:rFonts w:hint="eastAsia" w:ascii="宋体" w:hAnsi="宋体" w:eastAsia="宋体" w:cs="宋体"/>
                <w:i w:val="0"/>
                <w:iCs w:val="0"/>
                <w:color w:val="000000"/>
                <w:sz w:val="24"/>
                <w:szCs w:val="24"/>
                <w:highlight w:val="none"/>
                <w:u w:val="none"/>
              </w:rPr>
            </w:pPr>
          </w:p>
        </w:tc>
      </w:tr>
      <w:tr w14:paraId="44C00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22B2E3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42</w:t>
            </w:r>
          </w:p>
        </w:tc>
        <w:tc>
          <w:tcPr>
            <w:tcW w:w="2166" w:type="dxa"/>
            <w:shd w:val="clear" w:color="auto" w:fill="auto"/>
            <w:vAlign w:val="center"/>
          </w:tcPr>
          <w:p w14:paraId="6FB68A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平安路路口</w:t>
            </w:r>
          </w:p>
        </w:tc>
        <w:tc>
          <w:tcPr>
            <w:tcW w:w="2001" w:type="dxa"/>
            <w:shd w:val="clear" w:color="auto" w:fill="auto"/>
            <w:vAlign w:val="center"/>
          </w:tcPr>
          <w:p w14:paraId="4891EB9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723129E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7C3229E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1427.47</w:t>
            </w:r>
          </w:p>
        </w:tc>
        <w:tc>
          <w:tcPr>
            <w:tcW w:w="1100" w:type="dxa"/>
            <w:shd w:val="clear" w:color="auto" w:fill="auto"/>
            <w:vAlign w:val="center"/>
          </w:tcPr>
          <w:p w14:paraId="34F8C022">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20E7B71">
            <w:pPr>
              <w:jc w:val="center"/>
              <w:rPr>
                <w:rFonts w:hint="eastAsia" w:ascii="宋体" w:hAnsi="宋体" w:eastAsia="宋体" w:cs="宋体"/>
                <w:i w:val="0"/>
                <w:iCs w:val="0"/>
                <w:color w:val="000000"/>
                <w:sz w:val="24"/>
                <w:szCs w:val="24"/>
                <w:highlight w:val="none"/>
                <w:u w:val="none"/>
              </w:rPr>
            </w:pPr>
          </w:p>
        </w:tc>
      </w:tr>
      <w:tr w14:paraId="2CCC1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EC0874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43</w:t>
            </w:r>
          </w:p>
        </w:tc>
        <w:tc>
          <w:tcPr>
            <w:tcW w:w="2166" w:type="dxa"/>
            <w:shd w:val="clear" w:color="auto" w:fill="auto"/>
            <w:vAlign w:val="center"/>
          </w:tcPr>
          <w:p w14:paraId="647EC13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岱宝山路（括苍一、二期西侧）</w:t>
            </w:r>
          </w:p>
        </w:tc>
        <w:tc>
          <w:tcPr>
            <w:tcW w:w="2001" w:type="dxa"/>
            <w:shd w:val="clear" w:color="auto" w:fill="auto"/>
            <w:vAlign w:val="center"/>
          </w:tcPr>
          <w:p w14:paraId="11AFED5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29BDBD9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2A58EC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8580.02</w:t>
            </w:r>
          </w:p>
        </w:tc>
        <w:tc>
          <w:tcPr>
            <w:tcW w:w="1100" w:type="dxa"/>
            <w:shd w:val="clear" w:color="auto" w:fill="auto"/>
            <w:vAlign w:val="center"/>
          </w:tcPr>
          <w:p w14:paraId="438D69BA">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48EB519A">
            <w:pPr>
              <w:jc w:val="center"/>
              <w:rPr>
                <w:rFonts w:hint="eastAsia" w:ascii="宋体" w:hAnsi="宋体" w:eastAsia="宋体" w:cs="宋体"/>
                <w:i w:val="0"/>
                <w:iCs w:val="0"/>
                <w:color w:val="000000"/>
                <w:sz w:val="24"/>
                <w:szCs w:val="24"/>
                <w:highlight w:val="none"/>
                <w:u w:val="none"/>
              </w:rPr>
            </w:pPr>
          </w:p>
        </w:tc>
      </w:tr>
      <w:tr w14:paraId="3789A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7F2FD60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44</w:t>
            </w:r>
          </w:p>
        </w:tc>
        <w:tc>
          <w:tcPr>
            <w:tcW w:w="2166" w:type="dxa"/>
            <w:shd w:val="clear" w:color="auto" w:fill="auto"/>
            <w:vAlign w:val="center"/>
          </w:tcPr>
          <w:p w14:paraId="7009A4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天洁东路（鹰厦铁路桥西侧）</w:t>
            </w:r>
          </w:p>
        </w:tc>
        <w:tc>
          <w:tcPr>
            <w:tcW w:w="2001" w:type="dxa"/>
            <w:shd w:val="clear" w:color="auto" w:fill="auto"/>
            <w:vAlign w:val="center"/>
          </w:tcPr>
          <w:p w14:paraId="642B2D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6FC02F5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6006C60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3452.88</w:t>
            </w:r>
          </w:p>
        </w:tc>
        <w:tc>
          <w:tcPr>
            <w:tcW w:w="1100" w:type="dxa"/>
            <w:shd w:val="clear" w:color="auto" w:fill="auto"/>
            <w:vAlign w:val="center"/>
          </w:tcPr>
          <w:p w14:paraId="59C5FB58">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23F843EF">
            <w:pPr>
              <w:jc w:val="center"/>
              <w:rPr>
                <w:rFonts w:hint="eastAsia" w:ascii="宋体" w:hAnsi="宋体" w:eastAsia="宋体" w:cs="宋体"/>
                <w:i w:val="0"/>
                <w:iCs w:val="0"/>
                <w:color w:val="000000"/>
                <w:sz w:val="24"/>
                <w:szCs w:val="24"/>
                <w:highlight w:val="none"/>
                <w:u w:val="none"/>
              </w:rPr>
            </w:pPr>
          </w:p>
        </w:tc>
      </w:tr>
      <w:tr w14:paraId="3EDFC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3E5DB5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45</w:t>
            </w:r>
          </w:p>
        </w:tc>
        <w:tc>
          <w:tcPr>
            <w:tcW w:w="2166" w:type="dxa"/>
            <w:vMerge w:val="restart"/>
            <w:shd w:val="clear" w:color="auto" w:fill="auto"/>
            <w:vAlign w:val="center"/>
          </w:tcPr>
          <w:p w14:paraId="644C73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东川河与天洁东路三角地带</w:t>
            </w:r>
          </w:p>
        </w:tc>
        <w:tc>
          <w:tcPr>
            <w:tcW w:w="2001" w:type="dxa"/>
            <w:shd w:val="clear" w:color="auto" w:fill="auto"/>
            <w:vAlign w:val="center"/>
          </w:tcPr>
          <w:p w14:paraId="155150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12E0067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B59F39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1235.02</w:t>
            </w:r>
          </w:p>
        </w:tc>
        <w:tc>
          <w:tcPr>
            <w:tcW w:w="1100" w:type="dxa"/>
            <w:shd w:val="clear" w:color="auto" w:fill="auto"/>
            <w:vAlign w:val="center"/>
          </w:tcPr>
          <w:p w14:paraId="746AF6A1">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32FF8BE3">
            <w:pPr>
              <w:jc w:val="center"/>
              <w:rPr>
                <w:rFonts w:hint="eastAsia" w:ascii="宋体" w:hAnsi="宋体" w:eastAsia="宋体" w:cs="宋体"/>
                <w:i w:val="0"/>
                <w:iCs w:val="0"/>
                <w:color w:val="000000"/>
                <w:sz w:val="24"/>
                <w:szCs w:val="24"/>
                <w:highlight w:val="none"/>
                <w:u w:val="none"/>
              </w:rPr>
            </w:pPr>
          </w:p>
        </w:tc>
      </w:tr>
      <w:tr w14:paraId="01F93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7F07C3F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46</w:t>
            </w:r>
          </w:p>
        </w:tc>
        <w:tc>
          <w:tcPr>
            <w:tcW w:w="2166" w:type="dxa"/>
            <w:vMerge w:val="continue"/>
            <w:shd w:val="clear" w:color="auto" w:fill="auto"/>
            <w:vAlign w:val="center"/>
          </w:tcPr>
          <w:p w14:paraId="370FBBB4">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3A8A33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23DD499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2974375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19521.07</w:t>
            </w:r>
          </w:p>
        </w:tc>
        <w:tc>
          <w:tcPr>
            <w:tcW w:w="1100" w:type="dxa"/>
            <w:shd w:val="clear" w:color="auto" w:fill="auto"/>
            <w:vAlign w:val="center"/>
          </w:tcPr>
          <w:p w14:paraId="690759DA">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04AF8D85">
            <w:pPr>
              <w:jc w:val="center"/>
              <w:rPr>
                <w:rFonts w:hint="eastAsia" w:ascii="宋体" w:hAnsi="宋体" w:eastAsia="宋体" w:cs="宋体"/>
                <w:i w:val="0"/>
                <w:iCs w:val="0"/>
                <w:color w:val="000000"/>
                <w:sz w:val="24"/>
                <w:szCs w:val="24"/>
                <w:highlight w:val="none"/>
                <w:u w:val="none"/>
              </w:rPr>
            </w:pPr>
          </w:p>
        </w:tc>
      </w:tr>
      <w:tr w14:paraId="17AC8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38D5618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47</w:t>
            </w:r>
          </w:p>
        </w:tc>
        <w:tc>
          <w:tcPr>
            <w:tcW w:w="2166" w:type="dxa"/>
            <w:shd w:val="clear" w:color="auto" w:fill="auto"/>
            <w:vAlign w:val="center"/>
          </w:tcPr>
          <w:p w14:paraId="25D7F17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南站货场支路</w:t>
            </w:r>
          </w:p>
        </w:tc>
        <w:tc>
          <w:tcPr>
            <w:tcW w:w="2001" w:type="dxa"/>
            <w:shd w:val="clear" w:color="auto" w:fill="auto"/>
            <w:vAlign w:val="center"/>
          </w:tcPr>
          <w:p w14:paraId="2DB5AC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25C71A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6FC73E4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851.21</w:t>
            </w:r>
          </w:p>
        </w:tc>
        <w:tc>
          <w:tcPr>
            <w:tcW w:w="1100" w:type="dxa"/>
            <w:shd w:val="clear" w:color="auto" w:fill="auto"/>
            <w:vAlign w:val="center"/>
          </w:tcPr>
          <w:p w14:paraId="0179EF4D">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805B985">
            <w:pPr>
              <w:jc w:val="center"/>
              <w:rPr>
                <w:rFonts w:hint="eastAsia" w:ascii="宋体" w:hAnsi="宋体" w:eastAsia="宋体" w:cs="宋体"/>
                <w:i w:val="0"/>
                <w:iCs w:val="0"/>
                <w:color w:val="000000"/>
                <w:sz w:val="24"/>
                <w:szCs w:val="24"/>
                <w:highlight w:val="none"/>
                <w:u w:val="none"/>
              </w:rPr>
            </w:pPr>
          </w:p>
        </w:tc>
      </w:tr>
      <w:tr w14:paraId="1D6E1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1F702E8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48</w:t>
            </w:r>
          </w:p>
        </w:tc>
        <w:tc>
          <w:tcPr>
            <w:tcW w:w="2166" w:type="dxa"/>
            <w:shd w:val="clear" w:color="auto" w:fill="auto"/>
            <w:vAlign w:val="center"/>
          </w:tcPr>
          <w:p w14:paraId="40B0161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下桂城中村北侧停车场</w:t>
            </w:r>
          </w:p>
        </w:tc>
        <w:tc>
          <w:tcPr>
            <w:tcW w:w="2001" w:type="dxa"/>
            <w:shd w:val="clear" w:color="auto" w:fill="auto"/>
            <w:vAlign w:val="center"/>
          </w:tcPr>
          <w:p w14:paraId="79A9789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139C93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75F672C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3282.76</w:t>
            </w:r>
          </w:p>
        </w:tc>
        <w:tc>
          <w:tcPr>
            <w:tcW w:w="1100" w:type="dxa"/>
            <w:shd w:val="clear" w:color="auto" w:fill="auto"/>
            <w:vAlign w:val="center"/>
          </w:tcPr>
          <w:p w14:paraId="23751A83">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22F8A708">
            <w:pPr>
              <w:jc w:val="center"/>
              <w:rPr>
                <w:rFonts w:hint="eastAsia" w:ascii="宋体" w:hAnsi="宋体" w:eastAsia="宋体" w:cs="宋体"/>
                <w:i w:val="0"/>
                <w:iCs w:val="0"/>
                <w:color w:val="000000"/>
                <w:sz w:val="24"/>
                <w:szCs w:val="24"/>
                <w:highlight w:val="none"/>
                <w:u w:val="none"/>
              </w:rPr>
            </w:pPr>
          </w:p>
        </w:tc>
      </w:tr>
      <w:tr w14:paraId="7E43F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7F7E56F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49</w:t>
            </w:r>
          </w:p>
        </w:tc>
        <w:tc>
          <w:tcPr>
            <w:tcW w:w="2166" w:type="dxa"/>
            <w:shd w:val="clear" w:color="auto" w:fill="auto"/>
            <w:vAlign w:val="center"/>
          </w:tcPr>
          <w:p w14:paraId="398147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平安北路两侧（胜华一、二期）</w:t>
            </w:r>
          </w:p>
        </w:tc>
        <w:tc>
          <w:tcPr>
            <w:tcW w:w="2001" w:type="dxa"/>
            <w:shd w:val="clear" w:color="auto" w:fill="auto"/>
            <w:vAlign w:val="center"/>
          </w:tcPr>
          <w:p w14:paraId="37A191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67E773E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7B3F37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2723.81</w:t>
            </w:r>
          </w:p>
        </w:tc>
        <w:tc>
          <w:tcPr>
            <w:tcW w:w="1100" w:type="dxa"/>
            <w:shd w:val="clear" w:color="auto" w:fill="auto"/>
            <w:vAlign w:val="center"/>
          </w:tcPr>
          <w:p w14:paraId="0EE92E81">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13DBAFDE">
            <w:pPr>
              <w:jc w:val="center"/>
              <w:rPr>
                <w:rFonts w:hint="eastAsia" w:ascii="宋体" w:hAnsi="宋体" w:eastAsia="宋体" w:cs="宋体"/>
                <w:i w:val="0"/>
                <w:iCs w:val="0"/>
                <w:color w:val="000000"/>
                <w:sz w:val="24"/>
                <w:szCs w:val="24"/>
                <w:highlight w:val="none"/>
                <w:u w:val="none"/>
              </w:rPr>
            </w:pPr>
          </w:p>
        </w:tc>
      </w:tr>
      <w:tr w14:paraId="3AF3A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57186F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50</w:t>
            </w:r>
          </w:p>
        </w:tc>
        <w:tc>
          <w:tcPr>
            <w:tcW w:w="2166" w:type="dxa"/>
            <w:vMerge w:val="restart"/>
            <w:shd w:val="clear" w:color="auto" w:fill="auto"/>
            <w:vAlign w:val="center"/>
          </w:tcPr>
          <w:p w14:paraId="686628A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岱宝山路东侧、括苍一期北侧、东侧</w:t>
            </w:r>
          </w:p>
        </w:tc>
        <w:tc>
          <w:tcPr>
            <w:tcW w:w="2001" w:type="dxa"/>
            <w:shd w:val="clear" w:color="auto" w:fill="auto"/>
            <w:vAlign w:val="center"/>
          </w:tcPr>
          <w:p w14:paraId="31838E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道路保洁</w:t>
            </w:r>
          </w:p>
        </w:tc>
        <w:tc>
          <w:tcPr>
            <w:tcW w:w="1096" w:type="dxa"/>
            <w:shd w:val="clear" w:color="auto" w:fill="auto"/>
            <w:vAlign w:val="center"/>
          </w:tcPr>
          <w:p w14:paraId="26EA6AE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525146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2404.56</w:t>
            </w:r>
          </w:p>
        </w:tc>
        <w:tc>
          <w:tcPr>
            <w:tcW w:w="1100" w:type="dxa"/>
            <w:shd w:val="clear" w:color="auto" w:fill="auto"/>
            <w:vAlign w:val="center"/>
          </w:tcPr>
          <w:p w14:paraId="78214169">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0F1AF394">
            <w:pPr>
              <w:jc w:val="center"/>
              <w:rPr>
                <w:rFonts w:hint="eastAsia" w:ascii="宋体" w:hAnsi="宋体" w:eastAsia="宋体" w:cs="宋体"/>
                <w:i w:val="0"/>
                <w:iCs w:val="0"/>
                <w:color w:val="000000"/>
                <w:sz w:val="24"/>
                <w:szCs w:val="24"/>
                <w:highlight w:val="none"/>
                <w:u w:val="none"/>
              </w:rPr>
            </w:pPr>
          </w:p>
        </w:tc>
      </w:tr>
      <w:tr w14:paraId="7E7A7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6925D45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51</w:t>
            </w:r>
          </w:p>
        </w:tc>
        <w:tc>
          <w:tcPr>
            <w:tcW w:w="2166" w:type="dxa"/>
            <w:vMerge w:val="continue"/>
            <w:shd w:val="clear" w:color="auto" w:fill="auto"/>
            <w:vAlign w:val="center"/>
          </w:tcPr>
          <w:p w14:paraId="74B70449">
            <w:pPr>
              <w:jc w:val="center"/>
              <w:rPr>
                <w:rFonts w:hint="eastAsia" w:ascii="宋体" w:hAnsi="宋体" w:eastAsia="宋体" w:cs="宋体"/>
                <w:i w:val="0"/>
                <w:iCs w:val="0"/>
                <w:color w:val="000000"/>
                <w:sz w:val="24"/>
                <w:szCs w:val="24"/>
                <w:highlight w:val="none"/>
                <w:u w:val="none"/>
              </w:rPr>
            </w:pPr>
          </w:p>
        </w:tc>
        <w:tc>
          <w:tcPr>
            <w:tcW w:w="2001" w:type="dxa"/>
            <w:shd w:val="clear" w:color="auto" w:fill="auto"/>
            <w:vAlign w:val="center"/>
          </w:tcPr>
          <w:p w14:paraId="4BDF5BD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54671E4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45DAA63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3254.16</w:t>
            </w:r>
          </w:p>
        </w:tc>
        <w:tc>
          <w:tcPr>
            <w:tcW w:w="1100" w:type="dxa"/>
            <w:shd w:val="clear" w:color="auto" w:fill="auto"/>
            <w:vAlign w:val="center"/>
          </w:tcPr>
          <w:p w14:paraId="0134AF3B">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03E6FDF7">
            <w:pPr>
              <w:jc w:val="center"/>
              <w:rPr>
                <w:rFonts w:hint="eastAsia" w:ascii="宋体" w:hAnsi="宋体" w:eastAsia="宋体" w:cs="宋体"/>
                <w:i w:val="0"/>
                <w:iCs w:val="0"/>
                <w:color w:val="000000"/>
                <w:sz w:val="24"/>
                <w:szCs w:val="24"/>
                <w:highlight w:val="none"/>
                <w:u w:val="none"/>
              </w:rPr>
            </w:pPr>
          </w:p>
        </w:tc>
      </w:tr>
      <w:tr w14:paraId="7E63E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55ED0C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52</w:t>
            </w:r>
          </w:p>
        </w:tc>
        <w:tc>
          <w:tcPr>
            <w:tcW w:w="2166" w:type="dxa"/>
            <w:shd w:val="clear" w:color="auto" w:fill="auto"/>
            <w:vAlign w:val="center"/>
          </w:tcPr>
          <w:p w14:paraId="7FEAE5A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荣达北侧</w:t>
            </w:r>
          </w:p>
        </w:tc>
        <w:tc>
          <w:tcPr>
            <w:tcW w:w="2001" w:type="dxa"/>
            <w:shd w:val="clear" w:color="auto" w:fill="auto"/>
            <w:vAlign w:val="center"/>
          </w:tcPr>
          <w:p w14:paraId="6AEEE6A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578F74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1C7EADE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1571.96</w:t>
            </w:r>
          </w:p>
        </w:tc>
        <w:tc>
          <w:tcPr>
            <w:tcW w:w="1100" w:type="dxa"/>
            <w:shd w:val="clear" w:color="auto" w:fill="auto"/>
            <w:vAlign w:val="center"/>
          </w:tcPr>
          <w:p w14:paraId="24EF5F7E">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68CF428F">
            <w:pPr>
              <w:jc w:val="center"/>
              <w:rPr>
                <w:rFonts w:hint="eastAsia" w:ascii="宋体" w:hAnsi="宋体" w:eastAsia="宋体" w:cs="宋体"/>
                <w:i w:val="0"/>
                <w:iCs w:val="0"/>
                <w:color w:val="000000"/>
                <w:sz w:val="24"/>
                <w:szCs w:val="24"/>
                <w:highlight w:val="none"/>
                <w:u w:val="none"/>
              </w:rPr>
            </w:pPr>
          </w:p>
        </w:tc>
      </w:tr>
      <w:tr w14:paraId="52042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672" w:type="dxa"/>
            <w:shd w:val="clear" w:color="auto" w:fill="auto"/>
            <w:vAlign w:val="center"/>
          </w:tcPr>
          <w:p w14:paraId="5E1DB3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53</w:t>
            </w:r>
          </w:p>
        </w:tc>
        <w:tc>
          <w:tcPr>
            <w:tcW w:w="2166" w:type="dxa"/>
            <w:shd w:val="clear" w:color="auto" w:fill="auto"/>
            <w:vAlign w:val="center"/>
          </w:tcPr>
          <w:p w14:paraId="0E927B6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阿桂北侧</w:t>
            </w:r>
          </w:p>
        </w:tc>
        <w:tc>
          <w:tcPr>
            <w:tcW w:w="2001" w:type="dxa"/>
            <w:shd w:val="clear" w:color="auto" w:fill="auto"/>
            <w:vAlign w:val="center"/>
          </w:tcPr>
          <w:p w14:paraId="091193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3BBF9B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250CC6C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3813.92</w:t>
            </w:r>
          </w:p>
        </w:tc>
        <w:tc>
          <w:tcPr>
            <w:tcW w:w="1100" w:type="dxa"/>
            <w:shd w:val="clear" w:color="auto" w:fill="auto"/>
            <w:vAlign w:val="center"/>
          </w:tcPr>
          <w:p w14:paraId="262040AC">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1E19EF10">
            <w:pPr>
              <w:jc w:val="center"/>
              <w:rPr>
                <w:rFonts w:hint="eastAsia" w:ascii="宋体" w:hAnsi="宋体" w:eastAsia="宋体" w:cs="宋体"/>
                <w:i w:val="0"/>
                <w:iCs w:val="0"/>
                <w:color w:val="000000"/>
                <w:sz w:val="24"/>
                <w:szCs w:val="24"/>
                <w:highlight w:val="none"/>
                <w:u w:val="none"/>
              </w:rPr>
            </w:pPr>
          </w:p>
        </w:tc>
      </w:tr>
      <w:tr w14:paraId="17871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6784D06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54</w:t>
            </w:r>
          </w:p>
        </w:tc>
        <w:tc>
          <w:tcPr>
            <w:tcW w:w="2166" w:type="dxa"/>
            <w:shd w:val="clear" w:color="auto" w:fill="auto"/>
            <w:vAlign w:val="center"/>
          </w:tcPr>
          <w:p w14:paraId="698DFC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西门岱宝山路两侧（320国道口）</w:t>
            </w:r>
          </w:p>
        </w:tc>
        <w:tc>
          <w:tcPr>
            <w:tcW w:w="2001" w:type="dxa"/>
            <w:shd w:val="clear" w:color="auto" w:fill="auto"/>
            <w:vAlign w:val="center"/>
          </w:tcPr>
          <w:p w14:paraId="395AB6C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72862E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092A406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3924.56</w:t>
            </w:r>
          </w:p>
        </w:tc>
        <w:tc>
          <w:tcPr>
            <w:tcW w:w="1100" w:type="dxa"/>
            <w:shd w:val="clear" w:color="auto" w:fill="auto"/>
            <w:vAlign w:val="center"/>
          </w:tcPr>
          <w:p w14:paraId="13974E8F">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E4C1219">
            <w:pPr>
              <w:jc w:val="center"/>
              <w:rPr>
                <w:rFonts w:hint="eastAsia" w:ascii="宋体" w:hAnsi="宋体" w:eastAsia="宋体" w:cs="宋体"/>
                <w:i w:val="0"/>
                <w:iCs w:val="0"/>
                <w:color w:val="000000"/>
                <w:sz w:val="24"/>
                <w:szCs w:val="24"/>
                <w:highlight w:val="none"/>
                <w:u w:val="none"/>
              </w:rPr>
            </w:pPr>
          </w:p>
        </w:tc>
      </w:tr>
      <w:tr w14:paraId="58C5A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1858F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55</w:t>
            </w:r>
          </w:p>
        </w:tc>
        <w:tc>
          <w:tcPr>
            <w:tcW w:w="2166" w:type="dxa"/>
            <w:shd w:val="clear" w:color="auto" w:fill="auto"/>
            <w:vAlign w:val="center"/>
          </w:tcPr>
          <w:p w14:paraId="2826B7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平安北路以东、四纬路以南（浙江商会出入口）</w:t>
            </w:r>
          </w:p>
        </w:tc>
        <w:tc>
          <w:tcPr>
            <w:tcW w:w="2001" w:type="dxa"/>
            <w:shd w:val="clear" w:color="auto" w:fill="auto"/>
            <w:vAlign w:val="center"/>
          </w:tcPr>
          <w:p w14:paraId="537141A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597E98F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46285B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295.15</w:t>
            </w:r>
          </w:p>
        </w:tc>
        <w:tc>
          <w:tcPr>
            <w:tcW w:w="1100" w:type="dxa"/>
            <w:shd w:val="clear" w:color="auto" w:fill="auto"/>
            <w:vAlign w:val="center"/>
          </w:tcPr>
          <w:p w14:paraId="22478C36">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79B4F44C">
            <w:pPr>
              <w:jc w:val="center"/>
              <w:rPr>
                <w:rFonts w:hint="eastAsia" w:ascii="宋体" w:hAnsi="宋体" w:eastAsia="宋体" w:cs="宋体"/>
                <w:i w:val="0"/>
                <w:iCs w:val="0"/>
                <w:color w:val="000000"/>
                <w:sz w:val="24"/>
                <w:szCs w:val="24"/>
                <w:highlight w:val="none"/>
                <w:u w:val="none"/>
              </w:rPr>
            </w:pPr>
          </w:p>
        </w:tc>
      </w:tr>
      <w:tr w14:paraId="118EA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672" w:type="dxa"/>
            <w:shd w:val="clear" w:color="auto" w:fill="auto"/>
            <w:vAlign w:val="center"/>
          </w:tcPr>
          <w:p w14:paraId="439B10A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56</w:t>
            </w:r>
          </w:p>
        </w:tc>
        <w:tc>
          <w:tcPr>
            <w:tcW w:w="2166" w:type="dxa"/>
            <w:shd w:val="clear" w:color="auto" w:fill="auto"/>
            <w:vAlign w:val="center"/>
          </w:tcPr>
          <w:p w14:paraId="5F73F0E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第十三中学北侧</w:t>
            </w:r>
          </w:p>
        </w:tc>
        <w:tc>
          <w:tcPr>
            <w:tcW w:w="2001" w:type="dxa"/>
            <w:shd w:val="clear" w:color="auto" w:fill="auto"/>
            <w:vAlign w:val="center"/>
          </w:tcPr>
          <w:p w14:paraId="756B24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绿化带养护</w:t>
            </w:r>
          </w:p>
        </w:tc>
        <w:tc>
          <w:tcPr>
            <w:tcW w:w="1096" w:type="dxa"/>
            <w:shd w:val="clear" w:color="auto" w:fill="auto"/>
            <w:vAlign w:val="center"/>
          </w:tcPr>
          <w:p w14:paraId="1EE511C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m2</w:t>
            </w:r>
          </w:p>
        </w:tc>
        <w:tc>
          <w:tcPr>
            <w:tcW w:w="1176" w:type="dxa"/>
            <w:shd w:val="clear" w:color="auto" w:fill="auto"/>
            <w:vAlign w:val="center"/>
          </w:tcPr>
          <w:p w14:paraId="7D870D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2424.52</w:t>
            </w:r>
          </w:p>
        </w:tc>
        <w:tc>
          <w:tcPr>
            <w:tcW w:w="1100" w:type="dxa"/>
            <w:shd w:val="clear" w:color="auto" w:fill="auto"/>
            <w:vAlign w:val="center"/>
          </w:tcPr>
          <w:p w14:paraId="412C7FE8">
            <w:pPr>
              <w:jc w:val="center"/>
              <w:rPr>
                <w:rFonts w:hint="eastAsia" w:ascii="宋体" w:hAnsi="宋体" w:eastAsia="宋体" w:cs="宋体"/>
                <w:i w:val="0"/>
                <w:iCs w:val="0"/>
                <w:color w:val="000000"/>
                <w:sz w:val="24"/>
                <w:szCs w:val="24"/>
                <w:highlight w:val="none"/>
                <w:u w:val="none"/>
              </w:rPr>
            </w:pPr>
          </w:p>
        </w:tc>
        <w:tc>
          <w:tcPr>
            <w:tcW w:w="1101" w:type="dxa"/>
            <w:shd w:val="clear" w:color="auto" w:fill="auto"/>
            <w:vAlign w:val="center"/>
          </w:tcPr>
          <w:p w14:paraId="5A780836">
            <w:pPr>
              <w:jc w:val="center"/>
              <w:rPr>
                <w:rFonts w:hint="eastAsia" w:ascii="宋体" w:hAnsi="宋体" w:eastAsia="宋体" w:cs="宋体"/>
                <w:i w:val="0"/>
                <w:iCs w:val="0"/>
                <w:color w:val="000000"/>
                <w:sz w:val="24"/>
                <w:szCs w:val="24"/>
                <w:highlight w:val="none"/>
                <w:u w:val="none"/>
              </w:rPr>
            </w:pPr>
          </w:p>
        </w:tc>
      </w:tr>
      <w:tr w14:paraId="2B3E8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211" w:type="dxa"/>
            <w:gridSpan w:val="6"/>
            <w:shd w:val="clear" w:color="auto" w:fill="auto"/>
            <w:vAlign w:val="center"/>
          </w:tcPr>
          <w:p w14:paraId="0CCC65A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合计</w:t>
            </w:r>
          </w:p>
        </w:tc>
        <w:tc>
          <w:tcPr>
            <w:tcW w:w="1101" w:type="dxa"/>
            <w:shd w:val="clear" w:color="auto" w:fill="auto"/>
            <w:vAlign w:val="center"/>
          </w:tcPr>
          <w:p w14:paraId="69F5B116">
            <w:pPr>
              <w:jc w:val="center"/>
              <w:rPr>
                <w:rFonts w:hint="eastAsia" w:ascii="宋体" w:hAnsi="宋体" w:eastAsia="宋体" w:cs="宋体"/>
                <w:i w:val="0"/>
                <w:iCs w:val="0"/>
                <w:color w:val="000000"/>
                <w:sz w:val="24"/>
                <w:szCs w:val="24"/>
                <w:highlight w:val="none"/>
                <w:u w:val="none"/>
              </w:rPr>
            </w:pPr>
          </w:p>
        </w:tc>
      </w:tr>
    </w:tbl>
    <w:p w14:paraId="4C8E08E3">
      <w:pPr>
        <w:spacing w:before="169" w:line="369" w:lineRule="auto"/>
        <w:ind w:right="147" w:rightChars="0"/>
        <w:jc w:val="center"/>
        <w:rPr>
          <w:rFonts w:hint="eastAsia" w:ascii="宋体" w:hAnsi="宋体" w:eastAsia="宋体" w:cs="宋体"/>
          <w:b/>
          <w:bCs/>
          <w:color w:val="auto"/>
          <w:sz w:val="24"/>
          <w:szCs w:val="24"/>
          <w:highlight w:val="none"/>
          <w:lang w:eastAsia="zh-CN"/>
        </w:rPr>
      </w:pPr>
    </w:p>
    <w:p w14:paraId="204BA06F">
      <w:pPr>
        <w:spacing w:before="169" w:line="369" w:lineRule="auto"/>
        <w:ind w:right="147" w:rightChars="0"/>
        <w:jc w:val="center"/>
        <w:rPr>
          <w:rFonts w:hint="eastAsia" w:ascii="宋体" w:hAnsi="宋体" w:eastAsia="宋体" w:cs="宋体"/>
          <w:b/>
          <w:bCs/>
          <w:color w:val="auto"/>
          <w:sz w:val="24"/>
          <w:szCs w:val="24"/>
          <w:highlight w:val="none"/>
          <w:lang w:eastAsia="zh-CN"/>
        </w:rPr>
      </w:pPr>
    </w:p>
    <w:tbl>
      <w:tblPr>
        <w:tblStyle w:val="8"/>
        <w:tblW w:w="91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980"/>
        <w:gridCol w:w="1792"/>
        <w:gridCol w:w="1258"/>
        <w:gridCol w:w="1211"/>
        <w:gridCol w:w="939"/>
        <w:gridCol w:w="939"/>
        <w:gridCol w:w="2066"/>
      </w:tblGrid>
      <w:tr w14:paraId="10076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500" w:hRule="atLeast"/>
          <w:jc w:val="center"/>
        </w:trPr>
        <w:tc>
          <w:tcPr>
            <w:tcW w:w="9185" w:type="dxa"/>
            <w:gridSpan w:val="7"/>
            <w:shd w:val="clear" w:color="auto" w:fill="auto"/>
            <w:vAlign w:val="center"/>
          </w:tcPr>
          <w:p w14:paraId="21A017AB">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Style w:val="14"/>
                <w:rFonts w:hint="eastAsia" w:ascii="宋体" w:hAnsi="宋体" w:eastAsia="宋体" w:cs="宋体"/>
                <w:sz w:val="24"/>
                <w:szCs w:val="24"/>
                <w:highlight w:val="none"/>
                <w:lang w:val="en-US" w:eastAsia="zh-CN" w:bidi="ar"/>
              </w:rPr>
              <w:t>年度物流园区绿化养护、道路保洁及路灯日常维护服务预算</w:t>
            </w:r>
          </w:p>
        </w:tc>
      </w:tr>
      <w:tr w14:paraId="34273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4C6BBE9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792" w:type="dxa"/>
            <w:shd w:val="clear" w:color="auto" w:fill="auto"/>
            <w:vAlign w:val="center"/>
          </w:tcPr>
          <w:p w14:paraId="28298E3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路段</w:t>
            </w:r>
          </w:p>
        </w:tc>
        <w:tc>
          <w:tcPr>
            <w:tcW w:w="1258" w:type="dxa"/>
            <w:shd w:val="clear" w:color="auto" w:fill="auto"/>
            <w:vAlign w:val="center"/>
          </w:tcPr>
          <w:p w14:paraId="4B99CA3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供电方式</w:t>
            </w:r>
          </w:p>
        </w:tc>
        <w:tc>
          <w:tcPr>
            <w:tcW w:w="1211" w:type="dxa"/>
            <w:shd w:val="clear" w:color="auto" w:fill="auto"/>
            <w:vAlign w:val="center"/>
          </w:tcPr>
          <w:p w14:paraId="2EA6B21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路灯杆数量</w:t>
            </w:r>
          </w:p>
        </w:tc>
        <w:tc>
          <w:tcPr>
            <w:tcW w:w="939" w:type="dxa"/>
            <w:shd w:val="clear" w:color="auto" w:fill="auto"/>
            <w:vAlign w:val="center"/>
          </w:tcPr>
          <w:p w14:paraId="42E9866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单价（元）</w:t>
            </w:r>
          </w:p>
        </w:tc>
        <w:tc>
          <w:tcPr>
            <w:tcW w:w="939" w:type="dxa"/>
            <w:shd w:val="clear" w:color="auto" w:fill="auto"/>
            <w:vAlign w:val="center"/>
          </w:tcPr>
          <w:p w14:paraId="6C36B5A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总计（元）</w:t>
            </w:r>
          </w:p>
        </w:tc>
        <w:tc>
          <w:tcPr>
            <w:tcW w:w="2066" w:type="dxa"/>
            <w:shd w:val="clear" w:color="auto" w:fill="auto"/>
            <w:vAlign w:val="center"/>
          </w:tcPr>
          <w:p w14:paraId="0235A242">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备注</w:t>
            </w:r>
          </w:p>
        </w:tc>
      </w:tr>
      <w:tr w14:paraId="04D68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79EC89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792" w:type="dxa"/>
            <w:shd w:val="clear" w:color="auto" w:fill="auto"/>
            <w:vAlign w:val="center"/>
          </w:tcPr>
          <w:p w14:paraId="2CDFC1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320国道（东川路口-鹰厦桥）</w:t>
            </w:r>
          </w:p>
        </w:tc>
        <w:tc>
          <w:tcPr>
            <w:tcW w:w="1258" w:type="dxa"/>
            <w:shd w:val="clear" w:color="auto" w:fill="auto"/>
            <w:vAlign w:val="center"/>
          </w:tcPr>
          <w:p w14:paraId="4BF89B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2C2319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w:t>
            </w:r>
          </w:p>
        </w:tc>
        <w:tc>
          <w:tcPr>
            <w:tcW w:w="939" w:type="dxa"/>
            <w:shd w:val="clear" w:color="auto" w:fill="auto"/>
            <w:vAlign w:val="center"/>
          </w:tcPr>
          <w:p w14:paraId="7D619994">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68708546">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3E53948B">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包含高杆灯日常维护</w:t>
            </w:r>
          </w:p>
        </w:tc>
      </w:tr>
      <w:tr w14:paraId="03471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0C98E8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792" w:type="dxa"/>
            <w:shd w:val="clear" w:color="auto" w:fill="auto"/>
            <w:vAlign w:val="center"/>
          </w:tcPr>
          <w:p w14:paraId="663C47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天洁大道（南站桥东-十六经路）</w:t>
            </w:r>
          </w:p>
        </w:tc>
        <w:tc>
          <w:tcPr>
            <w:tcW w:w="1258" w:type="dxa"/>
            <w:shd w:val="clear" w:color="auto" w:fill="auto"/>
            <w:vAlign w:val="center"/>
          </w:tcPr>
          <w:p w14:paraId="6470D4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7EFE7D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125</w:t>
            </w:r>
          </w:p>
        </w:tc>
        <w:tc>
          <w:tcPr>
            <w:tcW w:w="939" w:type="dxa"/>
            <w:shd w:val="clear" w:color="auto" w:fill="auto"/>
            <w:vAlign w:val="center"/>
          </w:tcPr>
          <w:p w14:paraId="78E72334">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775B40C8">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4FC1AFBE">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包含高杆灯日常维护</w:t>
            </w:r>
          </w:p>
        </w:tc>
      </w:tr>
      <w:tr w14:paraId="6485B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3842A6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792" w:type="dxa"/>
            <w:shd w:val="clear" w:color="auto" w:fill="auto"/>
            <w:vAlign w:val="center"/>
          </w:tcPr>
          <w:p w14:paraId="3B5C0D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十六经路</w:t>
            </w:r>
          </w:p>
        </w:tc>
        <w:tc>
          <w:tcPr>
            <w:tcW w:w="1258" w:type="dxa"/>
            <w:shd w:val="clear" w:color="auto" w:fill="auto"/>
            <w:vAlign w:val="center"/>
          </w:tcPr>
          <w:p w14:paraId="68A2C7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3FD511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w:t>
            </w:r>
          </w:p>
        </w:tc>
        <w:tc>
          <w:tcPr>
            <w:tcW w:w="939" w:type="dxa"/>
            <w:shd w:val="clear" w:color="auto" w:fill="auto"/>
            <w:vAlign w:val="center"/>
          </w:tcPr>
          <w:p w14:paraId="65E506E7">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70422126">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05CCEFE9">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包含高杆灯日常维护</w:t>
            </w:r>
          </w:p>
        </w:tc>
      </w:tr>
      <w:tr w14:paraId="1FC1E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980" w:type="dxa"/>
            <w:shd w:val="clear" w:color="auto" w:fill="auto"/>
            <w:vAlign w:val="center"/>
          </w:tcPr>
          <w:p w14:paraId="723CA2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792" w:type="dxa"/>
            <w:shd w:val="clear" w:color="auto" w:fill="auto"/>
            <w:vAlign w:val="center"/>
          </w:tcPr>
          <w:p w14:paraId="66BA37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十五经路</w:t>
            </w:r>
          </w:p>
        </w:tc>
        <w:tc>
          <w:tcPr>
            <w:tcW w:w="1258" w:type="dxa"/>
            <w:shd w:val="clear" w:color="auto" w:fill="auto"/>
            <w:vAlign w:val="center"/>
          </w:tcPr>
          <w:p w14:paraId="4E3503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4369BA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w:t>
            </w:r>
          </w:p>
        </w:tc>
        <w:tc>
          <w:tcPr>
            <w:tcW w:w="939" w:type="dxa"/>
            <w:shd w:val="clear" w:color="auto" w:fill="auto"/>
            <w:vAlign w:val="center"/>
          </w:tcPr>
          <w:p w14:paraId="65952B36">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6EA43594">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167BF3DF">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1E7B6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7119BB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792" w:type="dxa"/>
            <w:shd w:val="clear" w:color="auto" w:fill="auto"/>
            <w:vAlign w:val="center"/>
          </w:tcPr>
          <w:p w14:paraId="670316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十四经路</w:t>
            </w:r>
          </w:p>
        </w:tc>
        <w:tc>
          <w:tcPr>
            <w:tcW w:w="1258" w:type="dxa"/>
            <w:shd w:val="clear" w:color="auto" w:fill="auto"/>
            <w:vAlign w:val="center"/>
          </w:tcPr>
          <w:p w14:paraId="7C56CC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37AB42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73</w:t>
            </w:r>
          </w:p>
        </w:tc>
        <w:tc>
          <w:tcPr>
            <w:tcW w:w="939" w:type="dxa"/>
            <w:shd w:val="clear" w:color="auto" w:fill="auto"/>
            <w:vAlign w:val="center"/>
          </w:tcPr>
          <w:p w14:paraId="77774F1A">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510E26C4">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7B49389C">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0FB44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jc w:val="center"/>
        </w:trPr>
        <w:tc>
          <w:tcPr>
            <w:tcW w:w="980" w:type="dxa"/>
            <w:shd w:val="clear" w:color="auto" w:fill="auto"/>
            <w:vAlign w:val="center"/>
          </w:tcPr>
          <w:p w14:paraId="31B161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792" w:type="dxa"/>
            <w:shd w:val="clear" w:color="auto" w:fill="auto"/>
            <w:vAlign w:val="center"/>
          </w:tcPr>
          <w:p w14:paraId="6A4B00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平安南路（五纬路-320国道）</w:t>
            </w:r>
          </w:p>
        </w:tc>
        <w:tc>
          <w:tcPr>
            <w:tcW w:w="1258" w:type="dxa"/>
            <w:shd w:val="clear" w:color="auto" w:fill="auto"/>
            <w:vAlign w:val="center"/>
          </w:tcPr>
          <w:p w14:paraId="004507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太阳能</w:t>
            </w:r>
          </w:p>
        </w:tc>
        <w:tc>
          <w:tcPr>
            <w:tcW w:w="1211" w:type="dxa"/>
            <w:shd w:val="clear" w:color="auto" w:fill="auto"/>
            <w:vAlign w:val="center"/>
          </w:tcPr>
          <w:p w14:paraId="733667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58</w:t>
            </w:r>
          </w:p>
        </w:tc>
        <w:tc>
          <w:tcPr>
            <w:tcW w:w="939" w:type="dxa"/>
            <w:shd w:val="clear" w:color="auto" w:fill="auto"/>
            <w:vAlign w:val="center"/>
          </w:tcPr>
          <w:p w14:paraId="4DD96D00">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19C929DF">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1BFB9789">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7F6CD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296348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792" w:type="dxa"/>
            <w:shd w:val="clear" w:color="auto" w:fill="auto"/>
            <w:vAlign w:val="center"/>
          </w:tcPr>
          <w:p w14:paraId="305037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平安北路（320国道-天洁东路）</w:t>
            </w:r>
          </w:p>
        </w:tc>
        <w:tc>
          <w:tcPr>
            <w:tcW w:w="1258" w:type="dxa"/>
            <w:shd w:val="clear" w:color="auto" w:fill="auto"/>
            <w:vAlign w:val="center"/>
          </w:tcPr>
          <w:p w14:paraId="1BB36A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18BB58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w:t>
            </w:r>
          </w:p>
        </w:tc>
        <w:tc>
          <w:tcPr>
            <w:tcW w:w="939" w:type="dxa"/>
            <w:shd w:val="clear" w:color="auto" w:fill="auto"/>
            <w:vAlign w:val="center"/>
          </w:tcPr>
          <w:p w14:paraId="2852B166">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772372E9">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4F34B4BD">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7D367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6F2172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792" w:type="dxa"/>
            <w:shd w:val="clear" w:color="auto" w:fill="auto"/>
            <w:vAlign w:val="center"/>
          </w:tcPr>
          <w:p w14:paraId="76DEE5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岱宝山路（320国道-宝苍路段）</w:t>
            </w:r>
          </w:p>
        </w:tc>
        <w:tc>
          <w:tcPr>
            <w:tcW w:w="1258" w:type="dxa"/>
            <w:shd w:val="clear" w:color="auto" w:fill="auto"/>
            <w:vAlign w:val="center"/>
          </w:tcPr>
          <w:p w14:paraId="4AC8F7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538F35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w:t>
            </w:r>
          </w:p>
        </w:tc>
        <w:tc>
          <w:tcPr>
            <w:tcW w:w="939" w:type="dxa"/>
            <w:shd w:val="clear" w:color="auto" w:fill="auto"/>
            <w:vAlign w:val="center"/>
          </w:tcPr>
          <w:p w14:paraId="27CA7556">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597EA984">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537CD9C5">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55CC6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257FF1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792" w:type="dxa"/>
            <w:shd w:val="clear" w:color="auto" w:fill="auto"/>
            <w:vAlign w:val="center"/>
          </w:tcPr>
          <w:p w14:paraId="1BB2AE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景秀路（平安南路-老206国道）</w:t>
            </w:r>
          </w:p>
        </w:tc>
        <w:tc>
          <w:tcPr>
            <w:tcW w:w="1258" w:type="dxa"/>
            <w:shd w:val="clear" w:color="auto" w:fill="auto"/>
            <w:vAlign w:val="center"/>
          </w:tcPr>
          <w:p w14:paraId="749F8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3A9501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939" w:type="dxa"/>
            <w:shd w:val="clear" w:color="auto" w:fill="auto"/>
            <w:vAlign w:val="center"/>
          </w:tcPr>
          <w:p w14:paraId="559AF371">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56F7411A">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2B94A06D">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5AAFE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53B4D9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792" w:type="dxa"/>
            <w:shd w:val="clear" w:color="auto" w:fill="auto"/>
            <w:vAlign w:val="center"/>
          </w:tcPr>
          <w:p w14:paraId="413C1B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景秀路（岩山路-平安南路）</w:t>
            </w:r>
          </w:p>
        </w:tc>
        <w:tc>
          <w:tcPr>
            <w:tcW w:w="1258" w:type="dxa"/>
            <w:shd w:val="clear" w:color="auto" w:fill="auto"/>
            <w:vAlign w:val="center"/>
          </w:tcPr>
          <w:p w14:paraId="3B9034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7EC05C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w:t>
            </w:r>
          </w:p>
        </w:tc>
        <w:tc>
          <w:tcPr>
            <w:tcW w:w="939" w:type="dxa"/>
            <w:shd w:val="clear" w:color="auto" w:fill="auto"/>
            <w:vAlign w:val="center"/>
          </w:tcPr>
          <w:p w14:paraId="08C0E404">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1EA29AD3">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287BA70B">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25920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759392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792" w:type="dxa"/>
            <w:shd w:val="clear" w:color="auto" w:fill="auto"/>
            <w:vAlign w:val="center"/>
          </w:tcPr>
          <w:p w14:paraId="06E7F1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塔池路（岩山路-平安南路）</w:t>
            </w:r>
          </w:p>
        </w:tc>
        <w:tc>
          <w:tcPr>
            <w:tcW w:w="1258" w:type="dxa"/>
            <w:shd w:val="clear" w:color="auto" w:fill="auto"/>
            <w:vAlign w:val="center"/>
          </w:tcPr>
          <w:p w14:paraId="49BE1F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5D8201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49</w:t>
            </w:r>
          </w:p>
        </w:tc>
        <w:tc>
          <w:tcPr>
            <w:tcW w:w="939" w:type="dxa"/>
            <w:shd w:val="clear" w:color="auto" w:fill="auto"/>
            <w:vAlign w:val="center"/>
          </w:tcPr>
          <w:p w14:paraId="5EE6FB28">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621FC420">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2C58E06C">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75D83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78DFF3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792" w:type="dxa"/>
            <w:shd w:val="clear" w:color="auto" w:fill="auto"/>
            <w:vAlign w:val="center"/>
          </w:tcPr>
          <w:p w14:paraId="2538FC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宝苍路（岩山路-平安南路）</w:t>
            </w:r>
          </w:p>
        </w:tc>
        <w:tc>
          <w:tcPr>
            <w:tcW w:w="1258" w:type="dxa"/>
            <w:shd w:val="clear" w:color="auto" w:fill="auto"/>
            <w:vAlign w:val="center"/>
          </w:tcPr>
          <w:p w14:paraId="27A91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3FC5C8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939" w:type="dxa"/>
            <w:shd w:val="clear" w:color="auto" w:fill="auto"/>
            <w:vAlign w:val="center"/>
          </w:tcPr>
          <w:p w14:paraId="50EE6EFC">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45A71C00">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689CFA96">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74210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7A4A6E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792" w:type="dxa"/>
            <w:shd w:val="clear" w:color="auto" w:fill="auto"/>
            <w:vAlign w:val="center"/>
          </w:tcPr>
          <w:p w14:paraId="6317DA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五纬路（十一经路-平安南路）</w:t>
            </w:r>
          </w:p>
        </w:tc>
        <w:tc>
          <w:tcPr>
            <w:tcW w:w="1258" w:type="dxa"/>
            <w:shd w:val="clear" w:color="auto" w:fill="auto"/>
            <w:vAlign w:val="center"/>
          </w:tcPr>
          <w:p w14:paraId="2E7170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太阳能</w:t>
            </w:r>
          </w:p>
        </w:tc>
        <w:tc>
          <w:tcPr>
            <w:tcW w:w="1211" w:type="dxa"/>
            <w:shd w:val="clear" w:color="auto" w:fill="auto"/>
            <w:vAlign w:val="center"/>
          </w:tcPr>
          <w:p w14:paraId="5B7DB3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52</w:t>
            </w:r>
          </w:p>
        </w:tc>
        <w:tc>
          <w:tcPr>
            <w:tcW w:w="939" w:type="dxa"/>
            <w:shd w:val="clear" w:color="auto" w:fill="auto"/>
            <w:vAlign w:val="center"/>
          </w:tcPr>
          <w:p w14:paraId="38E065AD">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33997E7F">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70261A19">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1789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3E5A77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792" w:type="dxa"/>
            <w:shd w:val="clear" w:color="auto" w:fill="auto"/>
            <w:vAlign w:val="center"/>
          </w:tcPr>
          <w:p w14:paraId="42AE27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十二经路（六纬路-宝苍路）</w:t>
            </w:r>
          </w:p>
        </w:tc>
        <w:tc>
          <w:tcPr>
            <w:tcW w:w="1258" w:type="dxa"/>
            <w:shd w:val="clear" w:color="auto" w:fill="auto"/>
            <w:vAlign w:val="center"/>
          </w:tcPr>
          <w:p w14:paraId="54C0DB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4B471A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42</w:t>
            </w:r>
          </w:p>
        </w:tc>
        <w:tc>
          <w:tcPr>
            <w:tcW w:w="939" w:type="dxa"/>
            <w:shd w:val="clear" w:color="auto" w:fill="auto"/>
            <w:vAlign w:val="center"/>
          </w:tcPr>
          <w:p w14:paraId="5EFCC07F">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354BC410">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714344CA">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0FC8D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385271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792" w:type="dxa"/>
            <w:shd w:val="clear" w:color="auto" w:fill="auto"/>
            <w:vAlign w:val="center"/>
          </w:tcPr>
          <w:p w14:paraId="71EBAD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下桂安置小区东侧区间路（320国道-景秀路段）</w:t>
            </w:r>
          </w:p>
        </w:tc>
        <w:tc>
          <w:tcPr>
            <w:tcW w:w="1258" w:type="dxa"/>
            <w:shd w:val="clear" w:color="auto" w:fill="auto"/>
            <w:vAlign w:val="center"/>
          </w:tcPr>
          <w:p w14:paraId="37B5FB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6A5108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939" w:type="dxa"/>
            <w:shd w:val="clear" w:color="auto" w:fill="auto"/>
            <w:vAlign w:val="center"/>
          </w:tcPr>
          <w:p w14:paraId="0651E7F8">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1009B2F9">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3A460787">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4462D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7A5F73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1792" w:type="dxa"/>
            <w:shd w:val="clear" w:color="auto" w:fill="auto"/>
            <w:vAlign w:val="center"/>
          </w:tcPr>
          <w:p w14:paraId="297E70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320国道南侧区间道</w:t>
            </w:r>
          </w:p>
        </w:tc>
        <w:tc>
          <w:tcPr>
            <w:tcW w:w="1258" w:type="dxa"/>
            <w:shd w:val="clear" w:color="auto" w:fill="auto"/>
            <w:vAlign w:val="center"/>
          </w:tcPr>
          <w:p w14:paraId="158227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428E22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939" w:type="dxa"/>
            <w:shd w:val="clear" w:color="auto" w:fill="auto"/>
            <w:vAlign w:val="center"/>
          </w:tcPr>
          <w:p w14:paraId="46E97887">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07048937">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5808E463">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368BA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80" w:type="dxa"/>
            <w:shd w:val="clear" w:color="auto" w:fill="auto"/>
            <w:vAlign w:val="center"/>
          </w:tcPr>
          <w:p w14:paraId="0BB401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792" w:type="dxa"/>
            <w:shd w:val="clear" w:color="auto" w:fill="auto"/>
            <w:vAlign w:val="center"/>
          </w:tcPr>
          <w:p w14:paraId="24BB0E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三纬东路南</w:t>
            </w:r>
          </w:p>
        </w:tc>
        <w:tc>
          <w:tcPr>
            <w:tcW w:w="1258" w:type="dxa"/>
            <w:shd w:val="clear" w:color="auto" w:fill="auto"/>
            <w:vAlign w:val="center"/>
          </w:tcPr>
          <w:p w14:paraId="3E7341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交流有线</w:t>
            </w:r>
          </w:p>
        </w:tc>
        <w:tc>
          <w:tcPr>
            <w:tcW w:w="1211" w:type="dxa"/>
            <w:shd w:val="clear" w:color="auto" w:fill="auto"/>
            <w:vAlign w:val="center"/>
          </w:tcPr>
          <w:p w14:paraId="563DE0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w:t>
            </w:r>
          </w:p>
        </w:tc>
        <w:tc>
          <w:tcPr>
            <w:tcW w:w="939" w:type="dxa"/>
            <w:shd w:val="clear" w:color="auto" w:fill="auto"/>
            <w:vAlign w:val="center"/>
          </w:tcPr>
          <w:p w14:paraId="3CA26476">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638B7BE2">
            <w:pPr>
              <w:jc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1D9C68C5">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rPr>
              <w:t>包含高杆灯日常维护</w:t>
            </w:r>
          </w:p>
        </w:tc>
      </w:tr>
      <w:tr w14:paraId="59034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2772" w:type="dxa"/>
            <w:gridSpan w:val="2"/>
            <w:shd w:val="clear" w:color="auto" w:fill="auto"/>
            <w:vAlign w:val="center"/>
          </w:tcPr>
          <w:p w14:paraId="042F2B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w:t>
            </w:r>
          </w:p>
        </w:tc>
        <w:tc>
          <w:tcPr>
            <w:tcW w:w="1258" w:type="dxa"/>
            <w:shd w:val="clear" w:color="auto" w:fill="auto"/>
            <w:vAlign w:val="center"/>
          </w:tcPr>
          <w:p w14:paraId="7F227397">
            <w:pPr>
              <w:jc w:val="center"/>
              <w:rPr>
                <w:rFonts w:hint="eastAsia" w:ascii="宋体" w:hAnsi="宋体" w:eastAsia="宋体" w:cs="宋体"/>
                <w:i w:val="0"/>
                <w:iCs w:val="0"/>
                <w:color w:val="000000"/>
                <w:sz w:val="24"/>
                <w:szCs w:val="24"/>
                <w:u w:val="none"/>
              </w:rPr>
            </w:pPr>
          </w:p>
        </w:tc>
        <w:tc>
          <w:tcPr>
            <w:tcW w:w="1211" w:type="dxa"/>
            <w:shd w:val="clear" w:color="auto" w:fill="auto"/>
            <w:vAlign w:val="center"/>
          </w:tcPr>
          <w:p w14:paraId="279F8A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00BB3648">
            <w:pPr>
              <w:jc w:val="center"/>
              <w:rPr>
                <w:rFonts w:hint="eastAsia" w:ascii="宋体" w:hAnsi="宋体" w:eastAsia="宋体" w:cs="宋体"/>
                <w:i w:val="0"/>
                <w:iCs w:val="0"/>
                <w:color w:val="000000"/>
                <w:sz w:val="24"/>
                <w:szCs w:val="24"/>
                <w:u w:val="none"/>
              </w:rPr>
            </w:pPr>
          </w:p>
        </w:tc>
        <w:tc>
          <w:tcPr>
            <w:tcW w:w="939" w:type="dxa"/>
            <w:shd w:val="clear" w:color="auto" w:fill="auto"/>
            <w:vAlign w:val="center"/>
          </w:tcPr>
          <w:p w14:paraId="5105E8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2066" w:type="dxa"/>
            <w:shd w:val="clear" w:color="auto" w:fill="auto"/>
            <w:vAlign w:val="center"/>
          </w:tcPr>
          <w:p w14:paraId="2F7115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r>
    </w:tbl>
    <w:p w14:paraId="027768B9">
      <w:pPr>
        <w:spacing w:before="169" w:line="369" w:lineRule="auto"/>
        <w:ind w:right="147" w:rightChars="0"/>
        <w:jc w:val="both"/>
        <w:rPr>
          <w:rFonts w:hint="eastAsia" w:ascii="宋体" w:hAnsi="宋体" w:eastAsia="宋体" w:cs="宋体"/>
          <w:b/>
          <w:bCs/>
          <w:color w:val="auto"/>
          <w:sz w:val="24"/>
          <w:szCs w:val="24"/>
          <w:highlight w:val="none"/>
          <w:lang w:eastAsia="zh-CN"/>
        </w:rPr>
      </w:pPr>
    </w:p>
    <w:p w14:paraId="763FEB8E">
      <w:pPr>
        <w:spacing w:line="360" w:lineRule="auto"/>
        <w:ind w:left="0" w:right="0" w:firstLine="0" w:firstLineChars="0"/>
        <w:rPr>
          <w:rFonts w:hint="eastAsia" w:ascii="宋体" w:hAnsi="宋体" w:eastAsia="宋体" w:cs="宋体"/>
          <w:b/>
          <w:bCs/>
          <w:spacing w:val="10"/>
          <w:sz w:val="28"/>
          <w:szCs w:val="28"/>
          <w:highlight w:val="none"/>
        </w:rPr>
      </w:pPr>
      <w:r>
        <w:rPr>
          <w:rFonts w:hint="eastAsia" w:ascii="宋体" w:hAnsi="宋体" w:eastAsia="宋体" w:cs="宋体"/>
          <w:b/>
          <w:bCs/>
          <w:spacing w:val="10"/>
          <w:sz w:val="28"/>
          <w:szCs w:val="28"/>
          <w:highlight w:val="none"/>
        </w:rPr>
        <w:t>注：</w:t>
      </w:r>
      <w:r>
        <w:rPr>
          <w:rFonts w:hint="eastAsia" w:ascii="宋体" w:hAnsi="宋体" w:eastAsia="宋体" w:cs="宋体"/>
          <w:b/>
          <w:bCs/>
          <w:spacing w:val="10"/>
          <w:sz w:val="28"/>
          <w:szCs w:val="28"/>
          <w:highlight w:val="none"/>
          <w:lang w:val="en-US" w:eastAsia="zh-CN"/>
        </w:rPr>
        <w:t>1、</w:t>
      </w:r>
      <w:r>
        <w:rPr>
          <w:rFonts w:hint="eastAsia" w:ascii="宋体" w:hAnsi="宋体" w:eastAsia="宋体" w:cs="宋体"/>
          <w:b/>
          <w:bCs/>
          <w:spacing w:val="10"/>
          <w:sz w:val="28"/>
          <w:szCs w:val="28"/>
          <w:highlight w:val="none"/>
        </w:rPr>
        <w:t>以上</w:t>
      </w:r>
      <w:r>
        <w:rPr>
          <w:rFonts w:hint="eastAsia" w:ascii="宋体" w:hAnsi="宋体" w:eastAsia="宋体" w:cs="宋体"/>
          <w:b/>
          <w:bCs/>
          <w:spacing w:val="10"/>
          <w:sz w:val="28"/>
          <w:szCs w:val="28"/>
          <w:highlight w:val="none"/>
          <w:lang w:eastAsia="zh-CN"/>
        </w:rPr>
        <w:t>服务要求</w:t>
      </w:r>
      <w:r>
        <w:rPr>
          <w:rFonts w:hint="eastAsia" w:ascii="宋体" w:hAnsi="宋体" w:eastAsia="宋体" w:cs="宋体"/>
          <w:b/>
          <w:bCs/>
          <w:spacing w:val="10"/>
          <w:sz w:val="28"/>
          <w:szCs w:val="28"/>
          <w:highlight w:val="none"/>
        </w:rPr>
        <w:t>投标人必须完全响应，否则作无效投标处理。</w:t>
      </w:r>
    </w:p>
    <w:p w14:paraId="49031F81">
      <w:pPr>
        <w:numPr>
          <w:ilvl w:val="0"/>
          <w:numId w:val="6"/>
        </w:numPr>
        <w:spacing w:line="360" w:lineRule="auto"/>
        <w:ind w:left="0" w:right="0" w:firstLine="0" w:firstLineChars="0"/>
        <w:rPr>
          <w:rFonts w:hint="eastAsia" w:ascii="宋体" w:hAnsi="宋体" w:eastAsia="宋体" w:cs="宋体"/>
          <w:b/>
          <w:bCs/>
          <w:spacing w:val="10"/>
          <w:sz w:val="28"/>
          <w:szCs w:val="28"/>
          <w:highlight w:val="none"/>
          <w:lang w:val="en-US" w:eastAsia="zh-CN"/>
        </w:rPr>
      </w:pPr>
      <w:r>
        <w:rPr>
          <w:rFonts w:hint="eastAsia" w:ascii="宋体" w:hAnsi="宋体" w:eastAsia="宋体" w:cs="宋体"/>
          <w:b/>
          <w:bCs/>
          <w:spacing w:val="10"/>
          <w:sz w:val="28"/>
          <w:szCs w:val="28"/>
          <w:highlight w:val="none"/>
          <w:lang w:val="en-US" w:eastAsia="zh-CN"/>
        </w:rPr>
        <w:t>招标文件工程量清单中的税金属于不可竞争费用，税金按6%计取，否则做无效标处理。</w:t>
      </w:r>
    </w:p>
    <w:p w14:paraId="52C3B8B7">
      <w:pPr>
        <w:numPr>
          <w:ilvl w:val="0"/>
          <w:numId w:val="6"/>
        </w:numPr>
        <w:spacing w:line="360" w:lineRule="auto"/>
        <w:ind w:left="0" w:right="0" w:firstLine="0" w:firstLineChars="0"/>
        <w:rPr>
          <w:rFonts w:hint="eastAsia" w:ascii="宋体" w:hAnsi="宋体" w:eastAsia="宋体" w:cs="宋体"/>
          <w:b/>
          <w:bCs/>
          <w:spacing w:val="10"/>
          <w:sz w:val="28"/>
          <w:szCs w:val="28"/>
          <w:highlight w:val="none"/>
          <w:lang w:val="en-US" w:eastAsia="zh-CN"/>
        </w:rPr>
      </w:pPr>
      <w:r>
        <w:rPr>
          <w:rFonts w:hint="eastAsia" w:ascii="宋体" w:hAnsi="宋体" w:eastAsia="宋体" w:cs="宋体"/>
          <w:b/>
          <w:bCs/>
          <w:spacing w:val="10"/>
          <w:sz w:val="28"/>
          <w:szCs w:val="28"/>
          <w:highlight w:val="none"/>
          <w:lang w:val="en-US" w:eastAsia="zh-CN"/>
        </w:rPr>
        <w:t>投标单位须上传含有报价的完整工程量清单及明细，若新点系统格式不支持，须将该清单作为附件一并上传。</w:t>
      </w:r>
    </w:p>
    <w:p w14:paraId="7C7F48C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F7711">
    <w:pPr>
      <w:spacing w:line="188" w:lineRule="auto"/>
      <w:ind w:left="4082"/>
      <w:rPr>
        <w:rFonts w:ascii="Calibri" w:hAnsi="Calibri" w:eastAsia="Calibri" w:cs="Calibri"/>
        <w:sz w:val="17"/>
        <w:szCs w:val="17"/>
      </w:rPr>
    </w:pPr>
    <w:r>
      <w:rPr>
        <w:sz w:val="17"/>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0BF80E">
                          <w:pPr>
                            <w:pStyle w:val="5"/>
                          </w:pPr>
                          <w:r>
                            <w:fldChar w:fldCharType="begin"/>
                          </w:r>
                          <w:r>
                            <w:instrText xml:space="preserve"> PAGE  \* MERGEFORMAT </w:instrText>
                          </w:r>
                          <w:r>
                            <w:fldChar w:fldCharType="separate"/>
                          </w:r>
                          <w:r>
                            <w:t>66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280BF80E">
                    <w:pPr>
                      <w:pStyle w:val="5"/>
                    </w:pPr>
                    <w:r>
                      <w:fldChar w:fldCharType="begin"/>
                    </w:r>
                    <w:r>
                      <w:instrText xml:space="preserve"> PAGE  \* MERGEFORMAT </w:instrText>
                    </w:r>
                    <w:r>
                      <w:fldChar w:fldCharType="separate"/>
                    </w:r>
                    <w:r>
                      <w:t>66</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FE2950"/>
    <w:multiLevelType w:val="singleLevel"/>
    <w:tmpl w:val="8EFE2950"/>
    <w:lvl w:ilvl="0" w:tentative="0">
      <w:start w:val="2"/>
      <w:numFmt w:val="decimal"/>
      <w:suff w:val="nothing"/>
      <w:lvlText w:val="%1、"/>
      <w:lvlJc w:val="left"/>
    </w:lvl>
  </w:abstractNum>
  <w:abstractNum w:abstractNumId="1">
    <w:nsid w:val="DC4B1AD3"/>
    <w:multiLevelType w:val="singleLevel"/>
    <w:tmpl w:val="DC4B1AD3"/>
    <w:lvl w:ilvl="0" w:tentative="0">
      <w:start w:val="1"/>
      <w:numFmt w:val="decimal"/>
      <w:suff w:val="nothing"/>
      <w:lvlText w:val="%1、"/>
      <w:lvlJc w:val="left"/>
    </w:lvl>
  </w:abstractNum>
  <w:abstractNum w:abstractNumId="2">
    <w:nsid w:val="17B35005"/>
    <w:multiLevelType w:val="singleLevel"/>
    <w:tmpl w:val="17B35005"/>
    <w:lvl w:ilvl="0" w:tentative="0">
      <w:start w:val="1"/>
      <w:numFmt w:val="decimal"/>
      <w:suff w:val="nothing"/>
      <w:lvlText w:val="%1、"/>
      <w:lvlJc w:val="left"/>
    </w:lvl>
  </w:abstractNum>
  <w:abstractNum w:abstractNumId="3">
    <w:nsid w:val="36196BB6"/>
    <w:multiLevelType w:val="singleLevel"/>
    <w:tmpl w:val="36196BB6"/>
    <w:lvl w:ilvl="0" w:tentative="0">
      <w:start w:val="1"/>
      <w:numFmt w:val="decimal"/>
      <w:suff w:val="nothing"/>
      <w:lvlText w:val="%1、"/>
      <w:lvlJc w:val="left"/>
    </w:lvl>
  </w:abstractNum>
  <w:abstractNum w:abstractNumId="4">
    <w:nsid w:val="6E0CE00F"/>
    <w:multiLevelType w:val="singleLevel"/>
    <w:tmpl w:val="6E0CE00F"/>
    <w:lvl w:ilvl="0" w:tentative="0">
      <w:start w:val="7"/>
      <w:numFmt w:val="chineseCounting"/>
      <w:suff w:val="nothing"/>
      <w:lvlText w:val="（%1）"/>
      <w:lvlJc w:val="left"/>
      <w:rPr>
        <w:rFonts w:hint="eastAsia"/>
      </w:rPr>
    </w:lvl>
  </w:abstractNum>
  <w:abstractNum w:abstractNumId="5">
    <w:nsid w:val="7B499579"/>
    <w:multiLevelType w:val="singleLevel"/>
    <w:tmpl w:val="7B499579"/>
    <w:lvl w:ilvl="0" w:tentative="0">
      <w:start w:val="1"/>
      <w:numFmt w:val="decimal"/>
      <w:suff w:val="nothing"/>
      <w:lvlText w:val="%1、"/>
      <w:lvlJc w:val="left"/>
    </w:lvl>
  </w:abstractNum>
  <w:num w:numId="1">
    <w:abstractNumId w:val="4"/>
  </w:num>
  <w:num w:numId="2">
    <w:abstractNumId w:val="5"/>
  </w:num>
  <w:num w:numId="3">
    <w:abstractNumId w:val="2"/>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FE0636"/>
    <w:rsid w:val="0BB43C70"/>
    <w:rsid w:val="14926B19"/>
    <w:rsid w:val="2A6603D4"/>
    <w:rsid w:val="333E1EEE"/>
    <w:rsid w:val="34B61F58"/>
    <w:rsid w:val="444E0E39"/>
    <w:rsid w:val="49ED7D72"/>
    <w:rsid w:val="4CFD651E"/>
    <w:rsid w:val="58D26AB1"/>
    <w:rsid w:val="5C406436"/>
    <w:rsid w:val="71775F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3"/>
    <w:next w:val="4"/>
    <w:qFormat/>
    <w:uiPriority w:val="0"/>
    <w:pPr>
      <w:keepNext/>
      <w:keepLines/>
      <w:spacing w:before="260" w:after="260" w:line="413" w:lineRule="auto"/>
      <w:outlineLvl w:val="1"/>
    </w:pPr>
    <w:rPr>
      <w:rFonts w:ascii="Arial" w:hAnsi="Arial" w:eastAsia="黑体"/>
      <w:b/>
      <w:bCs/>
      <w:sz w:val="32"/>
      <w:szCs w:val="32"/>
    </w:rPr>
  </w:style>
  <w:style w:type="character" w:default="1" w:styleId="10">
    <w:name w:val="Default Paragraph Font"/>
    <w:semiHidden/>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3">
    <w:name w:val="Body Text"/>
    <w:basedOn w:val="1"/>
    <w:semiHidden/>
    <w:qFormat/>
    <w:uiPriority w:val="0"/>
    <w:rPr>
      <w:rFonts w:ascii="仿宋" w:hAnsi="仿宋" w:eastAsia="仿宋" w:cs="仿宋"/>
      <w:sz w:val="30"/>
      <w:szCs w:val="30"/>
    </w:rPr>
  </w:style>
  <w:style w:type="paragraph" w:styleId="4">
    <w:name w:val="Plain Text"/>
    <w:basedOn w:val="1"/>
    <w:qFormat/>
    <w:uiPriority w:val="0"/>
    <w:rPr>
      <w:rFonts w:ascii="宋体" w:hAnsi="Courier New"/>
      <w:kern w:val="0"/>
      <w:sz w:val="20"/>
      <w:szCs w:val="21"/>
    </w:rPr>
  </w:style>
  <w:style w:type="paragraph" w:styleId="5">
    <w:name w:val="footer"/>
    <w:basedOn w:val="1"/>
    <w:qFormat/>
    <w:uiPriority w:val="0"/>
    <w:pPr>
      <w:tabs>
        <w:tab w:val="center" w:pos="4153"/>
        <w:tab w:val="right" w:pos="8306"/>
      </w:tabs>
    </w:pPr>
    <w:rPr>
      <w:sz w:val="18"/>
    </w:rPr>
  </w:style>
  <w:style w:type="paragraph" w:styleId="6">
    <w:name w:val="Normal (Web)"/>
    <w:basedOn w:val="1"/>
    <w:next w:val="1"/>
    <w:qFormat/>
    <w:uiPriority w:val="0"/>
    <w:pPr>
      <w:widowControl/>
      <w:spacing w:before="100" w:beforeAutospacing="1" w:after="100" w:afterAutospacing="1"/>
      <w:jc w:val="left"/>
    </w:pPr>
    <w:rPr>
      <w:rFonts w:ascii="宋体" w:hAnsi="宋体" w:eastAsia="宋体" w:cs="宋体"/>
      <w:kern w:val="0"/>
      <w:sz w:val="24"/>
    </w:rPr>
  </w:style>
  <w:style w:type="paragraph" w:styleId="7">
    <w:name w:val="Body Text First Indent 2"/>
    <w:basedOn w:val="1"/>
    <w:next w:val="1"/>
    <w:qFormat/>
    <w:uiPriority w:val="0"/>
    <w:pPr>
      <w:spacing w:after="120" w:line="480" w:lineRule="exact"/>
      <w:ind w:left="420" w:leftChars="200" w:firstLine="420" w:firstLineChars="200"/>
    </w:pPr>
    <w:rPr>
      <w:szCs w:val="20"/>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1">
    <w:name w:val="Table Text"/>
    <w:basedOn w:val="1"/>
    <w:semiHidden/>
    <w:qFormat/>
    <w:uiPriority w:val="0"/>
  </w:style>
  <w:style w:type="paragraph" w:customStyle="1" w:styleId="12">
    <w:name w:val="正文缩进1"/>
    <w:basedOn w:val="1"/>
    <w:next w:val="6"/>
    <w:qFormat/>
    <w:uiPriority w:val="0"/>
    <w:pPr>
      <w:widowControl/>
      <w:adjustRightInd w:val="0"/>
      <w:snapToGrid w:val="0"/>
      <w:spacing w:line="480" w:lineRule="exact"/>
      <w:ind w:firstLine="567"/>
    </w:pPr>
    <w:rPr>
      <w:rFonts w:ascii="宋体"/>
      <w:snapToGrid w:val="0"/>
      <w:color w:val="000000"/>
      <w:kern w:val="28"/>
      <w:sz w:val="28"/>
      <w:szCs w:val="20"/>
    </w:rPr>
  </w:style>
  <w:style w:type="table" w:customStyle="1" w:styleId="13">
    <w:name w:val="Table Normal"/>
    <w:semiHidden/>
    <w:unhideWhenUsed/>
    <w:qFormat/>
    <w:uiPriority w:val="0"/>
    <w:tblPr>
      <w:tblCellMar>
        <w:top w:w="0" w:type="dxa"/>
        <w:left w:w="0" w:type="dxa"/>
        <w:bottom w:w="0" w:type="dxa"/>
        <w:right w:w="0" w:type="dxa"/>
      </w:tblCellMar>
    </w:tblPr>
  </w:style>
  <w:style w:type="character" w:customStyle="1" w:styleId="14">
    <w:name w:val="font21"/>
    <w:basedOn w:val="10"/>
    <w:qFormat/>
    <w:uiPriority w:val="0"/>
    <w:rPr>
      <w:rFonts w:hint="default" w:ascii="Tahoma" w:hAnsi="Tahoma" w:eastAsia="Tahoma" w:cs="Tahoma"/>
      <w:b/>
      <w:bCs/>
      <w:color w:val="000000"/>
      <w:sz w:val="28"/>
      <w:szCs w:val="28"/>
      <w:u w:val="none"/>
    </w:rPr>
  </w:style>
  <w:style w:type="character" w:customStyle="1" w:styleId="15">
    <w:name w:val="font101"/>
    <w:basedOn w:val="10"/>
    <w:qFormat/>
    <w:uiPriority w:val="0"/>
    <w:rPr>
      <w:rFonts w:hint="eastAsia" w:ascii="宋体" w:hAnsi="宋体" w:eastAsia="宋体" w:cs="宋体"/>
      <w:b/>
      <w:bCs/>
      <w:color w:val="000000"/>
      <w:sz w:val="28"/>
      <w:szCs w:val="2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2026-05-25T11:48:53Z</dcterms:created>
  <dc:creator>admin</dc:creator>
  <cp:lastModifiedBy>ZxQ ¹⁸⁶⁰⁷⁰⁰²⁰⁹⁰</cp:lastModifiedBy>
  <dcterms:modified xsi:type="dcterms:W3CDTF">2026-05-25T11:49:23Z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eyJoZGlkIjoiZTc5NTY3Yzg2MjY2NjJjODA5ZWVkMTlmZGRjMjlmMTMiLCJ1c2VySWQiOiI1MDM0MjI4OTAifQ==</vt:lpwstr>
  </property>
  <property fmtid="{D5CDD505-2E9C-101B-9397-08002B2CF9AE}" pid="4" name="ICV">
    <vt:lpwstr>D140DF1969E04837B2901021BEA30CD1_12</vt:lpwstr>
  </property>
</Properties>
</file>