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431CC2">
      <w:pPr>
        <w:pageBreakBefore w:val="0"/>
        <w:widowControl w:val="0"/>
        <w:wordWrap/>
        <w:overflowPunct/>
        <w:topLinePunct w:val="0"/>
        <w:bidi w:val="0"/>
        <w:spacing w:before="63" w:line="224" w:lineRule="auto"/>
        <w:jc w:val="center"/>
        <w:rPr>
          <w:rFonts w:hint="eastAsia" w:ascii="宋体" w:hAnsi="宋体" w:eastAsia="宋体" w:cs="宋体"/>
          <w:color w:val="auto"/>
          <w:spacing w:val="0"/>
          <w:position w:val="0"/>
          <w:sz w:val="31"/>
          <w:szCs w:val="31"/>
          <w:highlight w:val="none"/>
          <w:lang w:eastAsia="zh-CN"/>
        </w:rPr>
      </w:pPr>
      <w:r>
        <w:rPr>
          <w:rFonts w:hint="eastAsia" w:ascii="宋体" w:hAnsi="宋体" w:eastAsia="宋体" w:cs="宋体"/>
          <w:color w:val="auto"/>
          <w:spacing w:val="0"/>
          <w:position w:val="0"/>
          <w:sz w:val="31"/>
          <w:szCs w:val="31"/>
          <w:highlight w:val="none"/>
          <w:lang w:eastAsia="zh-CN"/>
        </w:rPr>
        <w:t xml:space="preserve"> </w:t>
      </w:r>
      <w:r>
        <w:rPr>
          <w:rFonts w:hint="eastAsia" w:ascii="宋体" w:hAnsi="宋体" w:eastAsia="宋体" w:cs="宋体"/>
          <w:color w:val="auto"/>
          <w:spacing w:val="0"/>
          <w:position w:val="0"/>
          <w:sz w:val="31"/>
          <w:szCs w:val="31"/>
          <w:highlight w:val="none"/>
          <w:lang w:eastAsia="zh-CN"/>
          <w14:textOutline w14:w="5791" w14:cap="sq" w14:cmpd="sng" w14:algn="ctr">
            <w14:solidFill>
              <w14:srgbClr w14:val="000000"/>
            </w14:solidFill>
            <w14:prstDash w14:val="solid"/>
            <w14:bevel/>
          </w14:textOutline>
        </w:rPr>
        <w:t>采购需求</w:t>
      </w:r>
    </w:p>
    <w:p w14:paraId="30E6CAC8">
      <w:pPr>
        <w:pageBreakBefore w:val="0"/>
        <w:widowControl w:val="0"/>
        <w:wordWrap/>
        <w:overflowPunct/>
        <w:topLinePunct w:val="0"/>
        <w:bidi w:val="0"/>
        <w:spacing w:line="309" w:lineRule="auto"/>
        <w:rPr>
          <w:rFonts w:hint="eastAsia" w:ascii="宋体" w:hAnsi="宋体" w:eastAsia="宋体" w:cs="宋体"/>
          <w:color w:val="auto"/>
          <w:spacing w:val="0"/>
          <w:position w:val="0"/>
          <w:highlight w:val="none"/>
          <w:lang w:eastAsia="zh-CN"/>
        </w:rPr>
      </w:pPr>
    </w:p>
    <w:p w14:paraId="3E6949F1">
      <w:pPr>
        <w:pageBreakBefore w:val="0"/>
        <w:widowControl w:val="0"/>
        <w:wordWrap/>
        <w:overflowPunct/>
        <w:topLinePunct w:val="0"/>
        <w:bidi w:val="0"/>
        <w:spacing w:before="78" w:line="220" w:lineRule="auto"/>
        <w:outlineLvl w:val="1"/>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需求表</w:t>
      </w:r>
    </w:p>
    <w:p w14:paraId="5F739219">
      <w:pPr>
        <w:pageBreakBefore w:val="0"/>
        <w:widowControl w:val="0"/>
        <w:wordWrap/>
        <w:overflowPunct/>
        <w:topLinePunct w:val="0"/>
        <w:bidi w:val="0"/>
        <w:spacing w:before="64"/>
        <w:rPr>
          <w:rFonts w:hint="eastAsia" w:ascii="宋体" w:hAnsi="宋体" w:eastAsia="宋体" w:cs="宋体"/>
          <w:color w:val="auto"/>
          <w:spacing w:val="0"/>
          <w:position w:val="0"/>
          <w:highlight w:val="none"/>
        </w:rPr>
      </w:pPr>
    </w:p>
    <w:tbl>
      <w:tblPr>
        <w:tblStyle w:val="9"/>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vAlign w:val="center"/>
          </w:tcPr>
          <w:p w14:paraId="0D42D705">
            <w:pPr>
              <w:pageBreakBefore w:val="0"/>
              <w:widowControl w:val="0"/>
              <w:wordWrap/>
              <w:overflowPunct/>
              <w:topLinePunct w:val="0"/>
              <w:bidi w:val="0"/>
              <w:spacing w:before="183" w:line="223" w:lineRule="auto"/>
              <w:ind w:left="1091"/>
              <w:jc w:val="left"/>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hint="eastAsia" w:ascii="宋体" w:hAnsi="宋体" w:eastAsia="宋体" w:cs="宋体"/>
                <w:color w:val="auto"/>
                <w:spacing w:val="0"/>
                <w:position w:val="0"/>
                <w:sz w:val="24"/>
                <w:szCs w:val="24"/>
                <w:highlight w:val="none"/>
              </w:rPr>
              <w:t>名</w:t>
            </w:r>
          </w:p>
          <w:p w14:paraId="7F4DE6C5">
            <w:pPr>
              <w:pStyle w:val="10"/>
              <w:pageBreakBefore w:val="0"/>
              <w:widowControl w:val="0"/>
              <w:wordWrap/>
              <w:overflowPunct/>
              <w:topLinePunct w:val="0"/>
              <w:bidi w:val="0"/>
              <w:spacing w:line="245" w:lineRule="auto"/>
              <w:jc w:val="left"/>
              <w:rPr>
                <w:rFonts w:hint="eastAsia" w:ascii="宋体" w:hAnsi="宋体" w:eastAsia="宋体" w:cs="宋体"/>
                <w:color w:val="auto"/>
                <w:spacing w:val="0"/>
                <w:position w:val="0"/>
                <w:highlight w:val="none"/>
              </w:rPr>
            </w:pPr>
          </w:p>
          <w:p w14:paraId="48CD3627">
            <w:pPr>
              <w:pStyle w:val="10"/>
              <w:pageBreakBefore w:val="0"/>
              <w:widowControl w:val="0"/>
              <w:wordWrap/>
              <w:overflowPunct/>
              <w:topLinePunct w:val="0"/>
              <w:bidi w:val="0"/>
              <w:spacing w:line="246" w:lineRule="auto"/>
              <w:jc w:val="left"/>
              <w:rPr>
                <w:rFonts w:hint="eastAsia" w:ascii="宋体" w:hAnsi="宋体" w:eastAsia="宋体" w:cs="宋体"/>
                <w:color w:val="auto"/>
                <w:spacing w:val="0"/>
                <w:position w:val="0"/>
                <w:highlight w:val="none"/>
              </w:rPr>
            </w:pPr>
          </w:p>
          <w:p w14:paraId="0B8A177C">
            <w:pPr>
              <w:pageBreakBefore w:val="0"/>
              <w:widowControl w:val="0"/>
              <w:wordWrap/>
              <w:overflowPunct/>
              <w:topLinePunct w:val="0"/>
              <w:bidi w:val="0"/>
              <w:spacing w:before="78" w:line="219" w:lineRule="auto"/>
              <w:ind w:left="481"/>
              <w:jc w:val="left"/>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内</w:t>
            </w:r>
          </w:p>
          <w:p w14:paraId="28E8E994">
            <w:pPr>
              <w:pStyle w:val="10"/>
              <w:pageBreakBefore w:val="0"/>
              <w:widowControl w:val="0"/>
              <w:wordWrap/>
              <w:overflowPunct/>
              <w:topLinePunct w:val="0"/>
              <w:bidi w:val="0"/>
              <w:spacing w:line="338" w:lineRule="auto"/>
              <w:jc w:val="left"/>
              <w:rPr>
                <w:rFonts w:hint="eastAsia" w:ascii="宋体" w:hAnsi="宋体" w:eastAsia="宋体" w:cs="宋体"/>
                <w:color w:val="auto"/>
                <w:spacing w:val="0"/>
                <w:position w:val="0"/>
                <w:highlight w:val="none"/>
              </w:rPr>
            </w:pPr>
          </w:p>
          <w:p w14:paraId="1E37CBA5">
            <w:pPr>
              <w:pageBreakBefore w:val="0"/>
              <w:widowControl w:val="0"/>
              <w:wordWrap/>
              <w:overflowPunct/>
              <w:topLinePunct w:val="0"/>
              <w:bidi w:val="0"/>
              <w:spacing w:before="78" w:line="220" w:lineRule="auto"/>
              <w:ind w:left="1311"/>
              <w:jc w:val="left"/>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容</w:t>
            </w:r>
          </w:p>
        </w:tc>
        <w:tc>
          <w:tcPr>
            <w:tcW w:w="817" w:type="dxa"/>
            <w:tcBorders>
              <w:left w:val="nil"/>
            </w:tcBorders>
            <w:vAlign w:val="center"/>
          </w:tcPr>
          <w:p w14:paraId="32FF109B">
            <w:pPr>
              <w:pStyle w:val="10"/>
              <w:pageBreakBefore w:val="0"/>
              <w:widowControl w:val="0"/>
              <w:wordWrap/>
              <w:overflowPunct/>
              <w:topLinePunct w:val="0"/>
              <w:bidi w:val="0"/>
              <w:spacing w:line="263" w:lineRule="auto"/>
              <w:jc w:val="left"/>
              <w:rPr>
                <w:rFonts w:hint="eastAsia" w:ascii="宋体" w:hAnsi="宋体" w:eastAsia="宋体" w:cs="宋体"/>
                <w:color w:val="auto"/>
                <w:spacing w:val="0"/>
                <w:position w:val="0"/>
                <w:highlight w:val="none"/>
              </w:rPr>
            </w:pPr>
          </w:p>
          <w:p w14:paraId="05E0F17E">
            <w:pPr>
              <w:pStyle w:val="10"/>
              <w:pageBreakBefore w:val="0"/>
              <w:widowControl w:val="0"/>
              <w:wordWrap/>
              <w:overflowPunct/>
              <w:topLinePunct w:val="0"/>
              <w:bidi w:val="0"/>
              <w:spacing w:line="263" w:lineRule="auto"/>
              <w:jc w:val="left"/>
              <w:rPr>
                <w:rFonts w:hint="eastAsia" w:ascii="宋体" w:hAnsi="宋体" w:eastAsia="宋体" w:cs="宋体"/>
                <w:color w:val="auto"/>
                <w:spacing w:val="0"/>
                <w:position w:val="0"/>
                <w:highlight w:val="none"/>
              </w:rPr>
            </w:pPr>
          </w:p>
          <w:p w14:paraId="309D1F5B">
            <w:pPr>
              <w:pStyle w:val="10"/>
              <w:pageBreakBefore w:val="0"/>
              <w:widowControl w:val="0"/>
              <w:wordWrap/>
              <w:overflowPunct/>
              <w:topLinePunct w:val="0"/>
              <w:bidi w:val="0"/>
              <w:spacing w:line="264" w:lineRule="auto"/>
              <w:jc w:val="left"/>
              <w:rPr>
                <w:rFonts w:hint="eastAsia" w:ascii="宋体" w:hAnsi="宋体" w:eastAsia="宋体" w:cs="宋体"/>
                <w:color w:val="auto"/>
                <w:spacing w:val="0"/>
                <w:position w:val="0"/>
                <w:highlight w:val="none"/>
              </w:rPr>
            </w:pPr>
          </w:p>
          <w:p w14:paraId="1E3BFF19">
            <w:pPr>
              <w:pageBreakBefore w:val="0"/>
              <w:widowControl w:val="0"/>
              <w:wordWrap/>
              <w:overflowPunct/>
              <w:topLinePunct w:val="0"/>
              <w:bidi w:val="0"/>
              <w:spacing w:before="78" w:line="221" w:lineRule="auto"/>
              <w:ind w:left="192"/>
              <w:jc w:val="left"/>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称</w:t>
            </w:r>
          </w:p>
        </w:tc>
        <w:tc>
          <w:tcPr>
            <w:tcW w:w="6150" w:type="dxa"/>
            <w:vAlign w:val="center"/>
          </w:tcPr>
          <w:p w14:paraId="0E11B00B">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eastAsia="zh-CN"/>
              </w:rPr>
              <w:t>南丰县城乡公交和镇村公交整体线路经营权采购项目(第二次)</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vAlign w:val="center"/>
          </w:tcPr>
          <w:p w14:paraId="700D095A">
            <w:pPr>
              <w:pageBreakBefore w:val="0"/>
              <w:widowControl w:val="0"/>
              <w:wordWrap/>
              <w:overflowPunct/>
              <w:topLinePunct w:val="0"/>
              <w:bidi w:val="0"/>
              <w:spacing w:before="253" w:line="219" w:lineRule="auto"/>
              <w:ind w:left="1188"/>
              <w:jc w:val="left"/>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数量</w:t>
            </w:r>
          </w:p>
        </w:tc>
        <w:tc>
          <w:tcPr>
            <w:tcW w:w="6150" w:type="dxa"/>
            <w:vAlign w:val="center"/>
          </w:tcPr>
          <w:p w14:paraId="2F349A5E">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1批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vAlign w:val="center"/>
          </w:tcPr>
          <w:p w14:paraId="4F1711F5">
            <w:pPr>
              <w:pageBreakBefore w:val="0"/>
              <w:widowControl w:val="0"/>
              <w:wordWrap/>
              <w:overflowPunct/>
              <w:topLinePunct w:val="0"/>
              <w:bidi w:val="0"/>
              <w:spacing w:before="253" w:line="219" w:lineRule="auto"/>
              <w:ind w:left="1071"/>
              <w:jc w:val="left"/>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hint="eastAsia" w:ascii="宋体" w:hAnsi="宋体" w:eastAsia="宋体" w:cs="宋体"/>
                <w:color w:val="auto"/>
                <w:spacing w:val="0"/>
                <w:position w:val="0"/>
                <w:sz w:val="24"/>
                <w:szCs w:val="24"/>
                <w:highlight w:val="none"/>
              </w:rPr>
              <w:t>期</w:t>
            </w:r>
          </w:p>
        </w:tc>
        <w:tc>
          <w:tcPr>
            <w:tcW w:w="6150" w:type="dxa"/>
            <w:vAlign w:val="center"/>
          </w:tcPr>
          <w:p w14:paraId="25152DAD">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详见商务条款</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vAlign w:val="center"/>
          </w:tcPr>
          <w:p w14:paraId="20569D79">
            <w:pPr>
              <w:pageBreakBefore w:val="0"/>
              <w:widowControl w:val="0"/>
              <w:wordWrap/>
              <w:overflowPunct/>
              <w:topLinePunct w:val="0"/>
              <w:bidi w:val="0"/>
              <w:spacing w:before="256" w:line="219" w:lineRule="auto"/>
              <w:ind w:left="951"/>
              <w:jc w:val="left"/>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hint="eastAsia" w:ascii="宋体" w:hAnsi="宋体" w:eastAsia="宋体" w:cs="宋体"/>
                <w:color w:val="auto"/>
                <w:spacing w:val="0"/>
                <w:position w:val="0"/>
                <w:sz w:val="24"/>
                <w:szCs w:val="24"/>
                <w:highlight w:val="none"/>
              </w:rPr>
              <w:t>地点</w:t>
            </w:r>
          </w:p>
        </w:tc>
        <w:tc>
          <w:tcPr>
            <w:tcW w:w="6150" w:type="dxa"/>
            <w:vAlign w:val="center"/>
          </w:tcPr>
          <w:p w14:paraId="6AF95DC6">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详见商务条款</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vAlign w:val="center"/>
          </w:tcPr>
          <w:p w14:paraId="54F338C6">
            <w:pPr>
              <w:pageBreakBefore w:val="0"/>
              <w:widowControl w:val="0"/>
              <w:wordWrap/>
              <w:overflowPunct/>
              <w:topLinePunct w:val="0"/>
              <w:bidi w:val="0"/>
              <w:spacing w:before="256" w:line="221" w:lineRule="auto"/>
              <w:ind w:left="1189"/>
              <w:jc w:val="left"/>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备注</w:t>
            </w:r>
          </w:p>
        </w:tc>
        <w:tc>
          <w:tcPr>
            <w:tcW w:w="6150" w:type="dxa"/>
            <w:vAlign w:val="center"/>
          </w:tcPr>
          <w:p w14:paraId="0DF1623E">
            <w:pPr>
              <w:pageBreakBefore w:val="0"/>
              <w:widowControl w:val="0"/>
              <w:wordWrap/>
              <w:overflowPunct/>
              <w:topLinePunct w:val="0"/>
              <w:bidi w:val="0"/>
              <w:spacing w:before="253" w:line="219" w:lineRule="auto"/>
              <w:ind w:left="1188"/>
              <w:jc w:val="center"/>
              <w:rPr>
                <w:rFonts w:hint="eastAsia" w:ascii="宋体" w:hAnsi="宋体" w:eastAsia="宋体" w:cs="宋体"/>
                <w:color w:val="auto"/>
                <w:spacing w:val="0"/>
                <w:position w:val="0"/>
                <w:sz w:val="24"/>
                <w:szCs w:val="24"/>
                <w:highlight w:val="none"/>
              </w:rPr>
            </w:pPr>
          </w:p>
        </w:tc>
      </w:tr>
    </w:tbl>
    <w:p w14:paraId="632E5188">
      <w:pPr>
        <w:pageBreakBefore w:val="0"/>
        <w:widowControl w:val="0"/>
        <w:wordWrap/>
        <w:overflowPunct/>
        <w:topLinePunct w:val="0"/>
        <w:bidi w:val="0"/>
        <w:rPr>
          <w:rFonts w:hint="eastAsia" w:ascii="宋体" w:hAnsi="宋体" w:eastAsia="宋体" w:cs="宋体"/>
          <w:color w:val="auto"/>
          <w:spacing w:val="0"/>
          <w:position w:val="0"/>
          <w:highlight w:val="none"/>
        </w:rPr>
      </w:pPr>
    </w:p>
    <w:p w14:paraId="16243D57">
      <w:pPr>
        <w:pageBreakBefore w:val="0"/>
        <w:widowControl w:val="0"/>
        <w:wordWrap/>
        <w:overflowPunct/>
        <w:topLinePunct w:val="0"/>
        <w:bidi w:val="0"/>
        <w:rPr>
          <w:rFonts w:hint="eastAsia" w:ascii="宋体" w:hAnsi="宋体" w:eastAsia="宋体" w:cs="宋体"/>
          <w:color w:val="auto"/>
          <w:spacing w:val="0"/>
          <w:position w:val="0"/>
          <w:highlight w:val="none"/>
        </w:rPr>
        <w:sectPr>
          <w:footerReference r:id="rId3"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hint="eastAsia" w:ascii="宋体" w:hAnsi="宋体" w:eastAsia="宋体" w:cs="宋体"/>
          <w:color w:val="auto"/>
          <w:spacing w:val="0"/>
          <w:position w:val="0"/>
          <w:sz w:val="24"/>
          <w:szCs w:val="24"/>
          <w:highlight w:val="none"/>
        </w:rPr>
      </w:pPr>
      <w:bookmarkStart w:id="0" w:name="bookmark81"/>
      <w:bookmarkEnd w:id="0"/>
      <w:r>
        <w:rPr>
          <w:rFonts w:hint="eastAsia" w:ascii="宋体" w:hAnsi="宋体" w:eastAsia="宋体" w:cs="宋体"/>
          <w:color w:val="auto"/>
          <w:spacing w:val="0"/>
          <w:position w:val="0"/>
          <w:sz w:val="24"/>
          <w:szCs w:val="24"/>
          <w:highlight w:val="none"/>
          <w14:textOutline w14:w="4356" w14:cap="sq" w14:cmpd="sng" w14:algn="ctr">
            <w14:solidFill>
              <w14:srgbClr w14:val="000000"/>
            </w14:solidFill>
            <w14:prstDash w14:val="solid"/>
            <w14:bevel/>
          </w14:textOutline>
        </w:rPr>
        <w:t>二、采购需求</w:t>
      </w:r>
    </w:p>
    <w:p w14:paraId="474EAFDC">
      <w:pPr>
        <w:pageBreakBefore w:val="0"/>
        <w:widowControl w:val="0"/>
        <w:wordWrap/>
        <w:overflowPunct/>
        <w:topLinePunct w:val="0"/>
        <w:bidi w:val="0"/>
        <w:spacing w:line="257" w:lineRule="auto"/>
        <w:rPr>
          <w:rFonts w:hint="eastAsia" w:ascii="宋体" w:hAnsi="宋体" w:eastAsia="宋体" w:cs="宋体"/>
          <w:color w:val="auto"/>
          <w:spacing w:val="0"/>
          <w:position w:val="0"/>
          <w:highlight w:val="none"/>
        </w:rPr>
      </w:pPr>
    </w:p>
    <w:p w14:paraId="22629588">
      <w:pPr>
        <w:spacing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一、服务需求</w:t>
      </w:r>
    </w:p>
    <w:p w14:paraId="605FAF55">
      <w:pPr>
        <w:keepNext w:val="0"/>
        <w:keepLines w:val="0"/>
        <w:pageBreakBefore w:val="0"/>
        <w:widowControl w:val="0"/>
        <w:wordWrap/>
        <w:topLinePunct w:val="0"/>
        <w:autoSpaceDE w:val="0"/>
        <w:autoSpaceDN w:val="0"/>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（一）项目概况</w:t>
      </w:r>
    </w:p>
    <w:p w14:paraId="646F6146">
      <w:pPr>
        <w:pStyle w:val="2"/>
        <w:keepNext w:val="0"/>
        <w:keepLines w:val="0"/>
        <w:pageBreakBefore w:val="0"/>
        <w:widowControl w:val="0"/>
        <w:kinsoku w:val="0"/>
        <w:wordWrap/>
        <w:overflowPunct w:val="0"/>
        <w:topLinePunct w:val="0"/>
        <w:bidi w:val="0"/>
        <w:adjustRightInd/>
        <w:snapToGrid/>
        <w:spacing w:after="0" w:line="360" w:lineRule="auto"/>
        <w:ind w:firstLine="480"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lang w:val="en-US" w:eastAsia="zh-CN"/>
        </w:rPr>
        <w:t>随着我县公共交通的不断发展，全县居民对公共交通的依赖性越来越强，对此提出的要求越来越高，尤其是近年来县政府结合我县环保定位大力发展绿色交通。为了方便居民，照顾低收入人群出行，解决老年人、残疾人、学生、军人和广大居民的出行方便，全面落实“民生工程”、改善城市交通结构，促进我县城市公交健康稳定发展，提升城市品位，打造“世界桔都、休闲南丰”。为进一步落实“为民、惠民、便民、利民”的服务理念，构筑线路布局合理、站点配套完善、道路通行顺畅、车况性能良好、价格实惠为民的城乡公交及村镇公交一体化运行网络，南丰县政府拟采用委托经营的方式授予2026年-2032年南丰县城乡公交和镇村公交整体线路经营权</w:t>
      </w:r>
      <w:r>
        <w:rPr>
          <w:rFonts w:hint="eastAsia" w:ascii="宋体" w:hAnsi="宋体" w:eastAsia="宋体" w:cs="宋体"/>
          <w:color w:val="auto"/>
          <w:spacing w:val="-2"/>
          <w:sz w:val="24"/>
          <w:szCs w:val="24"/>
          <w:highlight w:val="none"/>
        </w:rPr>
        <w:t>。</w:t>
      </w:r>
    </w:p>
    <w:p w14:paraId="0B45B95D">
      <w:pPr>
        <w:pStyle w:val="2"/>
        <w:keepNext w:val="0"/>
        <w:keepLines w:val="0"/>
        <w:pageBreakBefore w:val="0"/>
        <w:widowControl w:val="0"/>
        <w:kinsoku w:val="0"/>
        <w:wordWrap/>
        <w:overflowPunct w:val="0"/>
        <w:topLinePunct w:val="0"/>
        <w:bidi w:val="0"/>
        <w:adjustRightInd/>
        <w:snapToGrid/>
        <w:spacing w:after="0"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南丰县</w:t>
      </w:r>
      <w:r>
        <w:rPr>
          <w:rFonts w:hint="eastAsia" w:ascii="宋体" w:hAnsi="宋体" w:eastAsia="宋体" w:cs="宋体"/>
          <w:color w:val="auto"/>
          <w:spacing w:val="-2"/>
          <w:sz w:val="24"/>
          <w:szCs w:val="24"/>
          <w:highlight w:val="none"/>
          <w:lang w:val="en-US" w:eastAsia="zh-CN"/>
        </w:rPr>
        <w:t>城乡公交和镇村</w:t>
      </w:r>
      <w:r>
        <w:rPr>
          <w:rFonts w:hint="eastAsia" w:ascii="宋体" w:hAnsi="宋体" w:eastAsia="宋体" w:cs="宋体"/>
          <w:color w:val="auto"/>
          <w:spacing w:val="-2"/>
          <w:sz w:val="24"/>
          <w:szCs w:val="24"/>
          <w:highlight w:val="none"/>
        </w:rPr>
        <w:t>公交运营企业注册车辆数为</w:t>
      </w:r>
      <w:r>
        <w:rPr>
          <w:rFonts w:hint="eastAsia" w:ascii="宋体" w:hAnsi="宋体" w:eastAsia="宋体" w:cs="宋体"/>
          <w:color w:val="auto"/>
          <w:spacing w:val="-2"/>
          <w:sz w:val="24"/>
          <w:szCs w:val="24"/>
          <w:highlight w:val="none"/>
          <w:lang w:val="en-US" w:eastAsia="zh-CN"/>
        </w:rPr>
        <w:t>48</w:t>
      </w:r>
      <w:r>
        <w:rPr>
          <w:rFonts w:hint="eastAsia" w:ascii="宋体" w:hAnsi="宋体" w:eastAsia="宋体" w:cs="宋体"/>
          <w:color w:val="auto"/>
          <w:spacing w:val="-2"/>
          <w:sz w:val="24"/>
          <w:szCs w:val="24"/>
          <w:highlight w:val="none"/>
        </w:rPr>
        <w:t>辆，其中</w:t>
      </w:r>
      <w:r>
        <w:rPr>
          <w:rFonts w:hint="eastAsia" w:ascii="宋体" w:hAnsi="宋体" w:eastAsia="宋体" w:cs="宋体"/>
          <w:color w:val="auto"/>
          <w:spacing w:val="-2"/>
          <w:sz w:val="24"/>
          <w:szCs w:val="24"/>
          <w:highlight w:val="none"/>
          <w:lang w:val="en-US" w:eastAsia="zh-CN"/>
        </w:rPr>
        <w:t>镇村公交线路8辆</w:t>
      </w:r>
      <w:r>
        <w:rPr>
          <w:rFonts w:hint="eastAsia" w:ascii="宋体" w:hAnsi="宋体" w:eastAsia="宋体" w:cs="宋体"/>
          <w:color w:val="auto"/>
          <w:spacing w:val="-2"/>
          <w:sz w:val="24"/>
          <w:szCs w:val="24"/>
          <w:highlight w:val="none"/>
        </w:rPr>
        <w:t>公交</w:t>
      </w:r>
      <w:r>
        <w:rPr>
          <w:rFonts w:hint="eastAsia" w:ascii="宋体" w:hAnsi="宋体" w:eastAsia="宋体" w:cs="宋体"/>
          <w:color w:val="auto"/>
          <w:spacing w:val="-2"/>
          <w:sz w:val="24"/>
          <w:szCs w:val="24"/>
          <w:highlight w:val="none"/>
          <w:lang w:val="en-US" w:eastAsia="zh-CN"/>
        </w:rPr>
        <w:t>车，城乡公交线路40</w:t>
      </w:r>
      <w:r>
        <w:rPr>
          <w:rFonts w:hint="eastAsia" w:ascii="宋体" w:hAnsi="宋体" w:eastAsia="宋体" w:cs="宋体"/>
          <w:color w:val="auto"/>
          <w:spacing w:val="-2"/>
          <w:sz w:val="24"/>
          <w:szCs w:val="24"/>
          <w:highlight w:val="none"/>
        </w:rPr>
        <w:t>辆</w:t>
      </w:r>
      <w:r>
        <w:rPr>
          <w:rFonts w:hint="eastAsia" w:ascii="宋体" w:hAnsi="宋体" w:eastAsia="宋体" w:cs="宋体"/>
          <w:color w:val="auto"/>
          <w:spacing w:val="-2"/>
          <w:sz w:val="24"/>
          <w:szCs w:val="24"/>
          <w:highlight w:val="none"/>
          <w:lang w:val="en-US" w:eastAsia="zh-CN"/>
        </w:rPr>
        <w:t>纯电</w:t>
      </w:r>
      <w:r>
        <w:rPr>
          <w:rFonts w:hint="eastAsia" w:ascii="宋体" w:hAnsi="宋体" w:eastAsia="宋体" w:cs="宋体"/>
          <w:color w:val="auto"/>
          <w:spacing w:val="-2"/>
          <w:sz w:val="24"/>
          <w:szCs w:val="24"/>
          <w:highlight w:val="none"/>
        </w:rPr>
        <w:t>公交</w:t>
      </w:r>
      <w:r>
        <w:rPr>
          <w:rFonts w:hint="eastAsia" w:ascii="宋体" w:hAnsi="宋体" w:eastAsia="宋体" w:cs="宋体"/>
          <w:color w:val="auto"/>
          <w:spacing w:val="-2"/>
          <w:sz w:val="24"/>
          <w:szCs w:val="24"/>
          <w:highlight w:val="none"/>
          <w:lang w:val="en-US" w:eastAsia="zh-CN"/>
        </w:rPr>
        <w:t>车</w:t>
      </w:r>
      <w:r>
        <w:rPr>
          <w:rFonts w:hint="eastAsia" w:ascii="宋体" w:hAnsi="宋体" w:eastAsia="宋体" w:cs="宋体"/>
          <w:color w:val="auto"/>
          <w:spacing w:val="-2"/>
          <w:sz w:val="24"/>
          <w:szCs w:val="24"/>
          <w:highlight w:val="none"/>
        </w:rPr>
        <w:t>，公交车辆共计</w:t>
      </w:r>
      <w:r>
        <w:rPr>
          <w:rFonts w:hint="eastAsia" w:ascii="宋体" w:hAnsi="宋体" w:eastAsia="宋体" w:cs="宋体"/>
          <w:color w:val="auto"/>
          <w:spacing w:val="-2"/>
          <w:sz w:val="24"/>
          <w:szCs w:val="24"/>
          <w:highlight w:val="none"/>
          <w:lang w:val="en-US" w:eastAsia="zh-CN"/>
        </w:rPr>
        <w:t>48</w:t>
      </w:r>
      <w:r>
        <w:rPr>
          <w:rFonts w:hint="eastAsia" w:ascii="宋体" w:hAnsi="宋体" w:eastAsia="宋体" w:cs="宋体"/>
          <w:color w:val="auto"/>
          <w:spacing w:val="-2"/>
          <w:sz w:val="24"/>
          <w:szCs w:val="24"/>
          <w:highlight w:val="none"/>
        </w:rPr>
        <w:t>辆。</w:t>
      </w:r>
    </w:p>
    <w:p w14:paraId="7E35D927">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（二）项目实施模式</w:t>
      </w:r>
    </w:p>
    <w:p w14:paraId="0F2E0D81">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依据《基础设施和公用事业经营管理办法》，本项目拟采用经营模式</w:t>
      </w:r>
      <w:r>
        <w:rPr>
          <w:rFonts w:hint="eastAsia" w:ascii="宋体" w:hAnsi="宋体" w:eastAsia="宋体" w:cs="宋体"/>
          <w:color w:val="auto"/>
          <w:spacing w:val="-2"/>
          <w:sz w:val="24"/>
          <w:szCs w:val="24"/>
          <w:highlight w:val="none"/>
          <w:lang w:val="en-US" w:eastAsia="zh-CN"/>
        </w:rPr>
        <w:t>,</w:t>
      </w:r>
      <w:r>
        <w:rPr>
          <w:rFonts w:hint="eastAsia" w:ascii="宋体" w:hAnsi="宋体" w:eastAsia="宋体" w:cs="宋体"/>
          <w:color w:val="auto"/>
          <w:spacing w:val="-2"/>
          <w:sz w:val="24"/>
          <w:szCs w:val="24"/>
          <w:highlight w:val="none"/>
        </w:rPr>
        <w:t>南丰县人民政府授权南丰县交通运输局作为实施机构，通过公开招标的方式择优选择经营者，在正式签署《经营协议》后授予经营权；</w:t>
      </w:r>
      <w:r>
        <w:rPr>
          <w:rFonts w:hint="eastAsia" w:ascii="宋体" w:hAnsi="宋体" w:eastAsia="宋体" w:cs="宋体"/>
          <w:color w:val="auto"/>
          <w:spacing w:val="-2"/>
          <w:sz w:val="24"/>
          <w:szCs w:val="24"/>
          <w:highlight w:val="none"/>
          <w:lang w:eastAsia="zh-CN"/>
        </w:rPr>
        <w:t>中标人</w:t>
      </w:r>
      <w:r>
        <w:rPr>
          <w:rFonts w:hint="eastAsia" w:ascii="宋体" w:hAnsi="宋体" w:eastAsia="宋体" w:cs="宋体"/>
          <w:color w:val="auto"/>
          <w:spacing w:val="-2"/>
          <w:sz w:val="24"/>
          <w:szCs w:val="24"/>
          <w:highlight w:val="none"/>
        </w:rPr>
        <w:t>出资设立项目公司（若成立）后，实施机构、</w:t>
      </w:r>
      <w:r>
        <w:rPr>
          <w:rFonts w:hint="eastAsia" w:ascii="宋体" w:hAnsi="宋体" w:eastAsia="宋体" w:cs="宋体"/>
          <w:color w:val="auto"/>
          <w:spacing w:val="-2"/>
          <w:sz w:val="24"/>
          <w:szCs w:val="24"/>
          <w:highlight w:val="none"/>
          <w:lang w:eastAsia="zh-CN"/>
        </w:rPr>
        <w:t>中标人</w:t>
      </w:r>
      <w:r>
        <w:rPr>
          <w:rFonts w:hint="eastAsia" w:ascii="宋体" w:hAnsi="宋体" w:eastAsia="宋体" w:cs="宋体"/>
          <w:color w:val="auto"/>
          <w:spacing w:val="-2"/>
          <w:sz w:val="24"/>
          <w:szCs w:val="24"/>
          <w:highlight w:val="none"/>
        </w:rPr>
        <w:t>、项目公司三方签订《经营协议补充协议》，由项目公司继承《经营协议》约定的</w:t>
      </w:r>
      <w:r>
        <w:rPr>
          <w:rFonts w:hint="eastAsia" w:ascii="宋体" w:hAnsi="宋体" w:eastAsia="宋体" w:cs="宋体"/>
          <w:color w:val="auto"/>
          <w:spacing w:val="-2"/>
          <w:sz w:val="24"/>
          <w:szCs w:val="24"/>
          <w:highlight w:val="none"/>
          <w:lang w:eastAsia="zh-CN"/>
        </w:rPr>
        <w:t>中标人</w:t>
      </w:r>
      <w:r>
        <w:rPr>
          <w:rFonts w:hint="eastAsia" w:ascii="宋体" w:hAnsi="宋体" w:eastAsia="宋体" w:cs="宋体"/>
          <w:color w:val="auto"/>
          <w:spacing w:val="-2"/>
          <w:sz w:val="24"/>
          <w:szCs w:val="24"/>
          <w:highlight w:val="none"/>
        </w:rPr>
        <w:t>的权利义务，合作期内，经营者不因《经营协议补充协议》的签订而豁免其在《经营协议》中约定的权利义务。</w:t>
      </w:r>
    </w:p>
    <w:p w14:paraId="22327EA5">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（三）运作模式</w:t>
      </w:r>
    </w:p>
    <w:p w14:paraId="084823C6">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本项目采用改建-运营-移交（ROT）的方式进行运作，政府将项目投资、融资、改扩建、运营及维护等</w:t>
      </w:r>
      <w:r>
        <w:rPr>
          <w:rFonts w:hint="eastAsia" w:ascii="宋体" w:hAnsi="宋体" w:eastAsia="宋体" w:cs="宋体"/>
          <w:color w:val="auto"/>
          <w:spacing w:val="-2"/>
          <w:sz w:val="24"/>
          <w:szCs w:val="24"/>
          <w:highlight w:val="none"/>
          <w:lang w:eastAsia="zh-CN"/>
        </w:rPr>
        <w:t>授予经营</w:t>
      </w:r>
      <w:r>
        <w:rPr>
          <w:rFonts w:hint="eastAsia" w:ascii="宋体" w:hAnsi="宋体" w:eastAsia="宋体" w:cs="宋体"/>
          <w:color w:val="auto"/>
          <w:spacing w:val="-2"/>
          <w:sz w:val="24"/>
          <w:szCs w:val="24"/>
          <w:highlight w:val="none"/>
        </w:rPr>
        <w:t xml:space="preserve">者。具体说明如下： </w:t>
      </w:r>
    </w:p>
    <w:p w14:paraId="2C5DF4D7">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（1）</w:t>
      </w:r>
      <w:r>
        <w:rPr>
          <w:rFonts w:hint="eastAsia" w:ascii="宋体" w:hAnsi="宋体" w:eastAsia="宋体" w:cs="宋体"/>
          <w:color w:val="auto"/>
          <w:spacing w:val="-2"/>
          <w:sz w:val="24"/>
          <w:szCs w:val="24"/>
          <w:highlight w:val="none"/>
          <w:lang w:eastAsia="zh-CN"/>
        </w:rPr>
        <w:t>南丰县</w:t>
      </w:r>
      <w:r>
        <w:rPr>
          <w:rFonts w:hint="eastAsia" w:ascii="宋体" w:hAnsi="宋体" w:eastAsia="宋体" w:cs="宋体"/>
          <w:color w:val="auto"/>
          <w:spacing w:val="-2"/>
          <w:sz w:val="24"/>
          <w:szCs w:val="24"/>
          <w:highlight w:val="none"/>
        </w:rPr>
        <w:t>交通运输局作为实施机构，负责本项目整体统筹运作工作，依法公开、公平、公正采购</w:t>
      </w:r>
      <w:r>
        <w:rPr>
          <w:rFonts w:hint="eastAsia" w:ascii="宋体" w:hAnsi="宋体" w:eastAsia="宋体" w:cs="宋体"/>
          <w:color w:val="auto"/>
          <w:spacing w:val="-2"/>
          <w:sz w:val="24"/>
          <w:szCs w:val="24"/>
          <w:highlight w:val="none"/>
          <w:lang w:eastAsia="zh-CN"/>
        </w:rPr>
        <w:t>经营</w:t>
      </w:r>
      <w:r>
        <w:rPr>
          <w:rFonts w:hint="eastAsia" w:ascii="宋体" w:hAnsi="宋体" w:eastAsia="宋体" w:cs="宋体"/>
          <w:color w:val="auto"/>
          <w:spacing w:val="-2"/>
          <w:sz w:val="24"/>
          <w:szCs w:val="24"/>
          <w:highlight w:val="none"/>
        </w:rPr>
        <w:t xml:space="preserve">者。 </w:t>
      </w:r>
    </w:p>
    <w:p w14:paraId="3B067B74">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（2）</w:t>
      </w:r>
      <w:r>
        <w:rPr>
          <w:rFonts w:hint="eastAsia" w:ascii="宋体" w:hAnsi="宋体" w:eastAsia="宋体" w:cs="宋体"/>
          <w:color w:val="auto"/>
          <w:spacing w:val="-2"/>
          <w:sz w:val="24"/>
          <w:szCs w:val="24"/>
          <w:highlight w:val="none"/>
          <w:lang w:eastAsia="zh-CN"/>
        </w:rPr>
        <w:t>中标人</w:t>
      </w:r>
      <w:r>
        <w:rPr>
          <w:rFonts w:hint="eastAsia" w:ascii="宋体" w:hAnsi="宋体" w:eastAsia="宋体" w:cs="宋体"/>
          <w:color w:val="auto"/>
          <w:spacing w:val="-2"/>
          <w:sz w:val="24"/>
          <w:szCs w:val="24"/>
          <w:highlight w:val="none"/>
        </w:rPr>
        <w:t>成立项目公司，项目公司由</w:t>
      </w:r>
      <w:r>
        <w:rPr>
          <w:rFonts w:hint="eastAsia" w:ascii="宋体" w:hAnsi="宋体" w:eastAsia="宋体" w:cs="宋体"/>
          <w:color w:val="auto"/>
          <w:spacing w:val="-2"/>
          <w:sz w:val="24"/>
          <w:szCs w:val="24"/>
          <w:highlight w:val="none"/>
          <w:lang w:eastAsia="zh-CN"/>
        </w:rPr>
        <w:t>中标人</w:t>
      </w:r>
      <w:r>
        <w:rPr>
          <w:rFonts w:hint="eastAsia" w:ascii="宋体" w:hAnsi="宋体" w:eastAsia="宋体" w:cs="宋体"/>
          <w:color w:val="auto"/>
          <w:spacing w:val="-2"/>
          <w:sz w:val="24"/>
          <w:szCs w:val="24"/>
          <w:highlight w:val="none"/>
        </w:rPr>
        <w:t>全额出资成立，政府方不参股，项目资本金不低于项目总投资的</w:t>
      </w:r>
      <w:r>
        <w:rPr>
          <w:rFonts w:hint="eastAsia" w:ascii="宋体" w:hAnsi="宋体" w:eastAsia="宋体" w:cs="宋体"/>
          <w:color w:val="auto"/>
          <w:spacing w:val="-2"/>
          <w:sz w:val="24"/>
          <w:szCs w:val="24"/>
          <w:highlight w:val="none"/>
          <w:lang w:val="en-US" w:eastAsia="zh-CN"/>
        </w:rPr>
        <w:t>1</w:t>
      </w:r>
      <w:r>
        <w:rPr>
          <w:rFonts w:hint="eastAsia" w:ascii="宋体" w:hAnsi="宋体" w:eastAsia="宋体" w:cs="宋体"/>
          <w:color w:val="auto"/>
          <w:spacing w:val="-2"/>
          <w:sz w:val="24"/>
          <w:szCs w:val="24"/>
          <w:highlight w:val="none"/>
        </w:rPr>
        <w:t xml:space="preserve">0%。 </w:t>
      </w:r>
    </w:p>
    <w:p w14:paraId="0B4225D9">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（3）在</w:t>
      </w:r>
      <w:r>
        <w:rPr>
          <w:rFonts w:hint="eastAsia" w:ascii="宋体" w:hAnsi="宋体" w:eastAsia="宋体" w:cs="宋体"/>
          <w:color w:val="auto"/>
          <w:spacing w:val="-2"/>
          <w:sz w:val="24"/>
          <w:szCs w:val="24"/>
          <w:highlight w:val="none"/>
          <w:lang w:eastAsia="zh-CN"/>
        </w:rPr>
        <w:t>经营</w:t>
      </w:r>
      <w:r>
        <w:rPr>
          <w:rFonts w:hint="eastAsia" w:ascii="宋体" w:hAnsi="宋体" w:eastAsia="宋体" w:cs="宋体"/>
          <w:color w:val="auto"/>
          <w:spacing w:val="-2"/>
          <w:sz w:val="24"/>
          <w:szCs w:val="24"/>
          <w:highlight w:val="none"/>
        </w:rPr>
        <w:t>期内，项目公司负责按照《</w:t>
      </w:r>
      <w:r>
        <w:rPr>
          <w:rFonts w:hint="eastAsia" w:ascii="宋体" w:hAnsi="宋体" w:eastAsia="宋体" w:cs="宋体"/>
          <w:color w:val="auto"/>
          <w:spacing w:val="-2"/>
          <w:sz w:val="24"/>
          <w:szCs w:val="24"/>
          <w:highlight w:val="none"/>
          <w:lang w:eastAsia="zh-CN"/>
        </w:rPr>
        <w:t>经营</w:t>
      </w:r>
      <w:r>
        <w:rPr>
          <w:rFonts w:hint="eastAsia" w:ascii="宋体" w:hAnsi="宋体" w:eastAsia="宋体" w:cs="宋体"/>
          <w:color w:val="auto"/>
          <w:spacing w:val="-2"/>
          <w:sz w:val="24"/>
          <w:szCs w:val="24"/>
          <w:highlight w:val="none"/>
        </w:rPr>
        <w:t xml:space="preserve">协议》要求投资、融资、建设、运营和维护本项目设施，并通过县政府支付的可行性缺口补助收回投资并获得合理利润。 </w:t>
      </w:r>
    </w:p>
    <w:p w14:paraId="45231FD6">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（4）项目公司通过使用者付费以及政府可行性缺口补助获得项目投资合理收益，从而覆盖项目投资建设成本、运营维护成本并获取合理投资回报。</w:t>
      </w:r>
    </w:p>
    <w:p w14:paraId="3CDC779D">
      <w:pPr>
        <w:pStyle w:val="2"/>
        <w:keepNext w:val="0"/>
        <w:keepLines w:val="0"/>
        <w:pageBreakBefore w:val="0"/>
        <w:widowControl w:val="0"/>
        <w:kinsoku/>
        <w:wordWrap/>
        <w:overflowPunct/>
        <w:topLinePunct w:val="0"/>
        <w:autoSpaceDE/>
        <w:autoSpaceDN/>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 xml:space="preserve"> （5）</w:t>
      </w:r>
      <w:r>
        <w:rPr>
          <w:rFonts w:hint="eastAsia" w:ascii="宋体" w:hAnsi="宋体" w:eastAsia="宋体" w:cs="宋体"/>
          <w:color w:val="auto"/>
          <w:spacing w:val="-2"/>
          <w:kern w:val="2"/>
          <w:sz w:val="24"/>
          <w:szCs w:val="24"/>
          <w:highlight w:val="none"/>
          <w:lang w:val="en-US" w:eastAsia="zh-CN" w:bidi="ar-SA"/>
        </w:rPr>
        <w:t>在经营期内，</w:t>
      </w:r>
      <w:r>
        <w:rPr>
          <w:rFonts w:hint="eastAsia" w:ascii="宋体" w:hAnsi="宋体" w:eastAsia="宋体" w:cs="宋体"/>
          <w:color w:val="auto"/>
          <w:spacing w:val="-2"/>
          <w:sz w:val="24"/>
          <w:szCs w:val="24"/>
          <w:highlight w:val="none"/>
        </w:rPr>
        <w:t>项目公司</w:t>
      </w:r>
      <w:r>
        <w:rPr>
          <w:rFonts w:hint="eastAsia" w:ascii="宋体" w:hAnsi="宋体" w:eastAsia="宋体" w:cs="宋体"/>
          <w:color w:val="auto"/>
          <w:spacing w:val="-2"/>
          <w:kern w:val="2"/>
          <w:sz w:val="24"/>
          <w:szCs w:val="24"/>
          <w:highlight w:val="none"/>
          <w:lang w:val="en-US" w:eastAsia="zh-CN" w:bidi="ar-SA"/>
        </w:rPr>
        <w:t>负责所有经营性收益和风险，</w:t>
      </w:r>
      <w:r>
        <w:rPr>
          <w:rFonts w:hint="eastAsia" w:ascii="宋体" w:hAnsi="宋体" w:eastAsia="宋体" w:cs="宋体"/>
          <w:color w:val="auto"/>
          <w:spacing w:val="-2"/>
          <w:sz w:val="24"/>
          <w:szCs w:val="24"/>
          <w:highlight w:val="none"/>
          <w:lang w:eastAsia="zh-CN"/>
        </w:rPr>
        <w:t>南丰县</w:t>
      </w:r>
      <w:r>
        <w:rPr>
          <w:rFonts w:hint="eastAsia" w:ascii="宋体" w:hAnsi="宋体" w:eastAsia="宋体" w:cs="宋体"/>
          <w:color w:val="auto"/>
          <w:spacing w:val="-2"/>
          <w:sz w:val="24"/>
          <w:szCs w:val="24"/>
          <w:highlight w:val="none"/>
        </w:rPr>
        <w:t>交通运输局</w:t>
      </w:r>
      <w:r>
        <w:rPr>
          <w:rFonts w:hint="eastAsia" w:ascii="宋体" w:hAnsi="宋体" w:eastAsia="宋体" w:cs="宋体"/>
          <w:color w:val="auto"/>
          <w:spacing w:val="-2"/>
          <w:kern w:val="2"/>
          <w:sz w:val="24"/>
          <w:szCs w:val="24"/>
          <w:highlight w:val="none"/>
          <w:lang w:val="en-US" w:eastAsia="zh-CN" w:bidi="ar-SA"/>
        </w:rPr>
        <w:t>不承担安全责任，安全风险和经营风险。</w:t>
      </w:r>
    </w:p>
    <w:p w14:paraId="05239806">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kern w:val="2"/>
          <w:sz w:val="24"/>
          <w:szCs w:val="24"/>
          <w:highlight w:val="none"/>
          <w:lang w:val="en-US" w:eastAsia="zh-CN" w:bidi="ar-SA"/>
        </w:rPr>
        <w:t>（6）</w:t>
      </w:r>
      <w:r>
        <w:rPr>
          <w:rFonts w:hint="eastAsia" w:ascii="宋体" w:hAnsi="宋体" w:eastAsia="宋体" w:cs="宋体"/>
          <w:color w:val="auto"/>
          <w:spacing w:val="-2"/>
          <w:sz w:val="24"/>
          <w:szCs w:val="24"/>
          <w:highlight w:val="none"/>
          <w:lang w:eastAsia="zh-CN"/>
        </w:rPr>
        <w:t>经营</w:t>
      </w:r>
      <w:r>
        <w:rPr>
          <w:rFonts w:hint="eastAsia" w:ascii="宋体" w:hAnsi="宋体" w:eastAsia="宋体" w:cs="宋体"/>
          <w:color w:val="auto"/>
          <w:spacing w:val="-2"/>
          <w:sz w:val="24"/>
          <w:szCs w:val="24"/>
          <w:highlight w:val="none"/>
        </w:rPr>
        <w:t>期期末，</w:t>
      </w:r>
      <w:r>
        <w:rPr>
          <w:rFonts w:hint="eastAsia" w:ascii="宋体" w:hAnsi="宋体" w:eastAsia="宋体" w:cs="宋体"/>
          <w:color w:val="auto"/>
          <w:spacing w:val="-2"/>
          <w:sz w:val="24"/>
          <w:szCs w:val="24"/>
          <w:highlight w:val="none"/>
          <w:lang w:eastAsia="zh-CN"/>
        </w:rPr>
        <w:t>中标人</w:t>
      </w:r>
      <w:r>
        <w:rPr>
          <w:rFonts w:hint="eastAsia" w:ascii="宋体" w:hAnsi="宋体" w:eastAsia="宋体" w:cs="宋体"/>
          <w:color w:val="auto"/>
          <w:spacing w:val="-2"/>
          <w:sz w:val="24"/>
          <w:szCs w:val="24"/>
          <w:highlight w:val="none"/>
        </w:rPr>
        <w:t>（项目公司）对本项目内容及设施进行恢复性大修后，将项目设施和经营权益及相关资料全部完好、不设定担保、无抵押、无偿地移交给</w:t>
      </w:r>
      <w:r>
        <w:rPr>
          <w:rFonts w:hint="eastAsia" w:ascii="宋体" w:hAnsi="宋体" w:eastAsia="宋体" w:cs="宋体"/>
          <w:color w:val="auto"/>
          <w:spacing w:val="-2"/>
          <w:sz w:val="24"/>
          <w:szCs w:val="24"/>
          <w:highlight w:val="none"/>
          <w:lang w:eastAsia="zh-CN"/>
        </w:rPr>
        <w:t>南丰县</w:t>
      </w:r>
      <w:r>
        <w:rPr>
          <w:rFonts w:hint="eastAsia" w:ascii="宋体" w:hAnsi="宋体" w:eastAsia="宋体" w:cs="宋体"/>
          <w:color w:val="auto"/>
          <w:spacing w:val="-2"/>
          <w:sz w:val="24"/>
          <w:szCs w:val="24"/>
          <w:highlight w:val="none"/>
        </w:rPr>
        <w:t>人民政府或其指定机构。</w:t>
      </w:r>
    </w:p>
    <w:p w14:paraId="44AFCF02">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（四）项目建设内容和规模</w:t>
      </w:r>
    </w:p>
    <w:p w14:paraId="7143A58B">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在本项目运营期限内，中标人应保证</w:t>
      </w:r>
      <w:r>
        <w:rPr>
          <w:rFonts w:hint="eastAsia" w:ascii="宋体" w:hAnsi="宋体" w:eastAsia="宋体" w:cs="宋体"/>
          <w:b w:val="0"/>
          <w:bCs w:val="0"/>
          <w:color w:val="auto"/>
          <w:spacing w:val="-2"/>
          <w:sz w:val="24"/>
          <w:szCs w:val="24"/>
          <w:highlight w:val="none"/>
        </w:rPr>
        <w:t>道路运营公交车保有量始终不低于48辆</w:t>
      </w:r>
      <w:r>
        <w:rPr>
          <w:rFonts w:hint="eastAsia" w:ascii="宋体" w:hAnsi="宋体" w:eastAsia="宋体" w:cs="宋体"/>
          <w:color w:val="auto"/>
          <w:spacing w:val="-2"/>
          <w:sz w:val="24"/>
          <w:szCs w:val="24"/>
          <w:highlight w:val="none"/>
        </w:rPr>
        <w:t>，不得擅自减少运营车辆数量</w:t>
      </w:r>
      <w:r>
        <w:rPr>
          <w:rFonts w:hint="eastAsia" w:ascii="宋体" w:hAnsi="宋体" w:eastAsia="宋体" w:cs="宋体"/>
          <w:color w:val="auto"/>
          <w:spacing w:val="-2"/>
          <w:sz w:val="24"/>
          <w:szCs w:val="24"/>
          <w:highlight w:val="none"/>
          <w:lang w:val="en-US" w:eastAsia="zh-CN"/>
        </w:rPr>
        <w:t>。其中≥7座的公交车不少于8辆，≥15座的公交车不少于20辆，≥29座的公交车不少于20辆</w:t>
      </w:r>
      <w:r>
        <w:rPr>
          <w:rFonts w:hint="eastAsia" w:ascii="宋体" w:hAnsi="宋体" w:eastAsia="宋体" w:cs="宋体"/>
          <w:color w:val="auto"/>
          <w:spacing w:val="-2"/>
          <w:sz w:val="24"/>
          <w:szCs w:val="24"/>
          <w:highlight w:val="none"/>
        </w:rPr>
        <w:t>。</w:t>
      </w:r>
    </w:p>
    <w:p w14:paraId="3030561B">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lang w:val="en-US" w:eastAsia="zh-CN"/>
        </w:rPr>
        <w:t>如中标人不具备实质运营条件，可优先考虑购置原运营商的相关资产。</w:t>
      </w:r>
    </w:p>
    <w:p w14:paraId="2BD3B322">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（五）绩效考核机制</w:t>
      </w:r>
    </w:p>
    <w:p w14:paraId="55AABF21">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1.考核内容</w:t>
      </w:r>
    </w:p>
    <w:p w14:paraId="766B6A9D">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为切实加强本项目运营维护管理，保障项目</w:t>
      </w:r>
      <w:r>
        <w:rPr>
          <w:rFonts w:hint="eastAsia" w:ascii="宋体" w:hAnsi="宋体" w:eastAsia="宋体" w:cs="宋体"/>
          <w:color w:val="auto"/>
          <w:spacing w:val="-2"/>
          <w:sz w:val="24"/>
          <w:szCs w:val="24"/>
          <w:highlight w:val="none"/>
          <w:lang w:eastAsia="zh-CN"/>
        </w:rPr>
        <w:t>正常</w:t>
      </w:r>
      <w:r>
        <w:rPr>
          <w:rFonts w:hint="eastAsia" w:ascii="宋体" w:hAnsi="宋体" w:eastAsia="宋体" w:cs="宋体"/>
          <w:color w:val="auto"/>
          <w:spacing w:val="-2"/>
          <w:sz w:val="24"/>
          <w:szCs w:val="24"/>
          <w:highlight w:val="none"/>
        </w:rPr>
        <w:t>运行，为</w:t>
      </w:r>
      <w:r>
        <w:rPr>
          <w:rFonts w:hint="eastAsia" w:ascii="宋体" w:hAnsi="宋体" w:eastAsia="宋体" w:cs="宋体"/>
          <w:color w:val="auto"/>
          <w:spacing w:val="-2"/>
          <w:sz w:val="24"/>
          <w:szCs w:val="24"/>
          <w:highlight w:val="none"/>
          <w:lang w:eastAsia="zh-CN"/>
        </w:rPr>
        <w:t>居民</w:t>
      </w:r>
      <w:r>
        <w:rPr>
          <w:rFonts w:hint="eastAsia" w:ascii="宋体" w:hAnsi="宋体" w:eastAsia="宋体" w:cs="宋体"/>
          <w:color w:val="auto"/>
          <w:spacing w:val="-2"/>
          <w:sz w:val="24"/>
          <w:szCs w:val="24"/>
          <w:highlight w:val="none"/>
        </w:rPr>
        <w:t xml:space="preserve">提供优质的城市公交运转服务，运营期将定期对运营管理、运营安全、内部管理、利益相关者反馈等方面对项目公司进行绩效考核。 </w:t>
      </w:r>
    </w:p>
    <w:p w14:paraId="798D2558">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2.考核组织形式及考核方式</w:t>
      </w:r>
    </w:p>
    <w:p w14:paraId="10E275A7">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 xml:space="preserve">（1）考核组织形式 </w:t>
      </w:r>
    </w:p>
    <w:p w14:paraId="3DE628D9">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运营期考核小组应具备对城</w:t>
      </w:r>
      <w:r>
        <w:rPr>
          <w:rFonts w:hint="eastAsia" w:ascii="宋体" w:hAnsi="宋体" w:eastAsia="宋体" w:cs="宋体"/>
          <w:color w:val="auto"/>
          <w:spacing w:val="-2"/>
          <w:sz w:val="24"/>
          <w:szCs w:val="24"/>
          <w:highlight w:val="none"/>
          <w:lang w:val="en-US" w:eastAsia="zh-CN"/>
        </w:rPr>
        <w:t>乡</w:t>
      </w:r>
      <w:r>
        <w:rPr>
          <w:rFonts w:hint="eastAsia" w:ascii="宋体" w:hAnsi="宋体" w:eastAsia="宋体" w:cs="宋体"/>
          <w:color w:val="auto"/>
          <w:spacing w:val="-2"/>
          <w:sz w:val="24"/>
          <w:szCs w:val="24"/>
          <w:highlight w:val="none"/>
        </w:rPr>
        <w:t>公交</w:t>
      </w:r>
      <w:r>
        <w:rPr>
          <w:rFonts w:hint="eastAsia" w:ascii="宋体" w:hAnsi="宋体" w:eastAsia="宋体" w:cs="宋体"/>
          <w:color w:val="auto"/>
          <w:spacing w:val="-2"/>
          <w:sz w:val="24"/>
          <w:szCs w:val="24"/>
          <w:highlight w:val="none"/>
          <w:lang w:val="en-US" w:eastAsia="zh-CN"/>
        </w:rPr>
        <w:t>和镇村公交</w:t>
      </w:r>
      <w:r>
        <w:rPr>
          <w:rFonts w:hint="eastAsia" w:ascii="宋体" w:hAnsi="宋体" w:eastAsia="宋体" w:cs="宋体"/>
          <w:color w:val="auto"/>
          <w:spacing w:val="-2"/>
          <w:sz w:val="24"/>
          <w:szCs w:val="24"/>
          <w:highlight w:val="none"/>
        </w:rPr>
        <w:t xml:space="preserve">运转运营较为熟悉的技术专家，也可委托第三方专业机构共同完成考评工作。考核小组成员应包括实施机构、财政部门、行业主管部门等相关单位人员。 </w:t>
      </w:r>
    </w:p>
    <w:p w14:paraId="1CD03FF2">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考核工作应包括现场检查、资料核查和外部调查三个方面。现场检查主要指通过现场对项目设备设施的检查，包括设备设施现有状态及运作状况、人员工作情况、工作环境等进行直观检查并打分。资料核查主要指通过对制度文件、工作记录和采购清单、运营收支数据等的审查，了解其运营管理情况。外部调查主要指通过调查问卷、</w:t>
      </w:r>
      <w:r>
        <w:rPr>
          <w:rFonts w:hint="eastAsia" w:ascii="宋体" w:hAnsi="宋体" w:eastAsia="宋体" w:cs="宋体"/>
          <w:color w:val="auto"/>
          <w:spacing w:val="-2"/>
          <w:sz w:val="24"/>
          <w:szCs w:val="24"/>
          <w:highlight w:val="none"/>
          <w:lang w:eastAsia="zh-CN"/>
        </w:rPr>
        <w:t>走访</w:t>
      </w:r>
      <w:r>
        <w:rPr>
          <w:rFonts w:hint="eastAsia" w:ascii="宋体" w:hAnsi="宋体" w:eastAsia="宋体" w:cs="宋体"/>
          <w:color w:val="auto"/>
          <w:spacing w:val="-2"/>
          <w:sz w:val="24"/>
          <w:szCs w:val="24"/>
          <w:highlight w:val="none"/>
        </w:rPr>
        <w:t>、新闻报道等形式了解</w:t>
      </w:r>
      <w:r>
        <w:rPr>
          <w:rFonts w:hint="eastAsia" w:ascii="宋体" w:hAnsi="宋体" w:eastAsia="宋体" w:cs="宋体"/>
          <w:color w:val="auto"/>
          <w:spacing w:val="-2"/>
          <w:sz w:val="24"/>
          <w:szCs w:val="24"/>
          <w:highlight w:val="none"/>
          <w:lang w:eastAsia="zh-CN"/>
        </w:rPr>
        <w:t>居民</w:t>
      </w:r>
      <w:r>
        <w:rPr>
          <w:rFonts w:hint="eastAsia" w:ascii="宋体" w:hAnsi="宋体" w:eastAsia="宋体" w:cs="宋体"/>
          <w:color w:val="auto"/>
          <w:spacing w:val="-2"/>
          <w:sz w:val="24"/>
          <w:szCs w:val="24"/>
          <w:highlight w:val="none"/>
        </w:rPr>
        <w:t xml:space="preserve">对项目运维的认可和看法。 </w:t>
      </w:r>
    </w:p>
    <w:p w14:paraId="66DC4272">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 xml:space="preserve">（2）考核方式 </w:t>
      </w:r>
    </w:p>
    <w:p w14:paraId="4ED2D233">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运营维护期内，通过年度考核与随机考核相结合的方式，对项目公司运营管理情况进行考核。当年运营期绩效考核结果为当年运营期内年度考核得分及所有随机考核得分的加权平均值。暂定随机考核加权系数为0.2（以当年所有随机考核得分平均值进行加权），年度考核加权系数为0.8，实际加权系数由政府方与</w:t>
      </w:r>
      <w:r>
        <w:rPr>
          <w:rFonts w:hint="eastAsia" w:ascii="宋体" w:hAnsi="宋体" w:eastAsia="宋体" w:cs="宋体"/>
          <w:color w:val="auto"/>
          <w:spacing w:val="-2"/>
          <w:sz w:val="24"/>
          <w:szCs w:val="24"/>
          <w:highlight w:val="none"/>
          <w:lang w:eastAsia="zh-CN"/>
        </w:rPr>
        <w:t>中标人</w:t>
      </w:r>
      <w:r>
        <w:rPr>
          <w:rFonts w:hint="eastAsia" w:ascii="宋体" w:hAnsi="宋体" w:eastAsia="宋体" w:cs="宋体"/>
          <w:color w:val="auto"/>
          <w:spacing w:val="-2"/>
          <w:sz w:val="24"/>
          <w:szCs w:val="24"/>
          <w:highlight w:val="none"/>
        </w:rPr>
        <w:t>在</w:t>
      </w:r>
      <w:r>
        <w:rPr>
          <w:rFonts w:hint="eastAsia" w:ascii="宋体" w:hAnsi="宋体" w:eastAsia="宋体" w:cs="宋体"/>
          <w:color w:val="auto"/>
          <w:spacing w:val="-2"/>
          <w:sz w:val="24"/>
          <w:szCs w:val="24"/>
          <w:highlight w:val="none"/>
          <w:lang w:eastAsia="zh-CN"/>
        </w:rPr>
        <w:t>经营</w:t>
      </w:r>
      <w:r>
        <w:rPr>
          <w:rFonts w:hint="eastAsia" w:ascii="宋体" w:hAnsi="宋体" w:eastAsia="宋体" w:cs="宋体"/>
          <w:color w:val="auto"/>
          <w:spacing w:val="-2"/>
          <w:sz w:val="24"/>
          <w:szCs w:val="24"/>
          <w:highlight w:val="none"/>
        </w:rPr>
        <w:t xml:space="preserve">协议中予以约定。 </w:t>
      </w:r>
    </w:p>
    <w:p w14:paraId="1B651AA5">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 xml:space="preserve">①年度考核 </w:t>
      </w:r>
    </w:p>
    <w:p w14:paraId="3F859903">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年度考核每年进行</w:t>
      </w:r>
      <w:r>
        <w:rPr>
          <w:rFonts w:hint="eastAsia" w:ascii="宋体" w:hAnsi="宋体" w:eastAsia="宋体" w:cs="宋体"/>
          <w:color w:val="auto"/>
          <w:spacing w:val="-2"/>
          <w:sz w:val="24"/>
          <w:szCs w:val="24"/>
          <w:highlight w:val="none"/>
          <w:lang w:val="en-US" w:eastAsia="zh-CN"/>
        </w:rPr>
        <w:t>二</w:t>
      </w:r>
      <w:r>
        <w:rPr>
          <w:rFonts w:hint="eastAsia" w:ascii="宋体" w:hAnsi="宋体" w:eastAsia="宋体" w:cs="宋体"/>
          <w:color w:val="auto"/>
          <w:spacing w:val="-2"/>
          <w:sz w:val="24"/>
          <w:szCs w:val="24"/>
          <w:highlight w:val="none"/>
        </w:rPr>
        <w:t>次，一般安排</w:t>
      </w:r>
      <w:r>
        <w:rPr>
          <w:rFonts w:hint="eastAsia" w:ascii="宋体" w:hAnsi="宋体" w:eastAsia="宋体" w:cs="宋体"/>
          <w:color w:val="auto"/>
          <w:spacing w:val="-2"/>
          <w:sz w:val="24"/>
          <w:szCs w:val="24"/>
          <w:highlight w:val="none"/>
          <w:lang w:val="en-US" w:eastAsia="zh-CN"/>
        </w:rPr>
        <w:t>7月份及次年1</w:t>
      </w:r>
      <w:r>
        <w:rPr>
          <w:rFonts w:hint="eastAsia" w:ascii="宋体" w:hAnsi="宋体" w:eastAsia="宋体" w:cs="宋体"/>
          <w:color w:val="auto"/>
          <w:spacing w:val="-2"/>
          <w:sz w:val="24"/>
          <w:szCs w:val="24"/>
          <w:highlight w:val="none"/>
        </w:rPr>
        <w:t>月初进行。协调监管单位需提前通知项目公司，考核小组在随机选取的区域进行现场考核，项目公司应提供相关资料以供检查，另外根据需要安排相关人员进行</w:t>
      </w:r>
      <w:r>
        <w:rPr>
          <w:rFonts w:hint="eastAsia" w:ascii="宋体" w:hAnsi="宋体" w:eastAsia="宋体" w:cs="宋体"/>
          <w:color w:val="auto"/>
          <w:spacing w:val="-2"/>
          <w:sz w:val="24"/>
          <w:szCs w:val="24"/>
          <w:highlight w:val="none"/>
          <w:lang w:eastAsia="zh-CN"/>
        </w:rPr>
        <w:t>走访</w:t>
      </w:r>
      <w:r>
        <w:rPr>
          <w:rFonts w:hint="eastAsia" w:ascii="宋体" w:hAnsi="宋体" w:eastAsia="宋体" w:cs="宋体"/>
          <w:color w:val="auto"/>
          <w:spacing w:val="-2"/>
          <w:sz w:val="24"/>
          <w:szCs w:val="24"/>
          <w:highlight w:val="none"/>
        </w:rPr>
        <w:t>，同时结合</w:t>
      </w:r>
      <w:r>
        <w:rPr>
          <w:rFonts w:hint="eastAsia" w:ascii="宋体" w:hAnsi="宋体" w:eastAsia="宋体" w:cs="宋体"/>
          <w:color w:val="auto"/>
          <w:spacing w:val="-2"/>
          <w:sz w:val="24"/>
          <w:szCs w:val="24"/>
          <w:highlight w:val="none"/>
          <w:lang w:eastAsia="zh-CN"/>
        </w:rPr>
        <w:t>居民</w:t>
      </w:r>
      <w:r>
        <w:rPr>
          <w:rFonts w:hint="eastAsia" w:ascii="宋体" w:hAnsi="宋体" w:eastAsia="宋体" w:cs="宋体"/>
          <w:color w:val="auto"/>
          <w:spacing w:val="-2"/>
          <w:sz w:val="24"/>
          <w:szCs w:val="24"/>
          <w:highlight w:val="none"/>
        </w:rPr>
        <w:t xml:space="preserve">满意度调查结果形成考核得分。 </w:t>
      </w:r>
    </w:p>
    <w:p w14:paraId="46885E17">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考核过程中发现缺陷，</w:t>
      </w:r>
      <w:r>
        <w:rPr>
          <w:rFonts w:hint="eastAsia" w:ascii="宋体" w:hAnsi="宋体" w:eastAsia="宋体" w:cs="宋体"/>
          <w:color w:val="auto"/>
          <w:spacing w:val="-2"/>
          <w:sz w:val="24"/>
          <w:szCs w:val="24"/>
          <w:highlight w:val="none"/>
          <w:lang w:eastAsia="zh-CN"/>
        </w:rPr>
        <w:t>应采用固定影像保留文件等形式记录</w:t>
      </w:r>
      <w:r>
        <w:rPr>
          <w:rFonts w:hint="eastAsia" w:ascii="宋体" w:hAnsi="宋体" w:eastAsia="宋体" w:cs="宋体"/>
          <w:color w:val="auto"/>
          <w:spacing w:val="-2"/>
          <w:sz w:val="24"/>
          <w:szCs w:val="24"/>
          <w:highlight w:val="none"/>
        </w:rPr>
        <w:t xml:space="preserve">，并向项目公司下达限期整改通知书，由项目公司进行整改。项目公司应根据整改通知书的要求进行整改工作。 </w:t>
      </w:r>
    </w:p>
    <w:p w14:paraId="31DEE3C5">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绩效评价结果应依法对外公开，接受社会监督，鼓励</w:t>
      </w:r>
      <w:r>
        <w:rPr>
          <w:rFonts w:hint="eastAsia" w:ascii="宋体" w:hAnsi="宋体" w:eastAsia="宋体" w:cs="宋体"/>
          <w:color w:val="auto"/>
          <w:spacing w:val="-2"/>
          <w:sz w:val="24"/>
          <w:szCs w:val="24"/>
          <w:highlight w:val="none"/>
          <w:lang w:eastAsia="zh-CN"/>
        </w:rPr>
        <w:t>居民</w:t>
      </w:r>
      <w:r>
        <w:rPr>
          <w:rFonts w:hint="eastAsia" w:ascii="宋体" w:hAnsi="宋体" w:eastAsia="宋体" w:cs="宋体"/>
          <w:color w:val="auto"/>
          <w:spacing w:val="-2"/>
          <w:sz w:val="24"/>
          <w:szCs w:val="24"/>
          <w:highlight w:val="none"/>
        </w:rPr>
        <w:t xml:space="preserve">参与对项目的监管，切实提高项目实施水平和效益。 </w:t>
      </w:r>
    </w:p>
    <w:p w14:paraId="08496886">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 xml:space="preserve">（3）运营期绩效考核结果作为年度运营补贴金额支付依据。 </w:t>
      </w:r>
    </w:p>
    <w:p w14:paraId="4892B924">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（4）运营期绩效考核系数对应关系如下：</w:t>
      </w:r>
    </w:p>
    <w:tbl>
      <w:tblPr>
        <w:tblStyle w:val="6"/>
        <w:tblW w:w="92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4"/>
        <w:gridCol w:w="937"/>
        <w:gridCol w:w="1175"/>
        <w:gridCol w:w="1075"/>
        <w:gridCol w:w="963"/>
        <w:gridCol w:w="1004"/>
        <w:gridCol w:w="1005"/>
        <w:gridCol w:w="962"/>
        <w:gridCol w:w="849"/>
      </w:tblGrid>
      <w:tr w14:paraId="564AD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4" w:type="dxa"/>
            <w:noWrap w:val="0"/>
            <w:vAlign w:val="top"/>
          </w:tcPr>
          <w:p w14:paraId="3442F71D">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运营考核分数S</w:t>
            </w:r>
          </w:p>
        </w:tc>
        <w:tc>
          <w:tcPr>
            <w:tcW w:w="937" w:type="dxa"/>
            <w:noWrap w:val="0"/>
            <w:vAlign w:val="center"/>
          </w:tcPr>
          <w:p w14:paraId="467FECAF">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z w:val="24"/>
                <w:szCs w:val="24"/>
                <w:highlight w:val="none"/>
              </w:rPr>
              <w:t>S≥</w:t>
            </w:r>
            <w:r>
              <w:rPr>
                <w:rFonts w:hint="eastAsia" w:ascii="宋体" w:hAnsi="宋体" w:eastAsia="宋体" w:cs="宋体"/>
                <w:color w:val="auto"/>
                <w:sz w:val="24"/>
                <w:szCs w:val="24"/>
                <w:highlight w:val="none"/>
                <w:lang w:val="en-US" w:eastAsia="zh-CN"/>
              </w:rPr>
              <w:t>90</w:t>
            </w:r>
          </w:p>
        </w:tc>
        <w:tc>
          <w:tcPr>
            <w:tcW w:w="1175" w:type="dxa"/>
            <w:noWrap w:val="0"/>
            <w:vAlign w:val="center"/>
          </w:tcPr>
          <w:p w14:paraId="08D5309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z w:val="24"/>
                <w:szCs w:val="24"/>
                <w:highlight w:val="none"/>
                <w:lang w:val="en-US" w:eastAsia="zh-CN"/>
              </w:rPr>
              <w:t>90</w:t>
            </w:r>
            <w:r>
              <w:rPr>
                <w:rFonts w:hint="eastAsia" w:ascii="宋体" w:hAnsi="宋体" w:eastAsia="宋体" w:cs="宋体"/>
                <w:color w:val="auto"/>
                <w:sz w:val="24"/>
                <w:szCs w:val="24"/>
                <w:highlight w:val="none"/>
              </w:rPr>
              <w:t>＞S≥</w:t>
            </w:r>
            <w:r>
              <w:rPr>
                <w:rFonts w:hint="eastAsia" w:ascii="宋体" w:hAnsi="宋体" w:eastAsia="宋体" w:cs="宋体"/>
                <w:color w:val="auto"/>
                <w:sz w:val="24"/>
                <w:szCs w:val="24"/>
                <w:highlight w:val="none"/>
                <w:lang w:val="en-US" w:eastAsia="zh-CN"/>
              </w:rPr>
              <w:t>85</w:t>
            </w:r>
          </w:p>
        </w:tc>
        <w:tc>
          <w:tcPr>
            <w:tcW w:w="1075" w:type="dxa"/>
            <w:noWrap w:val="0"/>
            <w:vAlign w:val="center"/>
          </w:tcPr>
          <w:p w14:paraId="25CB5AF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85</w:t>
            </w:r>
            <w:r>
              <w:rPr>
                <w:rFonts w:hint="eastAsia" w:ascii="宋体" w:hAnsi="宋体" w:eastAsia="宋体" w:cs="宋体"/>
                <w:color w:val="auto"/>
                <w:sz w:val="24"/>
                <w:szCs w:val="24"/>
                <w:highlight w:val="none"/>
              </w:rPr>
              <w:t>＞S≥</w:t>
            </w:r>
            <w:r>
              <w:rPr>
                <w:rFonts w:hint="eastAsia" w:ascii="宋体" w:hAnsi="宋体" w:eastAsia="宋体" w:cs="宋体"/>
                <w:color w:val="auto"/>
                <w:sz w:val="24"/>
                <w:szCs w:val="24"/>
                <w:highlight w:val="none"/>
                <w:lang w:val="en-US" w:eastAsia="zh-CN"/>
              </w:rPr>
              <w:t>80</w:t>
            </w:r>
          </w:p>
        </w:tc>
        <w:tc>
          <w:tcPr>
            <w:tcW w:w="963" w:type="dxa"/>
            <w:noWrap w:val="0"/>
            <w:vAlign w:val="center"/>
          </w:tcPr>
          <w:p w14:paraId="244A115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80＞S≥75</w:t>
            </w:r>
          </w:p>
        </w:tc>
        <w:tc>
          <w:tcPr>
            <w:tcW w:w="1004" w:type="dxa"/>
            <w:noWrap w:val="0"/>
            <w:vAlign w:val="center"/>
          </w:tcPr>
          <w:p w14:paraId="11FFE51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75＞S≥70</w:t>
            </w:r>
          </w:p>
        </w:tc>
        <w:tc>
          <w:tcPr>
            <w:tcW w:w="1005" w:type="dxa"/>
            <w:noWrap w:val="0"/>
            <w:vAlign w:val="center"/>
          </w:tcPr>
          <w:p w14:paraId="6B755594">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70＞S≥65</w:t>
            </w:r>
          </w:p>
        </w:tc>
        <w:tc>
          <w:tcPr>
            <w:tcW w:w="962" w:type="dxa"/>
            <w:noWrap w:val="0"/>
            <w:vAlign w:val="center"/>
          </w:tcPr>
          <w:p w14:paraId="620C28B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65＞S≥60</w:t>
            </w:r>
          </w:p>
        </w:tc>
        <w:tc>
          <w:tcPr>
            <w:tcW w:w="849" w:type="dxa"/>
            <w:noWrap w:val="0"/>
            <w:vAlign w:val="center"/>
          </w:tcPr>
          <w:p w14:paraId="20FCA35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60＞S</w:t>
            </w:r>
          </w:p>
        </w:tc>
      </w:tr>
      <w:tr w14:paraId="31D7F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4" w:type="dxa"/>
            <w:noWrap w:val="0"/>
            <w:vAlign w:val="top"/>
          </w:tcPr>
          <w:p w14:paraId="181D42F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绩效考核系数</w:t>
            </w:r>
          </w:p>
        </w:tc>
        <w:tc>
          <w:tcPr>
            <w:tcW w:w="937" w:type="dxa"/>
            <w:noWrap w:val="0"/>
            <w:vAlign w:val="center"/>
          </w:tcPr>
          <w:p w14:paraId="62DAE9B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1</w:t>
            </w:r>
          </w:p>
        </w:tc>
        <w:tc>
          <w:tcPr>
            <w:tcW w:w="1175" w:type="dxa"/>
            <w:noWrap w:val="0"/>
            <w:vAlign w:val="center"/>
          </w:tcPr>
          <w:p w14:paraId="788A277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0.9</w:t>
            </w:r>
          </w:p>
        </w:tc>
        <w:tc>
          <w:tcPr>
            <w:tcW w:w="1075" w:type="dxa"/>
            <w:noWrap w:val="0"/>
            <w:vAlign w:val="center"/>
          </w:tcPr>
          <w:p w14:paraId="5FC66BA5">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0.8</w:t>
            </w:r>
          </w:p>
        </w:tc>
        <w:tc>
          <w:tcPr>
            <w:tcW w:w="963" w:type="dxa"/>
            <w:noWrap w:val="0"/>
            <w:vAlign w:val="center"/>
          </w:tcPr>
          <w:p w14:paraId="3E67C3E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0.7</w:t>
            </w:r>
          </w:p>
        </w:tc>
        <w:tc>
          <w:tcPr>
            <w:tcW w:w="1004" w:type="dxa"/>
            <w:noWrap w:val="0"/>
            <w:vAlign w:val="center"/>
          </w:tcPr>
          <w:p w14:paraId="6E08DBE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0.6</w:t>
            </w:r>
          </w:p>
        </w:tc>
        <w:tc>
          <w:tcPr>
            <w:tcW w:w="1005" w:type="dxa"/>
            <w:noWrap w:val="0"/>
            <w:vAlign w:val="center"/>
          </w:tcPr>
          <w:p w14:paraId="6CF0BFBA">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z w:val="24"/>
                <w:szCs w:val="24"/>
                <w:highlight w:val="none"/>
              </w:rPr>
              <w:t>0.</w:t>
            </w:r>
            <w:r>
              <w:rPr>
                <w:rFonts w:hint="eastAsia" w:ascii="宋体" w:hAnsi="宋体" w:eastAsia="宋体" w:cs="宋体"/>
                <w:color w:val="auto"/>
                <w:sz w:val="24"/>
                <w:szCs w:val="24"/>
                <w:highlight w:val="none"/>
                <w:lang w:val="en-US" w:eastAsia="zh-CN"/>
              </w:rPr>
              <w:t>5</w:t>
            </w:r>
          </w:p>
        </w:tc>
        <w:tc>
          <w:tcPr>
            <w:tcW w:w="962" w:type="dxa"/>
            <w:noWrap w:val="0"/>
            <w:vAlign w:val="center"/>
          </w:tcPr>
          <w:p w14:paraId="047C13E2">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z w:val="24"/>
                <w:szCs w:val="24"/>
                <w:highlight w:val="none"/>
              </w:rPr>
              <w:t>0.</w:t>
            </w:r>
            <w:r>
              <w:rPr>
                <w:rFonts w:hint="eastAsia" w:ascii="宋体" w:hAnsi="宋体" w:eastAsia="宋体" w:cs="宋体"/>
                <w:color w:val="auto"/>
                <w:sz w:val="24"/>
                <w:szCs w:val="24"/>
                <w:highlight w:val="none"/>
                <w:lang w:val="en-US" w:eastAsia="zh-CN"/>
              </w:rPr>
              <w:t>4</w:t>
            </w:r>
          </w:p>
        </w:tc>
        <w:tc>
          <w:tcPr>
            <w:tcW w:w="849" w:type="dxa"/>
            <w:noWrap w:val="0"/>
            <w:vAlign w:val="center"/>
          </w:tcPr>
          <w:p w14:paraId="63ACEF21">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0</w:t>
            </w:r>
          </w:p>
        </w:tc>
      </w:tr>
    </w:tbl>
    <w:p w14:paraId="561FB232">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lang w:val="en-US" w:eastAsia="zh-CN"/>
        </w:rPr>
        <w:t>采购人</w:t>
      </w:r>
      <w:r>
        <w:rPr>
          <w:rFonts w:hint="eastAsia" w:ascii="宋体" w:hAnsi="宋体" w:eastAsia="宋体" w:cs="宋体"/>
          <w:color w:val="auto"/>
          <w:spacing w:val="-2"/>
          <w:sz w:val="24"/>
          <w:szCs w:val="24"/>
          <w:highlight w:val="none"/>
        </w:rPr>
        <w:t>当期支付的运营补贴金额=</w:t>
      </w:r>
      <w:r>
        <w:rPr>
          <w:rFonts w:hint="eastAsia" w:ascii="宋体" w:hAnsi="宋体" w:eastAsia="宋体" w:cs="宋体"/>
          <w:color w:val="auto"/>
          <w:spacing w:val="-2"/>
          <w:sz w:val="24"/>
          <w:szCs w:val="24"/>
          <w:highlight w:val="none"/>
          <w:lang w:eastAsia="zh-CN"/>
        </w:rPr>
        <w:t>运营补贴金额*80</w:t>
      </w:r>
      <w:r>
        <w:rPr>
          <w:rFonts w:hint="eastAsia" w:ascii="宋体" w:hAnsi="宋体" w:eastAsia="宋体" w:cs="宋体"/>
          <w:color w:val="auto"/>
          <w:spacing w:val="-2"/>
          <w:sz w:val="24"/>
          <w:szCs w:val="24"/>
          <w:highlight w:val="none"/>
        </w:rPr>
        <w:t>%+</w:t>
      </w:r>
      <w:r>
        <w:rPr>
          <w:rFonts w:hint="eastAsia" w:ascii="宋体" w:hAnsi="宋体" w:eastAsia="宋体" w:cs="宋体"/>
          <w:color w:val="auto"/>
          <w:spacing w:val="-2"/>
          <w:sz w:val="24"/>
          <w:szCs w:val="24"/>
          <w:highlight w:val="none"/>
          <w:lang w:eastAsia="zh-CN"/>
        </w:rPr>
        <w:t>运营补贴金额*20</w:t>
      </w:r>
      <w:r>
        <w:rPr>
          <w:rFonts w:hint="eastAsia" w:ascii="宋体" w:hAnsi="宋体" w:eastAsia="宋体" w:cs="宋体"/>
          <w:color w:val="auto"/>
          <w:spacing w:val="-2"/>
          <w:sz w:val="24"/>
          <w:szCs w:val="24"/>
          <w:highlight w:val="none"/>
        </w:rPr>
        <w:t>%*</w:t>
      </w:r>
      <w:r>
        <w:rPr>
          <w:rFonts w:hint="eastAsia" w:ascii="宋体" w:hAnsi="宋体" w:eastAsia="宋体" w:cs="宋体"/>
          <w:color w:val="auto"/>
          <w:spacing w:val="-2"/>
          <w:sz w:val="24"/>
          <w:szCs w:val="24"/>
          <w:highlight w:val="none"/>
          <w:lang w:val="en-US" w:eastAsia="zh-CN"/>
        </w:rPr>
        <w:t>当期</w:t>
      </w:r>
      <w:r>
        <w:rPr>
          <w:rFonts w:hint="eastAsia" w:ascii="宋体" w:hAnsi="宋体" w:eastAsia="宋体" w:cs="宋体"/>
          <w:color w:val="auto"/>
          <w:spacing w:val="-2"/>
          <w:sz w:val="24"/>
          <w:szCs w:val="24"/>
          <w:highlight w:val="none"/>
        </w:rPr>
        <w:t>绩效考核系数（S）。</w:t>
      </w:r>
    </w:p>
    <w:p w14:paraId="0EB56D19">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当期项目运营期绩效考核分数低于60分的，</w:t>
      </w:r>
      <w:r>
        <w:rPr>
          <w:rFonts w:hint="eastAsia" w:ascii="宋体" w:hAnsi="宋体" w:eastAsia="宋体" w:cs="宋体"/>
          <w:color w:val="auto"/>
          <w:spacing w:val="-2"/>
          <w:sz w:val="24"/>
          <w:szCs w:val="24"/>
          <w:highlight w:val="none"/>
          <w:lang w:val="en-US" w:eastAsia="zh-CN"/>
        </w:rPr>
        <w:t>采购人</w:t>
      </w:r>
      <w:r>
        <w:rPr>
          <w:rFonts w:hint="eastAsia" w:ascii="宋体" w:hAnsi="宋体" w:eastAsia="宋体" w:cs="宋体"/>
          <w:color w:val="auto"/>
          <w:spacing w:val="-2"/>
          <w:sz w:val="24"/>
          <w:szCs w:val="24"/>
          <w:highlight w:val="none"/>
        </w:rPr>
        <w:t>将给予一定期限进行整改直至考核分数达到60分以上，因此导致的追加投资不得计入项目总投资，且当期运营期绩效考核系数为0。经整改后仍未合格，视为项目公司严重违约，政府方有权要求终止合同，并不予支付当年运营补贴金额，要求项目公司按照</w:t>
      </w:r>
      <w:r>
        <w:rPr>
          <w:rFonts w:hint="eastAsia" w:ascii="宋体" w:hAnsi="宋体" w:eastAsia="宋体" w:cs="宋体"/>
          <w:color w:val="auto"/>
          <w:spacing w:val="-2"/>
          <w:sz w:val="24"/>
          <w:szCs w:val="24"/>
          <w:highlight w:val="none"/>
          <w:lang w:eastAsia="zh-CN"/>
        </w:rPr>
        <w:t>经营</w:t>
      </w:r>
      <w:r>
        <w:rPr>
          <w:rFonts w:hint="eastAsia" w:ascii="宋体" w:hAnsi="宋体" w:eastAsia="宋体" w:cs="宋体"/>
          <w:color w:val="auto"/>
          <w:spacing w:val="-2"/>
          <w:sz w:val="24"/>
          <w:szCs w:val="24"/>
          <w:highlight w:val="none"/>
        </w:rPr>
        <w:t xml:space="preserve">协议约定承担相应违约责任。 </w:t>
      </w:r>
    </w:p>
    <w:p w14:paraId="1CDC36D1">
      <w:pPr>
        <w:keepNext w:val="0"/>
        <w:keepLines w:val="0"/>
        <w:pageBreakBefore w:val="0"/>
        <w:widowControl w:val="0"/>
        <w:wordWrap/>
        <w:topLinePunct w:val="0"/>
        <w:bidi w:val="0"/>
        <w:adjustRightInd/>
        <w:snapToGrid/>
        <w:spacing w:line="360" w:lineRule="auto"/>
        <w:ind w:firstLine="472" w:firstLineChars="20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（5）运营期绩效考核细则由政府方与</w:t>
      </w:r>
      <w:r>
        <w:rPr>
          <w:rFonts w:hint="eastAsia" w:ascii="宋体" w:hAnsi="宋体" w:eastAsia="宋体" w:cs="宋体"/>
          <w:color w:val="auto"/>
          <w:spacing w:val="-2"/>
          <w:sz w:val="24"/>
          <w:szCs w:val="24"/>
          <w:highlight w:val="none"/>
          <w:lang w:eastAsia="zh-CN"/>
        </w:rPr>
        <w:t>中标人</w:t>
      </w:r>
      <w:r>
        <w:rPr>
          <w:rFonts w:hint="eastAsia" w:ascii="宋体" w:hAnsi="宋体" w:eastAsia="宋体" w:cs="宋体"/>
          <w:color w:val="auto"/>
          <w:spacing w:val="-2"/>
          <w:sz w:val="24"/>
          <w:szCs w:val="24"/>
          <w:highlight w:val="none"/>
        </w:rPr>
        <w:t>在</w:t>
      </w:r>
      <w:r>
        <w:rPr>
          <w:rFonts w:hint="eastAsia" w:ascii="宋体" w:hAnsi="宋体" w:eastAsia="宋体" w:cs="宋体"/>
          <w:color w:val="auto"/>
          <w:spacing w:val="-2"/>
          <w:sz w:val="24"/>
          <w:szCs w:val="24"/>
          <w:highlight w:val="none"/>
          <w:lang w:eastAsia="zh-CN"/>
        </w:rPr>
        <w:t>经营</w:t>
      </w:r>
      <w:r>
        <w:rPr>
          <w:rFonts w:hint="eastAsia" w:ascii="宋体" w:hAnsi="宋体" w:eastAsia="宋体" w:cs="宋体"/>
          <w:color w:val="auto"/>
          <w:spacing w:val="-2"/>
          <w:sz w:val="24"/>
          <w:szCs w:val="24"/>
          <w:highlight w:val="none"/>
        </w:rPr>
        <w:t>协议中进一步进行明确，在项目合作期间内，项目实施机构有权会同相关行政主管部门根据项目需要修订或完善考核标准及其相应考核细则。</w:t>
      </w:r>
    </w:p>
    <w:p w14:paraId="590BC6FF">
      <w:pPr>
        <w:keepNext w:val="0"/>
        <w:keepLines w:val="0"/>
        <w:pageBreakBefore w:val="0"/>
        <w:widowControl w:val="0"/>
        <w:wordWrap/>
        <w:topLinePunct w:val="0"/>
        <w:bidi w:val="0"/>
        <w:snapToGrid/>
        <w:spacing w:line="360" w:lineRule="auto"/>
        <w:ind w:firstLine="472" w:firstLineChars="20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表1项目运营期绩效考核标准</w:t>
      </w:r>
    </w:p>
    <w:tbl>
      <w:tblPr>
        <w:tblStyle w:val="6"/>
        <w:tblpPr w:leftFromText="180" w:rightFromText="180" w:vertAnchor="text" w:horzAnchor="page" w:tblpXSpec="center" w:tblpY="467"/>
        <w:tblOverlap w:val="never"/>
        <w:tblW w:w="89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2"/>
        <w:gridCol w:w="866"/>
        <w:gridCol w:w="944"/>
        <w:gridCol w:w="708"/>
        <w:gridCol w:w="5579"/>
      </w:tblGrid>
      <w:tr w14:paraId="6FC49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 w:type="dxa"/>
            <w:noWrap w:val="0"/>
            <w:vAlign w:val="center"/>
          </w:tcPr>
          <w:p w14:paraId="6050B61F">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bookmarkStart w:id="1" w:name="OLE_LINK1"/>
            <w:r>
              <w:rPr>
                <w:rFonts w:hint="eastAsia" w:ascii="宋体" w:hAnsi="宋体" w:eastAsia="宋体" w:cs="宋体"/>
                <w:color w:val="auto"/>
                <w:spacing w:val="-2"/>
                <w:sz w:val="24"/>
                <w:szCs w:val="24"/>
                <w:highlight w:val="none"/>
              </w:rPr>
              <w:t>考核指标</w:t>
            </w:r>
          </w:p>
        </w:tc>
        <w:tc>
          <w:tcPr>
            <w:tcW w:w="866" w:type="dxa"/>
            <w:noWrap w:val="0"/>
            <w:vAlign w:val="center"/>
          </w:tcPr>
          <w:p w14:paraId="5CC8C3C7">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项目总分</w:t>
            </w:r>
          </w:p>
        </w:tc>
        <w:tc>
          <w:tcPr>
            <w:tcW w:w="944" w:type="dxa"/>
            <w:noWrap w:val="0"/>
            <w:vAlign w:val="center"/>
          </w:tcPr>
          <w:p w14:paraId="1FA37A76">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考核内容</w:t>
            </w:r>
          </w:p>
        </w:tc>
        <w:tc>
          <w:tcPr>
            <w:tcW w:w="708" w:type="dxa"/>
            <w:noWrap w:val="0"/>
            <w:vAlign w:val="center"/>
          </w:tcPr>
          <w:p w14:paraId="47D08FD4">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分值</w:t>
            </w:r>
          </w:p>
        </w:tc>
        <w:tc>
          <w:tcPr>
            <w:tcW w:w="5579" w:type="dxa"/>
            <w:noWrap w:val="0"/>
            <w:vAlign w:val="center"/>
          </w:tcPr>
          <w:p w14:paraId="69BB4630">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评分标准</w:t>
            </w:r>
          </w:p>
        </w:tc>
      </w:tr>
      <w:tr w14:paraId="1CDC1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 w:type="dxa"/>
            <w:vMerge w:val="restart"/>
            <w:noWrap w:val="0"/>
            <w:vAlign w:val="center"/>
          </w:tcPr>
          <w:p w14:paraId="5D2877FF">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运营管理</w:t>
            </w:r>
          </w:p>
        </w:tc>
        <w:tc>
          <w:tcPr>
            <w:tcW w:w="866" w:type="dxa"/>
            <w:vMerge w:val="restart"/>
            <w:noWrap w:val="0"/>
            <w:vAlign w:val="center"/>
          </w:tcPr>
          <w:p w14:paraId="744095CE">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50</w:t>
            </w:r>
          </w:p>
        </w:tc>
        <w:tc>
          <w:tcPr>
            <w:tcW w:w="944" w:type="dxa"/>
            <w:vMerge w:val="restart"/>
            <w:noWrap w:val="0"/>
            <w:vAlign w:val="center"/>
          </w:tcPr>
          <w:p w14:paraId="3BD02FEC">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公交车辆</w:t>
            </w:r>
          </w:p>
        </w:tc>
        <w:tc>
          <w:tcPr>
            <w:tcW w:w="708" w:type="dxa"/>
            <w:noWrap w:val="0"/>
            <w:vAlign w:val="center"/>
          </w:tcPr>
          <w:p w14:paraId="281D231E">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5</w:t>
            </w:r>
          </w:p>
        </w:tc>
        <w:tc>
          <w:tcPr>
            <w:tcW w:w="5579" w:type="dxa"/>
            <w:noWrap w:val="0"/>
            <w:vAlign w:val="top"/>
          </w:tcPr>
          <w:p w14:paraId="08635E61">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公交车辆应经道路运输管理机构审验合格车辆运营时应随车携带道路运输管理机构核发的《道路运输证》，有证的得5分；无《道路运输证》，不得分。</w:t>
            </w:r>
          </w:p>
        </w:tc>
      </w:tr>
      <w:tr w14:paraId="53EB4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 w:type="dxa"/>
            <w:vMerge w:val="continue"/>
            <w:noWrap w:val="0"/>
            <w:vAlign w:val="center"/>
          </w:tcPr>
          <w:p w14:paraId="2EBC7B16">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69539EBF">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vMerge w:val="continue"/>
            <w:noWrap w:val="0"/>
            <w:vAlign w:val="center"/>
          </w:tcPr>
          <w:p w14:paraId="26753B9D">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708" w:type="dxa"/>
            <w:noWrap w:val="0"/>
            <w:vAlign w:val="center"/>
          </w:tcPr>
          <w:p w14:paraId="71E1FDAD">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5</w:t>
            </w:r>
          </w:p>
        </w:tc>
        <w:tc>
          <w:tcPr>
            <w:tcW w:w="5579" w:type="dxa"/>
            <w:noWrap w:val="0"/>
            <w:vAlign w:val="top"/>
          </w:tcPr>
          <w:p w14:paraId="1FB877FE">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技术性能</w:t>
            </w:r>
            <w:r>
              <w:rPr>
                <w:rFonts w:hint="eastAsia" w:ascii="宋体" w:hAnsi="宋体" w:cs="宋体"/>
                <w:color w:val="auto"/>
                <w:sz w:val="24"/>
                <w:szCs w:val="24"/>
                <w:highlight w:val="none"/>
                <w:lang w:eastAsia="zh-CN"/>
              </w:rPr>
              <w:t>符合国家现行GB 7258</w:t>
            </w:r>
            <w:r>
              <w:rPr>
                <w:rFonts w:hint="eastAsia" w:ascii="宋体" w:hAnsi="宋体" w:eastAsia="宋体" w:cs="宋体"/>
                <w:color w:val="auto"/>
                <w:sz w:val="24"/>
                <w:szCs w:val="24"/>
                <w:highlight w:val="none"/>
              </w:rPr>
              <w:t>《机动车运行安全技术条件》有关服务技术标准和环保要求的，得5分。不符合相关技术规范的，发现一处扣1分，至全部扣光为止。</w:t>
            </w:r>
          </w:p>
        </w:tc>
      </w:tr>
      <w:tr w14:paraId="0FF9E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 w:type="dxa"/>
            <w:vMerge w:val="continue"/>
            <w:noWrap w:val="0"/>
            <w:vAlign w:val="center"/>
          </w:tcPr>
          <w:p w14:paraId="0F51E476">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2AA6B35C">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vMerge w:val="continue"/>
            <w:noWrap w:val="0"/>
            <w:vAlign w:val="center"/>
          </w:tcPr>
          <w:p w14:paraId="411E7606">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708" w:type="dxa"/>
            <w:noWrap w:val="0"/>
            <w:vAlign w:val="center"/>
          </w:tcPr>
          <w:p w14:paraId="7A54ABA5">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5</w:t>
            </w:r>
          </w:p>
        </w:tc>
        <w:tc>
          <w:tcPr>
            <w:tcW w:w="5579" w:type="dxa"/>
            <w:noWrap w:val="0"/>
            <w:vAlign w:val="top"/>
          </w:tcPr>
          <w:p w14:paraId="2004FB61">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车厢侧窗上方设置乘车线路图、票价、乘客服务投诉电话和道路运输管理机构投诉监督电话，在驾驶区标示“请勿与驾驶员谈话”，在车门内侧标示“请勿靠门”、“当心夹手”，在醒目位置标示“请勿吸烟”、“请勿将头手伸出窗外”及“请勿乱扔杂物”，得5分。存在不符合要求之处，发现一处扣1分，至全部扣光为止。</w:t>
            </w:r>
          </w:p>
        </w:tc>
      </w:tr>
      <w:tr w14:paraId="60AA1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 w:type="dxa"/>
            <w:vMerge w:val="continue"/>
            <w:noWrap w:val="0"/>
            <w:vAlign w:val="center"/>
          </w:tcPr>
          <w:p w14:paraId="3EE1BDC5">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7D5389C0">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vMerge w:val="continue"/>
            <w:noWrap w:val="0"/>
            <w:vAlign w:val="center"/>
          </w:tcPr>
          <w:p w14:paraId="5D279FF4">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708" w:type="dxa"/>
            <w:noWrap w:val="0"/>
            <w:vAlign w:val="center"/>
          </w:tcPr>
          <w:p w14:paraId="305F49BE">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5</w:t>
            </w:r>
          </w:p>
        </w:tc>
        <w:tc>
          <w:tcPr>
            <w:tcW w:w="5579" w:type="dxa"/>
            <w:noWrap w:val="0"/>
            <w:vAlign w:val="top"/>
          </w:tcPr>
          <w:p w14:paraId="4664BEDB">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车身外表光洁，无灰尘和泥土等污迹，车身广告。内容应合法和健康文明，车门无油污，轮胎、挡板无油垢泥土，玻璃洁净无污迹，得5分。存在不符合要求之处，发现一处扣1分，至全部扣光为止。</w:t>
            </w:r>
          </w:p>
        </w:tc>
      </w:tr>
      <w:tr w14:paraId="375AC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 w:type="dxa"/>
            <w:vMerge w:val="continue"/>
            <w:noWrap w:val="0"/>
            <w:vAlign w:val="center"/>
          </w:tcPr>
          <w:p w14:paraId="643DF0D9">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68E39406">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vMerge w:val="continue"/>
            <w:noWrap w:val="0"/>
            <w:vAlign w:val="center"/>
          </w:tcPr>
          <w:p w14:paraId="1A1CA216">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708" w:type="dxa"/>
            <w:noWrap w:val="0"/>
            <w:vAlign w:val="center"/>
          </w:tcPr>
          <w:p w14:paraId="032BE165">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5</w:t>
            </w:r>
          </w:p>
        </w:tc>
        <w:tc>
          <w:tcPr>
            <w:tcW w:w="5579" w:type="dxa"/>
            <w:noWrap w:val="0"/>
            <w:vAlign w:val="top"/>
          </w:tcPr>
          <w:p w14:paraId="6C2DEC66">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运营车辆车内扶手柱、拉手杆、吊环、座椅等应保持干净整洁，每天进行卫生清理；出现流行性传染疾病时，应按卫生部门的规定消毒，得5分。未达到卫生标准的，扣1分，扣光为止。</w:t>
            </w:r>
          </w:p>
        </w:tc>
      </w:tr>
      <w:tr w14:paraId="02C2A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 w:type="dxa"/>
            <w:vMerge w:val="continue"/>
            <w:noWrap w:val="0"/>
            <w:vAlign w:val="center"/>
          </w:tcPr>
          <w:p w14:paraId="201A0AD3">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2C4120E7">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vMerge w:val="restart"/>
            <w:noWrap w:val="0"/>
            <w:vAlign w:val="center"/>
          </w:tcPr>
          <w:p w14:paraId="314AC07C">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从业人员</w:t>
            </w:r>
          </w:p>
        </w:tc>
        <w:tc>
          <w:tcPr>
            <w:tcW w:w="708" w:type="dxa"/>
            <w:noWrap w:val="0"/>
            <w:vAlign w:val="center"/>
          </w:tcPr>
          <w:p w14:paraId="2D509F12">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5</w:t>
            </w:r>
          </w:p>
        </w:tc>
        <w:tc>
          <w:tcPr>
            <w:tcW w:w="5579" w:type="dxa"/>
            <w:noWrap w:val="0"/>
            <w:vAlign w:val="top"/>
          </w:tcPr>
          <w:p w14:paraId="7F394AFA">
            <w:pPr>
              <w:keepNext w:val="0"/>
              <w:keepLines w:val="0"/>
              <w:pageBreakBefore w:val="0"/>
              <w:widowControl w:val="0"/>
              <w:kinsoku/>
              <w:wordWrap/>
              <w:overflowPunct/>
              <w:topLinePunct w:val="0"/>
              <w:bidi w:val="0"/>
              <w:snapToGrid/>
              <w:spacing w:line="360" w:lineRule="auto"/>
              <w:ind w:firstLine="0" w:firstLineChars="0"/>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kern w:val="0"/>
                <w:sz w:val="24"/>
                <w:szCs w:val="24"/>
                <w:highlight w:val="none"/>
              </w:rPr>
              <w:t>公交从业人员应取得与所驾驶车辆相符的证件和企业颁发的与岗位相符合的服务证，全部人员符合要求的得5分。发现一人不符合要求的，扣1分，至全部扣光为止。</w:t>
            </w:r>
          </w:p>
        </w:tc>
      </w:tr>
      <w:tr w14:paraId="1E73A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 w:type="dxa"/>
            <w:vMerge w:val="continue"/>
            <w:noWrap w:val="0"/>
            <w:vAlign w:val="center"/>
          </w:tcPr>
          <w:p w14:paraId="3DE72333">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18000E93">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vMerge w:val="continue"/>
            <w:noWrap w:val="0"/>
            <w:vAlign w:val="center"/>
          </w:tcPr>
          <w:p w14:paraId="0A8E9B42">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708" w:type="dxa"/>
            <w:noWrap w:val="0"/>
            <w:vAlign w:val="center"/>
          </w:tcPr>
          <w:p w14:paraId="35DAA42A">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5</w:t>
            </w:r>
          </w:p>
        </w:tc>
        <w:tc>
          <w:tcPr>
            <w:tcW w:w="5579" w:type="dxa"/>
            <w:noWrap w:val="0"/>
            <w:vAlign w:val="top"/>
          </w:tcPr>
          <w:p w14:paraId="39943EC0">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遵守交通法规，执行安全操作规程，安全文明行车。无交通事故造成人员死亡的得5分，发生交通事故致人死亡的，出现一起主责以上的扣3分，同等责任扣2分，次责扣1分，扣光为止。</w:t>
            </w:r>
          </w:p>
        </w:tc>
      </w:tr>
      <w:tr w14:paraId="51C28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2" w:type="dxa"/>
            <w:vMerge w:val="continue"/>
            <w:noWrap w:val="0"/>
            <w:vAlign w:val="center"/>
          </w:tcPr>
          <w:p w14:paraId="5CFAF470">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72A9E922">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noWrap w:val="0"/>
            <w:vAlign w:val="center"/>
          </w:tcPr>
          <w:p w14:paraId="6E11437C">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运行线路</w:t>
            </w:r>
          </w:p>
        </w:tc>
        <w:tc>
          <w:tcPr>
            <w:tcW w:w="708" w:type="dxa"/>
            <w:noWrap w:val="0"/>
            <w:vAlign w:val="center"/>
          </w:tcPr>
          <w:p w14:paraId="0556877A">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lang w:val="en-US" w:eastAsia="zh-CN"/>
              </w:rPr>
            </w:pPr>
            <w:r>
              <w:rPr>
                <w:rFonts w:hint="eastAsia" w:ascii="宋体" w:hAnsi="宋体" w:eastAsia="宋体" w:cs="宋体"/>
                <w:color w:val="auto"/>
                <w:spacing w:val="-2"/>
                <w:sz w:val="24"/>
                <w:szCs w:val="24"/>
                <w:highlight w:val="none"/>
                <w:lang w:val="en-US" w:eastAsia="zh-CN"/>
              </w:rPr>
              <w:t>15</w:t>
            </w:r>
          </w:p>
        </w:tc>
        <w:tc>
          <w:tcPr>
            <w:tcW w:w="5579" w:type="dxa"/>
            <w:noWrap w:val="0"/>
            <w:vAlign w:val="top"/>
          </w:tcPr>
          <w:p w14:paraId="457BC196">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按核准的线路、走向、站点、班次及首末时间运营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确保行政村全覆盖</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，做到准点发车，起步稳、行车稳、停车稳。不得擅自越站甩客、改道行驶</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获得交通主管部门审核除外</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。无相关情况的得</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5分，出现相关情况的，出现一起扣1分，扣光为止。</w:t>
            </w:r>
          </w:p>
        </w:tc>
      </w:tr>
      <w:bookmarkEnd w:id="1"/>
      <w:tr w14:paraId="72AAA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902" w:type="dxa"/>
            <w:vMerge w:val="restart"/>
            <w:noWrap w:val="0"/>
            <w:vAlign w:val="center"/>
          </w:tcPr>
          <w:p w14:paraId="47828A3D">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运营安全</w:t>
            </w:r>
          </w:p>
        </w:tc>
        <w:tc>
          <w:tcPr>
            <w:tcW w:w="866" w:type="dxa"/>
            <w:vMerge w:val="restart"/>
            <w:noWrap w:val="0"/>
            <w:vAlign w:val="center"/>
          </w:tcPr>
          <w:p w14:paraId="56C11AF4">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25</w:t>
            </w:r>
          </w:p>
        </w:tc>
        <w:tc>
          <w:tcPr>
            <w:tcW w:w="944" w:type="dxa"/>
            <w:noWrap w:val="0"/>
            <w:vAlign w:val="center"/>
          </w:tcPr>
          <w:p w14:paraId="681133DC">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安防</w:t>
            </w:r>
          </w:p>
          <w:p w14:paraId="26E80CED">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措施</w:t>
            </w:r>
          </w:p>
        </w:tc>
        <w:tc>
          <w:tcPr>
            <w:tcW w:w="708" w:type="dxa"/>
            <w:noWrap w:val="0"/>
            <w:vAlign w:val="center"/>
          </w:tcPr>
          <w:p w14:paraId="1894C340">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10</w:t>
            </w:r>
          </w:p>
        </w:tc>
        <w:tc>
          <w:tcPr>
            <w:tcW w:w="5579" w:type="dxa"/>
            <w:noWrap w:val="0"/>
            <w:vAlign w:val="center"/>
          </w:tcPr>
          <w:p w14:paraId="68DA836C">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有安全设施及措施，得10分；无相关设施及措施，不得分。</w:t>
            </w:r>
          </w:p>
        </w:tc>
      </w:tr>
      <w:tr w14:paraId="2A942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02" w:type="dxa"/>
            <w:vMerge w:val="continue"/>
            <w:noWrap w:val="0"/>
            <w:vAlign w:val="center"/>
          </w:tcPr>
          <w:p w14:paraId="1FCC3FC9">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4DA72AC6">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noWrap w:val="0"/>
            <w:vAlign w:val="center"/>
          </w:tcPr>
          <w:p w14:paraId="6B13EB79">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应急</w:t>
            </w:r>
          </w:p>
          <w:p w14:paraId="2D66B071">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管理</w:t>
            </w:r>
          </w:p>
        </w:tc>
        <w:tc>
          <w:tcPr>
            <w:tcW w:w="708" w:type="dxa"/>
            <w:noWrap w:val="0"/>
            <w:vAlign w:val="center"/>
          </w:tcPr>
          <w:p w14:paraId="57BB43DD">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8</w:t>
            </w:r>
          </w:p>
        </w:tc>
        <w:tc>
          <w:tcPr>
            <w:tcW w:w="5579" w:type="dxa"/>
            <w:noWrap w:val="0"/>
            <w:vAlign w:val="center"/>
          </w:tcPr>
          <w:p w14:paraId="40DEEDF6">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制定应急预案，落实岗位安全职责，得2分；设有安全巡查员，并有巡检记录，得3分；防火、防爆物资、设备齐全，得3分。</w:t>
            </w:r>
          </w:p>
        </w:tc>
      </w:tr>
      <w:tr w14:paraId="3985F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902" w:type="dxa"/>
            <w:vMerge w:val="continue"/>
            <w:noWrap w:val="0"/>
            <w:vAlign w:val="center"/>
          </w:tcPr>
          <w:p w14:paraId="6C9545BB">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241B82E7">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noWrap w:val="0"/>
            <w:vAlign w:val="center"/>
          </w:tcPr>
          <w:p w14:paraId="0D2D20B1">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安全</w:t>
            </w:r>
          </w:p>
          <w:p w14:paraId="4DC4C38D">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标识</w:t>
            </w:r>
          </w:p>
        </w:tc>
        <w:tc>
          <w:tcPr>
            <w:tcW w:w="708" w:type="dxa"/>
            <w:noWrap w:val="0"/>
            <w:vAlign w:val="center"/>
          </w:tcPr>
          <w:p w14:paraId="300BA5DD">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7</w:t>
            </w:r>
          </w:p>
        </w:tc>
        <w:tc>
          <w:tcPr>
            <w:tcW w:w="5579" w:type="dxa"/>
            <w:noWrap w:val="0"/>
            <w:vAlign w:val="center"/>
          </w:tcPr>
          <w:p w14:paraId="5C785DD1">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公交车车厢内有安全标识、防火防爆等相关安全标志，得7分；设置不规范或未</w:t>
            </w:r>
            <w:r>
              <w:rPr>
                <w:rFonts w:hint="eastAsia" w:ascii="宋体" w:hAnsi="宋体" w:eastAsia="宋体" w:cs="宋体"/>
                <w:color w:val="auto"/>
                <w:sz w:val="24"/>
                <w:szCs w:val="24"/>
                <w:highlight w:val="none"/>
                <w:lang w:eastAsia="zh-CN"/>
              </w:rPr>
              <w:t>设置</w:t>
            </w:r>
            <w:r>
              <w:rPr>
                <w:rFonts w:hint="eastAsia" w:ascii="宋体" w:hAnsi="宋体" w:eastAsia="宋体" w:cs="宋体"/>
                <w:color w:val="auto"/>
                <w:sz w:val="24"/>
                <w:szCs w:val="24"/>
                <w:highlight w:val="none"/>
              </w:rPr>
              <w:t>，不得分。</w:t>
            </w:r>
          </w:p>
        </w:tc>
      </w:tr>
      <w:tr w14:paraId="4081A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02" w:type="dxa"/>
            <w:vMerge w:val="restart"/>
            <w:noWrap w:val="0"/>
            <w:vAlign w:val="center"/>
          </w:tcPr>
          <w:p w14:paraId="724AD2BE">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内部管理</w:t>
            </w:r>
          </w:p>
        </w:tc>
        <w:tc>
          <w:tcPr>
            <w:tcW w:w="866" w:type="dxa"/>
            <w:vMerge w:val="restart"/>
            <w:noWrap w:val="0"/>
            <w:vAlign w:val="center"/>
          </w:tcPr>
          <w:p w14:paraId="2EC0ACCA">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5</w:t>
            </w:r>
          </w:p>
        </w:tc>
        <w:tc>
          <w:tcPr>
            <w:tcW w:w="944" w:type="dxa"/>
            <w:noWrap w:val="0"/>
            <w:vAlign w:val="center"/>
          </w:tcPr>
          <w:p w14:paraId="38FA688C">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各项规章制度建设</w:t>
            </w:r>
          </w:p>
        </w:tc>
        <w:tc>
          <w:tcPr>
            <w:tcW w:w="708" w:type="dxa"/>
            <w:noWrap w:val="0"/>
            <w:vAlign w:val="center"/>
          </w:tcPr>
          <w:p w14:paraId="3D811221">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z w:val="24"/>
                <w:szCs w:val="24"/>
                <w:highlight w:val="none"/>
                <w:lang w:val="en-US" w:eastAsia="zh-CN"/>
              </w:rPr>
              <w:t>5</w:t>
            </w:r>
          </w:p>
        </w:tc>
        <w:tc>
          <w:tcPr>
            <w:tcW w:w="5579" w:type="dxa"/>
            <w:noWrap w:val="0"/>
            <w:vAlign w:val="center"/>
          </w:tcPr>
          <w:p w14:paraId="0DEE50D0">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各项规章制度齐全，得</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分；主要制度执行情况良好，有记录得</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分；有运行作业手册及设备操作保养手册，得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分；规章制度、岗位职责不健全，标识不齐全、不规范,场区防火措施不到位，不得分。</w:t>
            </w:r>
          </w:p>
        </w:tc>
      </w:tr>
      <w:tr w14:paraId="08066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jc w:val="center"/>
        </w:trPr>
        <w:tc>
          <w:tcPr>
            <w:tcW w:w="902" w:type="dxa"/>
            <w:vMerge w:val="continue"/>
            <w:noWrap w:val="0"/>
            <w:vAlign w:val="center"/>
          </w:tcPr>
          <w:p w14:paraId="17662363">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01084495">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noWrap w:val="0"/>
            <w:vAlign w:val="center"/>
          </w:tcPr>
          <w:p w14:paraId="4C484190">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运行资料管理</w:t>
            </w:r>
          </w:p>
        </w:tc>
        <w:tc>
          <w:tcPr>
            <w:tcW w:w="708" w:type="dxa"/>
            <w:noWrap w:val="0"/>
            <w:vAlign w:val="center"/>
          </w:tcPr>
          <w:p w14:paraId="030BF86A">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z w:val="24"/>
                <w:szCs w:val="24"/>
                <w:highlight w:val="none"/>
                <w:lang w:val="en-US" w:eastAsia="zh-CN"/>
              </w:rPr>
              <w:t>5</w:t>
            </w:r>
          </w:p>
        </w:tc>
        <w:tc>
          <w:tcPr>
            <w:tcW w:w="5579" w:type="dxa"/>
            <w:noWrap w:val="0"/>
            <w:vAlign w:val="center"/>
          </w:tcPr>
          <w:p w14:paraId="22CA8CE5">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eastAsia="zh-CN"/>
              </w:rPr>
              <w:t>各类运行影像资料、台账、报表规范符合要求</w:t>
            </w:r>
            <w:r>
              <w:rPr>
                <w:rFonts w:hint="eastAsia" w:ascii="宋体" w:hAnsi="宋体" w:eastAsia="宋体" w:cs="宋体"/>
                <w:color w:val="auto"/>
                <w:sz w:val="24"/>
                <w:szCs w:val="24"/>
                <w:highlight w:val="none"/>
              </w:rPr>
              <w:t>，得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分；有独立档案室、专职管理人员，归档立卷，格式规范，得2分；数据内容真实、齐全，得</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分；运行</w:t>
            </w:r>
            <w:r>
              <w:rPr>
                <w:rFonts w:hint="eastAsia" w:ascii="宋体" w:hAnsi="宋体" w:eastAsia="宋体" w:cs="宋体"/>
                <w:color w:val="auto"/>
                <w:sz w:val="24"/>
                <w:szCs w:val="24"/>
                <w:highlight w:val="none"/>
                <w:lang w:eastAsia="zh-CN"/>
              </w:rPr>
              <w:t>台账</w:t>
            </w:r>
            <w:r>
              <w:rPr>
                <w:rFonts w:hint="eastAsia" w:ascii="宋体" w:hAnsi="宋体" w:eastAsia="宋体" w:cs="宋体"/>
                <w:color w:val="auto"/>
                <w:sz w:val="24"/>
                <w:szCs w:val="24"/>
                <w:highlight w:val="none"/>
              </w:rPr>
              <w:t>同信息系统数据不一致，1处扣1分，直至扣完为止。</w:t>
            </w:r>
          </w:p>
        </w:tc>
      </w:tr>
      <w:tr w14:paraId="35D8D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902" w:type="dxa"/>
            <w:vMerge w:val="continue"/>
            <w:noWrap w:val="0"/>
            <w:vAlign w:val="center"/>
          </w:tcPr>
          <w:p w14:paraId="3C4CCB61">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11BC9E17">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noWrap w:val="0"/>
            <w:vAlign w:val="center"/>
          </w:tcPr>
          <w:p w14:paraId="248CC9D6">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专职人员培训学习</w:t>
            </w:r>
          </w:p>
        </w:tc>
        <w:tc>
          <w:tcPr>
            <w:tcW w:w="708" w:type="dxa"/>
            <w:noWrap w:val="0"/>
            <w:vAlign w:val="center"/>
          </w:tcPr>
          <w:p w14:paraId="4F2CDFF4">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z w:val="24"/>
                <w:szCs w:val="24"/>
                <w:highlight w:val="none"/>
                <w:lang w:val="en-US" w:eastAsia="zh-CN"/>
              </w:rPr>
              <w:t>5</w:t>
            </w:r>
          </w:p>
        </w:tc>
        <w:tc>
          <w:tcPr>
            <w:tcW w:w="5579" w:type="dxa"/>
            <w:noWrap w:val="0"/>
            <w:vAlign w:val="center"/>
          </w:tcPr>
          <w:p w14:paraId="1C1906D0">
            <w:pPr>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按规定要求全员参加业务培训、学习，关键岗位持证上岗人员数量符合规定得</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分，未组织相关培训的扣2分，人员数量不符合规定的扣2分；有定期的业务学习及职业道德教育学习，学习有</w:t>
            </w:r>
            <w:r>
              <w:rPr>
                <w:rFonts w:hint="eastAsia" w:ascii="宋体" w:hAnsi="宋体" w:eastAsia="宋体" w:cs="宋体"/>
                <w:color w:val="auto"/>
                <w:sz w:val="24"/>
                <w:szCs w:val="24"/>
                <w:highlight w:val="none"/>
                <w:lang w:eastAsia="zh-CN"/>
              </w:rPr>
              <w:t>台账记录</w:t>
            </w:r>
            <w:r>
              <w:rPr>
                <w:rFonts w:hint="eastAsia" w:ascii="宋体" w:hAnsi="宋体" w:eastAsia="宋体" w:cs="宋体"/>
                <w:color w:val="auto"/>
                <w:sz w:val="24"/>
                <w:szCs w:val="24"/>
                <w:highlight w:val="none"/>
              </w:rPr>
              <w:t xml:space="preserve">，每年度不少于3次得3分，少一次扣1分。 </w:t>
            </w:r>
          </w:p>
        </w:tc>
      </w:tr>
      <w:tr w14:paraId="4AFDC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02" w:type="dxa"/>
            <w:vMerge w:val="restart"/>
            <w:noWrap w:val="0"/>
            <w:vAlign w:val="center"/>
          </w:tcPr>
          <w:p w14:paraId="0F2A53CD">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lang w:eastAsia="zh-CN"/>
              </w:rPr>
              <w:t>居民</w:t>
            </w:r>
            <w:r>
              <w:rPr>
                <w:rFonts w:hint="eastAsia" w:ascii="宋体" w:hAnsi="宋体" w:eastAsia="宋体" w:cs="宋体"/>
                <w:color w:val="auto"/>
                <w:sz w:val="24"/>
                <w:szCs w:val="24"/>
                <w:highlight w:val="none"/>
              </w:rPr>
              <w:t>监督处理情况</w:t>
            </w:r>
          </w:p>
        </w:tc>
        <w:tc>
          <w:tcPr>
            <w:tcW w:w="866" w:type="dxa"/>
            <w:vMerge w:val="restart"/>
            <w:noWrap w:val="0"/>
            <w:vAlign w:val="center"/>
          </w:tcPr>
          <w:p w14:paraId="7B78C3E0">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10</w:t>
            </w:r>
          </w:p>
        </w:tc>
        <w:tc>
          <w:tcPr>
            <w:tcW w:w="944" w:type="dxa"/>
            <w:noWrap w:val="0"/>
            <w:vAlign w:val="center"/>
          </w:tcPr>
          <w:p w14:paraId="0F7C52E1">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社会满意度</w:t>
            </w:r>
          </w:p>
        </w:tc>
        <w:tc>
          <w:tcPr>
            <w:tcW w:w="708" w:type="dxa"/>
            <w:noWrap w:val="0"/>
            <w:vAlign w:val="center"/>
          </w:tcPr>
          <w:p w14:paraId="6BBF8141">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2</w:t>
            </w:r>
          </w:p>
        </w:tc>
        <w:tc>
          <w:tcPr>
            <w:tcW w:w="5579" w:type="dxa"/>
            <w:noWrap w:val="0"/>
            <w:vAlign w:val="center"/>
          </w:tcPr>
          <w:p w14:paraId="787298FB">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以调查问卷形式或者投诉统计，满意度达到80%得2分，否则不得分。</w:t>
            </w:r>
          </w:p>
        </w:tc>
      </w:tr>
      <w:tr w14:paraId="4A382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0" w:hRule="atLeast"/>
          <w:jc w:val="center"/>
        </w:trPr>
        <w:tc>
          <w:tcPr>
            <w:tcW w:w="902" w:type="dxa"/>
            <w:vMerge w:val="continue"/>
            <w:noWrap w:val="0"/>
            <w:vAlign w:val="center"/>
          </w:tcPr>
          <w:p w14:paraId="565F9F30">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3DD371BE">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noWrap w:val="0"/>
            <w:vAlign w:val="center"/>
          </w:tcPr>
          <w:p w14:paraId="019E1FB1">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上级监督</w:t>
            </w:r>
          </w:p>
        </w:tc>
        <w:tc>
          <w:tcPr>
            <w:tcW w:w="708" w:type="dxa"/>
            <w:noWrap w:val="0"/>
            <w:vAlign w:val="center"/>
          </w:tcPr>
          <w:p w14:paraId="29AD65B9">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3</w:t>
            </w:r>
          </w:p>
        </w:tc>
        <w:tc>
          <w:tcPr>
            <w:tcW w:w="5579" w:type="dxa"/>
            <w:noWrap w:val="0"/>
            <w:vAlign w:val="center"/>
          </w:tcPr>
          <w:p w14:paraId="4302D753">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不出现市、县级有关部门检查通报的问题，出现问题被市、县级有关部门检查通报的、纳入月检被发现的问题首宗扣0.5分，同一问题重复出现则每宗扣1分。不出现市、县主要领导点名批评的问题，出现问题被市、县级主要领导点名批评的，每宗扣1分。不出现市、县主要领导点名批评的问题，出现问题被市、县级主要领导点名批评的，每宗扣2分，直至扣完为止。</w:t>
            </w:r>
          </w:p>
        </w:tc>
      </w:tr>
      <w:tr w14:paraId="22AF7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902" w:type="dxa"/>
            <w:vMerge w:val="continue"/>
            <w:noWrap w:val="0"/>
            <w:vAlign w:val="center"/>
          </w:tcPr>
          <w:p w14:paraId="72133AF3">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4A277789">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noWrap w:val="0"/>
            <w:vAlign w:val="center"/>
          </w:tcPr>
          <w:p w14:paraId="596F7240">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cs="宋体"/>
                <w:color w:val="auto"/>
                <w:kern w:val="0"/>
                <w:sz w:val="24"/>
                <w:szCs w:val="24"/>
                <w:highlight w:val="none"/>
                <w:lang w:val="en-US" w:eastAsia="zh-CN" w:bidi="ar-SA"/>
              </w:rPr>
              <w:t>居民</w:t>
            </w:r>
            <w:r>
              <w:rPr>
                <w:rFonts w:hint="eastAsia" w:ascii="宋体" w:hAnsi="宋体" w:eastAsia="宋体" w:cs="宋体"/>
                <w:color w:val="auto"/>
                <w:kern w:val="0"/>
                <w:sz w:val="24"/>
                <w:szCs w:val="24"/>
                <w:highlight w:val="none"/>
                <w:lang w:val="en-US" w:eastAsia="zh-CN" w:bidi="ar-SA"/>
              </w:rPr>
              <w:t>投诉、媒体曝光</w:t>
            </w:r>
          </w:p>
        </w:tc>
        <w:tc>
          <w:tcPr>
            <w:tcW w:w="708" w:type="dxa"/>
            <w:noWrap w:val="0"/>
            <w:vAlign w:val="center"/>
          </w:tcPr>
          <w:p w14:paraId="0D3EB70F">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3</w:t>
            </w:r>
          </w:p>
        </w:tc>
        <w:tc>
          <w:tcPr>
            <w:tcW w:w="5579" w:type="dxa"/>
            <w:noWrap w:val="0"/>
            <w:vAlign w:val="center"/>
          </w:tcPr>
          <w:p w14:paraId="52E0790B">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w:t>
            </w:r>
            <w:r>
              <w:rPr>
                <w:rFonts w:hint="eastAsia" w:ascii="宋体" w:hAnsi="宋体" w:cs="宋体"/>
                <w:color w:val="auto"/>
                <w:sz w:val="24"/>
                <w:szCs w:val="24"/>
                <w:highlight w:val="none"/>
                <w:lang w:eastAsia="zh-CN"/>
              </w:rPr>
              <w:t>居民</w:t>
            </w:r>
            <w:r>
              <w:rPr>
                <w:rFonts w:hint="eastAsia" w:ascii="宋体" w:hAnsi="宋体" w:eastAsia="宋体" w:cs="宋体"/>
                <w:color w:val="auto"/>
                <w:sz w:val="24"/>
                <w:szCs w:val="24"/>
                <w:highlight w:val="none"/>
              </w:rPr>
              <w:t>举报经查实且在规定时限内妥善处理的，不纳入扣分；超出规定时限处理的，首次发生扣0.2分，同一事项重复超时处理每次扣0.5分。县级以上媒体曝光属实的问题，首次出现扣1分；若在整改期内完成整改并提交有效改进措施，可酌情减半扣分，直至扣完为止。</w:t>
            </w:r>
          </w:p>
        </w:tc>
      </w:tr>
      <w:tr w14:paraId="52E466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jc w:val="center"/>
        </w:trPr>
        <w:tc>
          <w:tcPr>
            <w:tcW w:w="902" w:type="dxa"/>
            <w:vMerge w:val="continue"/>
            <w:noWrap w:val="0"/>
            <w:vAlign w:val="center"/>
          </w:tcPr>
          <w:p w14:paraId="2B9F0C97">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866" w:type="dxa"/>
            <w:vMerge w:val="continue"/>
            <w:noWrap w:val="0"/>
            <w:vAlign w:val="center"/>
          </w:tcPr>
          <w:p w14:paraId="5F3957A3">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p>
        </w:tc>
        <w:tc>
          <w:tcPr>
            <w:tcW w:w="944" w:type="dxa"/>
            <w:noWrap w:val="0"/>
            <w:vAlign w:val="center"/>
          </w:tcPr>
          <w:p w14:paraId="1C0A1FA4">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投诉案件及处理情况</w:t>
            </w:r>
          </w:p>
        </w:tc>
        <w:tc>
          <w:tcPr>
            <w:tcW w:w="708" w:type="dxa"/>
            <w:noWrap w:val="0"/>
            <w:vAlign w:val="center"/>
          </w:tcPr>
          <w:p w14:paraId="4AC2D424">
            <w:pPr>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z w:val="24"/>
                <w:szCs w:val="24"/>
                <w:highlight w:val="none"/>
              </w:rPr>
              <w:t>2</w:t>
            </w:r>
          </w:p>
        </w:tc>
        <w:tc>
          <w:tcPr>
            <w:tcW w:w="5579" w:type="dxa"/>
            <w:noWrap w:val="0"/>
            <w:vAlign w:val="center"/>
          </w:tcPr>
          <w:p w14:paraId="0839F2F4">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普通投诉案件，未在规定时限内处理完毕的，首次发生扣0.5分；若在整改期限内完成处理并提交完整处理报告，可减免。受专项督办的投诉案件，未在规定时限内处理完毕的，首次扣1分；若及时制定整改方案并按计划推进，可酌情扣0.5分；若在补充期限内完成处理，当次扣分减半；同类问题再次超时处理扣2分，直至扣完为止。</w:t>
            </w:r>
          </w:p>
        </w:tc>
      </w:tr>
      <w:tr w14:paraId="469F0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712" w:type="dxa"/>
            <w:gridSpan w:val="3"/>
            <w:noWrap w:val="0"/>
            <w:vAlign w:val="center"/>
          </w:tcPr>
          <w:p w14:paraId="21F9968A">
            <w:pPr>
              <w:pStyle w:val="11"/>
              <w:keepNext w:val="0"/>
              <w:keepLines w:val="0"/>
              <w:pageBreakBefore w:val="0"/>
              <w:widowControl w:val="0"/>
              <w:kinsoku/>
              <w:wordWrap/>
              <w:overflowPunct/>
              <w:topLinePunct w:val="0"/>
              <w:bidi w:val="0"/>
              <w:snapToGrid/>
              <w:spacing w:line="360" w:lineRule="auto"/>
              <w:ind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考核总分</w:t>
            </w:r>
          </w:p>
        </w:tc>
        <w:tc>
          <w:tcPr>
            <w:tcW w:w="708" w:type="dxa"/>
            <w:noWrap w:val="0"/>
            <w:vAlign w:val="center"/>
          </w:tcPr>
          <w:p w14:paraId="4B113786">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color w:val="auto"/>
                <w:spacing w:val="-2"/>
                <w:sz w:val="24"/>
                <w:szCs w:val="24"/>
                <w:highlight w:val="none"/>
              </w:rPr>
            </w:pPr>
            <w:r>
              <w:rPr>
                <w:rFonts w:hint="eastAsia" w:ascii="宋体" w:hAnsi="宋体" w:eastAsia="宋体" w:cs="宋体"/>
                <w:color w:val="auto"/>
                <w:spacing w:val="-2"/>
                <w:sz w:val="24"/>
                <w:szCs w:val="24"/>
                <w:highlight w:val="none"/>
              </w:rPr>
              <w:t>100</w:t>
            </w:r>
          </w:p>
        </w:tc>
        <w:tc>
          <w:tcPr>
            <w:tcW w:w="5579" w:type="dxa"/>
            <w:noWrap w:val="0"/>
            <w:vAlign w:val="center"/>
          </w:tcPr>
          <w:p w14:paraId="0BCF9AA2">
            <w:pPr>
              <w:pStyle w:val="11"/>
              <w:keepNext w:val="0"/>
              <w:keepLines w:val="0"/>
              <w:pageBreakBefore w:val="0"/>
              <w:widowControl w:val="0"/>
              <w:kinsoku/>
              <w:wordWrap/>
              <w:overflowPunct/>
              <w:topLinePunct w:val="0"/>
              <w:bidi w:val="0"/>
              <w:snapToGrid/>
              <w:spacing w:line="360" w:lineRule="auto"/>
              <w:ind w:firstLine="0" w:firstLineChars="0"/>
              <w:jc w:val="both"/>
              <w:textAlignment w:val="auto"/>
              <w:rPr>
                <w:rFonts w:hint="eastAsia" w:ascii="宋体" w:hAnsi="宋体" w:eastAsia="宋体" w:cs="宋体"/>
                <w:color w:val="auto"/>
                <w:sz w:val="24"/>
                <w:szCs w:val="24"/>
                <w:highlight w:val="none"/>
              </w:rPr>
            </w:pPr>
          </w:p>
        </w:tc>
      </w:tr>
    </w:tbl>
    <w:p w14:paraId="10B38AC0">
      <w:pPr>
        <w:pStyle w:val="2"/>
        <w:keepNext w:val="0"/>
        <w:keepLines w:val="0"/>
        <w:pageBreakBefore w:val="0"/>
        <w:widowControl w:val="0"/>
        <w:wordWrap/>
        <w:topLinePunct w:val="0"/>
        <w:bidi w:val="0"/>
        <w:snapToGrid/>
        <w:spacing w:line="360" w:lineRule="auto"/>
        <w:ind w:firstLine="482" w:firstLineChars="200"/>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rPr>
        <w:t>注：以上“服务需求”投标人必须完全响应，否则作无效标处理</w:t>
      </w:r>
      <w:r>
        <w:rPr>
          <w:rFonts w:hint="eastAsia" w:ascii="宋体" w:hAnsi="宋体" w:eastAsia="宋体" w:cs="宋体"/>
          <w:b/>
          <w:bCs/>
          <w:color w:val="auto"/>
          <w:sz w:val="24"/>
          <w:szCs w:val="24"/>
          <w:highlight w:val="none"/>
          <w:lang w:eastAsia="zh-CN"/>
        </w:rPr>
        <w:t>。</w:t>
      </w:r>
    </w:p>
    <w:p w14:paraId="5A8D21A5">
      <w:pPr>
        <w:pStyle w:val="2"/>
        <w:keepNext w:val="0"/>
        <w:keepLines w:val="0"/>
        <w:pageBreakBefore w:val="0"/>
        <w:widowControl w:val="0"/>
        <w:wordWrap/>
        <w:topLinePunct w:val="0"/>
        <w:bidi w:val="0"/>
        <w:snapToGrid/>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（二）商务条款</w:t>
      </w:r>
    </w:p>
    <w:p w14:paraId="2497E2F3">
      <w:pPr>
        <w:keepNext w:val="0"/>
        <w:keepLines w:val="0"/>
        <w:pageBreakBefore w:val="0"/>
        <w:widowControl/>
        <w:kinsoku/>
        <w:wordWrap/>
        <w:overflowPunct/>
        <w:topLinePunct w:val="0"/>
        <w:autoSpaceDE w:val="0"/>
        <w:autoSpaceDN w:val="0"/>
        <w:bidi w:val="0"/>
        <w:spacing w:line="360" w:lineRule="auto"/>
        <w:jc w:val="left"/>
        <w:outlineLvl w:val="2"/>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eastAsia="zh-CN"/>
        </w:rPr>
        <w:t>经营</w:t>
      </w:r>
      <w:r>
        <w:rPr>
          <w:rFonts w:hint="eastAsia" w:ascii="宋体" w:hAnsi="宋体" w:eastAsia="宋体" w:cs="宋体"/>
          <w:b/>
          <w:bCs/>
          <w:color w:val="auto"/>
          <w:sz w:val="24"/>
          <w:szCs w:val="24"/>
          <w:highlight w:val="none"/>
        </w:rPr>
        <w:t>期限（服务期）：</w:t>
      </w:r>
      <w:r>
        <w:rPr>
          <w:rFonts w:hint="eastAsia" w:ascii="宋体" w:hAnsi="宋体" w:eastAsia="宋体" w:cs="宋体"/>
          <w:color w:val="auto"/>
          <w:sz w:val="24"/>
          <w:szCs w:val="24"/>
          <w:highlight w:val="none"/>
        </w:rPr>
        <w:t>签订合同之日起</w:t>
      </w:r>
      <w:r>
        <w:rPr>
          <w:rFonts w:hint="eastAsia" w:ascii="宋体" w:hAnsi="宋体" w:eastAsia="宋体" w:cs="宋体"/>
          <w:color w:val="auto"/>
          <w:sz w:val="24"/>
          <w:szCs w:val="24"/>
          <w:highlight w:val="none"/>
          <w:lang w:eastAsia="zh-CN"/>
        </w:rPr>
        <w:t>6年</w:t>
      </w:r>
      <w:r>
        <w:rPr>
          <w:rFonts w:hint="eastAsia" w:ascii="宋体" w:hAnsi="宋体" w:eastAsia="宋体" w:cs="宋体"/>
          <w:color w:val="auto"/>
          <w:sz w:val="24"/>
          <w:szCs w:val="24"/>
          <w:highlight w:val="none"/>
        </w:rPr>
        <w:t>。</w:t>
      </w:r>
    </w:p>
    <w:p w14:paraId="50D2D978">
      <w:pPr>
        <w:keepNext w:val="0"/>
        <w:keepLines w:val="0"/>
        <w:pageBreakBefore w:val="0"/>
        <w:widowControl/>
        <w:kinsoku/>
        <w:wordWrap/>
        <w:overflowPunct/>
        <w:topLinePunct w:val="0"/>
        <w:autoSpaceDE w:val="0"/>
        <w:autoSpaceDN w:val="0"/>
        <w:bidi w:val="0"/>
        <w:spacing w:line="360" w:lineRule="auto"/>
        <w:jc w:val="left"/>
        <w:outlineLvl w:val="2"/>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rPr>
        <w:t>2、</w:t>
      </w:r>
      <w:r>
        <w:rPr>
          <w:rFonts w:hint="eastAsia" w:ascii="宋体" w:hAnsi="宋体" w:eastAsia="宋体" w:cs="宋体"/>
          <w:b/>
          <w:bCs/>
          <w:color w:val="auto"/>
          <w:sz w:val="24"/>
          <w:szCs w:val="24"/>
          <w:highlight w:val="none"/>
          <w:lang w:eastAsia="zh-CN"/>
        </w:rPr>
        <w:t>经营</w:t>
      </w:r>
      <w:r>
        <w:rPr>
          <w:rFonts w:hint="eastAsia" w:ascii="宋体" w:hAnsi="宋体" w:eastAsia="宋体" w:cs="宋体"/>
          <w:b/>
          <w:bCs/>
          <w:color w:val="auto"/>
          <w:sz w:val="24"/>
          <w:szCs w:val="24"/>
          <w:highlight w:val="none"/>
        </w:rPr>
        <w:t>线路范围：</w:t>
      </w:r>
      <w:r>
        <w:rPr>
          <w:rFonts w:hint="eastAsia" w:ascii="宋体" w:hAnsi="宋体" w:eastAsia="宋体" w:cs="宋体"/>
          <w:b/>
          <w:bCs/>
          <w:color w:val="auto"/>
          <w:sz w:val="24"/>
          <w:szCs w:val="24"/>
          <w:highlight w:val="none"/>
          <w:lang w:val="en-US" w:eastAsia="zh-CN"/>
        </w:rPr>
        <w:t>10个镇村公交线路及13条城乡公交线路运营</w:t>
      </w:r>
    </w:p>
    <w:p w14:paraId="59742ED5">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10个镇村公交线路及13条城乡公交线路运营</w:t>
      </w:r>
    </w:p>
    <w:p w14:paraId="15CD796E">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2.1镇村公交线路班线班次时间</w:t>
      </w:r>
    </w:p>
    <w:p w14:paraId="09BDD879">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因道路安全隐患不具备通行大型公交车辆，采取用不少于7座车公交车全覆盖各行政村，延伸公交线路班线、班次、时间根据各乡镇建制村居民出行实际需求情况，暂定逢建制村所在乡镇日轮番穿插发班。具体如下:</w:t>
      </w:r>
    </w:p>
    <w:p w14:paraId="60F7AD74">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2.1.1太源乡：未开通的 6 个建制村，已开通镇村公交线路名称、站点时间安排如下：</w:t>
      </w:r>
    </w:p>
    <w:p w14:paraId="7D0E1682">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太源 1 路 (太源 - 塅背)。途经站点：东堡湾、寨俚、黄家、路头，圩日 (逢农历一、六) 发班，圩日每日 2 班，太源始发时间 6:30、13:00，塅背返回时间 7:30、14:00;</w:t>
      </w:r>
    </w:p>
    <w:p w14:paraId="07BD173C">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太源 2 路 (太源 - 墩俚上)。途经站点：圩日 (逢农历一、六) 发班，圩日每日 2 班，太源始发时间 8:30、15:00，墩俚上返回时间 9:30、16:00。</w:t>
      </w:r>
    </w:p>
    <w:p w14:paraId="5BAE9B28">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2.1.2白舍镇：未开通的 15 个建制村，已开通镇村公交线路名称、站点时间安排如下：</w:t>
      </w:r>
    </w:p>
    <w:p w14:paraId="1115D17E">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白舍 1 路 (白舍 - 珠湖)。途经站点：河东、罗家、石源、周源、古竹、邹坊、小石、际民，圩日 (逢农历二、五、八) 发班，圩日每日 2 班，白舍始发时间 6:30、13:00，珠湖返回时间 7:30、14:00;</w:t>
      </w:r>
    </w:p>
    <w:p w14:paraId="7930A02E">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白舍 2 路 (白舍 - 姜源)。途经站点：下陂、三坑、陈坊、田东、坊坑，圩日 (逢农历二、五、八) 发班，圩日每日 2 班，白舍始发时间 8:30、15:00，姜源返回时间 9:30、16:00。</w:t>
      </w:r>
    </w:p>
    <w:p w14:paraId="3CD5F83E">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2.1.3桑田镇：未开通的 4 个建制村，已开通镇村公交线路名称、站点时间安排如下：</w:t>
      </w:r>
    </w:p>
    <w:p w14:paraId="442A83B1">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桑田 1 路 (桑田 - 水口)。圩日 (逢农历四、九) 发班，圩日每日 2 班，桑田始发时间 6:30、13:00，水口返回时间 7:30、14:00;</w:t>
      </w:r>
    </w:p>
    <w:p w14:paraId="2243AC0A">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桑田 2 路 (古城 - 根竹)。途经站点：竹山下，圩日 (逢农历三、八) 发班，圩日每日 2 班，古城始发时间 8:30、15:00，根竹返回时间 9:30、16:00;</w:t>
      </w:r>
    </w:p>
    <w:p w14:paraId="28954380">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 桑田 3 路 (桑田 - 西源)。圩日 (逢农历四、九) 发班，圩日每日 2 班，古城始发时间 9:30、17:00，根竹返回时间 10:30、18:00。</w:t>
      </w:r>
    </w:p>
    <w:p w14:paraId="5EEB7216">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2.1.4东坪乡：未开通的 6 个建制村，已开通镇村公交线路名称、站点时间安排如下：</w:t>
      </w:r>
    </w:p>
    <w:p w14:paraId="3C36B60D">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东坪 1 路 (田溪 - 南洲)。途经站点：下堡、朱源、王田、甘泉、邱坊，圩日 (逢农历一、四、八) 发班，圩日每日 2 班，东坪始发时间 6:30、13:00，南洲返回时间 7:30、14:00。</w:t>
      </w:r>
    </w:p>
    <w:p w14:paraId="46E1C339">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2.1.5洽湾镇：未开通的 4 个建制村，已开通镇村公交线路名称、站点时间安排如下：</w:t>
      </w:r>
    </w:p>
    <w:p w14:paraId="4AF3B95C">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洽湾 1 路 (洽湾 - 加津)。途经站点：桃源，每日发班，每日 2 班，洽湾始发时间 6:30、16:30，加津返回时间 7:30、17:30;</w:t>
      </w:r>
    </w:p>
    <w:p w14:paraId="7B4E4F8B">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洽湾 2 路 (洽湾 - 黄坊)。途经站点：上游，周一、周五发班，每日 2 班，洽湾始发时间 8:30、14:30，黄坊返回时间 9:30、15:30。</w:t>
      </w:r>
    </w:p>
    <w:p w14:paraId="63EB72E9">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2.1.6紫霄镇：未开通的 8 个建制村，已开通镇村公交线路名称、站点时间安排如下：</w:t>
      </w:r>
    </w:p>
    <w:p w14:paraId="337614CB">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紫霄 1 路 (长陂 - 新田)。途经站点：瞿村，圩日 (逢农历二、五、八) 发班，圩日每日 2 班，长陂始发时间 6:30、12:30，新田返回时间 7:15、13:15;</w:t>
      </w:r>
    </w:p>
    <w:p w14:paraId="385E396F">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紫霄 2 路 (长陂 - 明阳开源)。圩日 (逢农历二、五、八) 发班，圩日每日 2 班，长陂始发时间 8:00、14:00，明阳返回时间 8:45、14:45;</w:t>
      </w:r>
    </w:p>
    <w:p w14:paraId="322FFF4E">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 紫霄 3 路 (洽村 - 罗坊)。途经：东村，圩日 (逢农历二、五、八) 发班，圩日每日 2 班，洽村始发时间 9:30、15:30，罗坊返回时间 10:15、16:15;</w:t>
      </w:r>
    </w:p>
    <w:p w14:paraId="519670EE">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 紫霄 4 路 (洽村 - 大岭背)。圩日 (逢农历二、五、八) 发班，圩日每日 2 班，洽村始发时间 11:00、17:00，大岭背返回时间 11:45、17:45;</w:t>
      </w:r>
    </w:p>
    <w:p w14:paraId="073C84BB">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 紫霄 5 路 (西溪 - 西坑)。圩日 (逢农历一、四、七) 发班，圩日每日 2 班，西溪始发时间 7:00、11:00，西坑返回时间 7:30、11:30;</w:t>
      </w:r>
    </w:p>
    <w:p w14:paraId="203F62C4">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 紫霄 6 路 (长陂 - 黄龙坑)。圩日 (逢农历二、五、八) 发班，圩日每日 2 班，长陂始发时间 9:00、15:00，黄龙坑返回时间 10:30、16:30。</w:t>
      </w:r>
    </w:p>
    <w:p w14:paraId="0A73D60B">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2.1.7付坊乡：未开通的 4 个建制村，已开通镇村公交线路名称、站点时间安排如下：</w:t>
      </w:r>
    </w:p>
    <w:p w14:paraId="291780CB">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付坊 1 路 (石咀 - 港下)。途经站点：林前，圩日 (逢农历三、六、九) 发班，圩日每日 2 班，石咀始发时间 6:00、13:00，港下返回时间 7:00、14:00;</w:t>
      </w:r>
    </w:p>
    <w:p w14:paraId="372EBABD">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付坊 2 路 (石咀 - 荷塘)。圩日 (逢农历三、六、九) 发班，圩日每日 2 班，石咀始发时间 8:00、15:00，荷塘返回时间 9:00、16:00;</w:t>
      </w:r>
    </w:p>
    <w:p w14:paraId="1E6817F1">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 付坊 3 路 (石咀 - 田南)。圩日 (逢农历三、六、九) 发班，圩日每日 2 班，石咀始发时间 10:00、17:00，田南返回时间 11:00、18:00。</w:t>
      </w:r>
    </w:p>
    <w:p w14:paraId="1E412109">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2.1.8太和镇：未开通的 4 个建制村，已开通镇村公交线路名称、站点时间安排如下：</w:t>
      </w:r>
    </w:p>
    <w:p w14:paraId="48C1AD2B">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太和 1 路 (太和 - 杭山)。途经站点：前坊，圩日 (逢农历一、四、七) 发班，圩日每日 2 班，太和始发时间 6:30、13:00，杭山返回时间 7:30、14:00;</w:t>
      </w:r>
    </w:p>
    <w:p w14:paraId="50A6C295">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太和 2 路 (太和 - 店前)。途经站点：下洋，圩日 (逢农历一、四、七) 发班，圩日每日 2 班，太和始发时间 8:30、15:00，店前返回时间 9:30、16:00。</w:t>
      </w:r>
    </w:p>
    <w:p w14:paraId="7C5902B4">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2.1.9三溪乡：未开通的 1 个建制村，已开通镇村公交线路名称、站点时间安排如下：</w:t>
      </w:r>
    </w:p>
    <w:p w14:paraId="6BD7E0AA">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三溪 1 路 (三溪 - 保丰)。圩日 (逢农历五、十) 发班，圩日每日 2 班，三溪始发时间 8:30、15:00，保丰返回时间 9:30、16:00。</w:t>
      </w:r>
    </w:p>
    <w:p w14:paraId="4FBC80E5">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2.1.10莱溪乡：未开通的 5 个建制村，已开通镇村公交线路名称、站点时间安排如下：</w:t>
      </w:r>
    </w:p>
    <w:p w14:paraId="66D5D2FB">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 莱溪 1 路 (莱溪 - 后举)。圩日发班，周一、周五每日 2 班，莱溪始发时间 6:30、15:00，后举返回时间 8:00、16:30;</w:t>
      </w:r>
    </w:p>
    <w:p w14:paraId="465AEF44">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 莱溪 2 路 (莱溪 - 石渠)。途经站点：东方、黄满、上漏，周一、周五发班，每日 2 班，莱溪始发时间 9:30、17:00，后举返回时间 11:00、18:30。</w:t>
      </w:r>
    </w:p>
    <w:p w14:paraId="1645F015">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2.2预约响应通行安排</w:t>
      </w:r>
    </w:p>
    <w:p w14:paraId="500AF183">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因建制村道路状况险要，存在较大安全隐患，将采取逢镇乡日预约响应通行的方式，由南丰县长运公共交通有限公司派出出租车，需预约响应通行的6个建制村如下：古竹、操坊、胡坑、黄连山、南堡、黄坊。</w:t>
      </w:r>
    </w:p>
    <w:p w14:paraId="7F548027">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2.3城乡公交线路班线班次</w:t>
      </w:r>
    </w:p>
    <w:p w14:paraId="1BFC6F43">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共计146班次，具体首发车时间另行约定。</w:t>
      </w:r>
    </w:p>
    <w:p w14:paraId="3773810B">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（1）南丰-太源每天16班（南丰-杨梅坑-满源-古城-太源）；</w:t>
      </w:r>
    </w:p>
    <w:p w14:paraId="0A5CC8E8">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（2）南丰-三溪（南丰-罗溪-饶石-石邮-柏苍-池丰-洗马桥-源头-上晒-桥头-坳里-军峰-徐公桥-上坪-石头-三溪）每天12班；</w:t>
      </w:r>
    </w:p>
    <w:p w14:paraId="549D2A7B">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（3）南丰-东坪（南丰-洽湾-西坪-头府-东坪 ）每天18班；</w:t>
      </w:r>
    </w:p>
    <w:p w14:paraId="0A41CEED">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（4）南丰-沙岗</w:t>
      </w:r>
      <w:r>
        <w:rPr>
          <w:rFonts w:hint="eastAsia" w:ascii="宋体" w:hAnsi="宋体" w:eastAsia="宋体" w:cs="宋体"/>
          <w:color w:val="auto"/>
          <w:sz w:val="24"/>
          <w:szCs w:val="24"/>
          <w:highlight w:val="none"/>
          <w:lang w:val="en-US" w:eastAsia="zh-CN"/>
        </w:rPr>
        <w:tab/>
      </w:r>
      <w:r>
        <w:rPr>
          <w:rFonts w:hint="eastAsia" w:ascii="宋体" w:hAnsi="宋体" w:eastAsia="宋体" w:cs="宋体"/>
          <w:color w:val="auto"/>
          <w:sz w:val="24"/>
          <w:szCs w:val="24"/>
          <w:highlight w:val="none"/>
          <w:lang w:val="en-US" w:eastAsia="zh-CN"/>
        </w:rPr>
        <w:t>（南丰-市山-官塘-高陂头-坪埠-洪家边-三心-石背岭-陶田-新建-熊坊-沙岗）每天4班；</w:t>
      </w:r>
    </w:p>
    <w:p w14:paraId="21AD0E2F">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（5）南丰-中和（南丰-杨梅坑-满源-桑田-曾家峰-杨林-桥头-中和 ）每天8班 （其中延伸至白舍圩日发班2班）；</w:t>
      </w:r>
    </w:p>
    <w:p w14:paraId="12C31BCC">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（6）南丰-西溪（南丰-罗溪-耀里-黄陂-望天-茶亭-白舍-镇前-瑶陂-新南汉-戈镰石-欧龙-池度-上古-新田-洽村-西溪） 每天8班（其中南丰-西溪延伸至藕塘村每天2班）；</w:t>
      </w:r>
    </w:p>
    <w:p w14:paraId="645A045E">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（7）南丰-上甘 （罗溪-耀里—白舍—戈镰石-欧龙-上甘）每天4班；</w:t>
      </w:r>
    </w:p>
    <w:p w14:paraId="6659037D">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（8）南丰-长陂（罗溪-耀里-白舍-戈镰石-池度-上古-新田-洽村-长陂） 每天4班；</w:t>
      </w:r>
    </w:p>
    <w:p w14:paraId="5F6236CF">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（9）南丰-紫霄 （南丰-望天-茶亭-白舍-池渡-上古-洽村-紫霄）每天16班；</w:t>
      </w:r>
    </w:p>
    <w:p w14:paraId="50BDE6FC">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（10）南丰-太和（南丰-满源-荷田岗-茅屋下-司前-太和 ）每天4班；</w:t>
      </w:r>
    </w:p>
    <w:p w14:paraId="42452A90">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（11）南丰-康都  （南丰-杨梅坑-满源-司前-太和-增坊-康都）每天4班；</w:t>
      </w:r>
    </w:p>
    <w:p w14:paraId="2AF5963F">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（12）南丰-石咀 （南丰-杨梅坑-满源-司前-太和-丹阳-付坊-石咀）每天30班；</w:t>
      </w:r>
    </w:p>
    <w:p w14:paraId="2AA1DE53">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（13）南丰-白舍 （南丰-罗溪-耀里-黄陂-望天-茶亭-白舍）每天18班；</w:t>
      </w:r>
    </w:p>
    <w:p w14:paraId="21782AD5">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注：公交车的运营路线、运营频率、时间（含首末班车时间）需报县交通运输局审核通过后方可实施，若确需调整，同样需报县交通运输局审核。同时采购人有权根据实际情况（如节假日、学生放假等）要求中标人增加营运频次。 </w:t>
      </w:r>
    </w:p>
    <w:p w14:paraId="77A74CD0">
      <w:pPr>
        <w:keepNext w:val="0"/>
        <w:keepLines w:val="0"/>
        <w:pageBreakBefore w:val="0"/>
        <w:widowControl/>
        <w:wordWrap/>
        <w:overflowPunct/>
        <w:topLinePunct w:val="0"/>
        <w:autoSpaceDE w:val="0"/>
        <w:autoSpaceDN w:val="0"/>
        <w:bidi w:val="0"/>
        <w:adjustRightInd/>
        <w:snapToGrid/>
        <w:spacing w:line="360" w:lineRule="auto"/>
        <w:ind w:firstLine="480" w:firstLineChars="200"/>
        <w:jc w:val="left"/>
        <w:textAlignment w:val="auto"/>
        <w:outlineLvl w:val="2"/>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2.4南丰县7镇5乡所辖172个行政村中，琴城镇（大堡、下坊、水北、桥背、徐家边、茅店、富溪、艾源、瑶浦、水南、杨梅、果园、朝先）、市山镇（市山、西村、梅溪、考坑、官庄、竹源、丹坛、梓和、翠云、包坊）、莱溪乡（莱溪村、九联村）纳入城市公交运行范围；古竹、操坊、胡坑、黄连山、南堡、黄坊等建制村因道路条件险要，存在较大安全隐患，将采取逢圩日预约响应通行模式，相关运力由南丰县长运公共交通有限公司统筹出租车保障，该部分不在本次采购范围内。除上述已明确范围的行政村外，中选供应商在后续运营阶段需确保城乡公交与镇村公交线路网络覆盖其余全部行政村。</w:t>
      </w:r>
    </w:p>
    <w:p w14:paraId="48D07265">
      <w:pPr>
        <w:pStyle w:val="2"/>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2.5 如中标人不具备交通主管部门核发的道路运输经营许可证，需在合同签订后一个月内办理完成相关手续，并取得道路运输经营许可证，否则视为不能履约，采购人有权单方面解除合同。</w:t>
      </w:r>
    </w:p>
    <w:p w14:paraId="12BD6999">
      <w:pPr>
        <w:keepNext w:val="0"/>
        <w:keepLines w:val="0"/>
        <w:pageBreakBefore w:val="0"/>
        <w:widowControl/>
        <w:kinsoku/>
        <w:wordWrap/>
        <w:overflowPunct/>
        <w:topLinePunct w:val="0"/>
        <w:autoSpaceDE w:val="0"/>
        <w:autoSpaceDN w:val="0"/>
        <w:bidi w:val="0"/>
        <w:adjustRightInd w:val="0"/>
        <w:snapToGrid w:val="0"/>
        <w:spacing w:line="360" w:lineRule="auto"/>
        <w:jc w:val="left"/>
        <w:textAlignment w:val="baseline"/>
        <w:outlineLvl w:val="2"/>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3、服务地点：</w:t>
      </w:r>
      <w:r>
        <w:rPr>
          <w:rFonts w:hint="eastAsia" w:ascii="宋体" w:hAnsi="宋体" w:eastAsia="宋体" w:cs="宋体"/>
          <w:color w:val="auto"/>
          <w:sz w:val="24"/>
          <w:szCs w:val="24"/>
          <w:highlight w:val="none"/>
        </w:rPr>
        <w:t>南丰县</w:t>
      </w:r>
      <w:r>
        <w:rPr>
          <w:rFonts w:hint="eastAsia" w:ascii="宋体" w:hAnsi="宋体" w:eastAsia="宋体" w:cs="宋体"/>
          <w:color w:val="auto"/>
          <w:sz w:val="24"/>
          <w:szCs w:val="24"/>
          <w:highlight w:val="none"/>
          <w:lang w:val="en-US" w:eastAsia="zh-CN"/>
        </w:rPr>
        <w:t>境内</w:t>
      </w:r>
      <w:r>
        <w:rPr>
          <w:rFonts w:hint="eastAsia" w:ascii="宋体" w:hAnsi="宋体" w:eastAsia="宋体" w:cs="宋体"/>
          <w:color w:val="auto"/>
          <w:sz w:val="24"/>
          <w:szCs w:val="24"/>
          <w:highlight w:val="none"/>
        </w:rPr>
        <w:t>。</w:t>
      </w:r>
    </w:p>
    <w:p w14:paraId="71B756E2">
      <w:pPr>
        <w:keepNext w:val="0"/>
        <w:keepLines w:val="0"/>
        <w:pageBreakBefore w:val="0"/>
        <w:widowControl/>
        <w:kinsoku/>
        <w:wordWrap/>
        <w:overflowPunct/>
        <w:topLinePunct w:val="0"/>
        <w:autoSpaceDE w:val="0"/>
        <w:autoSpaceDN w:val="0"/>
        <w:bidi w:val="0"/>
        <w:adjustRightInd w:val="0"/>
        <w:snapToGrid w:val="0"/>
        <w:spacing w:line="360" w:lineRule="auto"/>
        <w:jc w:val="left"/>
        <w:textAlignment w:val="baseline"/>
        <w:outlineLvl w:val="2"/>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4、回报机制:</w:t>
      </w:r>
      <w:r>
        <w:rPr>
          <w:rFonts w:hint="eastAsia" w:ascii="宋体" w:hAnsi="宋体" w:eastAsia="宋体" w:cs="宋体"/>
          <w:color w:val="auto"/>
          <w:kern w:val="0"/>
          <w:sz w:val="24"/>
          <w:szCs w:val="24"/>
          <w:highlight w:val="none"/>
        </w:rPr>
        <w:t xml:space="preserve"> </w:t>
      </w:r>
      <w:r>
        <w:rPr>
          <w:rFonts w:hint="eastAsia" w:ascii="宋体" w:hAnsi="宋体" w:eastAsia="宋体" w:cs="宋体"/>
          <w:color w:val="auto"/>
          <w:sz w:val="24"/>
          <w:szCs w:val="24"/>
          <w:highlight w:val="none"/>
        </w:rPr>
        <w:t>项目公司通过客运服务获得销售收入（使用者付费）和政府运营补贴金额收回投资以及获得合理利润。</w:t>
      </w:r>
    </w:p>
    <w:p w14:paraId="7E65C0C3">
      <w:pPr>
        <w:pStyle w:val="2"/>
        <w:keepNext w:val="0"/>
        <w:keepLines w:val="0"/>
        <w:pageBreakBefore w:val="0"/>
        <w:widowControl/>
        <w:kinsoku/>
        <w:wordWrap/>
        <w:overflowPunct/>
        <w:topLinePunct w:val="0"/>
        <w:autoSpaceDE w:val="0"/>
        <w:autoSpaceDN w:val="0"/>
        <w:bidi w:val="0"/>
        <w:spacing w:after="0"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（1）使用者付费 </w:t>
      </w:r>
    </w:p>
    <w:p w14:paraId="019FC46E">
      <w:pPr>
        <w:pStyle w:val="2"/>
        <w:keepNext w:val="0"/>
        <w:keepLines w:val="0"/>
        <w:pageBreakBefore w:val="0"/>
        <w:widowControl/>
        <w:kinsoku/>
        <w:wordWrap/>
        <w:overflowPunct/>
        <w:topLinePunct w:val="0"/>
        <w:autoSpaceDE w:val="0"/>
        <w:autoSpaceDN w:val="0"/>
        <w:bidi w:val="0"/>
        <w:spacing w:after="0"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本项目的使用者付费收入主要来源于项目公司为乘客提供安全、便捷、经济、可靠的客运服务获得销售收入（使用者付费），经营期内的使用者付费由经营者提供的客运服务取得。收费定价需要经过有关部门审核。</w:t>
      </w:r>
    </w:p>
    <w:p w14:paraId="54779E95">
      <w:pPr>
        <w:pStyle w:val="2"/>
        <w:keepNext w:val="0"/>
        <w:keepLines w:val="0"/>
        <w:pageBreakBefore w:val="0"/>
        <w:widowControl/>
        <w:kinsoku/>
        <w:wordWrap/>
        <w:overflowPunct/>
        <w:topLinePunct w:val="0"/>
        <w:autoSpaceDE w:val="0"/>
        <w:autoSpaceDN w:val="0"/>
        <w:bidi w:val="0"/>
        <w:spacing w:after="0"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（2）政府运营补贴 </w:t>
      </w:r>
    </w:p>
    <w:p w14:paraId="2C555A78">
      <w:pPr>
        <w:pStyle w:val="2"/>
        <w:keepNext w:val="0"/>
        <w:keepLines w:val="0"/>
        <w:pageBreakBefore w:val="0"/>
        <w:widowControl/>
        <w:kinsoku/>
        <w:wordWrap/>
        <w:overflowPunct/>
        <w:topLinePunct w:val="0"/>
        <w:autoSpaceDE w:val="0"/>
        <w:autoSpaceDN w:val="0"/>
        <w:bidi w:val="0"/>
        <w:spacing w:after="0"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项目正式运营期以签订的</w:t>
      </w:r>
      <w:r>
        <w:rPr>
          <w:rFonts w:hint="eastAsia" w:ascii="宋体" w:hAnsi="宋体" w:eastAsia="宋体" w:cs="宋体"/>
          <w:color w:val="auto"/>
          <w:sz w:val="24"/>
          <w:szCs w:val="24"/>
          <w:highlight w:val="none"/>
          <w:lang w:eastAsia="zh-CN"/>
        </w:rPr>
        <w:t>经营</w:t>
      </w:r>
      <w:r>
        <w:rPr>
          <w:rFonts w:hint="eastAsia" w:ascii="宋体" w:hAnsi="宋体" w:eastAsia="宋体" w:cs="宋体"/>
          <w:color w:val="auto"/>
          <w:sz w:val="24"/>
          <w:szCs w:val="24"/>
          <w:highlight w:val="none"/>
        </w:rPr>
        <w:t>协议中规定的日期开始至项目合作期满。项目进入运营期后，</w:t>
      </w:r>
      <w:r>
        <w:rPr>
          <w:rFonts w:hint="eastAsia" w:ascii="宋体" w:hAnsi="宋体" w:eastAsia="宋体" w:cs="宋体"/>
          <w:color w:val="auto"/>
          <w:sz w:val="24"/>
          <w:szCs w:val="24"/>
          <w:highlight w:val="none"/>
          <w:lang w:val="en-US" w:eastAsia="zh-CN"/>
        </w:rPr>
        <w:t>采购人</w:t>
      </w:r>
      <w:r>
        <w:rPr>
          <w:rFonts w:hint="eastAsia" w:ascii="宋体" w:hAnsi="宋体" w:eastAsia="宋体" w:cs="宋体"/>
          <w:color w:val="auto"/>
          <w:sz w:val="24"/>
          <w:szCs w:val="24"/>
          <w:highlight w:val="none"/>
        </w:rPr>
        <w:t>按照</w:t>
      </w:r>
      <w:r>
        <w:rPr>
          <w:rFonts w:hint="eastAsia" w:ascii="宋体" w:hAnsi="宋体" w:eastAsia="宋体" w:cs="宋体"/>
          <w:color w:val="auto"/>
          <w:sz w:val="24"/>
          <w:szCs w:val="24"/>
          <w:highlight w:val="none"/>
          <w:lang w:eastAsia="zh-CN"/>
        </w:rPr>
        <w:t>经营</w:t>
      </w:r>
      <w:r>
        <w:rPr>
          <w:rFonts w:hint="eastAsia" w:ascii="宋体" w:hAnsi="宋体" w:eastAsia="宋体" w:cs="宋体"/>
          <w:color w:val="auto"/>
          <w:sz w:val="24"/>
          <w:szCs w:val="24"/>
          <w:highlight w:val="none"/>
        </w:rPr>
        <w:t xml:space="preserve">协议规定的考核方式和考核结果支付项目当年度的运营补贴，支付频率为按季度平均拨付，支付时间为每季度运营期满后1个月内支付。当期的运营补贴计算公式： </w:t>
      </w:r>
    </w:p>
    <w:p w14:paraId="2C4016D5">
      <w:pPr>
        <w:pStyle w:val="2"/>
        <w:keepNext w:val="0"/>
        <w:keepLines w:val="0"/>
        <w:pageBreakBefore w:val="0"/>
        <w:widowControl/>
        <w:kinsoku/>
        <w:wordWrap/>
        <w:overflowPunct/>
        <w:topLinePunct w:val="0"/>
        <w:autoSpaceDE w:val="0"/>
        <w:autoSpaceDN w:val="0"/>
        <w:bidi w:val="0"/>
        <w:spacing w:after="0"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当期应付的运营补贴金额=（</w:t>
      </w:r>
      <w:r>
        <w:rPr>
          <w:rFonts w:hint="eastAsia" w:ascii="宋体" w:hAnsi="宋体" w:eastAsia="宋体" w:cs="宋体"/>
          <w:color w:val="auto"/>
          <w:sz w:val="24"/>
          <w:szCs w:val="24"/>
          <w:highlight w:val="none"/>
          <w:lang w:eastAsia="zh-CN"/>
        </w:rPr>
        <w:t>运营补贴金额*80</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运营补贴金额*20</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当期绩效考核系数</w:t>
      </w:r>
      <w:r>
        <w:rPr>
          <w:rFonts w:hint="eastAsia" w:ascii="宋体" w:hAnsi="宋体" w:eastAsia="宋体" w:cs="宋体"/>
          <w:color w:val="auto"/>
          <w:sz w:val="24"/>
          <w:szCs w:val="24"/>
          <w:highlight w:val="none"/>
        </w:rPr>
        <w:t xml:space="preserve">。 </w:t>
      </w:r>
    </w:p>
    <w:p w14:paraId="1FC1AE76">
      <w:pPr>
        <w:pStyle w:val="2"/>
        <w:keepNext w:val="0"/>
        <w:keepLines w:val="0"/>
        <w:pageBreakBefore w:val="0"/>
        <w:widowControl/>
        <w:kinsoku/>
        <w:wordWrap/>
        <w:overflowPunct/>
        <w:topLinePunct w:val="0"/>
        <w:autoSpaceDE w:val="0"/>
        <w:autoSpaceDN w:val="0"/>
        <w:bidi w:val="0"/>
        <w:spacing w:after="0"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运营补贴金额=（中标价×6）÷</w:t>
      </w:r>
      <w:r>
        <w:rPr>
          <w:rFonts w:hint="eastAsia" w:ascii="宋体" w:hAnsi="宋体" w:eastAsia="宋体" w:cs="宋体"/>
          <w:color w:val="auto"/>
          <w:sz w:val="24"/>
          <w:szCs w:val="24"/>
          <w:highlight w:val="none"/>
          <w:lang w:val="en-US" w:eastAsia="zh-CN"/>
        </w:rPr>
        <w:t>24</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 xml:space="preserve">年×4个季度） </w:t>
      </w:r>
    </w:p>
    <w:p w14:paraId="42C161D3">
      <w:pPr>
        <w:pStyle w:val="2"/>
        <w:keepNext w:val="0"/>
        <w:keepLines w:val="0"/>
        <w:pageBreakBefore w:val="0"/>
        <w:widowControl/>
        <w:kinsoku/>
        <w:wordWrap/>
        <w:overflowPunct/>
        <w:topLinePunct w:val="0"/>
        <w:autoSpaceDE w:val="0"/>
        <w:autoSpaceDN w:val="0"/>
        <w:bidi w:val="0"/>
        <w:spacing w:after="0"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项目公司应在每个运营季度结束后的5个工作日内按照结算运营补贴金额向实施机构开具账单或付款通知，实施机构在收到账单后5个工作日内支付无争议的运营补贴。如实施机构对账单有争议，应在收到付款通知后2个工作日内通知项目公司，项目公司、实施机构双方就争议部分进行协商，也可提请有资质的第三方进行确定。如双方对争议部分达成一致或者对第三方结果无异议，则实施机构应依照第三方结果支付运营补贴。 </w:t>
      </w:r>
    </w:p>
    <w:p w14:paraId="1DA1C8A8">
      <w:pPr>
        <w:pStyle w:val="2"/>
        <w:keepNext w:val="0"/>
        <w:keepLines w:val="0"/>
        <w:pageBreakBefore w:val="0"/>
        <w:widowControl/>
        <w:kinsoku/>
        <w:wordWrap/>
        <w:overflowPunct/>
        <w:topLinePunct w:val="0"/>
        <w:autoSpaceDE w:val="0"/>
        <w:autoSpaceDN w:val="0"/>
        <w:bidi w:val="0"/>
        <w:spacing w:after="0"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针对任何逾期未付款项，应从到期应付之日起至付款方实际付款之日累计时间超过90天，实施机构从第91天起每日按逾期运营补贴金额按一年期贷款市场报价利率支付违约金。</w:t>
      </w:r>
    </w:p>
    <w:p w14:paraId="6F5C0E4C">
      <w:pPr>
        <w:keepNext w:val="0"/>
        <w:keepLines w:val="0"/>
        <w:pageBreakBefore w:val="0"/>
        <w:widowControl/>
        <w:kinsoku/>
        <w:wordWrap/>
        <w:overflowPunct/>
        <w:topLinePunct w:val="0"/>
        <w:autoSpaceDE w:val="0"/>
        <w:autoSpaceDN w:val="0"/>
        <w:bidi w:val="0"/>
        <w:adjustRightInd w:val="0"/>
        <w:snapToGrid w:val="0"/>
        <w:spacing w:line="480" w:lineRule="exact"/>
        <w:jc w:val="left"/>
        <w:textAlignment w:val="baseline"/>
        <w:outlineLvl w:val="2"/>
        <w:rPr>
          <w:rFonts w:hint="eastAsia" w:ascii="宋体" w:hAnsi="宋体" w:eastAsia="宋体" w:cs="宋体"/>
          <w:color w:val="auto"/>
          <w:sz w:val="24"/>
          <w:szCs w:val="24"/>
          <w:highlight w:val="none"/>
        </w:rPr>
      </w:pPr>
      <w:r>
        <w:rPr>
          <w:rFonts w:hint="eastAsia" w:ascii="宋体" w:hAnsi="宋体" w:eastAsia="宋体" w:cs="宋体"/>
          <w:b/>
          <w:color w:val="auto"/>
          <w:sz w:val="24"/>
          <w:szCs w:val="24"/>
          <w:highlight w:val="none"/>
        </w:rPr>
        <w:t>注：以上商务条款投标人必须完全响应</w:t>
      </w:r>
      <w:bookmarkStart w:id="2" w:name="_GoBack"/>
      <w:bookmarkEnd w:id="2"/>
      <w:r>
        <w:rPr>
          <w:rFonts w:hint="eastAsia" w:ascii="宋体" w:hAnsi="宋体" w:eastAsia="宋体" w:cs="宋体"/>
          <w:b/>
          <w:color w:val="auto"/>
          <w:sz w:val="24"/>
          <w:szCs w:val="24"/>
          <w:highlight w:val="none"/>
        </w:rPr>
        <w:t>，否则作无效标处理</w:t>
      </w:r>
      <w:r>
        <w:rPr>
          <w:rFonts w:hint="eastAsia" w:ascii="宋体" w:hAnsi="宋体" w:eastAsia="宋体" w:cs="宋体"/>
          <w:color w:val="auto"/>
          <w:sz w:val="24"/>
          <w:szCs w:val="24"/>
          <w:highlight w:val="none"/>
        </w:rPr>
        <w:t xml:space="preserve"> </w:t>
      </w:r>
    </w:p>
    <w:p w14:paraId="52749C38">
      <w:pPr>
        <w:pStyle w:val="3"/>
        <w:keepNext w:val="0"/>
        <w:keepLines w:val="0"/>
        <w:pageBreakBefore w:val="0"/>
        <w:kinsoku/>
        <w:wordWrap/>
        <w:overflowPunct/>
        <w:topLinePunct w:val="0"/>
        <w:bidi w:val="0"/>
        <w:spacing w:line="480" w:lineRule="exact"/>
        <w:ind w:firstLine="482" w:firstLineChars="200"/>
        <w:rPr>
          <w:rFonts w:hint="eastAsia" w:ascii="宋体" w:hAnsi="宋体" w:eastAsia="宋体" w:cs="宋体"/>
          <w:color w:val="auto"/>
          <w:sz w:val="24"/>
          <w:szCs w:val="24"/>
          <w:highlight w:val="none"/>
        </w:rPr>
        <w:sectPr>
          <w:footerReference r:id="rId4" w:type="default"/>
          <w:pgSz w:w="11906" w:h="16838"/>
          <w:pgMar w:top="1440" w:right="1800" w:bottom="1440" w:left="1800" w:header="851" w:footer="992" w:gutter="0"/>
          <w:cols w:space="720" w:num="1"/>
          <w:docGrid w:type="lines" w:linePitch="312" w:charSpace="0"/>
        </w:sectPr>
      </w:pPr>
    </w:p>
    <w:p w14:paraId="55D1C5C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AFF" w:usb1="C0007841"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5"/>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5"/>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5"/>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2A64B">
    <w:pPr>
      <w:pStyle w:val="5"/>
      <w:framePr w:wrap="around" w:vAnchor="text" w:hAnchor="margin" w:xAlign="center" w:y="1"/>
      <w:rPr>
        <w:rStyle w:val="8"/>
      </w:rPr>
    </w:pPr>
    <w:r>
      <w:fldChar w:fldCharType="begin"/>
    </w:r>
    <w:r>
      <w:rPr>
        <w:rStyle w:val="8"/>
      </w:rPr>
      <w:instrText xml:space="preserve">PAGE  </w:instrText>
    </w:r>
    <w:r>
      <w:fldChar w:fldCharType="separate"/>
    </w:r>
    <w:r>
      <w:rPr>
        <w:rStyle w:val="8"/>
      </w:rPr>
      <w:t>52</w:t>
    </w:r>
    <w:r>
      <w:fldChar w:fldCharType="end"/>
    </w:r>
  </w:p>
  <w:p w14:paraId="61DDAE2B">
    <w:pPr>
      <w:pStyle w:val="5"/>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13BEA4"/>
    <w:multiLevelType w:val="multilevel"/>
    <w:tmpl w:val="EF13BEA4"/>
    <w:lvl w:ilvl="0" w:tentative="0">
      <w:start w:val="1"/>
      <w:numFmt w:val="decimal"/>
      <w:lvlText w:val="%1."/>
      <w:lvlJc w:val="left"/>
      <w:pPr>
        <w:ind w:left="2983" w:hanging="432"/>
      </w:pPr>
      <w:rPr>
        <w:rFonts w:hint="default"/>
      </w:rPr>
    </w:lvl>
    <w:lvl w:ilvl="1" w:tentative="0">
      <w:start w:val="1"/>
      <w:numFmt w:val="decimal"/>
      <w:pStyle w:val="4"/>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13254A"/>
    <w:rsid w:val="11A65C69"/>
    <w:rsid w:val="2513254A"/>
    <w:rsid w:val="53D774B6"/>
    <w:rsid w:val="62DF45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spacing w:before="340" w:after="330" w:line="576" w:lineRule="auto"/>
      <w:jc w:val="center"/>
      <w:outlineLvl w:val="0"/>
    </w:pPr>
    <w:rPr>
      <w:rFonts w:ascii="Times New Roman" w:hAnsi="Times New Roman" w:eastAsia="宋体" w:cs="Times New Roman"/>
      <w:b/>
      <w:kern w:val="44"/>
      <w:sz w:val="44"/>
    </w:rPr>
  </w:style>
  <w:style w:type="paragraph" w:styleId="4">
    <w:name w:val="heading 2"/>
    <w:basedOn w:val="1"/>
    <w:next w:val="1"/>
    <w:semiHidden/>
    <w:unhideWhenUsed/>
    <w:qFormat/>
    <w:uiPriority w:val="0"/>
    <w:pPr>
      <w:numPr>
        <w:ilvl w:val="1"/>
        <w:numId w:val="1"/>
      </w:numPr>
      <w:spacing w:line="360" w:lineRule="auto"/>
      <w:ind w:left="0" w:firstLine="0"/>
      <w:jc w:val="center"/>
      <w:outlineLvl w:val="1"/>
    </w:pPr>
    <w:rPr>
      <w:rFonts w:ascii="Times New Roman" w:hAnsi="Times New Roman" w:eastAsia="宋体" w:cs="Times New Roman"/>
      <w:b/>
      <w:bCs/>
      <w:sz w:val="30"/>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semiHidden/>
    <w:qFormat/>
    <w:uiPriority w:val="0"/>
    <w:rPr>
      <w:rFonts w:ascii="仿宋" w:hAnsi="仿宋" w:eastAsia="仿宋" w:cs="仿宋"/>
      <w:sz w:val="30"/>
      <w:szCs w:val="30"/>
    </w:rPr>
  </w:style>
  <w:style w:type="paragraph" w:styleId="5">
    <w:name w:val="footer"/>
    <w:basedOn w:val="1"/>
    <w:qFormat/>
    <w:uiPriority w:val="0"/>
    <w:pPr>
      <w:tabs>
        <w:tab w:val="center" w:pos="4153"/>
        <w:tab w:val="right" w:pos="8306"/>
      </w:tabs>
    </w:pPr>
    <w:rPr>
      <w:sz w:val="18"/>
    </w:rPr>
  </w:style>
  <w:style w:type="character" w:styleId="8">
    <w:name w:val="page number"/>
    <w:qFormat/>
    <w:uiPriority w:val="0"/>
  </w:style>
  <w:style w:type="table" w:customStyle="1" w:styleId="9">
    <w:name w:val="Table Normal"/>
    <w:semiHidden/>
    <w:unhideWhenUsed/>
    <w:qFormat/>
    <w:uiPriority w:val="0"/>
    <w:tblPr>
      <w:tblCellMar>
        <w:top w:w="0" w:type="dxa"/>
        <w:left w:w="0" w:type="dxa"/>
        <w:bottom w:w="0" w:type="dxa"/>
        <w:right w:w="0" w:type="dxa"/>
      </w:tblCellMar>
    </w:tblPr>
  </w:style>
  <w:style w:type="paragraph" w:customStyle="1" w:styleId="10">
    <w:name w:val="Table Text"/>
    <w:basedOn w:val="1"/>
    <w:semiHidden/>
    <w:qFormat/>
    <w:uiPriority w:val="0"/>
  </w:style>
  <w:style w:type="paragraph" w:customStyle="1" w:styleId="11">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2026-05-25T10:12:00Z</dcterms:created>
  <dc:creator>刘文</dc:creator>
  <cp:lastModifiedBy>刘文</cp:lastModifiedBy>
  <dcterms:modified xsi:type="dcterms:W3CDTF">2026-05-25T10:13:23Z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A7CFC7DA586E4F15944025DC254DDD1F_11</vt:lpwstr>
  </property>
  <property fmtid="{D5CDD505-2E9C-101B-9397-08002B2CF9AE}" pid="4" name="KSOTemplateDocerSaveRecord">
    <vt:lpwstr>eyJoZGlkIjoiZDM1ODY4MzAxOTllYTUxNTEwNWIyY2I0ODYyNmU2OWUiLCJ1c2VySWQiOiIxMjE1Nzk2ODI4In0=</vt:lpwstr>
  </property>
</Properties>
</file>