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4E3C29">
      <w:pPr>
        <w:spacing w:line="360" w:lineRule="auto"/>
        <w:jc w:val="center"/>
        <w:rPr>
          <w:rFonts w:asciiTheme="minorEastAsia" w:hAnsiTheme="minorEastAsia" w:eastAsia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8"/>
          <w:szCs w:val="28"/>
          <w:lang w:eastAsia="zh-CN"/>
        </w:rPr>
        <w:t>技术需求</w:t>
      </w:r>
    </w:p>
    <w:p w14:paraId="11653EFA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1、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采购标的需实现的功能或者目标</w:t>
      </w:r>
    </w:p>
    <w:p w14:paraId="1FF4D265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1.1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采购标的需实现的功能</w:t>
      </w:r>
    </w:p>
    <w:p w14:paraId="5B939569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落实学院学科建设规划，优化科研平台布局，补齐高端精密检测设备短板，强化科研、教学、人才培养与产业服务的协同联动，助力航空、陶瓷领域关键零部件检测技术升级，更好支撑科研教学与产业服务高质量发展。</w:t>
      </w:r>
    </w:p>
    <w:p w14:paraId="3D6E140A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 xml:space="preserve">1.2 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采购标的需实现的目标</w:t>
      </w:r>
    </w:p>
    <w:p w14:paraId="633F6DAD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契合学科建设规划，完善科研平台布局，筑牢学科发展根基；支撑人才培养提质，助力硕博士点申报，夯实学科人才储备；推动科研创新突破，提升科研产出质量，增强项目申报竞争力；赋能区域产业升级，强化社会服务能力，彰显学科特色优势。</w:t>
      </w:r>
    </w:p>
    <w:p w14:paraId="55F354C8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2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、</w:t>
      </w:r>
      <w:bookmarkStart w:id="0" w:name="OLE_LINK8"/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采购标的需执行的国家相关标准、行业标准、地方标准或者其他标准、规范</w:t>
      </w:r>
      <w:bookmarkEnd w:id="0"/>
    </w:p>
    <w:p w14:paraId="6A188404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bookmarkStart w:id="1" w:name="OLE_LINK9"/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投标人应提供符合技术要求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、</w:t>
      </w:r>
      <w:r>
        <w:rPr>
          <w:rFonts w:ascii="宋体" w:hAnsi="宋体" w:eastAsia="宋体" w:cs="Times New Roman"/>
          <w:sz w:val="24"/>
          <w:szCs w:val="24"/>
          <w:lang w:eastAsia="zh-CN"/>
        </w:rPr>
        <w:t>国家标准、行业规范和合同等相关文件要求</w:t>
      </w: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的优质产品。</w:t>
      </w:r>
    </w:p>
    <w:bookmarkEnd w:id="1"/>
    <w:p w14:paraId="29B18147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3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、采购标的需满足的性能、材料、结构、外观、质量、安全、技术规格、物理特性等要求</w:t>
      </w:r>
    </w:p>
    <w:p w14:paraId="1054DB51">
      <w:pPr>
        <w:spacing w:line="360" w:lineRule="auto"/>
        <w:rPr>
          <w:rFonts w:asciiTheme="minorEastAsia" w:hAnsiTheme="minorEastAsia"/>
          <w:b/>
          <w:sz w:val="24"/>
          <w:lang w:eastAsia="zh-CN"/>
        </w:rPr>
      </w:pPr>
      <w:r>
        <w:rPr>
          <w:rFonts w:hint="eastAsia" w:asciiTheme="minorEastAsia" w:hAnsiTheme="minorEastAsia"/>
          <w:b/>
          <w:sz w:val="24"/>
          <w:lang w:eastAsia="zh-CN"/>
        </w:rPr>
        <w:t>序号1：</w:t>
      </w:r>
      <w:r>
        <w:rPr>
          <w:rFonts w:hint="eastAsia" w:asciiTheme="minorEastAsia" w:hAnsiTheme="minorEastAsia"/>
          <w:b/>
          <w:sz w:val="24"/>
          <w:u w:val="single"/>
          <w:lang w:eastAsia="zh-CN"/>
        </w:rPr>
        <w:t>磁控溅射机</w:t>
      </w:r>
    </w:p>
    <w:p w14:paraId="63821DE9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具体参数如下：</w:t>
      </w:r>
    </w:p>
    <w:p w14:paraId="056A4C14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1、设备主机规格</w:t>
      </w:r>
    </w:p>
    <w:p w14:paraId="1242F4FB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1) 反应腔有效工作直径≥8英寸(约200mm)，兼容8英寸及以下多种尺寸样品的装载与处理;投标人需提供适配不同尺寸样品的夹具、托盘或载具方案。</w:t>
      </w:r>
    </w:p>
    <w:p w14:paraId="2FEC3DA2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2) 设备本底真空&lt;1 Pa，设备漏率≤ 5×10⁻⁶ Pa·L/s;</w:t>
      </w:r>
    </w:p>
    <w:p w14:paraId="5D5E52E0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3) 控制方式：PLC+触摸屏，控制系统应具备数据存储、工艺配方保存及故障自诊断功能，触摸屏界面支持中文操作。</w:t>
      </w:r>
    </w:p>
    <w:p w14:paraId="0C45E513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4)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具备快速抽气及工艺启动功能，能缩短样品进出舱及抽真空时间，提高实验效率；具备样品原位预处理功能（如离子轰击清洗、高温退火等），以确保薄膜与基底结合力。支持多源共沉积功能，可通过独立调节各源沉积速率，实现薄膜成分的连续可调及多元掺杂制备。</w:t>
      </w:r>
    </w:p>
    <w:p w14:paraId="25528EAA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</w:p>
    <w:p w14:paraId="51396879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2、反应腔系统:</w:t>
      </w:r>
    </w:p>
    <w:p w14:paraId="41657EE0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1) </w:t>
      </w:r>
      <w:r>
        <w:rPr>
          <w:rFonts w:hint="eastAsia" w:ascii="宋体" w:hAnsi="宋体" w:eastAsia="宋体" w:cs="宋体"/>
          <w:sz w:val="24"/>
          <w:szCs w:val="24"/>
          <w:shd w:val="clear" w:color="auto" w:fill="F8F8F8"/>
          <w:lang w:eastAsia="zh-CN"/>
        </w:rPr>
        <w:t>反应腔主体及底座材质应为优质 316L 不锈钢；底座应采用整体锻造或整块材料机械加工而成，以确保结构强度和真空稳定性；腔体内表面需经过精细抛光及电解抛光处理，表面粗糙度 Ra≤0.4</w:t>
      </w:r>
      <w:r>
        <w:rPr>
          <w:rFonts w:hint="eastAsia" w:ascii="宋体" w:hAnsi="宋体" w:eastAsia="宋体" w:cs="宋体"/>
          <w:sz w:val="24"/>
          <w:szCs w:val="24"/>
          <w:shd w:val="clear" w:color="auto" w:fill="F8F8F8"/>
        </w:rPr>
        <w:t>μ</w:t>
      </w:r>
      <w:r>
        <w:rPr>
          <w:rFonts w:hint="eastAsia" w:ascii="宋体" w:hAnsi="宋体" w:eastAsia="宋体" w:cs="宋体"/>
          <w:sz w:val="24"/>
          <w:szCs w:val="24"/>
          <w:shd w:val="clear" w:color="auto" w:fill="F8F8F8"/>
          <w:lang w:eastAsia="zh-CN"/>
        </w:rPr>
        <w:t>m（或同等标准），以减少颗粒产生并提高耐腐蚀性。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;</w:t>
      </w:r>
    </w:p>
    <w:p w14:paraId="688C7E8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2) 密封方式：</w:t>
      </w:r>
      <w:r>
        <w:rPr>
          <w:rFonts w:hint="eastAsia" w:ascii="宋体" w:hAnsi="宋体" w:eastAsia="宋体" w:cs="宋体"/>
          <w:sz w:val="24"/>
          <w:szCs w:val="24"/>
          <w:shd w:val="clear" w:color="auto" w:fill="F8F8F8"/>
          <w:lang w:eastAsia="zh-CN"/>
        </w:rPr>
        <w:t>密封方式：应采用成熟可靠的真空密封结构（如法兰密封、卡箍密封或其他等效结构），确保在极限真空及高温工况下无泄漏；密封圈材质应为全氟醚橡胶（FFKM）或同等耐腐蚀、耐高温材料，以适应反应气体环境。</w:t>
      </w:r>
    </w:p>
    <w:p w14:paraId="353F766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3) 样品台尺寸：</w:t>
      </w:r>
      <w:r>
        <w:rPr>
          <w:rFonts w:hint="eastAsia" w:ascii="宋体" w:hAnsi="宋体" w:eastAsia="宋体" w:cs="宋体"/>
          <w:sz w:val="24"/>
          <w:szCs w:val="24"/>
          <w:shd w:val="clear" w:color="auto" w:fill="F8F8F8"/>
          <w:lang w:eastAsia="zh-CN"/>
        </w:rPr>
        <w:t>样品台有效加热区域直径≥200mm（8 英寸），并能兼容更小尺寸样品的固定与加热（需提供相应夹具方案）。</w:t>
      </w:r>
    </w:p>
    <w:p w14:paraId="22025C84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4) </w:t>
      </w:r>
      <w:r>
        <w:rPr>
          <w:rFonts w:hint="eastAsia" w:ascii="宋体" w:hAnsi="宋体" w:eastAsia="宋体" w:cs="宋体"/>
          <w:sz w:val="24"/>
          <w:szCs w:val="24"/>
          <w:shd w:val="clear" w:color="auto" w:fill="F8F8F8"/>
          <w:lang w:eastAsia="zh-CN"/>
        </w:rPr>
        <w:t>样品台最高加热温度≥400°C；采用高精度 PID 闭环控制方式，控温精度≤±1°C，温度均匀性≤±2°C。</w:t>
      </w:r>
    </w:p>
    <w:p w14:paraId="2022BE91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5) 反应腔应具备全自动安全保护系统，包括：超压自动报警并切断气源、紧急情况下自动充入保护气体（如 N</w:t>
      </w:r>
      <w:r>
        <w:rPr>
          <w:rFonts w:hint="eastAsia" w:ascii="宋体" w:hAnsi="宋体" w:eastAsia="宋体" w:cs="宋体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）至常压的功能；压力传感器精度应满足工艺监控需求。</w:t>
      </w:r>
    </w:p>
    <w:p w14:paraId="0EBAE651">
      <w:pPr>
        <w:rPr>
          <w:rFonts w:ascii="宋体" w:hAnsi="宋体" w:eastAsia="宋体" w:cs="宋体"/>
          <w:sz w:val="24"/>
          <w:szCs w:val="24"/>
          <w:lang w:eastAsia="zh-CN"/>
        </w:rPr>
      </w:pPr>
    </w:p>
    <w:p w14:paraId="4103DBB0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3、前驱体源输送系统</w:t>
      </w:r>
    </w:p>
    <w:p w14:paraId="0DC141FE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1) 配备不少于5 路金属前驱体源输送管路。管路配置应灵活，至少包含1 路常温源接口和 3 路独立控温的加热源接口，并预留至少 1 路备用接口（可用作常温或加热）。投标人需提供管路布局图及切换逻辑说明。</w:t>
      </w:r>
    </w:p>
    <w:p w14:paraId="1B59CA33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2) 前驱体输送管路加热温度范围RT-200°C，控制精度±1°C;</w:t>
      </w:r>
    </w:p>
    <w:p w14:paraId="76812E25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3) 常温源:配备专用阀门、源手动阀、等效容量的标准源瓶;</w:t>
      </w:r>
    </w:p>
    <w:p w14:paraId="660CFA9B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4) 加热源:配备专用阀门、源手动阀、或等效容量的标准源瓶，源瓶温度范围RT-200°C;</w:t>
      </w:r>
    </w:p>
    <w:p w14:paraId="26846DAB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5) 管路及接头均采用316 EP级电解抛光不锈钢材料，所有气体管路连接处采用金属面密封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（如 VCR）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;载气管路采用N2或者Ar气体，通过MFPC控制；配备PLC控制惰性气体自清洗系统，在控制界面中可以设置自动清洗的次数。</w:t>
      </w:r>
    </w:p>
    <w:p w14:paraId="1BFC12AE">
      <w:pPr>
        <w:spacing w:beforeLines="20" w:line="360" w:lineRule="auto"/>
        <w:ind w:firstLine="480" w:firstLineChars="200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6) 系统中所有阀门以及真空阀配备电磁阀，电磁阀响应时间≤100 ms，带过电压保护回路，带动作指示灯。</w:t>
      </w:r>
    </w:p>
    <w:p w14:paraId="32787C64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4、真空系统:</w:t>
      </w:r>
    </w:p>
    <w:p w14:paraId="4D4786D9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1) 真空泵采用双级油封式真空泵，抽速不低于14m3/h;</w:t>
      </w:r>
    </w:p>
    <w:p w14:paraId="7F09C8B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2) 真空测量:压力传感器，检测范围:1*10</w:t>
      </w:r>
      <w:r>
        <w:rPr>
          <w:rFonts w:hint="eastAsia" w:ascii="宋体" w:hAnsi="宋体" w:eastAsia="宋体" w:cs="宋体"/>
          <w:sz w:val="24"/>
          <w:szCs w:val="24"/>
          <w:vertAlign w:val="superscript"/>
          <w:lang w:eastAsia="zh-CN"/>
        </w:rPr>
        <w:t>-4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-1*105 Pa;</w:t>
      </w:r>
    </w:p>
    <w:p w14:paraId="0EEF8BB4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3) 真空抽气管道可以烘烤至150°C，且真空泵前级配置热阱，温度范围RT-2500°C，控制精度±2°C;</w:t>
      </w:r>
    </w:p>
    <w:p w14:paraId="2410DD30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5、控制系统</w:t>
      </w:r>
    </w:p>
    <w:p w14:paraId="663FFF1F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1) 控制系统应采用‘高性能 PLC+ 工业级触摸屏’的架构，。触摸屏尺寸≥15 英寸，分辨率不低于 1920×1080，并具备防尘、防腐蚀特性，适应实验室环境。;</w:t>
      </w:r>
    </w:p>
    <w:p w14:paraId="7380955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2) PLC采用工业以太网控制方式，支持灵活扩展DeviceNet、CANopen、PROFIBUS DP等通信方式;</w:t>
      </w:r>
    </w:p>
    <w:p w14:paraId="1896E15F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3) 系统可实现配方编辑、保存、读取等功能，阀门及管路具备自动排空和清洗功能，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阀门切换及管路清洗流程由系统自动控制，单步动作切换延迟≤ 100 ms</w:t>
      </w:r>
    </w:p>
    <w:p w14:paraId="4A8C820A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4) 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系统应具备可视化的工艺参数设置界面，支持用户自定义前驱体名称、属性及工艺步骤参数</w:t>
      </w:r>
    </w:p>
    <w:p w14:paraId="4D5846BA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5) 系统可实时监测动力气体压力值、系统压力值、加热状态、阀门开关状态和镀膜进度，当发生异常时触发报警并做出响应，报警日志可进行回看;</w:t>
      </w:r>
    </w:p>
    <w:p w14:paraId="7AEC2C84">
      <w:pPr>
        <w:numPr>
          <w:ilvl w:val="0"/>
          <w:numId w:val="1"/>
        </w:num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验收指标:厂家须提供氧化铝薄膜的标准工艺配方，前驱体为三甲基铝+水。按以下内容进行现场制备与验收：薄膜均匀性:在8英寸晶圆上沉积300cycle氧化铝，以晶圆上5个均匀分散点(上、下、左、右、中心5点）进行椭偏仪测试膜厚，8英寸晶圆上薄膜不均匀性≤2%。</w:t>
      </w:r>
    </w:p>
    <w:p w14:paraId="2D8EDA97">
      <w:pPr>
        <w:spacing w:line="360" w:lineRule="auto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序号2：</w:t>
      </w:r>
      <w:r>
        <w:rPr>
          <w:rFonts w:hint="eastAsia" w:ascii="宋体" w:hAnsi="宋体" w:eastAsia="宋体" w:cs="宋体"/>
          <w:b/>
          <w:sz w:val="24"/>
          <w:szCs w:val="24"/>
          <w:u w:val="single"/>
          <w:lang w:eastAsia="zh-CN"/>
        </w:rPr>
        <w:t>微纳光电传感器件微区量子效率测试系统</w:t>
      </w:r>
    </w:p>
    <w:p w14:paraId="7DD90C9C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详细参数如下：</w:t>
      </w:r>
    </w:p>
    <w:p w14:paraId="292C9608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1.采集模式：配备光电倍增管，含电制冷模块和高压电路模块，具有极高的光子探测灵敏度，在激发波长 350nm，狭缝宽度 5nm，积分时间 1s 条件下，水拉曼信噪比≥8000:1；含系统光谱校正功能；可探测波长范围大于200nm-1200nm，搭配发射光谱仪，可兼容发射光谱采集和量子寿命测量；</w:t>
      </w:r>
    </w:p>
    <w:p w14:paraId="2953CF8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2.扩展功能：显微光谱，多路外置激光器耦合，荧光mapping，FLIM功能</w:t>
      </w:r>
    </w:p>
    <w:p w14:paraId="6D32CC8F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3.75W氙灯光源，光谱范围：250-2000nm，椭球灯杯，光斑尺寸可根据样品调节，最大覆盖面积≥4*4 cm，光强不均匀度≤5%，符合AM1.5标准；</w:t>
      </w:r>
    </w:p>
    <w:p w14:paraId="63C22708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4.激发光谱仪：320mm 焦距影像校正单色仪，光谱范围，200-1100nm，双入口，双出口，配置二块光栅（1200g/mm@300nm闪耀，200-600nm，600g/mm@500nm闪耀，330-1000nm），覆盖范围：200-1000nm；</w:t>
      </w:r>
    </w:p>
    <w:p w14:paraId="28845457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5.多功能宏光路样品室,透镜聚焦光路,标配比色皿样品架，粉末、薄膜平移-旋转样品架；</w:t>
      </w:r>
    </w:p>
    <w:p w14:paraId="1723676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6.荧光发射光谱仪。C-T式结构。光谱仪焦距≥300mm，具备多端口扩展能力（支持双入口或可通过切换模块实现多路输入输出），配置不少于 3 块自动切换光栅，覆盖范围需涵盖 200-2500nm。三块光栅配置如下：1200g/mm@500nm闪耀，200-1000nm；600g/mm@750nm闪耀，500-1500nm；300g/mm@1250nm闪耀，800-2500nm）</w:t>
      </w:r>
    </w:p>
    <w:p w14:paraId="0BFA9A18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7.数据采集器：时间相关单光子计数系统，分辨率兼容：16/32/64/128/256/512/1024 ps等时间窗口，死时间&lt;100 ns，计数率：100Mcps，通道数：≥65535，分辨率：16ps/128ps-1.024ns /2.048ns--33.55us 输入信号：±触发沿，高阻/50</w:t>
      </w:r>
      <w:r>
        <w:rPr>
          <w:rFonts w:hint="eastAsia" w:ascii="宋体" w:hAnsi="宋体" w:eastAsia="宋体" w:cs="宋体"/>
          <w:sz w:val="24"/>
          <w:szCs w:val="24"/>
        </w:rPr>
        <w:t>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，阈值±2V可调，兼容稳态瞬态测试，寿命拟合，保证最短拟合寿命≤500ps</w:t>
      </w:r>
    </w:p>
    <w:p w14:paraId="21CD0D3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8.制冷型光电倍增管，工作范围：185-1200nm，上升时间：≦2.2ns，暗计数：≦100CPS@-10℃，含高压稳压电源及制冷驱动器</w:t>
      </w:r>
    </w:p>
    <w:p w14:paraId="77A1D693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9.激光器外挂附件，用于各类激光器耦合进样品室；</w:t>
      </w:r>
    </w:p>
    <w:p w14:paraId="54FBEADF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10.皮秒脉冲激光器2套</w:t>
      </w:r>
    </w:p>
    <w:p w14:paraId="3EC795EB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10.1375nm 激光器：“波长375±5nm，脉宽≤50ps，峰值功率≥800mW"。；最大重频：50MHz。"。</w:t>
      </w:r>
    </w:p>
    <w:p w14:paraId="222092E4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10.2  510nm 激光器：“波长 510±10nm，脉宽≤100ps，峰值功率≥200mW；最大重频：50MHz。</w:t>
      </w:r>
    </w:p>
    <w:p w14:paraId="1D1E881B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11.数据采集软件：稳态测试功能：激发扫描，发射扫描，同步扫描，三维扫描；瞬态测试功能：动力学扫描，寿命扫描，时间分辨光谱扫描；数据处理功能：量子产率计算；TRES Slicing；光谱校正；温度控制扫描；支持导出通用数据格式，如 Excel (.xlsx/.csv), Text (.txt), Spe (.spe) 等，并提供 API 接口或脚本支持用户二次开发，支持实时通信等</w:t>
      </w:r>
    </w:p>
    <w:p w14:paraId="383995DD">
      <w:pPr>
        <w:spacing w:beforeLines="20" w:line="360" w:lineRule="auto"/>
        <w:rPr>
          <w:rFonts w:ascii="宋体" w:hAnsi="宋体" w:eastAsia="宋体" w:cs="宋体"/>
          <w:sz w:val="24"/>
          <w:szCs w:val="24"/>
          <w:lang w:eastAsia="zh-CN"/>
        </w:rPr>
      </w:pPr>
    </w:p>
    <w:p w14:paraId="122A4415">
      <w:pPr>
        <w:spacing w:line="360" w:lineRule="auto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序号3：</w:t>
      </w:r>
      <w:r>
        <w:rPr>
          <w:rFonts w:hint="eastAsia" w:ascii="宋体" w:hAnsi="宋体" w:eastAsia="宋体" w:cs="宋体"/>
          <w:b/>
          <w:sz w:val="24"/>
          <w:szCs w:val="24"/>
          <w:u w:val="single"/>
          <w:lang w:eastAsia="zh-CN"/>
        </w:rPr>
        <w:t>半导体器件参数分析仪</w:t>
      </w:r>
    </w:p>
    <w:p w14:paraId="1B1CB023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具体参数如下：</w:t>
      </w:r>
    </w:p>
    <w:p w14:paraId="03497965">
      <w:pPr>
        <w:numPr>
          <w:ilvl w:val="0"/>
          <w:numId w:val="2"/>
        </w:num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测量半导体材料的塞贝克系数和电阻率。系统通过镀金红外加热炉精确控制温度；再通过对样品加热生成一个最大50℃的温度梯度，可自动测量探针间产生的电动势，获得塞贝克系数；并可同时通过四探针法测量电阻率。</w:t>
      </w:r>
    </w:p>
    <w:p w14:paraId="2D8E84DF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2.主机主要参数</w:t>
      </w:r>
    </w:p>
    <w:p w14:paraId="2DE68B08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2.1塞贝克系数测量</w:t>
      </w:r>
    </w:p>
    <w:p w14:paraId="3E0AD12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1）塞贝克系数测量方法：静态直流方式</w:t>
      </w:r>
    </w:p>
    <w:p w14:paraId="5F4DD4C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2）塞贝克系数测量精度：≤±7%，（验收需至少测试标样在50℃和800℃环境温度下的测量精度）</w:t>
      </w:r>
    </w:p>
    <w:p w14:paraId="103EEC57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3）塞贝克系数测量范围（理论值）：1~3000</w:t>
      </w:r>
      <w:r>
        <w:rPr>
          <w:rFonts w:hint="eastAsia" w:ascii="宋体" w:hAnsi="宋体" w:eastAsia="宋体" w:cs="宋体"/>
          <w:sz w:val="24"/>
          <w:szCs w:val="24"/>
        </w:rPr>
        <w:t>μ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V/K</w:t>
      </w:r>
    </w:p>
    <w:p w14:paraId="0AD7743C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2.2电阻测量</w:t>
      </w:r>
    </w:p>
    <w:p w14:paraId="51AE1B84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1）电阻测量方法：四点法方式</w:t>
      </w:r>
    </w:p>
    <w:p w14:paraId="7282D575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2）电阻率测量测量精度：≤±7%，（验收需至少测试标样在50℃和800℃环境温度下的测量精度）</w:t>
      </w:r>
    </w:p>
    <w:p w14:paraId="2581C493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3）电导率测量范围（理论值）：1~5×10^5 S/cm</w:t>
      </w:r>
    </w:p>
    <w:p w14:paraId="667F9372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3.主机各部分参数</w:t>
      </w:r>
    </w:p>
    <w:p w14:paraId="6B85DD35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3.1加热样品单元</w:t>
      </w:r>
    </w:p>
    <w:p w14:paraId="28DA6B99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1）控制方法：PID方式</w:t>
      </w:r>
    </w:p>
    <w:p w14:paraId="6CFBB220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2）红外线加热炉：加热区长不小于135mm, 总长不小于230mm</w:t>
      </w:r>
    </w:p>
    <w:p w14:paraId="5C864512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3）温度范围：室温～800℃。</w:t>
      </w:r>
    </w:p>
    <w:p w14:paraId="2DC95042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4）样品尺寸：固体2～4mm方型或圆型，长度6～22mm</w:t>
      </w:r>
    </w:p>
    <w:p w14:paraId="5CB923F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5）电极单元：电极由热电偶和氧化铝陶瓷管组成管。样品夹在两个电极间，进行测量样品的温度差和电压差。</w:t>
      </w:r>
    </w:p>
    <w:p w14:paraId="1019316A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6）探针测试间距可调，具备不少于3种固定间距模式</w:t>
      </w:r>
    </w:p>
    <w:p w14:paraId="7A90259E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3.2程序控温单元</w:t>
      </w:r>
    </w:p>
    <w:p w14:paraId="4F2A35A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1）温度控制点：样品气氛温度和样品两面温度差</w:t>
      </w:r>
    </w:p>
    <w:p w14:paraId="3269D21F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2）设定温度的step值：软件设置无限制</w:t>
      </w:r>
    </w:p>
    <w:p w14:paraId="3B06AC6F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3）通信端口：RS-232C</w:t>
      </w:r>
    </w:p>
    <w:p w14:paraId="0F31B83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4）配置高精度热电偶（如 R 型或 S 型用于高温，K 型用于温差符合国际通用标准（IEC 或同等）。</w:t>
      </w:r>
    </w:p>
    <w:p w14:paraId="5941FF8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5）控制电流：具备高精度的温度控制能力，支持 PID 算法</w:t>
      </w:r>
    </w:p>
    <w:p w14:paraId="2E04B5C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3.3电气控制单元</w:t>
      </w:r>
    </w:p>
    <w:p w14:paraId="2E79F29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1）数字多功能测试仪：检测上下端加热区的温度信号和两个电极间的电压差信号</w:t>
      </w:r>
    </w:p>
    <w:p w14:paraId="46432D81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2）测量方式：扫描方式</w:t>
      </w:r>
    </w:p>
    <w:p w14:paraId="72E1A39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3）具备标准通信接口（如 USB、LAN、RS-232 或 GPIB）</w:t>
      </w:r>
    </w:p>
    <w:p w14:paraId="15528E0C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3.4气氛控制单元：配备机械泵，机械泵速度≥50L/min</w:t>
      </w:r>
    </w:p>
    <w:p w14:paraId="30BFE63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3.5数据处理单元</w:t>
      </w:r>
    </w:p>
    <w:p w14:paraId="7E73D4C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1）带有计算机控制单元与显示器</w:t>
      </w:r>
    </w:p>
    <w:p w14:paraId="1BCE9F9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2）测量条件输入：</w:t>
      </w:r>
    </w:p>
    <w:p w14:paraId="25784120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a)电阻率测试的电流设置：手动和自动两种方式</w:t>
      </w:r>
    </w:p>
    <w:p w14:paraId="32FEE843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b)电阻率测量法：极性反转/阶跃</w:t>
      </w:r>
    </w:p>
    <w:p w14:paraId="04DAF179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c)电流设置：具备智能电流优化功能，可根据 V-I 特性自动推荐或设定最佳测试电流</w:t>
      </w:r>
    </w:p>
    <w:p w14:paraId="6B5D9F5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3)数据分析功能：塞贝克系数、电阻率、功率因子的计算及其图形显示；</w:t>
      </w:r>
    </w:p>
    <w:p w14:paraId="36258ED7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4)电阻率测量重分析功能：可通过在软件修改样品形状、尺寸和探针间距进行重分析</w:t>
      </w:r>
    </w:p>
    <w:p w14:paraId="2378202B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3.6配置薄膜测量适配器1套，适用于金属及合金薄膜样品（如尺寸 2-4mm 方形或直径&gt;2mm 圆形）</w:t>
      </w:r>
    </w:p>
    <w:p w14:paraId="6CB4EFC4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</w:p>
    <w:p w14:paraId="3CFE496B">
      <w:pPr>
        <w:spacing w:line="360" w:lineRule="auto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序号4：</w:t>
      </w:r>
      <w:r>
        <w:rPr>
          <w:rFonts w:hint="eastAsia" w:ascii="宋体" w:hAnsi="宋体" w:eastAsia="宋体" w:cs="宋体"/>
          <w:b/>
          <w:sz w:val="24"/>
          <w:szCs w:val="24"/>
          <w:u w:val="single"/>
          <w:lang w:eastAsia="zh-CN"/>
        </w:rPr>
        <w:t>阻抗分析仪</w:t>
      </w:r>
    </w:p>
    <w:p w14:paraId="424B83D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具体参数如下：</w:t>
      </w:r>
    </w:p>
    <w:p w14:paraId="6E8E06BC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1、测试频率：20Hz—50MHz；</w:t>
      </w:r>
    </w:p>
    <w:p w14:paraId="70C7EB0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2、测试激励电平：0至2Vrms/0至20mArms；</w:t>
      </w:r>
    </w:p>
    <w:p w14:paraId="6B6F7C62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3、测试指标：Cp-D, Cp-Q, Cp-G, Cp-Rp, Cs-D, Cs-Q, Cs-Rs, Lp-D, Lp-Q, Lp-G, Lp-Rp, Lp-Rdc ,Ls-D, Ls-Q, Ls-Rs, Ls-Rdc,R-X,Z-θd, Z-θr,G-B,Y-θd, Y-θr,Vdc-Idc；</w:t>
      </w:r>
    </w:p>
    <w:p w14:paraId="1890C28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4、基本测量精度 ≤ 0.05%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（典型值 @ 1kHz）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1921C1EB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5、测量时间：12ms(SHORT),118ms(MED),343ms(LONG)@1MHz；</w:t>
      </w:r>
    </w:p>
    <w:p w14:paraId="2825F4B0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6、电阻范围：阻抗测量范围：10m</w:t>
      </w:r>
      <w:r>
        <w:rPr>
          <w:rFonts w:hint="eastAsia" w:ascii="宋体" w:hAnsi="宋体" w:eastAsia="宋体" w:cs="宋体"/>
          <w:sz w:val="24"/>
          <w:szCs w:val="24"/>
        </w:rPr>
        <w:t>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 – 100M</w:t>
      </w:r>
      <w:r>
        <w:rPr>
          <w:rFonts w:hint="eastAsia" w:ascii="宋体" w:hAnsi="宋体" w:eastAsia="宋体" w:cs="宋体"/>
          <w:sz w:val="24"/>
          <w:szCs w:val="24"/>
        </w:rPr>
        <w:t>Ω</w:t>
      </w:r>
    </w:p>
    <w:p w14:paraId="614FD74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7、支持ALC自动电平控制；</w:t>
      </w:r>
    </w:p>
    <w:p w14:paraId="5DC9ADF4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8、可支持500点的扫频测量，可编程，可任意设置频率，测量范围以及激励条件并自动绘制显示阻抗随频率变化曲线；</w:t>
      </w:r>
    </w:p>
    <w:p w14:paraId="523B836C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9、支持线缆夹具补偿校准以及电缆延长补偿功能；</w:t>
      </w:r>
    </w:p>
    <w:p w14:paraId="44302507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10、光源：150W无臭氧氙灯，密封的激发光路，确保最好的紫外性能；</w:t>
      </w:r>
    </w:p>
    <w:p w14:paraId="49D53B1A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11、单色器焦长：225mm；</w:t>
      </w:r>
    </w:p>
    <w:p w14:paraId="69909D42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12、激发侧光谱范围：230-900nm；</w:t>
      </w:r>
    </w:p>
    <w:p w14:paraId="5BBE2C30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13、发射侧光谱范围：230-870nm；</w:t>
      </w:r>
    </w:p>
    <w:p w14:paraId="7FD325C1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14、光谱带宽（激发/发射）：0-30nm，软件控制连续可调；</w:t>
      </w:r>
    </w:p>
    <w:p w14:paraId="2C9BBBC2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15、波长准确度（激发/发射）：±0.5nm；</w:t>
      </w:r>
    </w:p>
    <w:p w14:paraId="7651847C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16、发射检测器：R928P光电倍增管，光谱范围230-870nm，半导体制冷，暗噪声≤200cps；</w:t>
      </w:r>
    </w:p>
    <w:p w14:paraId="72D8231A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17、参比检测器：紫外扩展的硅光二极管；</w:t>
      </w:r>
    </w:p>
    <w:p w14:paraId="41C31C2B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18、吸收检测器：紫外扩展的硅光二极管；</w:t>
      </w:r>
    </w:p>
    <w:p w14:paraId="1BE1263A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19、标配自动滤光片轮，软件控制，自动滤除来自激发光的高级散射峰。</w:t>
      </w:r>
    </w:p>
    <w:p w14:paraId="0AF5A56B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20、水拉曼信噪比：≥10,000:1,计算公式：S/N=(I397-I450）/(I450)1/2；</w:t>
      </w:r>
    </w:p>
    <w:p w14:paraId="7E927DE7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21、荧光寿命；</w:t>
      </w:r>
    </w:p>
    <w:p w14:paraId="2F2E8649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21.1</w:t>
      </w:r>
      <w:r>
        <w:rPr>
          <w:rFonts w:hint="eastAsia" w:ascii="宋体" w:hAnsi="宋体" w:eastAsia="宋体" w:cs="宋体"/>
          <w:sz w:val="24"/>
          <w:szCs w:val="24"/>
        </w:rPr>
        <w:tab/>
      </w:r>
      <w:r>
        <w:rPr>
          <w:rFonts w:hint="eastAsia" w:ascii="宋体" w:hAnsi="宋体" w:eastAsia="宋体" w:cs="宋体"/>
          <w:sz w:val="24"/>
          <w:szCs w:val="24"/>
        </w:rPr>
        <w:t>范围：150ps-10us；</w:t>
      </w:r>
    </w:p>
    <w:p w14:paraId="119F89AD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21.2、光源：375nm脉冲激光器，脉宽：65 ps @ 10 MHz，频率20 kHz - 20 MHz；</w:t>
      </w:r>
    </w:p>
    <w:p w14:paraId="1E69AE65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21.3、检测模式：TCSPC（时间相关单光子计数技术）；</w:t>
      </w:r>
    </w:p>
    <w:p w14:paraId="273836E3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21.4、最大时间通道数：8192；</w:t>
      </w:r>
    </w:p>
    <w:p w14:paraId="53084641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21.5、时间窗口2.5ns-50us；</w:t>
      </w:r>
    </w:p>
    <w:p w14:paraId="546A4085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21.6、最小时间分辨率：≤10ps；计算方法：最小测试时间宽度/最大通道数； </w:t>
      </w:r>
    </w:p>
    <w:p w14:paraId="46BC79E5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22、量子产率附件：</w:t>
      </w:r>
    </w:p>
    <w:p w14:paraId="693A89CA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22.1、用于量子产率及发光色度分析 ；</w:t>
      </w:r>
    </w:p>
    <w:p w14:paraId="414BC18A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22.2、测量对象：薄膜、粉末和液体；</w:t>
      </w:r>
    </w:p>
    <w:p w14:paraId="6035B3A5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22.3、积分球直径≥150mm；内部涂层为聚四氟乙烯；直接光路，无需光纤导光，避免光纤对光信号的衰减，特别适合弱发光样品量子产率测试；</w:t>
      </w:r>
    </w:p>
    <w:p w14:paraId="36B03906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22.4、带有PLQY软件，完成量子产率、色度及标准误差的计算； </w:t>
      </w:r>
    </w:p>
    <w:p w14:paraId="6A2D9E43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22.5、液体测量采用标准10mm光程4ml荧光池；</w:t>
      </w:r>
    </w:p>
    <w:p w14:paraId="240E1EF0">
      <w:pPr>
        <w:spacing w:beforeLines="20"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23、软件具备阻抗参数测量、扫频分析、等效电路拟合及数据导出功能。</w:t>
      </w:r>
    </w:p>
    <w:p w14:paraId="72F8B9A0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</w:p>
    <w:p w14:paraId="77A0A715">
      <w:pPr>
        <w:spacing w:line="500" w:lineRule="exact"/>
        <w:ind w:firstLine="480" w:firstLineChars="200"/>
        <w:rPr>
          <w:rFonts w:ascii="宋体" w:hAnsi="宋体" w:eastAsia="宋体" w:cs="Times New Roman"/>
          <w:sz w:val="24"/>
          <w:szCs w:val="24"/>
          <w:lang w:eastAsia="zh-CN"/>
        </w:rPr>
      </w:pPr>
    </w:p>
    <w:p w14:paraId="27246E65">
      <w:r>
        <w:rPr>
          <w:rFonts w:hint="eastAsia" w:cs="仿宋_GB2312" w:asciiTheme="minorEastAsia" w:hAnsiTheme="minorEastAsia" w:eastAsiaTheme="minorEastAsia"/>
          <w:b/>
          <w:sz w:val="24"/>
          <w:szCs w:val="32"/>
          <w:lang w:eastAsia="zh-CN"/>
        </w:rPr>
        <w:t>注：以上技术条款为必须满足或优于项，否则作无效投标处理。</w:t>
      </w:r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1A5A1A"/>
    <w:multiLevelType w:val="singleLevel"/>
    <w:tmpl w:val="8F1A5A1A"/>
    <w:lvl w:ilvl="0" w:tentative="0">
      <w:start w:val="6"/>
      <w:numFmt w:val="decimal"/>
      <w:suff w:val="nothing"/>
      <w:lvlText w:val="%1、"/>
      <w:lvlJc w:val="left"/>
    </w:lvl>
  </w:abstractNum>
  <w:abstractNum w:abstractNumId="1">
    <w:nsid w:val="75C977FB"/>
    <w:multiLevelType w:val="singleLevel"/>
    <w:tmpl w:val="75C977F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680A22"/>
    <w:rsid w:val="1268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2026-05-25T07:16:00Z</dcterms:created>
  <dc:creator>Administrator</dc:creator>
  <cp:lastModifiedBy>Administrator</cp:lastModifiedBy>
  <dcterms:modified xsi:type="dcterms:W3CDTF">2026-05-25T07:16:15Z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ACCF04B411124CE1A5DA00B3150FCBD4_11</vt:lpwstr>
  </property>
  <property fmtid="{D5CDD505-2E9C-101B-9397-08002B2CF9AE}" pid="4" name="KSOTemplateDocerSaveRecord">
    <vt:lpwstr>eyJoZGlkIjoiMGE5MmMzMjVmNmQ5ZDM5ZDg3YjMyMmNjZDlhNmZlM2UiLCJ1c2VySWQiOiI1OTEyMDM3OTQifQ==</vt:lpwstr>
  </property>
</Properties>
</file>