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widowControl w:val="0"/>
        <w:wordWrap/>
        <w:overflowPunct/>
        <w:topLinePunct w:val="0"/>
        <w:bidi w:val="0"/>
        <w:spacing w:line="242" w:lineRule="auto"/>
        <w:rPr>
          <w:rFonts w:hint="eastAsia" w:eastAsiaTheme="minorEastAsia"/>
          <w:color w:val="auto"/>
          <w:highlight w:val="none"/>
          <w:lang w:eastAsia="zh-CN"/>
        </w:rPr>
      </w:pPr>
    </w:p>
    <w:p>
      <w:pPr>
        <w:pageBreakBefore w:val="0"/>
        <w:widowControl w:val="0"/>
        <w:wordWrap/>
        <w:overflowPunct/>
        <w:topLinePunct w:val="0"/>
        <w:bidi w:val="0"/>
        <w:spacing w:before="63" w:line="224" w:lineRule="auto"/>
        <w:jc w:val="center"/>
        <w:outlineLvl w:val="0"/>
        <w:rPr>
          <w:rFonts w:ascii="宋体" w:hAnsi="宋体" w:eastAsia="宋体" w:cs="宋体"/>
          <w:color w:val="auto"/>
          <w:sz w:val="31"/>
          <w:szCs w:val="31"/>
          <w:highlight w:val="none"/>
          <w:lang w:eastAsia="zh-CN"/>
        </w:rPr>
      </w:pPr>
      <w:bookmarkStart w:id="0" w:name="_Toc16031"/>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bookmarkEnd w:id="0"/>
    </w:p>
    <w:p>
      <w:pPr>
        <w:pageBreakBefore w:val="0"/>
        <w:widowControl w:val="0"/>
        <w:wordWrap/>
        <w:overflowPunct/>
        <w:topLinePunct w:val="0"/>
        <w:bidi w:val="0"/>
        <w:spacing w:line="309" w:lineRule="auto"/>
        <w:jc w:val="center"/>
        <w:rPr>
          <w:color w:val="auto"/>
          <w:highlight w:val="none"/>
          <w:lang w:eastAsia="zh-CN"/>
        </w:rPr>
      </w:pPr>
    </w:p>
    <w:p>
      <w:pPr>
        <w:spacing w:before="178" w:line="226" w:lineRule="auto"/>
        <w:ind w:left="566"/>
        <w:rPr>
          <w:rFonts w:ascii="宋体" w:hAnsi="宋体" w:eastAsia="宋体" w:cs="宋体"/>
          <w:sz w:val="26"/>
          <w:szCs w:val="26"/>
        </w:rPr>
      </w:pPr>
      <w:bookmarkStart w:id="1" w:name="bookmark81"/>
      <w:bookmarkEnd w:id="1"/>
      <w:r>
        <w:rPr>
          <w:rFonts w:hint="eastAsia" w:ascii="宋体" w:hAnsi="宋体" w:eastAsia="宋体" w:cs="宋体"/>
          <w:spacing w:val="5"/>
          <w:sz w:val="26"/>
          <w:szCs w:val="26"/>
          <w:lang w:eastAsia="zh-CN"/>
        </w:rPr>
        <w:t>一</w:t>
      </w:r>
      <w:r>
        <w:rPr>
          <w:rFonts w:ascii="宋体" w:hAnsi="宋体" w:eastAsia="宋体" w:cs="宋体"/>
          <w:spacing w:val="5"/>
          <w:sz w:val="26"/>
          <w:szCs w:val="26"/>
        </w:rPr>
        <w:t>、服务内容及要求：</w:t>
      </w:r>
    </w:p>
    <w:p>
      <w:pPr>
        <w:spacing w:line="480" w:lineRule="exact"/>
        <w:ind w:firstLine="470" w:firstLineChars="200"/>
        <w:rPr>
          <w:rFonts w:ascii="宋体" w:hAnsi="宋体" w:eastAsia="宋体" w:cs="宋体"/>
          <w:b/>
          <w:bCs/>
          <w:spacing w:val="-3"/>
          <w:sz w:val="24"/>
          <w:szCs w:val="24"/>
          <w:lang w:eastAsia="zh-CN"/>
        </w:rPr>
      </w:pPr>
      <w:r>
        <w:rPr>
          <w:rFonts w:hint="eastAsia" w:ascii="宋体" w:hAnsi="宋体" w:eastAsia="宋体" w:cs="宋体"/>
          <w:b/>
          <w:bCs/>
          <w:spacing w:val="-3"/>
          <w:sz w:val="24"/>
          <w:szCs w:val="24"/>
          <w:lang w:eastAsia="zh-CN"/>
        </w:rPr>
        <w:t>1、项目背景</w:t>
      </w:r>
    </w:p>
    <w:p>
      <w:pPr>
        <w:spacing w:line="480" w:lineRule="exact"/>
        <w:ind w:firstLine="468" w:firstLineChars="200"/>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本项目通过建设生活污水处理设施，将进一步提高遂川县农村生活污水处理水平，使农村生活污水治理率不断提升，力争于</w:t>
      </w:r>
      <w:r>
        <w:rPr>
          <w:rFonts w:ascii="宋体" w:hAnsi="宋体" w:eastAsia="宋体" w:cs="宋体"/>
          <w:spacing w:val="-3"/>
          <w:sz w:val="24"/>
          <w:szCs w:val="24"/>
          <w:lang w:eastAsia="zh-CN"/>
        </w:rPr>
        <w:t>2027</w:t>
      </w:r>
      <w:r>
        <w:rPr>
          <w:rFonts w:hint="eastAsia" w:ascii="宋体" w:hAnsi="宋体" w:eastAsia="宋体" w:cs="宋体"/>
          <w:spacing w:val="-3"/>
          <w:sz w:val="24"/>
          <w:szCs w:val="24"/>
          <w:lang w:eastAsia="zh-CN"/>
        </w:rPr>
        <w:t>年底，遂川县农村污水治理率稳步提高，农村污水出水水质标准能够达到相关标准要求的出水标准，同时，修复破损道路并增加公共区域照明设施，使村庄公共环境得以改善，农村居民生产生活品质明显提高，进一步巩固脱贫攻坚成果，助力打造景村融合、产村融合示范点，推进遂川县“四融一共”和美乡村建设。</w:t>
      </w:r>
    </w:p>
    <w:p>
      <w:pPr>
        <w:spacing w:line="480" w:lineRule="exact"/>
        <w:ind w:firstLine="470" w:firstLineChars="200"/>
        <w:rPr>
          <w:rFonts w:ascii="宋体" w:hAnsi="宋体" w:eastAsia="宋体" w:cs="宋体"/>
          <w:spacing w:val="-3"/>
          <w:sz w:val="24"/>
          <w:szCs w:val="24"/>
          <w:lang w:eastAsia="zh-CN"/>
        </w:rPr>
      </w:pPr>
      <w:r>
        <w:rPr>
          <w:rFonts w:hint="eastAsia" w:ascii="宋体" w:hAnsi="宋体" w:eastAsia="宋体" w:cs="宋体"/>
          <w:b/>
          <w:bCs/>
          <w:spacing w:val="-3"/>
          <w:sz w:val="24"/>
          <w:szCs w:val="24"/>
          <w:lang w:eastAsia="zh-CN"/>
        </w:rPr>
        <w:t>2、项目概况</w:t>
      </w:r>
    </w:p>
    <w:p>
      <w:pPr>
        <w:spacing w:line="480" w:lineRule="exact"/>
        <w:ind w:firstLine="468" w:firstLineChars="200"/>
        <w:rPr>
          <w:rFonts w:hint="eastAsia" w:ascii="宋体" w:hAnsi="宋体" w:eastAsia="宋体" w:cs="宋体"/>
          <w:spacing w:val="-3"/>
          <w:sz w:val="24"/>
          <w:szCs w:val="24"/>
          <w:lang w:eastAsia="zh-CN"/>
        </w:rPr>
      </w:pPr>
      <w:r>
        <w:rPr>
          <w:rFonts w:hint="eastAsia" w:ascii="宋体" w:hAnsi="宋体" w:eastAsia="宋体" w:cs="宋体"/>
          <w:spacing w:val="-3"/>
          <w:sz w:val="24"/>
          <w:szCs w:val="24"/>
          <w:lang w:eastAsia="zh-CN"/>
        </w:rPr>
        <w:t>（一）项目名称</w:t>
      </w:r>
    </w:p>
    <w:p>
      <w:pPr>
        <w:spacing w:line="480" w:lineRule="exact"/>
        <w:ind w:firstLine="468" w:firstLineChars="200"/>
        <w:rPr>
          <w:rFonts w:hint="eastAsia" w:ascii="宋体" w:hAnsi="宋体" w:eastAsia="宋体" w:cs="宋体"/>
          <w:spacing w:val="-3"/>
          <w:sz w:val="24"/>
          <w:szCs w:val="24"/>
          <w:lang w:eastAsia="zh-CN"/>
        </w:rPr>
      </w:pPr>
      <w:r>
        <w:rPr>
          <w:rFonts w:hint="eastAsia" w:ascii="宋体" w:hAnsi="宋体" w:eastAsia="宋体" w:cs="宋体"/>
          <w:spacing w:val="-3"/>
          <w:sz w:val="24"/>
          <w:szCs w:val="24"/>
          <w:lang w:eastAsia="zh-CN"/>
        </w:rPr>
        <w:t>遂川县2026年和美乡村建设项目（以下简称“本项目”）</w:t>
      </w:r>
    </w:p>
    <w:p>
      <w:pPr>
        <w:spacing w:line="480" w:lineRule="exact"/>
        <w:ind w:firstLine="468" w:firstLineChars="200"/>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（二）项目地点</w:t>
      </w:r>
    </w:p>
    <w:p>
      <w:pPr>
        <w:spacing w:line="480" w:lineRule="exact"/>
        <w:ind w:firstLine="468" w:firstLineChars="200"/>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遂川县。</w:t>
      </w:r>
    </w:p>
    <w:p>
      <w:pPr>
        <w:spacing w:line="480" w:lineRule="exact"/>
        <w:ind w:firstLine="468" w:firstLineChars="200"/>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（三）项目规模</w:t>
      </w:r>
    </w:p>
    <w:p>
      <w:pPr>
        <w:spacing w:line="480" w:lineRule="exact"/>
        <w:ind w:firstLine="470" w:firstLineChars="200"/>
        <w:rPr>
          <w:rFonts w:ascii="宋体" w:hAnsi="宋体" w:eastAsia="宋体" w:cs="宋体"/>
          <w:spacing w:val="-3"/>
          <w:sz w:val="24"/>
          <w:szCs w:val="24"/>
          <w:lang w:eastAsia="zh-CN"/>
        </w:rPr>
      </w:pPr>
      <w:r>
        <w:rPr>
          <w:rFonts w:hint="eastAsia" w:ascii="宋体" w:hAnsi="宋体" w:eastAsia="宋体" w:cs="宋体"/>
          <w:b/>
          <w:bCs/>
          <w:spacing w:val="-3"/>
          <w:sz w:val="24"/>
          <w:szCs w:val="24"/>
          <w:lang w:eastAsia="zh-CN"/>
        </w:rPr>
        <w:t>村庄基础设施建设：</w:t>
      </w:r>
      <w:r>
        <w:rPr>
          <w:rFonts w:hint="eastAsia" w:ascii="宋体" w:hAnsi="宋体" w:eastAsia="宋体" w:cs="宋体"/>
          <w:spacing w:val="-3"/>
          <w:sz w:val="24"/>
          <w:szCs w:val="24"/>
          <w:lang w:eastAsia="zh-CN"/>
        </w:rPr>
        <w:t>新建10吨/日污水处理设施9座、20吨/日污水处理设施15座、4</w:t>
      </w:r>
      <w:r>
        <w:rPr>
          <w:rFonts w:hint="eastAsia" w:ascii="宋体" w:hAnsi="宋体" w:eastAsia="宋体" w:cs="宋体"/>
          <w:spacing w:val="-3"/>
          <w:sz w:val="24"/>
          <w:szCs w:val="24"/>
          <w:lang w:val="en-US" w:eastAsia="zh-CN"/>
        </w:rPr>
        <w:t>0</w:t>
      </w:r>
      <w:r>
        <w:rPr>
          <w:rFonts w:hint="eastAsia" w:ascii="宋体" w:hAnsi="宋体" w:eastAsia="宋体" w:cs="宋体"/>
          <w:spacing w:val="-3"/>
          <w:sz w:val="24"/>
          <w:szCs w:val="24"/>
          <w:lang w:eastAsia="zh-CN"/>
        </w:rPr>
        <w:t>吨/日污水处理设施1座，新建污水管网83.60公里及配套设施；修复破损路面58300米，配置路灯2635个，新建排水沟25600米，购置村内垃圾桶901套，购置村内垃圾箱279套，购置小型垃圾收集车7辆，购置中型垃圾收集车4辆。</w:t>
      </w:r>
    </w:p>
    <w:p>
      <w:pPr>
        <w:spacing w:line="480" w:lineRule="exact"/>
        <w:ind w:firstLine="470" w:firstLineChars="200"/>
        <w:rPr>
          <w:rFonts w:ascii="宋体" w:hAnsi="宋体" w:eastAsia="宋体" w:cs="宋体"/>
          <w:spacing w:val="-3"/>
          <w:sz w:val="24"/>
          <w:szCs w:val="24"/>
          <w:lang w:eastAsia="zh-CN"/>
        </w:rPr>
      </w:pPr>
      <w:r>
        <w:rPr>
          <w:rFonts w:hint="eastAsia" w:ascii="宋体" w:hAnsi="宋体" w:eastAsia="宋体" w:cs="宋体"/>
          <w:b/>
          <w:bCs/>
          <w:spacing w:val="-3"/>
          <w:sz w:val="24"/>
          <w:szCs w:val="24"/>
          <w:lang w:eastAsia="zh-CN"/>
        </w:rPr>
        <w:t>乡村产业配套基础设施建设：</w:t>
      </w:r>
      <w:r>
        <w:rPr>
          <w:rFonts w:hint="eastAsia" w:ascii="宋体" w:hAnsi="宋体" w:eastAsia="宋体" w:cs="宋体"/>
          <w:spacing w:val="-3"/>
          <w:sz w:val="24"/>
          <w:szCs w:val="24"/>
          <w:lang w:eastAsia="zh-CN"/>
        </w:rPr>
        <w:t>新建景点连接村庄道路</w:t>
      </w:r>
      <w:r>
        <w:rPr>
          <w:rFonts w:ascii="宋体" w:hAnsi="宋体" w:eastAsia="宋体" w:cs="宋体"/>
          <w:spacing w:val="-3"/>
          <w:sz w:val="24"/>
          <w:szCs w:val="24"/>
          <w:lang w:eastAsia="zh-CN"/>
        </w:rPr>
        <w:t>9500</w:t>
      </w:r>
      <w:r>
        <w:rPr>
          <w:rFonts w:hint="eastAsia" w:ascii="宋体" w:hAnsi="宋体" w:eastAsia="宋体" w:cs="宋体"/>
          <w:spacing w:val="-3"/>
          <w:sz w:val="24"/>
          <w:szCs w:val="24"/>
          <w:lang w:eastAsia="zh-CN"/>
        </w:rPr>
        <w:t>米，道路改建</w:t>
      </w:r>
      <w:r>
        <w:rPr>
          <w:rFonts w:ascii="宋体" w:hAnsi="宋体" w:eastAsia="宋体" w:cs="宋体"/>
          <w:spacing w:val="-3"/>
          <w:sz w:val="24"/>
          <w:szCs w:val="24"/>
          <w:lang w:eastAsia="zh-CN"/>
        </w:rPr>
        <w:t>17400</w:t>
      </w:r>
      <w:r>
        <w:rPr>
          <w:rFonts w:hint="eastAsia" w:ascii="宋体" w:hAnsi="宋体" w:eastAsia="宋体" w:cs="宋体"/>
          <w:spacing w:val="-3"/>
          <w:sz w:val="24"/>
          <w:szCs w:val="24"/>
          <w:lang w:eastAsia="zh-CN"/>
        </w:rPr>
        <w:t>米，新建路边排水沟</w:t>
      </w:r>
      <w:r>
        <w:rPr>
          <w:rFonts w:ascii="宋体" w:hAnsi="宋体" w:eastAsia="宋体" w:cs="宋体"/>
          <w:spacing w:val="-3"/>
          <w:sz w:val="24"/>
          <w:szCs w:val="24"/>
          <w:lang w:eastAsia="zh-CN"/>
        </w:rPr>
        <w:t>26900</w:t>
      </w:r>
      <w:r>
        <w:rPr>
          <w:rFonts w:hint="eastAsia" w:ascii="宋体" w:hAnsi="宋体" w:eastAsia="宋体" w:cs="宋体"/>
          <w:spacing w:val="-3"/>
          <w:sz w:val="24"/>
          <w:szCs w:val="24"/>
          <w:lang w:eastAsia="zh-CN"/>
        </w:rPr>
        <w:t>米，新建公共停车场</w:t>
      </w:r>
      <w:r>
        <w:rPr>
          <w:rFonts w:ascii="宋体" w:hAnsi="宋体" w:eastAsia="宋体" w:cs="宋体"/>
          <w:spacing w:val="-3"/>
          <w:sz w:val="24"/>
          <w:szCs w:val="24"/>
          <w:lang w:eastAsia="zh-CN"/>
        </w:rPr>
        <w:t>900</w:t>
      </w:r>
      <w:r>
        <w:rPr>
          <w:rFonts w:hint="eastAsia" w:ascii="宋体" w:hAnsi="宋体" w:eastAsia="宋体" w:cs="宋体"/>
          <w:spacing w:val="-3"/>
          <w:sz w:val="24"/>
          <w:szCs w:val="24"/>
          <w:lang w:eastAsia="zh-CN"/>
        </w:rPr>
        <w:t>平方米。</w:t>
      </w:r>
    </w:p>
    <w:p>
      <w:pPr>
        <w:spacing w:line="480" w:lineRule="exact"/>
        <w:ind w:firstLine="470" w:firstLineChars="200"/>
        <w:rPr>
          <w:rFonts w:ascii="宋体" w:hAnsi="宋体" w:eastAsia="宋体" w:cs="宋体"/>
          <w:b/>
          <w:bCs/>
          <w:spacing w:val="-3"/>
          <w:sz w:val="24"/>
          <w:szCs w:val="24"/>
          <w:lang w:eastAsia="zh-CN"/>
        </w:rPr>
      </w:pPr>
      <w:r>
        <w:rPr>
          <w:rFonts w:hint="eastAsia" w:ascii="宋体" w:hAnsi="宋体" w:eastAsia="宋体" w:cs="宋体"/>
          <w:b/>
          <w:bCs/>
          <w:spacing w:val="-3"/>
          <w:sz w:val="24"/>
          <w:szCs w:val="24"/>
          <w:lang w:eastAsia="zh-CN"/>
        </w:rPr>
        <w:t>3、指导思想</w:t>
      </w:r>
    </w:p>
    <w:p>
      <w:pPr>
        <w:spacing w:line="480" w:lineRule="exact"/>
        <w:ind w:firstLine="468" w:firstLineChars="200"/>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本项目符合党的二十大报告要求，以《中共中央、国务院关于学习运用“千村示范、万村整治”工程经验有力有效推进乡村。全面振兴的意见》和江西省《关于学习运用“千村示范、万村整治”工程经验有力有效推进乡村全面振兴的实施意见》等政策为主要指导思想。</w:t>
      </w:r>
    </w:p>
    <w:p>
      <w:pPr>
        <w:spacing w:line="480" w:lineRule="exact"/>
        <w:ind w:firstLine="470" w:firstLineChars="200"/>
        <w:rPr>
          <w:rFonts w:ascii="宋体" w:hAnsi="宋体" w:eastAsia="宋体" w:cs="宋体"/>
          <w:b/>
          <w:bCs/>
          <w:spacing w:val="-3"/>
          <w:sz w:val="24"/>
          <w:szCs w:val="24"/>
          <w:lang w:eastAsia="zh-CN"/>
        </w:rPr>
      </w:pPr>
      <w:r>
        <w:rPr>
          <w:rFonts w:ascii="宋体" w:hAnsi="宋体" w:eastAsia="宋体" w:cs="宋体"/>
          <w:b/>
          <w:bCs/>
          <w:spacing w:val="-3"/>
          <w:sz w:val="24"/>
          <w:szCs w:val="24"/>
          <w:lang w:eastAsia="zh-CN"/>
        </w:rPr>
        <w:t>4</w:t>
      </w:r>
      <w:r>
        <w:rPr>
          <w:rFonts w:hint="eastAsia" w:ascii="宋体" w:hAnsi="宋体" w:eastAsia="宋体" w:cs="宋体"/>
          <w:b/>
          <w:bCs/>
          <w:spacing w:val="-3"/>
          <w:sz w:val="24"/>
          <w:szCs w:val="24"/>
          <w:lang w:eastAsia="zh-CN"/>
        </w:rPr>
        <w:t>、设计目标</w:t>
      </w:r>
    </w:p>
    <w:p>
      <w:pPr>
        <w:spacing w:line="480" w:lineRule="exact"/>
        <w:ind w:firstLine="468" w:firstLineChars="200"/>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本项目旨在进一步加强遂川县农村生活处理能力，提高农村生活污水处理率，修复村庄破损道路，增加公共区域照明设施，完善农村生活垃圾处理设施，建设农文旅融合发展设施，推动遂川县全域旅游品质迭代升级，推进“旅游强县”建设，锚定文旅高质量发展目标。</w:t>
      </w:r>
    </w:p>
    <w:p>
      <w:pPr>
        <w:spacing w:line="480" w:lineRule="exact"/>
        <w:ind w:firstLine="470" w:firstLineChars="200"/>
        <w:rPr>
          <w:rFonts w:ascii="宋体" w:hAnsi="宋体" w:eastAsia="宋体" w:cs="宋体"/>
          <w:b/>
          <w:bCs/>
          <w:spacing w:val="-3"/>
          <w:sz w:val="24"/>
          <w:szCs w:val="24"/>
          <w:lang w:eastAsia="zh-CN"/>
        </w:rPr>
      </w:pPr>
      <w:r>
        <w:rPr>
          <w:rFonts w:ascii="宋体" w:hAnsi="宋体" w:eastAsia="宋体" w:cs="宋体"/>
          <w:b/>
          <w:bCs/>
          <w:spacing w:val="-3"/>
          <w:sz w:val="24"/>
          <w:szCs w:val="24"/>
          <w:lang w:eastAsia="zh-CN"/>
        </w:rPr>
        <w:t>5</w:t>
      </w:r>
      <w:r>
        <w:rPr>
          <w:rFonts w:hint="eastAsia" w:ascii="宋体" w:hAnsi="宋体" w:eastAsia="宋体" w:cs="宋体"/>
          <w:b/>
          <w:bCs/>
          <w:spacing w:val="-3"/>
          <w:sz w:val="24"/>
          <w:szCs w:val="24"/>
          <w:lang w:eastAsia="zh-CN"/>
        </w:rPr>
        <w:t>、主要设计依据</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《江西省“十四五”省定乡村振兴重点帮扶村工作实施方案》；</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《美丽江西建设规划纲要（</w:t>
      </w:r>
      <w:r>
        <w:rPr>
          <w:rFonts w:ascii="宋体" w:hAnsi="宋体" w:eastAsia="宋体" w:cs="宋体"/>
          <w:spacing w:val="-3"/>
          <w:sz w:val="24"/>
          <w:szCs w:val="24"/>
          <w:lang w:eastAsia="zh-CN"/>
        </w:rPr>
        <w:t>2022—2035</w:t>
      </w:r>
      <w:r>
        <w:rPr>
          <w:rFonts w:hint="eastAsia" w:ascii="宋体" w:hAnsi="宋体" w:eastAsia="宋体" w:cs="宋体"/>
          <w:spacing w:val="-3"/>
          <w:sz w:val="24"/>
          <w:szCs w:val="24"/>
          <w:lang w:eastAsia="zh-CN"/>
        </w:rPr>
        <w:t>年）》；</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《关于学习运用“千村示范、万村整治”工程经验有力有效推进乡村全面振兴的实施意见》（</w:t>
      </w:r>
      <w:r>
        <w:rPr>
          <w:rFonts w:ascii="宋体" w:hAnsi="宋体" w:eastAsia="宋体" w:cs="宋体"/>
          <w:spacing w:val="-3"/>
          <w:sz w:val="24"/>
          <w:szCs w:val="24"/>
          <w:lang w:eastAsia="zh-CN"/>
        </w:rPr>
        <w:t>2024</w:t>
      </w:r>
      <w:r>
        <w:rPr>
          <w:rFonts w:hint="eastAsia" w:ascii="宋体" w:hAnsi="宋体" w:eastAsia="宋体" w:cs="宋体"/>
          <w:spacing w:val="-3"/>
          <w:sz w:val="24"/>
          <w:szCs w:val="24"/>
          <w:lang w:eastAsia="zh-CN"/>
        </w:rPr>
        <w:t>年江西省委一号文件）；</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《学习运用“千万工程”经验有力有效推进</w:t>
      </w:r>
      <w:r>
        <w:rPr>
          <w:rFonts w:ascii="宋体" w:hAnsi="宋体" w:eastAsia="宋体" w:cs="宋体"/>
          <w:spacing w:val="-3"/>
          <w:sz w:val="24"/>
          <w:szCs w:val="24"/>
          <w:lang w:eastAsia="zh-CN"/>
        </w:rPr>
        <w:t>2024</w:t>
      </w:r>
      <w:r>
        <w:rPr>
          <w:rFonts w:hint="eastAsia" w:ascii="宋体" w:hAnsi="宋体" w:eastAsia="宋体" w:cs="宋体"/>
          <w:spacing w:val="-3"/>
          <w:sz w:val="24"/>
          <w:szCs w:val="24"/>
          <w:lang w:eastAsia="zh-CN"/>
        </w:rPr>
        <w:t>年宜居宜业和美乡村建设工作方案》（赣农字〔</w:t>
      </w:r>
      <w:r>
        <w:rPr>
          <w:rFonts w:ascii="宋体" w:hAnsi="宋体" w:eastAsia="宋体" w:cs="宋体"/>
          <w:spacing w:val="-3"/>
          <w:sz w:val="24"/>
          <w:szCs w:val="24"/>
          <w:lang w:eastAsia="zh-CN"/>
        </w:rPr>
        <w:t>2024</w:t>
      </w:r>
      <w:r>
        <w:rPr>
          <w:rFonts w:hint="eastAsia" w:ascii="宋体" w:hAnsi="宋体" w:eastAsia="宋体" w:cs="宋体"/>
          <w:spacing w:val="-3"/>
          <w:sz w:val="24"/>
          <w:szCs w:val="24"/>
          <w:lang w:eastAsia="zh-CN"/>
        </w:rPr>
        <w:t>〕</w:t>
      </w:r>
      <w:r>
        <w:rPr>
          <w:rFonts w:ascii="宋体" w:hAnsi="宋体" w:eastAsia="宋体" w:cs="宋体"/>
          <w:spacing w:val="-3"/>
          <w:sz w:val="24"/>
          <w:szCs w:val="24"/>
          <w:lang w:eastAsia="zh-CN"/>
        </w:rPr>
        <w:t>13</w:t>
      </w:r>
      <w:r>
        <w:rPr>
          <w:rFonts w:hint="eastAsia" w:ascii="宋体" w:hAnsi="宋体" w:eastAsia="宋体" w:cs="宋体"/>
          <w:spacing w:val="-3"/>
          <w:sz w:val="24"/>
          <w:szCs w:val="24"/>
          <w:lang w:eastAsia="zh-CN"/>
        </w:rPr>
        <w:t>号）；</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《江西省农村人居环境整治提升五年行动实施方案》（赣办发〔</w:t>
      </w:r>
      <w:r>
        <w:rPr>
          <w:rFonts w:ascii="宋体" w:hAnsi="宋体" w:eastAsia="宋体" w:cs="宋体"/>
          <w:spacing w:val="-3"/>
          <w:sz w:val="24"/>
          <w:szCs w:val="24"/>
          <w:lang w:eastAsia="zh-CN"/>
        </w:rPr>
        <w:t>2022</w:t>
      </w:r>
      <w:r>
        <w:rPr>
          <w:rFonts w:hint="eastAsia" w:ascii="宋体" w:hAnsi="宋体" w:eastAsia="宋体" w:cs="宋体"/>
          <w:spacing w:val="-3"/>
          <w:sz w:val="24"/>
          <w:szCs w:val="24"/>
          <w:lang w:eastAsia="zh-CN"/>
        </w:rPr>
        <w:t>〕</w:t>
      </w:r>
      <w:r>
        <w:rPr>
          <w:rFonts w:ascii="宋体" w:hAnsi="宋体" w:eastAsia="宋体" w:cs="宋体"/>
          <w:spacing w:val="-3"/>
          <w:sz w:val="24"/>
          <w:szCs w:val="24"/>
          <w:lang w:eastAsia="zh-CN"/>
        </w:rPr>
        <w:t>9</w:t>
      </w:r>
      <w:r>
        <w:rPr>
          <w:rFonts w:hint="eastAsia" w:ascii="宋体" w:hAnsi="宋体" w:eastAsia="宋体" w:cs="宋体"/>
          <w:spacing w:val="-3"/>
          <w:sz w:val="24"/>
          <w:szCs w:val="24"/>
          <w:lang w:eastAsia="zh-CN"/>
        </w:rPr>
        <w:t>号）；</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《江西省乡村建设行动推进方案》（赣办发电〔</w:t>
      </w:r>
      <w:r>
        <w:rPr>
          <w:rFonts w:ascii="宋体" w:hAnsi="宋体" w:eastAsia="宋体" w:cs="宋体"/>
          <w:spacing w:val="-3"/>
          <w:sz w:val="24"/>
          <w:szCs w:val="24"/>
          <w:lang w:eastAsia="zh-CN"/>
        </w:rPr>
        <w:t>2022</w:t>
      </w:r>
      <w:r>
        <w:rPr>
          <w:rFonts w:hint="eastAsia" w:ascii="宋体" w:hAnsi="宋体" w:eastAsia="宋体" w:cs="宋体"/>
          <w:spacing w:val="-3"/>
          <w:sz w:val="24"/>
          <w:szCs w:val="24"/>
          <w:lang w:eastAsia="zh-CN"/>
        </w:rPr>
        <w:t>〕</w:t>
      </w:r>
      <w:r>
        <w:rPr>
          <w:rFonts w:ascii="宋体" w:hAnsi="宋体" w:eastAsia="宋体" w:cs="宋体"/>
          <w:spacing w:val="-3"/>
          <w:sz w:val="24"/>
          <w:szCs w:val="24"/>
          <w:lang w:eastAsia="zh-CN"/>
        </w:rPr>
        <w:t>55</w:t>
      </w:r>
      <w:r>
        <w:rPr>
          <w:rFonts w:hint="eastAsia" w:ascii="宋体" w:hAnsi="宋体" w:eastAsia="宋体" w:cs="宋体"/>
          <w:spacing w:val="-3"/>
          <w:sz w:val="24"/>
          <w:szCs w:val="24"/>
          <w:lang w:eastAsia="zh-CN"/>
        </w:rPr>
        <w:t>号）；</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《全省“四融一共”和美乡村先行区建设实施方案》（赣农办字〔</w:t>
      </w:r>
      <w:r>
        <w:rPr>
          <w:rFonts w:ascii="宋体" w:hAnsi="宋体" w:eastAsia="宋体" w:cs="宋体"/>
          <w:spacing w:val="-3"/>
          <w:sz w:val="24"/>
          <w:szCs w:val="24"/>
          <w:lang w:eastAsia="zh-CN"/>
        </w:rPr>
        <w:t>2024</w:t>
      </w:r>
      <w:r>
        <w:rPr>
          <w:rFonts w:hint="eastAsia" w:ascii="宋体" w:hAnsi="宋体" w:eastAsia="宋体" w:cs="宋体"/>
          <w:spacing w:val="-3"/>
          <w:sz w:val="24"/>
          <w:szCs w:val="24"/>
          <w:lang w:eastAsia="zh-CN"/>
        </w:rPr>
        <w:t>〕</w:t>
      </w:r>
      <w:r>
        <w:rPr>
          <w:rFonts w:ascii="宋体" w:hAnsi="宋体" w:eastAsia="宋体" w:cs="宋体"/>
          <w:spacing w:val="-3"/>
          <w:sz w:val="24"/>
          <w:szCs w:val="24"/>
          <w:lang w:eastAsia="zh-CN"/>
        </w:rPr>
        <w:t>7</w:t>
      </w:r>
      <w:r>
        <w:rPr>
          <w:rFonts w:hint="eastAsia" w:ascii="宋体" w:hAnsi="宋体" w:eastAsia="宋体" w:cs="宋体"/>
          <w:spacing w:val="-3"/>
          <w:sz w:val="24"/>
          <w:szCs w:val="24"/>
          <w:lang w:eastAsia="zh-CN"/>
        </w:rPr>
        <w:t>号）；</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《吉安市国民经济和社会发展第十四个五年规划和二〇三五年远景目标纲要》；</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《中共吉安市委吉安市人民政府关于学习运用“千村示范、万村整治”工程经验有力有效推进乡村全面振兴的实施意见》</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《遂川县国民经济和社会发展第十四个五年规划和二〇三五年远景目标纲要》；</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《遂川县“四融一共”和美乡村建设总体规划》；</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《遂川县国土空间总体规划（</w:t>
      </w:r>
      <w:r>
        <w:rPr>
          <w:rFonts w:ascii="宋体" w:hAnsi="宋体" w:eastAsia="宋体" w:cs="宋体"/>
          <w:spacing w:val="-3"/>
          <w:sz w:val="24"/>
          <w:szCs w:val="24"/>
          <w:lang w:eastAsia="zh-CN"/>
        </w:rPr>
        <w:t>2021—2035</w:t>
      </w:r>
      <w:r>
        <w:rPr>
          <w:rFonts w:hint="eastAsia" w:ascii="宋体" w:hAnsi="宋体" w:eastAsia="宋体" w:cs="宋体"/>
          <w:spacing w:val="-3"/>
          <w:sz w:val="24"/>
          <w:szCs w:val="24"/>
          <w:lang w:eastAsia="zh-CN"/>
        </w:rPr>
        <w:t>年）》；</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关于印发《遂川县全面推进“四融一共”和美乡村建设提档省级工作实施方案》的通知；</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关于印发《遂川县</w:t>
      </w:r>
      <w:r>
        <w:rPr>
          <w:rFonts w:ascii="宋体" w:hAnsi="宋体" w:eastAsia="宋体" w:cs="宋体"/>
          <w:spacing w:val="-3"/>
          <w:sz w:val="24"/>
          <w:szCs w:val="24"/>
          <w:lang w:eastAsia="zh-CN"/>
        </w:rPr>
        <w:t>2023</w:t>
      </w:r>
      <w:r>
        <w:rPr>
          <w:rFonts w:hint="eastAsia" w:ascii="宋体" w:hAnsi="宋体" w:eastAsia="宋体" w:cs="宋体"/>
          <w:spacing w:val="-3"/>
          <w:sz w:val="24"/>
          <w:szCs w:val="24"/>
          <w:lang w:eastAsia="zh-CN"/>
        </w:rPr>
        <w:t>年农村人居环境整治五大专项提升行动加快建设宜居宜业和美乡村的实施方案》的通知；</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w:t>
      </w:r>
      <w:r>
        <w:rPr>
          <w:rFonts w:ascii="宋体" w:hAnsi="宋体" w:eastAsia="宋体" w:cs="宋体"/>
          <w:spacing w:val="-3"/>
          <w:sz w:val="24"/>
          <w:szCs w:val="24"/>
          <w:lang w:eastAsia="zh-CN"/>
        </w:rPr>
        <w:t>2024</w:t>
      </w:r>
      <w:r>
        <w:rPr>
          <w:rFonts w:hint="eastAsia" w:ascii="宋体" w:hAnsi="宋体" w:eastAsia="宋体" w:cs="宋体"/>
          <w:spacing w:val="-3"/>
          <w:sz w:val="24"/>
          <w:szCs w:val="24"/>
          <w:lang w:eastAsia="zh-CN"/>
        </w:rPr>
        <w:t>遂川县四融一共和美乡村建设方案和遂川县人居环</w:t>
      </w:r>
      <w:r>
        <w:rPr>
          <w:rFonts w:ascii="宋体" w:hAnsi="宋体" w:eastAsia="宋体" w:cs="宋体"/>
          <w:spacing w:val="-3"/>
          <w:sz w:val="24"/>
          <w:szCs w:val="24"/>
          <w:lang w:eastAsia="zh-CN"/>
        </w:rPr>
        <w:t>1</w:t>
      </w:r>
      <w:r>
        <w:rPr>
          <w:rFonts w:hint="eastAsia" w:ascii="宋体" w:hAnsi="宋体" w:eastAsia="宋体" w:cs="宋体"/>
          <w:spacing w:val="-3"/>
          <w:sz w:val="24"/>
          <w:szCs w:val="24"/>
          <w:lang w:eastAsia="zh-CN"/>
        </w:rPr>
        <w:t>境整治提升五年行动方案》</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《污水排入城镇下水道水质标准》</w:t>
      </w:r>
      <w:r>
        <w:rPr>
          <w:rFonts w:ascii="宋体" w:hAnsi="宋体" w:eastAsia="宋体" w:cs="宋体"/>
          <w:spacing w:val="-3"/>
          <w:sz w:val="24"/>
          <w:szCs w:val="24"/>
          <w:lang w:eastAsia="zh-CN"/>
        </w:rPr>
        <w:t>GB/T31962-2015</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《污水排放综合标准》</w:t>
      </w:r>
      <w:r>
        <w:rPr>
          <w:rFonts w:ascii="宋体" w:hAnsi="宋体" w:eastAsia="宋体" w:cs="宋体"/>
          <w:spacing w:val="-3"/>
          <w:sz w:val="24"/>
          <w:szCs w:val="24"/>
          <w:lang w:eastAsia="zh-CN"/>
        </w:rPr>
        <w:t>GB8987-1996</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《城镇污水处理厂污染物排放标准》</w:t>
      </w:r>
      <w:r>
        <w:rPr>
          <w:rFonts w:ascii="宋体" w:hAnsi="宋体" w:eastAsia="宋体" w:cs="宋体"/>
          <w:spacing w:val="-3"/>
          <w:sz w:val="24"/>
          <w:szCs w:val="24"/>
          <w:lang w:eastAsia="zh-CN"/>
        </w:rPr>
        <w:t>GB18918-2002</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《城镇给水排水技术规范》</w:t>
      </w:r>
      <w:r>
        <w:rPr>
          <w:rFonts w:ascii="宋体" w:hAnsi="宋体" w:eastAsia="宋体" w:cs="宋体"/>
          <w:spacing w:val="-3"/>
          <w:sz w:val="24"/>
          <w:szCs w:val="24"/>
          <w:lang w:eastAsia="zh-CN"/>
        </w:rPr>
        <w:t>GB50788-2012</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《城市排水工程规划规范》</w:t>
      </w:r>
      <w:r>
        <w:rPr>
          <w:rFonts w:ascii="宋体" w:hAnsi="宋体" w:eastAsia="宋体" w:cs="宋体"/>
          <w:spacing w:val="-3"/>
          <w:sz w:val="24"/>
          <w:szCs w:val="24"/>
          <w:lang w:eastAsia="zh-CN"/>
        </w:rPr>
        <w:t>GB50318-2017</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《室外排水设计标准》</w:t>
      </w:r>
      <w:r>
        <w:rPr>
          <w:rFonts w:ascii="宋体" w:hAnsi="宋体" w:eastAsia="宋体" w:cs="宋体"/>
          <w:spacing w:val="-3"/>
          <w:sz w:val="24"/>
          <w:szCs w:val="24"/>
          <w:lang w:eastAsia="zh-CN"/>
        </w:rPr>
        <w:t>GB50014-2021</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《城市工程管线综合规划规范》</w:t>
      </w:r>
      <w:r>
        <w:rPr>
          <w:rFonts w:ascii="宋体" w:hAnsi="宋体" w:eastAsia="宋体" w:cs="宋体"/>
          <w:spacing w:val="-3"/>
          <w:sz w:val="24"/>
          <w:szCs w:val="24"/>
          <w:lang w:eastAsia="zh-CN"/>
        </w:rPr>
        <w:tab/>
      </w:r>
      <w:r>
        <w:rPr>
          <w:rFonts w:ascii="宋体" w:hAnsi="宋体" w:eastAsia="宋体" w:cs="宋体"/>
          <w:spacing w:val="-3"/>
          <w:sz w:val="24"/>
          <w:szCs w:val="24"/>
          <w:lang w:eastAsia="zh-CN"/>
        </w:rPr>
        <w:t>GB50289-2016</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《防洪标准》</w:t>
      </w:r>
      <w:r>
        <w:rPr>
          <w:rFonts w:ascii="宋体" w:hAnsi="宋体" w:eastAsia="宋体" w:cs="宋体"/>
          <w:spacing w:val="-3"/>
          <w:sz w:val="24"/>
          <w:szCs w:val="24"/>
          <w:lang w:eastAsia="zh-CN"/>
        </w:rPr>
        <w:t>GB50201-2014</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《给水排水管道工程施工及验收规范》</w:t>
      </w:r>
      <w:r>
        <w:rPr>
          <w:rFonts w:ascii="宋体" w:hAnsi="宋体" w:eastAsia="宋体" w:cs="宋体"/>
          <w:spacing w:val="-3"/>
          <w:sz w:val="24"/>
          <w:szCs w:val="24"/>
          <w:lang w:eastAsia="zh-CN"/>
        </w:rPr>
        <w:t>GB50268-2008</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《泵站设计规范》</w:t>
      </w:r>
      <w:r>
        <w:rPr>
          <w:rFonts w:ascii="宋体" w:hAnsi="宋体" w:eastAsia="宋体" w:cs="宋体"/>
          <w:spacing w:val="-3"/>
          <w:sz w:val="24"/>
          <w:szCs w:val="24"/>
          <w:lang w:eastAsia="zh-CN"/>
        </w:rPr>
        <w:t>GB/T50265-2010</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《民用建筑设计统一标准》</w:t>
      </w:r>
      <w:r>
        <w:rPr>
          <w:rFonts w:ascii="宋体" w:hAnsi="宋体" w:eastAsia="宋体" w:cs="宋体"/>
          <w:spacing w:val="-3"/>
          <w:sz w:val="24"/>
          <w:szCs w:val="24"/>
          <w:lang w:eastAsia="zh-CN"/>
        </w:rPr>
        <w:t>GB50352-2019</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《城镇排水管道维护安全技术规程》</w:t>
      </w:r>
      <w:r>
        <w:rPr>
          <w:rFonts w:ascii="宋体" w:hAnsi="宋体" w:eastAsia="宋体" w:cs="宋体"/>
          <w:spacing w:val="-3"/>
          <w:sz w:val="24"/>
          <w:szCs w:val="24"/>
          <w:lang w:eastAsia="zh-CN"/>
        </w:rPr>
        <w:t>CJJ6-2009</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《建筑与市政工程抗震通用规范》</w:t>
      </w:r>
      <w:r>
        <w:rPr>
          <w:rFonts w:ascii="宋体" w:hAnsi="宋体" w:eastAsia="宋体" w:cs="宋体"/>
          <w:spacing w:val="-3"/>
          <w:sz w:val="24"/>
          <w:szCs w:val="24"/>
          <w:lang w:eastAsia="zh-CN"/>
        </w:rPr>
        <w:t>GB55002-2021</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《城镇排水管道非开挖修复更新工程技术规程》</w:t>
      </w:r>
      <w:r>
        <w:rPr>
          <w:rFonts w:ascii="宋体" w:hAnsi="宋体" w:eastAsia="宋体" w:cs="宋体"/>
          <w:spacing w:val="-3"/>
          <w:sz w:val="24"/>
          <w:szCs w:val="24"/>
          <w:lang w:eastAsia="zh-CN"/>
        </w:rPr>
        <w:t>CJJ/T210-2014</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《城镇排水管道检测与评估技术规程》</w:t>
      </w:r>
      <w:r>
        <w:rPr>
          <w:rFonts w:ascii="宋体" w:hAnsi="宋体" w:eastAsia="宋体" w:cs="宋体"/>
          <w:spacing w:val="-3"/>
          <w:sz w:val="24"/>
          <w:szCs w:val="24"/>
          <w:lang w:eastAsia="zh-CN"/>
        </w:rPr>
        <w:t>CJJ181-2012</w:t>
      </w:r>
    </w:p>
    <w:p>
      <w:pPr>
        <w:spacing w:line="480" w:lineRule="exact"/>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《城镇排水管渠与泵站运行、维护及安全技术规程》</w:t>
      </w:r>
      <w:r>
        <w:rPr>
          <w:rFonts w:ascii="宋体" w:hAnsi="宋体" w:eastAsia="宋体" w:cs="宋体"/>
          <w:spacing w:val="-3"/>
          <w:sz w:val="24"/>
          <w:szCs w:val="24"/>
          <w:lang w:eastAsia="zh-CN"/>
        </w:rPr>
        <w:tab/>
      </w:r>
      <w:r>
        <w:rPr>
          <w:rFonts w:ascii="宋体" w:hAnsi="宋体" w:eastAsia="宋体" w:cs="宋体"/>
          <w:spacing w:val="-3"/>
          <w:sz w:val="24"/>
          <w:szCs w:val="24"/>
          <w:lang w:eastAsia="zh-CN"/>
        </w:rPr>
        <w:t>CJJ68-2016</w:t>
      </w:r>
      <w:r>
        <w:rPr>
          <w:rFonts w:hint="eastAsia" w:ascii="宋体" w:hAnsi="宋体" w:eastAsia="宋体" w:cs="宋体"/>
          <w:spacing w:val="-3"/>
          <w:sz w:val="24"/>
          <w:szCs w:val="24"/>
          <w:lang w:eastAsia="zh-CN"/>
        </w:rPr>
        <w:t>。</w:t>
      </w:r>
    </w:p>
    <w:p>
      <w:pPr>
        <w:spacing w:line="480" w:lineRule="exact"/>
        <w:ind w:firstLine="470" w:firstLineChars="200"/>
        <w:rPr>
          <w:rFonts w:ascii="宋体" w:hAnsi="宋体" w:eastAsia="宋体" w:cs="宋体"/>
          <w:b/>
          <w:bCs/>
          <w:spacing w:val="-3"/>
          <w:sz w:val="24"/>
          <w:szCs w:val="24"/>
          <w:lang w:eastAsia="zh-CN"/>
        </w:rPr>
      </w:pPr>
      <w:r>
        <w:rPr>
          <w:rFonts w:ascii="宋体" w:hAnsi="宋体" w:eastAsia="宋体" w:cs="宋体"/>
          <w:b/>
          <w:bCs/>
          <w:spacing w:val="-3"/>
          <w:sz w:val="24"/>
          <w:szCs w:val="24"/>
          <w:lang w:eastAsia="zh-CN"/>
        </w:rPr>
        <w:t>6</w:t>
      </w:r>
      <w:r>
        <w:rPr>
          <w:rFonts w:hint="eastAsia" w:ascii="宋体" w:hAnsi="宋体" w:eastAsia="宋体" w:cs="宋体"/>
          <w:b/>
          <w:bCs/>
          <w:spacing w:val="-3"/>
          <w:sz w:val="24"/>
          <w:szCs w:val="24"/>
          <w:lang w:eastAsia="zh-CN"/>
        </w:rPr>
        <w:t>、设计工作内容</w:t>
      </w:r>
    </w:p>
    <w:p>
      <w:pPr>
        <w:spacing w:line="480" w:lineRule="exact"/>
        <w:ind w:firstLine="468" w:firstLineChars="200"/>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（一）污水管网及处理设施</w:t>
      </w:r>
    </w:p>
    <w:p>
      <w:pPr>
        <w:spacing w:line="480" w:lineRule="exact"/>
        <w:ind w:firstLine="468" w:firstLineChars="200"/>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本工程新建污水管网</w:t>
      </w:r>
      <w:r>
        <w:rPr>
          <w:rFonts w:ascii="宋体" w:hAnsi="宋体" w:eastAsia="宋体" w:cs="宋体"/>
          <w:spacing w:val="-3"/>
          <w:sz w:val="24"/>
          <w:szCs w:val="24"/>
          <w:lang w:eastAsia="zh-CN"/>
        </w:rPr>
        <w:t>83.60</w:t>
      </w:r>
      <w:r>
        <w:rPr>
          <w:rFonts w:hint="eastAsia" w:ascii="宋体" w:hAnsi="宋体" w:eastAsia="宋体" w:cs="宋体"/>
          <w:spacing w:val="-3"/>
          <w:sz w:val="24"/>
          <w:szCs w:val="24"/>
          <w:lang w:eastAsia="zh-CN"/>
        </w:rPr>
        <w:t>公里及配套污水处理设施。建设地点位于遂川县碧洲、草林、巾石、枚江、泉江、汤湖、零田、珠田等</w:t>
      </w:r>
      <w:r>
        <w:rPr>
          <w:rFonts w:ascii="宋体" w:hAnsi="宋体" w:eastAsia="宋体" w:cs="宋体"/>
          <w:spacing w:val="-3"/>
          <w:sz w:val="24"/>
          <w:szCs w:val="24"/>
          <w:lang w:eastAsia="zh-CN"/>
        </w:rPr>
        <w:t>8</w:t>
      </w:r>
      <w:r>
        <w:rPr>
          <w:rFonts w:hint="eastAsia" w:ascii="宋体" w:hAnsi="宋体" w:eastAsia="宋体" w:cs="宋体"/>
          <w:spacing w:val="-3"/>
          <w:sz w:val="24"/>
          <w:szCs w:val="24"/>
          <w:lang w:eastAsia="zh-CN"/>
        </w:rPr>
        <w:t>个乡镇，采用</w:t>
      </w:r>
      <w:r>
        <w:rPr>
          <w:rFonts w:ascii="宋体" w:hAnsi="宋体" w:eastAsia="宋体" w:cs="宋体"/>
          <w:spacing w:val="-3"/>
          <w:sz w:val="24"/>
          <w:szCs w:val="24"/>
          <w:lang w:eastAsia="zh-CN"/>
        </w:rPr>
        <w:t>DN200-300HDPE</w:t>
      </w:r>
      <w:r>
        <w:rPr>
          <w:rFonts w:hint="eastAsia" w:ascii="宋体" w:hAnsi="宋体" w:eastAsia="宋体" w:cs="宋体"/>
          <w:spacing w:val="-3"/>
          <w:sz w:val="24"/>
          <w:szCs w:val="24"/>
          <w:lang w:eastAsia="zh-CN"/>
        </w:rPr>
        <w:t>缠绕增强管</w:t>
      </w:r>
      <w:r>
        <w:rPr>
          <w:rFonts w:ascii="宋体" w:hAnsi="宋体" w:eastAsia="宋体" w:cs="宋体"/>
          <w:spacing w:val="-3"/>
          <w:sz w:val="24"/>
          <w:szCs w:val="24"/>
          <w:lang w:eastAsia="zh-CN"/>
        </w:rPr>
        <w:t>;</w:t>
      </w:r>
      <w:r>
        <w:rPr>
          <w:rFonts w:hint="eastAsia" w:ascii="宋体" w:hAnsi="宋体" w:eastAsia="宋体" w:cs="宋体"/>
          <w:spacing w:val="-3"/>
          <w:sz w:val="24"/>
          <w:szCs w:val="24"/>
          <w:lang w:eastAsia="zh-CN"/>
        </w:rPr>
        <w:t>设污水处理站</w:t>
      </w:r>
      <w:r>
        <w:rPr>
          <w:rFonts w:ascii="宋体" w:hAnsi="宋体" w:eastAsia="宋体" w:cs="宋体"/>
          <w:spacing w:val="-3"/>
          <w:sz w:val="24"/>
          <w:szCs w:val="24"/>
          <w:lang w:eastAsia="zh-CN"/>
        </w:rPr>
        <w:t>25</w:t>
      </w:r>
      <w:r>
        <w:rPr>
          <w:rFonts w:hint="eastAsia" w:ascii="宋体" w:hAnsi="宋体" w:eastAsia="宋体" w:cs="宋体"/>
          <w:spacing w:val="-3"/>
          <w:sz w:val="24"/>
          <w:szCs w:val="24"/>
          <w:lang w:eastAsia="zh-CN"/>
        </w:rPr>
        <w:t>座，预计日收集污水量</w:t>
      </w:r>
      <w:r>
        <w:rPr>
          <w:rFonts w:ascii="宋体" w:hAnsi="宋体" w:eastAsia="宋体" w:cs="宋体"/>
          <w:spacing w:val="-3"/>
          <w:sz w:val="24"/>
          <w:szCs w:val="24"/>
          <w:lang w:eastAsia="zh-CN"/>
        </w:rPr>
        <w:t>430</w:t>
      </w:r>
      <w:r>
        <w:rPr>
          <w:rFonts w:hint="eastAsia" w:ascii="宋体" w:hAnsi="宋体" w:eastAsia="宋体" w:cs="宋体"/>
          <w:spacing w:val="-3"/>
          <w:sz w:val="24"/>
          <w:szCs w:val="24"/>
          <w:lang w:eastAsia="zh-CN"/>
        </w:rPr>
        <w:t>立方米。执行江西省《农村生活污水处理设施水污染物排放标准》</w:t>
      </w:r>
      <w:r>
        <w:rPr>
          <w:rFonts w:ascii="宋体" w:hAnsi="宋体" w:eastAsia="宋体" w:cs="宋体"/>
          <w:spacing w:val="-3"/>
          <w:sz w:val="24"/>
          <w:szCs w:val="24"/>
          <w:lang w:eastAsia="zh-CN"/>
        </w:rPr>
        <w:t>DB36/1102-2019</w:t>
      </w:r>
      <w:r>
        <w:rPr>
          <w:rFonts w:hint="eastAsia" w:ascii="宋体" w:hAnsi="宋体" w:eastAsia="宋体" w:cs="宋体"/>
          <w:spacing w:val="-3"/>
          <w:sz w:val="24"/>
          <w:szCs w:val="24"/>
          <w:lang w:eastAsia="zh-CN"/>
        </w:rPr>
        <w:t>三级标准</w:t>
      </w:r>
      <w:r>
        <w:rPr>
          <w:rFonts w:ascii="宋体" w:hAnsi="宋体" w:eastAsia="宋体" w:cs="宋体"/>
          <w:spacing w:val="-3"/>
          <w:sz w:val="24"/>
          <w:szCs w:val="24"/>
          <w:lang w:eastAsia="zh-CN"/>
        </w:rPr>
        <w:t>;</w:t>
      </w:r>
      <w:r>
        <w:rPr>
          <w:rFonts w:hint="eastAsia" w:ascii="宋体" w:hAnsi="宋体" w:eastAsia="宋体" w:cs="宋体"/>
          <w:spacing w:val="-3"/>
          <w:sz w:val="24"/>
          <w:szCs w:val="24"/>
          <w:lang w:eastAsia="zh-CN"/>
        </w:rPr>
        <w:t>大于</w:t>
      </w:r>
      <w:r>
        <w:rPr>
          <w:rFonts w:ascii="宋体" w:hAnsi="宋体" w:eastAsia="宋体" w:cs="宋体"/>
          <w:spacing w:val="-3"/>
          <w:sz w:val="24"/>
          <w:szCs w:val="24"/>
          <w:lang w:eastAsia="zh-CN"/>
        </w:rPr>
        <w:t>5</w:t>
      </w:r>
      <w:r>
        <w:rPr>
          <w:rFonts w:hint="eastAsia" w:ascii="宋体" w:hAnsi="宋体" w:eastAsia="宋体" w:cs="宋体"/>
          <w:spacing w:val="-3"/>
          <w:sz w:val="24"/>
          <w:szCs w:val="24"/>
          <w:lang w:eastAsia="zh-CN"/>
        </w:rPr>
        <w:t>立方米</w:t>
      </w:r>
      <w:r>
        <w:rPr>
          <w:rFonts w:ascii="宋体" w:hAnsi="宋体" w:eastAsia="宋体" w:cs="宋体"/>
          <w:spacing w:val="-3"/>
          <w:sz w:val="24"/>
          <w:szCs w:val="24"/>
          <w:lang w:eastAsia="zh-CN"/>
        </w:rPr>
        <w:t>/</w:t>
      </w:r>
      <w:r>
        <w:rPr>
          <w:rFonts w:hint="eastAsia" w:ascii="宋体" w:hAnsi="宋体" w:eastAsia="宋体" w:cs="宋体"/>
          <w:spacing w:val="-3"/>
          <w:sz w:val="24"/>
          <w:szCs w:val="24"/>
          <w:lang w:eastAsia="zh-CN"/>
        </w:rPr>
        <w:t>天且小于</w:t>
      </w:r>
      <w:r>
        <w:rPr>
          <w:rFonts w:ascii="宋体" w:hAnsi="宋体" w:eastAsia="宋体" w:cs="宋体"/>
          <w:spacing w:val="-3"/>
          <w:sz w:val="24"/>
          <w:szCs w:val="24"/>
          <w:lang w:eastAsia="zh-CN"/>
        </w:rPr>
        <w:t>50</w:t>
      </w:r>
      <w:r>
        <w:rPr>
          <w:rFonts w:hint="eastAsia" w:ascii="宋体" w:hAnsi="宋体" w:eastAsia="宋体" w:cs="宋体"/>
          <w:spacing w:val="-3"/>
          <w:sz w:val="24"/>
          <w:szCs w:val="24"/>
          <w:lang w:eastAsia="zh-CN"/>
        </w:rPr>
        <w:t>立方米</w:t>
      </w:r>
      <w:r>
        <w:rPr>
          <w:rFonts w:ascii="宋体" w:hAnsi="宋体" w:eastAsia="宋体" w:cs="宋体"/>
          <w:spacing w:val="-3"/>
          <w:sz w:val="24"/>
          <w:szCs w:val="24"/>
          <w:lang w:eastAsia="zh-CN"/>
        </w:rPr>
        <w:t>/</w:t>
      </w:r>
      <w:r>
        <w:rPr>
          <w:rFonts w:hint="eastAsia" w:ascii="宋体" w:hAnsi="宋体" w:eastAsia="宋体" w:cs="宋体"/>
          <w:spacing w:val="-3"/>
          <w:sz w:val="24"/>
          <w:szCs w:val="24"/>
          <w:lang w:eastAsia="zh-CN"/>
        </w:rPr>
        <w:t>天的，采用预处理</w:t>
      </w:r>
      <w:r>
        <w:rPr>
          <w:rFonts w:ascii="宋体" w:hAnsi="宋体" w:eastAsia="宋体" w:cs="宋体"/>
          <w:spacing w:val="-3"/>
          <w:sz w:val="24"/>
          <w:szCs w:val="24"/>
          <w:lang w:eastAsia="zh-CN"/>
        </w:rPr>
        <w:t>+</w:t>
      </w:r>
      <w:r>
        <w:rPr>
          <w:rFonts w:hint="eastAsia" w:ascii="宋体" w:hAnsi="宋体" w:eastAsia="宋体" w:cs="宋体"/>
          <w:spacing w:val="-3"/>
          <w:sz w:val="24"/>
          <w:szCs w:val="24"/>
          <w:lang w:eastAsia="zh-CN"/>
        </w:rPr>
        <w:t>厌氧水解</w:t>
      </w:r>
      <w:r>
        <w:rPr>
          <w:rFonts w:ascii="宋体" w:hAnsi="宋体" w:eastAsia="宋体" w:cs="宋体"/>
          <w:spacing w:val="-3"/>
          <w:sz w:val="24"/>
          <w:szCs w:val="24"/>
          <w:lang w:eastAsia="zh-CN"/>
        </w:rPr>
        <w:t>+</w:t>
      </w:r>
      <w:r>
        <w:rPr>
          <w:rFonts w:hint="eastAsia" w:ascii="宋体" w:hAnsi="宋体" w:eastAsia="宋体" w:cs="宋体"/>
          <w:spacing w:val="-3"/>
          <w:sz w:val="24"/>
          <w:szCs w:val="24"/>
          <w:lang w:eastAsia="zh-CN"/>
        </w:rPr>
        <w:t>人工湿地工艺，执行二级标准。临近乡镇存在集中式收集处理条件的村点，接入现状污水处理站统一处理。</w:t>
      </w:r>
    </w:p>
    <w:p>
      <w:pPr>
        <w:spacing w:line="480" w:lineRule="exact"/>
        <w:ind w:firstLine="468" w:firstLineChars="200"/>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（二）生活垃圾处运设施</w:t>
      </w:r>
    </w:p>
    <w:p>
      <w:pPr>
        <w:spacing w:line="480" w:lineRule="exact"/>
        <w:ind w:firstLine="468" w:firstLineChars="200"/>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本项目购置村内垃圾桶</w:t>
      </w:r>
      <w:r>
        <w:rPr>
          <w:rFonts w:ascii="宋体" w:hAnsi="宋体" w:eastAsia="宋体" w:cs="宋体"/>
          <w:spacing w:val="-3"/>
          <w:sz w:val="24"/>
          <w:szCs w:val="24"/>
          <w:lang w:eastAsia="zh-CN"/>
        </w:rPr>
        <w:t>901</w:t>
      </w:r>
      <w:r>
        <w:rPr>
          <w:rFonts w:hint="eastAsia" w:ascii="宋体" w:hAnsi="宋体" w:eastAsia="宋体" w:cs="宋体"/>
          <w:spacing w:val="-3"/>
          <w:sz w:val="24"/>
          <w:szCs w:val="24"/>
          <w:lang w:eastAsia="zh-CN"/>
        </w:rPr>
        <w:t>套，购置村内垃圾箱</w:t>
      </w:r>
      <w:r>
        <w:rPr>
          <w:rFonts w:ascii="宋体" w:hAnsi="宋体" w:eastAsia="宋体" w:cs="宋体"/>
          <w:spacing w:val="-3"/>
          <w:sz w:val="24"/>
          <w:szCs w:val="24"/>
          <w:lang w:eastAsia="zh-CN"/>
        </w:rPr>
        <w:t>279</w:t>
      </w:r>
      <w:r>
        <w:rPr>
          <w:rFonts w:hint="eastAsia" w:ascii="宋体" w:hAnsi="宋体" w:eastAsia="宋体" w:cs="宋体"/>
          <w:spacing w:val="-3"/>
          <w:sz w:val="24"/>
          <w:szCs w:val="24"/>
          <w:lang w:eastAsia="zh-CN"/>
        </w:rPr>
        <w:t>套，购置小型垃圾收集车</w:t>
      </w:r>
      <w:r>
        <w:rPr>
          <w:rFonts w:ascii="宋体" w:hAnsi="宋体" w:eastAsia="宋体" w:cs="宋体"/>
          <w:spacing w:val="-3"/>
          <w:sz w:val="24"/>
          <w:szCs w:val="24"/>
          <w:lang w:eastAsia="zh-CN"/>
        </w:rPr>
        <w:t>7</w:t>
      </w:r>
      <w:r>
        <w:rPr>
          <w:rFonts w:hint="eastAsia" w:ascii="宋体" w:hAnsi="宋体" w:eastAsia="宋体" w:cs="宋体"/>
          <w:spacing w:val="-3"/>
          <w:sz w:val="24"/>
          <w:szCs w:val="24"/>
          <w:lang w:eastAsia="zh-CN"/>
        </w:rPr>
        <w:t>辆，购置中型垃圾收集车</w:t>
      </w:r>
      <w:r>
        <w:rPr>
          <w:rFonts w:ascii="宋体" w:hAnsi="宋体" w:eastAsia="宋体" w:cs="宋体"/>
          <w:spacing w:val="-3"/>
          <w:sz w:val="24"/>
          <w:szCs w:val="24"/>
          <w:lang w:eastAsia="zh-CN"/>
        </w:rPr>
        <w:t>4</w:t>
      </w:r>
      <w:r>
        <w:rPr>
          <w:rFonts w:hint="eastAsia" w:ascii="宋体" w:hAnsi="宋体" w:eastAsia="宋体" w:cs="宋体"/>
          <w:spacing w:val="-3"/>
          <w:sz w:val="24"/>
          <w:szCs w:val="24"/>
          <w:lang w:eastAsia="zh-CN"/>
        </w:rPr>
        <w:t>辆，采用“户分类、村收集、镇转运、集中处理”模式处理生活垃圾。</w:t>
      </w:r>
    </w:p>
    <w:p>
      <w:pPr>
        <w:spacing w:line="480" w:lineRule="exact"/>
        <w:ind w:firstLine="468" w:firstLineChars="200"/>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（三）道路修复工程</w:t>
      </w:r>
    </w:p>
    <w:p>
      <w:pPr>
        <w:spacing w:line="480" w:lineRule="exact"/>
        <w:ind w:firstLine="468" w:firstLineChars="200"/>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本项目修复破损路面</w:t>
      </w:r>
      <w:r>
        <w:rPr>
          <w:rFonts w:ascii="宋体" w:hAnsi="宋体" w:eastAsia="宋体" w:cs="宋体"/>
          <w:spacing w:val="-3"/>
          <w:sz w:val="24"/>
          <w:szCs w:val="24"/>
          <w:lang w:eastAsia="zh-CN"/>
        </w:rPr>
        <w:t>58300</w:t>
      </w:r>
      <w:r>
        <w:rPr>
          <w:rFonts w:hint="eastAsia" w:ascii="宋体" w:hAnsi="宋体" w:eastAsia="宋体" w:cs="宋体"/>
          <w:spacing w:val="-3"/>
          <w:sz w:val="24"/>
          <w:szCs w:val="24"/>
          <w:lang w:eastAsia="zh-CN"/>
        </w:rPr>
        <w:t>米，配置路灯</w:t>
      </w:r>
      <w:r>
        <w:rPr>
          <w:rFonts w:ascii="宋体" w:hAnsi="宋体" w:eastAsia="宋体" w:cs="宋体"/>
          <w:spacing w:val="-3"/>
          <w:sz w:val="24"/>
          <w:szCs w:val="24"/>
          <w:lang w:eastAsia="zh-CN"/>
        </w:rPr>
        <w:t>2635</w:t>
      </w:r>
      <w:r>
        <w:rPr>
          <w:rFonts w:hint="eastAsia" w:ascii="宋体" w:hAnsi="宋体" w:eastAsia="宋体" w:cs="宋体"/>
          <w:spacing w:val="-3"/>
          <w:sz w:val="24"/>
          <w:szCs w:val="24"/>
          <w:lang w:eastAsia="zh-CN"/>
        </w:rPr>
        <w:t>个，新建排水沟</w:t>
      </w:r>
      <w:r>
        <w:rPr>
          <w:rFonts w:ascii="宋体" w:hAnsi="宋体" w:eastAsia="宋体" w:cs="宋体"/>
          <w:spacing w:val="-3"/>
          <w:sz w:val="24"/>
          <w:szCs w:val="24"/>
          <w:lang w:eastAsia="zh-CN"/>
        </w:rPr>
        <w:t>25600</w:t>
      </w:r>
      <w:r>
        <w:rPr>
          <w:rFonts w:hint="eastAsia" w:ascii="宋体" w:hAnsi="宋体" w:eastAsia="宋体" w:cs="宋体"/>
          <w:spacing w:val="-3"/>
          <w:sz w:val="24"/>
          <w:szCs w:val="24"/>
          <w:lang w:eastAsia="zh-CN"/>
        </w:rPr>
        <w:t>米，对现状破损严重的路面面层进行翻修，并且对原无照明、无排水沟的路段进行补充。其中道路面层均按混凝土材质进行修复，道路均按乡道等级考虑，面层厚度为</w:t>
      </w:r>
      <w:r>
        <w:rPr>
          <w:rFonts w:ascii="宋体" w:hAnsi="宋体" w:eastAsia="宋体" w:cs="宋体"/>
          <w:spacing w:val="-3"/>
          <w:sz w:val="24"/>
          <w:szCs w:val="24"/>
          <w:lang w:eastAsia="zh-CN"/>
        </w:rPr>
        <w:t>22cm</w:t>
      </w:r>
      <w:r>
        <w:rPr>
          <w:rFonts w:hint="eastAsia" w:ascii="宋体" w:hAnsi="宋体" w:eastAsia="宋体" w:cs="宋体"/>
          <w:spacing w:val="-3"/>
          <w:sz w:val="24"/>
          <w:szCs w:val="24"/>
          <w:lang w:eastAsia="zh-CN"/>
        </w:rPr>
        <w:t>。另外，本项目结合产业发展需要，新建景点连接村庄道路</w:t>
      </w:r>
      <w:r>
        <w:rPr>
          <w:rFonts w:ascii="宋体" w:hAnsi="宋体" w:eastAsia="宋体" w:cs="宋体"/>
          <w:spacing w:val="-3"/>
          <w:sz w:val="24"/>
          <w:szCs w:val="24"/>
          <w:lang w:eastAsia="zh-CN"/>
        </w:rPr>
        <w:t>9500</w:t>
      </w:r>
      <w:r>
        <w:rPr>
          <w:rFonts w:hint="eastAsia" w:ascii="宋体" w:hAnsi="宋体" w:eastAsia="宋体" w:cs="宋体"/>
          <w:spacing w:val="-3"/>
          <w:sz w:val="24"/>
          <w:szCs w:val="24"/>
          <w:lang w:eastAsia="zh-CN"/>
        </w:rPr>
        <w:t>米，道路改建</w:t>
      </w:r>
      <w:r>
        <w:rPr>
          <w:rFonts w:ascii="宋体" w:hAnsi="宋体" w:eastAsia="宋体" w:cs="宋体"/>
          <w:spacing w:val="-3"/>
          <w:sz w:val="24"/>
          <w:szCs w:val="24"/>
          <w:lang w:eastAsia="zh-CN"/>
        </w:rPr>
        <w:t>17400</w:t>
      </w:r>
      <w:r>
        <w:rPr>
          <w:rFonts w:hint="eastAsia" w:ascii="宋体" w:hAnsi="宋体" w:eastAsia="宋体" w:cs="宋体"/>
          <w:spacing w:val="-3"/>
          <w:sz w:val="24"/>
          <w:szCs w:val="24"/>
          <w:lang w:eastAsia="zh-CN"/>
        </w:rPr>
        <w:t>米，同步新建路边排水沟</w:t>
      </w:r>
      <w:r>
        <w:rPr>
          <w:rFonts w:ascii="宋体" w:hAnsi="宋体" w:eastAsia="宋体" w:cs="宋体"/>
          <w:spacing w:val="-3"/>
          <w:sz w:val="24"/>
          <w:szCs w:val="24"/>
          <w:lang w:eastAsia="zh-CN"/>
        </w:rPr>
        <w:t>26900</w:t>
      </w:r>
      <w:r>
        <w:rPr>
          <w:rFonts w:hint="eastAsia" w:ascii="宋体" w:hAnsi="宋体" w:eastAsia="宋体" w:cs="宋体"/>
          <w:spacing w:val="-3"/>
          <w:sz w:val="24"/>
          <w:szCs w:val="24"/>
          <w:lang w:eastAsia="zh-CN"/>
        </w:rPr>
        <w:t>米，新建两处公共停车场共</w:t>
      </w:r>
      <w:r>
        <w:rPr>
          <w:rFonts w:ascii="宋体" w:hAnsi="宋体" w:eastAsia="宋体" w:cs="宋体"/>
          <w:spacing w:val="-3"/>
          <w:sz w:val="24"/>
          <w:szCs w:val="24"/>
          <w:lang w:eastAsia="zh-CN"/>
        </w:rPr>
        <w:t>900</w:t>
      </w:r>
      <w:r>
        <w:rPr>
          <w:rFonts w:hint="eastAsia" w:ascii="宋体" w:hAnsi="宋体" w:eastAsia="宋体" w:cs="宋体"/>
          <w:spacing w:val="-3"/>
          <w:sz w:val="24"/>
          <w:szCs w:val="24"/>
          <w:lang w:eastAsia="zh-CN"/>
        </w:rPr>
        <w:t>平方米，其中道路面层均按混凝土材质进行修复，道路均按乡道等级考虑，面层厚度为</w:t>
      </w:r>
      <w:r>
        <w:rPr>
          <w:rFonts w:ascii="宋体" w:hAnsi="宋体" w:eastAsia="宋体" w:cs="宋体"/>
          <w:spacing w:val="-3"/>
          <w:sz w:val="24"/>
          <w:szCs w:val="24"/>
          <w:lang w:eastAsia="zh-CN"/>
        </w:rPr>
        <w:t>22cm</w:t>
      </w:r>
      <w:r>
        <w:rPr>
          <w:rFonts w:hint="eastAsia" w:ascii="宋体" w:hAnsi="宋体" w:eastAsia="宋体" w:cs="宋体"/>
          <w:spacing w:val="-3"/>
          <w:sz w:val="24"/>
          <w:szCs w:val="24"/>
          <w:lang w:eastAsia="zh-CN"/>
        </w:rPr>
        <w:t>，公共停车场均为自走式停车场，停车场地坪材质为混凝土。</w:t>
      </w:r>
    </w:p>
    <w:p>
      <w:pPr>
        <w:spacing w:line="480" w:lineRule="exact"/>
        <w:ind w:firstLine="470" w:firstLineChars="200"/>
        <w:rPr>
          <w:rFonts w:ascii="宋体" w:hAnsi="宋体" w:eastAsia="宋体" w:cs="宋体"/>
          <w:b/>
          <w:bCs/>
          <w:spacing w:val="-3"/>
          <w:sz w:val="24"/>
          <w:szCs w:val="24"/>
          <w:lang w:eastAsia="zh-CN"/>
        </w:rPr>
      </w:pPr>
      <w:r>
        <w:rPr>
          <w:rFonts w:ascii="宋体" w:hAnsi="宋体" w:eastAsia="宋体" w:cs="宋体"/>
          <w:b/>
          <w:bCs/>
          <w:spacing w:val="-3"/>
          <w:sz w:val="24"/>
          <w:szCs w:val="24"/>
          <w:lang w:eastAsia="zh-CN"/>
        </w:rPr>
        <w:t>7</w:t>
      </w:r>
      <w:r>
        <w:rPr>
          <w:rFonts w:hint="eastAsia" w:ascii="宋体" w:hAnsi="宋体" w:eastAsia="宋体" w:cs="宋体"/>
          <w:b/>
          <w:bCs/>
          <w:spacing w:val="-3"/>
          <w:sz w:val="24"/>
          <w:szCs w:val="24"/>
          <w:lang w:eastAsia="zh-CN"/>
        </w:rPr>
        <w:t>、设计成果要求</w:t>
      </w:r>
    </w:p>
    <w:p>
      <w:pPr>
        <w:spacing w:line="480" w:lineRule="exact"/>
        <w:ind w:firstLine="468" w:firstLineChars="200"/>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提交设计成果文件的内容深度必须符合国家有关规范要求及本文件的有关规定，包含但不限于以下内容：</w:t>
      </w:r>
    </w:p>
    <w:p>
      <w:pPr>
        <w:spacing w:line="480" w:lineRule="exact"/>
        <w:ind w:firstLine="468" w:firstLineChars="200"/>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1）设计说明书</w:t>
      </w:r>
    </w:p>
    <w:p>
      <w:pPr>
        <w:spacing w:line="480" w:lineRule="exact"/>
        <w:ind w:firstLine="468" w:firstLineChars="200"/>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（一）概述</w:t>
      </w:r>
    </w:p>
    <w:p>
      <w:pPr>
        <w:spacing w:line="480" w:lineRule="exact"/>
        <w:ind w:firstLine="468" w:firstLineChars="200"/>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（二）工程建设条件</w:t>
      </w:r>
    </w:p>
    <w:p>
      <w:pPr>
        <w:spacing w:line="480" w:lineRule="exact"/>
        <w:ind w:firstLine="468" w:firstLineChars="200"/>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（三）工程设计</w:t>
      </w:r>
    </w:p>
    <w:p>
      <w:pPr>
        <w:spacing w:line="480" w:lineRule="exact"/>
        <w:ind w:firstLine="468" w:firstLineChars="200"/>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2）设计图纸册</w:t>
      </w:r>
    </w:p>
    <w:p>
      <w:pPr>
        <w:spacing w:line="480" w:lineRule="exact"/>
        <w:ind w:firstLine="468" w:firstLineChars="200"/>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各专业图纸需协调一致，确保设计深度符合相关规范要求。</w:t>
      </w:r>
    </w:p>
    <w:p>
      <w:pPr>
        <w:spacing w:line="480" w:lineRule="exact"/>
        <w:ind w:firstLine="468" w:firstLineChars="200"/>
        <w:rPr>
          <w:rFonts w:ascii="宋体" w:hAnsi="宋体" w:eastAsia="宋体" w:cs="宋体"/>
          <w:spacing w:val="-3"/>
          <w:sz w:val="24"/>
          <w:szCs w:val="24"/>
          <w:lang w:eastAsia="zh-CN"/>
        </w:rPr>
      </w:pPr>
      <w:r>
        <w:rPr>
          <w:rFonts w:ascii="宋体" w:hAnsi="宋体" w:eastAsia="宋体" w:cs="宋体"/>
          <w:spacing w:val="-3"/>
          <w:sz w:val="24"/>
          <w:szCs w:val="24"/>
          <w:lang w:eastAsia="zh-CN"/>
        </w:rPr>
        <w:t>3</w:t>
      </w:r>
      <w:r>
        <w:rPr>
          <w:rFonts w:hint="eastAsia" w:ascii="宋体" w:hAnsi="宋体" w:eastAsia="宋体" w:cs="宋体"/>
          <w:spacing w:val="-3"/>
          <w:sz w:val="24"/>
          <w:szCs w:val="24"/>
          <w:lang w:eastAsia="zh-CN"/>
        </w:rPr>
        <w:t>）工程概算书</w:t>
      </w:r>
    </w:p>
    <w:p>
      <w:pPr>
        <w:spacing w:line="480" w:lineRule="exact"/>
        <w:ind w:firstLine="468" w:firstLineChars="200"/>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概算文件由封面、扉页、概算编制说明、总概算书、综合概算书和单位工程概算书组成。概算编制说明应当包括工程概况、编制依据、钢材、预拌（或预制）混凝土、锯材、沥青及其制品等主材需用量、工程总投资及各项费用的构成、资金筹措及分年度使用计划。</w:t>
      </w:r>
    </w:p>
    <w:p>
      <w:pPr>
        <w:spacing w:line="480" w:lineRule="exact"/>
        <w:ind w:firstLine="468" w:firstLineChars="200"/>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建设项目总概算书由各综合概算及工程建设其他费用、预备费用、建设期贷款利息及铺底流动资金组成。</w:t>
      </w:r>
    </w:p>
    <w:p>
      <w:pPr>
        <w:spacing w:line="480" w:lineRule="exact"/>
        <w:ind w:firstLine="468" w:firstLineChars="200"/>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综合概算书由专业的单位工程概算书组成。工程内容简单的项目可以由一个或几个单项工程汇编为一份综合概算书，也可以将综合概算书的内容直接编入总概算书，而不单独编制综合概算书。</w:t>
      </w:r>
    </w:p>
    <w:p>
      <w:pPr>
        <w:spacing w:line="480" w:lineRule="exact"/>
        <w:ind w:firstLine="468" w:firstLineChars="200"/>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单位工程概算书指一项独立的建（构）筑物中按专业工程计算工程费用的设计概算文件。</w:t>
      </w:r>
    </w:p>
    <w:p>
      <w:pPr>
        <w:spacing w:line="480" w:lineRule="exact"/>
        <w:ind w:firstLine="468" w:firstLineChars="200"/>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4）主要材料及设备表</w:t>
      </w:r>
    </w:p>
    <w:p>
      <w:pPr>
        <w:spacing w:line="480" w:lineRule="exact"/>
        <w:ind w:firstLine="468" w:firstLineChars="200"/>
        <w:rPr>
          <w:rFonts w:ascii="宋体" w:hAnsi="宋体" w:eastAsia="宋体" w:cs="宋体"/>
          <w:spacing w:val="-3"/>
          <w:sz w:val="24"/>
          <w:szCs w:val="24"/>
          <w:lang w:eastAsia="zh-CN"/>
        </w:rPr>
      </w:pPr>
      <w:r>
        <w:rPr>
          <w:rFonts w:hint="eastAsia" w:ascii="宋体" w:hAnsi="宋体" w:eastAsia="宋体" w:cs="宋体"/>
          <w:spacing w:val="-3"/>
          <w:sz w:val="24"/>
          <w:szCs w:val="24"/>
          <w:lang w:eastAsia="zh-CN"/>
        </w:rPr>
        <w:t>工程全部所需的主要设备材料的名称、规格（型号）、数量，以表格形式列出。</w:t>
      </w:r>
    </w:p>
    <w:p>
      <w:pPr>
        <w:spacing w:line="480" w:lineRule="exact"/>
        <w:ind w:firstLine="470" w:firstLineChars="200"/>
        <w:rPr>
          <w:rFonts w:ascii="宋体" w:hAnsi="宋体" w:eastAsia="宋体" w:cs="宋体"/>
          <w:b/>
          <w:bCs/>
          <w:spacing w:val="-3"/>
          <w:sz w:val="24"/>
          <w:szCs w:val="24"/>
          <w:lang w:eastAsia="zh-CN"/>
        </w:rPr>
      </w:pPr>
      <w:r>
        <w:rPr>
          <w:rFonts w:hint="eastAsia" w:ascii="宋体" w:hAnsi="宋体" w:eastAsia="宋体" w:cs="宋体"/>
          <w:b/>
          <w:bCs/>
          <w:spacing w:val="-3"/>
          <w:sz w:val="24"/>
          <w:szCs w:val="24"/>
          <w:lang w:eastAsia="zh-CN"/>
        </w:rPr>
        <w:t>8、项目总投资</w:t>
      </w:r>
    </w:p>
    <w:p>
      <w:pPr>
        <w:spacing w:line="480" w:lineRule="exact"/>
        <w:ind w:firstLine="468" w:firstLineChars="200"/>
        <w:rPr>
          <w:highlight w:val="none"/>
        </w:rPr>
      </w:pPr>
      <w:r>
        <w:rPr>
          <w:rFonts w:hint="eastAsia" w:ascii="宋体" w:hAnsi="宋体" w:eastAsia="宋体" w:cs="宋体"/>
          <w:spacing w:val="-3"/>
          <w:sz w:val="24"/>
          <w:szCs w:val="24"/>
          <w:highlight w:val="none"/>
          <w:lang w:eastAsia="zh-CN"/>
        </w:rPr>
        <w:t>本项目总投资额为</w:t>
      </w:r>
      <w:r>
        <w:rPr>
          <w:rFonts w:hint="eastAsia" w:ascii="宋体" w:hAnsi="宋体" w:eastAsia="宋体" w:cs="宋体"/>
          <w:b/>
          <w:bCs/>
          <w:spacing w:val="-3"/>
          <w:sz w:val="24"/>
          <w:szCs w:val="24"/>
          <w:highlight w:val="none"/>
          <w:lang w:eastAsia="zh-CN"/>
        </w:rPr>
        <w:t>9</w:t>
      </w:r>
      <w:r>
        <w:rPr>
          <w:rFonts w:hint="eastAsia" w:ascii="宋体" w:hAnsi="宋体" w:eastAsia="宋体" w:cs="宋体"/>
          <w:b/>
          <w:bCs/>
          <w:spacing w:val="-3"/>
          <w:sz w:val="24"/>
          <w:szCs w:val="24"/>
          <w:highlight w:val="none"/>
          <w:lang w:val="en-US" w:eastAsia="zh-CN"/>
        </w:rPr>
        <w:t>200</w:t>
      </w:r>
      <w:r>
        <w:rPr>
          <w:rFonts w:hint="eastAsia" w:ascii="宋体" w:hAnsi="宋体" w:eastAsia="宋体" w:cs="宋体"/>
          <w:spacing w:val="-3"/>
          <w:sz w:val="24"/>
          <w:szCs w:val="24"/>
          <w:highlight w:val="none"/>
          <w:lang w:eastAsia="zh-CN"/>
        </w:rPr>
        <w:t>万元。</w:t>
      </w:r>
    </w:p>
    <w:p>
      <w:pPr>
        <w:spacing w:before="178" w:line="226" w:lineRule="auto"/>
        <w:ind w:left="566"/>
        <w:rPr>
          <w:rFonts w:ascii="宋体" w:hAnsi="宋体" w:eastAsia="宋体" w:cs="宋体"/>
          <w:spacing w:val="5"/>
          <w:sz w:val="26"/>
          <w:szCs w:val="26"/>
          <w:highlight w:val="none"/>
        </w:rPr>
      </w:pPr>
      <w:r>
        <w:rPr>
          <w:rFonts w:hint="eastAsia" w:ascii="宋体" w:hAnsi="宋体" w:eastAsia="宋体" w:cs="宋体"/>
          <w:spacing w:val="5"/>
          <w:sz w:val="26"/>
          <w:szCs w:val="26"/>
          <w:highlight w:val="none"/>
          <w:lang w:eastAsia="zh-CN"/>
        </w:rPr>
        <w:t>二</w:t>
      </w:r>
      <w:r>
        <w:rPr>
          <w:rFonts w:ascii="宋体" w:hAnsi="宋体" w:eastAsia="宋体" w:cs="宋体"/>
          <w:spacing w:val="5"/>
          <w:sz w:val="26"/>
          <w:szCs w:val="26"/>
          <w:highlight w:val="none"/>
        </w:rPr>
        <w:t>、商务要求</w:t>
      </w:r>
    </w:p>
    <w:p>
      <w:pPr>
        <w:spacing w:before="207" w:line="226" w:lineRule="auto"/>
        <w:ind w:left="558"/>
        <w:rPr>
          <w:rFonts w:ascii="宋体" w:hAnsi="宋体" w:eastAsia="宋体" w:cs="宋体"/>
          <w:sz w:val="26"/>
          <w:szCs w:val="26"/>
          <w:highlight w:val="none"/>
        </w:rPr>
      </w:pPr>
      <w:r>
        <w:rPr>
          <w:rFonts w:ascii="宋体" w:hAnsi="宋体" w:eastAsia="宋体" w:cs="宋体"/>
          <w:color w:val="252525"/>
          <w:spacing w:val="6"/>
          <w:sz w:val="26"/>
          <w:szCs w:val="26"/>
          <w:highlight w:val="none"/>
        </w:rPr>
        <w:t>1、服务时间、方式和地点：</w:t>
      </w:r>
    </w:p>
    <w:p>
      <w:pPr>
        <w:spacing w:before="205" w:line="373" w:lineRule="auto"/>
        <w:ind w:firstLine="279"/>
        <w:rPr>
          <w:rFonts w:ascii="宋体" w:hAnsi="宋体" w:eastAsia="宋体" w:cs="宋体"/>
          <w:color w:val="auto"/>
          <w:sz w:val="26"/>
          <w:szCs w:val="26"/>
          <w:highlight w:val="none"/>
        </w:rPr>
      </w:pPr>
      <w:r>
        <w:rPr>
          <w:rFonts w:ascii="宋体" w:hAnsi="宋体" w:eastAsia="宋体" w:cs="宋体"/>
          <w:color w:val="252525"/>
          <w:spacing w:val="5"/>
          <w:sz w:val="26"/>
          <w:szCs w:val="26"/>
          <w:highlight w:val="none"/>
        </w:rPr>
        <w:t>（1）服务时间：</w:t>
      </w:r>
      <w:r>
        <w:rPr>
          <w:rFonts w:ascii="宋体" w:hAnsi="宋体" w:eastAsia="宋体" w:cs="宋体"/>
          <w:spacing w:val="5"/>
          <w:sz w:val="26"/>
          <w:szCs w:val="26"/>
          <w:highlight w:val="none"/>
        </w:rPr>
        <w:t>采购人与成交供应商应当在《</w:t>
      </w:r>
      <w:r>
        <w:rPr>
          <w:rFonts w:hint="eastAsia" w:ascii="宋体" w:hAnsi="宋体" w:eastAsia="宋体" w:cs="宋体"/>
          <w:spacing w:val="5"/>
          <w:sz w:val="26"/>
          <w:szCs w:val="26"/>
          <w:highlight w:val="none"/>
          <w:lang w:eastAsia="zh-CN"/>
        </w:rPr>
        <w:t>中标</w:t>
      </w:r>
      <w:r>
        <w:rPr>
          <w:rFonts w:ascii="宋体" w:hAnsi="宋体" w:eastAsia="宋体" w:cs="宋体"/>
          <w:spacing w:val="5"/>
          <w:sz w:val="26"/>
          <w:szCs w:val="26"/>
          <w:highlight w:val="none"/>
        </w:rPr>
        <w:t>通知书》发出之日起</w:t>
      </w:r>
      <w:r>
        <w:rPr>
          <w:rFonts w:hint="eastAsia" w:ascii="宋体" w:hAnsi="宋体" w:eastAsia="宋体" w:cs="宋体"/>
          <w:color w:val="auto"/>
          <w:spacing w:val="5"/>
          <w:sz w:val="26"/>
          <w:szCs w:val="26"/>
          <w:highlight w:val="none"/>
          <w:lang w:val="en-US" w:eastAsia="zh-CN"/>
        </w:rPr>
        <w:t>5个工作日</w:t>
      </w:r>
      <w:r>
        <w:rPr>
          <w:rFonts w:ascii="宋体" w:hAnsi="宋体" w:eastAsia="宋体" w:cs="宋体"/>
          <w:color w:val="auto"/>
          <w:spacing w:val="5"/>
          <w:sz w:val="26"/>
          <w:szCs w:val="26"/>
          <w:highlight w:val="none"/>
        </w:rPr>
        <w:t>内按</w:t>
      </w:r>
      <w:r>
        <w:rPr>
          <w:rFonts w:ascii="宋体" w:hAnsi="宋体" w:eastAsia="宋体" w:cs="宋体"/>
          <w:color w:val="auto"/>
          <w:spacing w:val="9"/>
          <w:sz w:val="26"/>
          <w:szCs w:val="26"/>
          <w:highlight w:val="none"/>
        </w:rPr>
        <w:t>照磋商文件确定的事项签订书面合同，且成交</w:t>
      </w:r>
      <w:r>
        <w:rPr>
          <w:rFonts w:ascii="宋体" w:hAnsi="宋体" w:eastAsia="宋体" w:cs="宋体"/>
          <w:color w:val="auto"/>
          <w:spacing w:val="8"/>
          <w:sz w:val="26"/>
          <w:szCs w:val="26"/>
          <w:highlight w:val="none"/>
        </w:rPr>
        <w:t>供应商须在接到采购人通知后</w:t>
      </w:r>
      <w:r>
        <w:rPr>
          <w:rFonts w:hint="eastAsia" w:ascii="宋体" w:hAnsi="宋体" w:eastAsia="宋体" w:cs="宋体"/>
          <w:color w:val="auto"/>
          <w:spacing w:val="8"/>
          <w:sz w:val="26"/>
          <w:szCs w:val="26"/>
          <w:highlight w:val="none"/>
          <w:lang w:val="en-US" w:eastAsia="zh-CN"/>
        </w:rPr>
        <w:t>2</w:t>
      </w:r>
      <w:r>
        <w:rPr>
          <w:rFonts w:ascii="宋体" w:hAnsi="宋体" w:eastAsia="宋体" w:cs="宋体"/>
          <w:color w:val="auto"/>
          <w:spacing w:val="8"/>
          <w:sz w:val="26"/>
          <w:szCs w:val="26"/>
          <w:highlight w:val="none"/>
        </w:rPr>
        <w:t>0日</w:t>
      </w:r>
      <w:r>
        <w:rPr>
          <w:rFonts w:ascii="宋体" w:hAnsi="宋体" w:eastAsia="宋体" w:cs="宋体"/>
          <w:color w:val="auto"/>
          <w:spacing w:val="7"/>
          <w:sz w:val="26"/>
          <w:szCs w:val="26"/>
          <w:highlight w:val="none"/>
        </w:rPr>
        <w:t>内提交设计成果。</w:t>
      </w:r>
    </w:p>
    <w:p>
      <w:pPr>
        <w:spacing w:before="1" w:line="373" w:lineRule="auto"/>
        <w:ind w:left="43" w:right="79" w:firstLine="236"/>
        <w:rPr>
          <w:rFonts w:ascii="宋体" w:hAnsi="宋体" w:eastAsia="宋体" w:cs="宋体"/>
          <w:sz w:val="26"/>
          <w:szCs w:val="26"/>
          <w:highlight w:val="none"/>
        </w:rPr>
      </w:pPr>
      <w:r>
        <w:rPr>
          <w:rFonts w:ascii="宋体" w:hAnsi="宋体" w:eastAsia="宋体" w:cs="宋体"/>
          <w:color w:val="252525"/>
          <w:spacing w:val="9"/>
          <w:sz w:val="26"/>
          <w:szCs w:val="26"/>
          <w:highlight w:val="none"/>
        </w:rPr>
        <w:t>（2）服务方式：采购人为中标人完成工作提供必要的条件外，其余工作由中标人</w:t>
      </w:r>
      <w:r>
        <w:rPr>
          <w:rFonts w:ascii="宋体" w:hAnsi="宋体" w:eastAsia="宋体" w:cs="宋体"/>
          <w:color w:val="252525"/>
          <w:spacing w:val="-4"/>
          <w:sz w:val="26"/>
          <w:szCs w:val="26"/>
          <w:highlight w:val="none"/>
        </w:rPr>
        <w:t>自行完成。</w:t>
      </w:r>
    </w:p>
    <w:p>
      <w:pPr>
        <w:spacing w:before="1" w:line="225" w:lineRule="auto"/>
        <w:ind w:left="279"/>
        <w:rPr>
          <w:rFonts w:ascii="宋体" w:hAnsi="宋体" w:eastAsia="宋体" w:cs="宋体"/>
          <w:sz w:val="26"/>
          <w:szCs w:val="26"/>
          <w:highlight w:val="none"/>
        </w:rPr>
      </w:pPr>
      <w:r>
        <w:rPr>
          <w:rFonts w:ascii="宋体" w:hAnsi="宋体" w:eastAsia="宋体" w:cs="宋体"/>
          <w:color w:val="252525"/>
          <w:spacing w:val="7"/>
          <w:sz w:val="26"/>
          <w:szCs w:val="26"/>
          <w:highlight w:val="none"/>
        </w:rPr>
        <w:t>（3）服务地点：采购人指定。</w:t>
      </w:r>
    </w:p>
    <w:p>
      <w:pPr>
        <w:spacing w:before="208" w:line="226" w:lineRule="auto"/>
        <w:ind w:left="542"/>
        <w:rPr>
          <w:rFonts w:ascii="宋体" w:hAnsi="宋体" w:eastAsia="宋体" w:cs="宋体"/>
          <w:spacing w:val="7"/>
          <w:sz w:val="26"/>
          <w:szCs w:val="26"/>
          <w:highlight w:val="none"/>
        </w:rPr>
      </w:pPr>
      <w:r>
        <w:rPr>
          <w:rFonts w:ascii="宋体" w:hAnsi="宋体" w:eastAsia="宋体" w:cs="宋体"/>
          <w:color w:val="252525"/>
          <w:spacing w:val="7"/>
          <w:sz w:val="26"/>
          <w:szCs w:val="26"/>
          <w:highlight w:val="none"/>
        </w:rPr>
        <w:t>2、</w:t>
      </w:r>
      <w:r>
        <w:rPr>
          <w:rFonts w:ascii="宋体" w:hAnsi="宋体" w:eastAsia="宋体" w:cs="宋体"/>
          <w:spacing w:val="7"/>
          <w:sz w:val="26"/>
          <w:szCs w:val="26"/>
          <w:highlight w:val="none"/>
        </w:rPr>
        <w:t>付款方式：以合同约定为准。</w:t>
      </w:r>
    </w:p>
    <w:p>
      <w:pPr>
        <w:spacing w:before="208" w:line="226" w:lineRule="auto"/>
        <w:ind w:left="542"/>
        <w:rPr>
          <w:rFonts w:hint="eastAsia" w:ascii="宋体" w:hAnsi="宋体" w:eastAsia="宋体" w:cs="宋体"/>
          <w:spacing w:val="7"/>
          <w:sz w:val="26"/>
          <w:szCs w:val="26"/>
          <w:highlight w:val="none"/>
          <w:lang w:val="en-US" w:eastAsia="zh-CN"/>
        </w:rPr>
      </w:pPr>
      <w:r>
        <w:rPr>
          <w:rFonts w:hint="eastAsia" w:ascii="宋体" w:hAnsi="宋体" w:eastAsia="宋体" w:cs="宋体"/>
          <w:spacing w:val="7"/>
          <w:sz w:val="26"/>
          <w:szCs w:val="26"/>
          <w:highlight w:val="none"/>
          <w:lang w:val="en-US" w:eastAsia="zh-CN"/>
        </w:rPr>
        <w:t>3、人员要求：</w:t>
      </w:r>
    </w:p>
    <w:p>
      <w:pPr>
        <w:spacing w:before="208" w:line="226" w:lineRule="auto"/>
        <w:ind w:left="542"/>
        <w:rPr>
          <w:rFonts w:hint="eastAsia" w:ascii="宋体" w:hAnsi="宋体" w:eastAsia="宋体" w:cs="宋体"/>
          <w:spacing w:val="7"/>
          <w:sz w:val="26"/>
          <w:szCs w:val="26"/>
          <w:highlight w:val="none"/>
          <w:lang w:val="en-US" w:eastAsia="zh-CN"/>
        </w:rPr>
      </w:pPr>
      <w:r>
        <w:rPr>
          <w:rFonts w:hint="eastAsia" w:ascii="宋体" w:hAnsi="宋体" w:eastAsia="宋体" w:cs="宋体"/>
          <w:spacing w:val="7"/>
          <w:sz w:val="26"/>
          <w:szCs w:val="26"/>
          <w:highlight w:val="none"/>
          <w:lang w:val="en-US" w:eastAsia="zh-CN"/>
        </w:rPr>
        <w:t>（1）项目负责人1名具有注册公用设备工程师证（给水排水）；</w:t>
      </w:r>
    </w:p>
    <w:p>
      <w:pPr>
        <w:keepNext w:val="0"/>
        <w:keepLines w:val="0"/>
        <w:pageBreakBefore w:val="0"/>
        <w:widowControl/>
        <w:kinsoku w:val="0"/>
        <w:wordWrap/>
        <w:overflowPunct/>
        <w:topLinePunct w:val="0"/>
        <w:autoSpaceDE w:val="0"/>
        <w:autoSpaceDN w:val="0"/>
        <w:bidi w:val="0"/>
        <w:adjustRightInd w:val="0"/>
        <w:snapToGrid w:val="0"/>
        <w:spacing w:line="226" w:lineRule="auto"/>
        <w:ind w:left="0" w:firstLine="548" w:firstLineChars="200"/>
        <w:textAlignment w:val="baseline"/>
        <w:rPr>
          <w:rFonts w:hint="default" w:ascii="宋体" w:hAnsi="宋体" w:eastAsia="宋体" w:cs="宋体"/>
          <w:spacing w:val="7"/>
          <w:sz w:val="26"/>
          <w:szCs w:val="26"/>
          <w:highlight w:val="none"/>
          <w:lang w:val="en-US" w:eastAsia="zh-CN"/>
        </w:rPr>
      </w:pPr>
      <w:r>
        <w:rPr>
          <w:rFonts w:hint="eastAsia" w:ascii="宋体" w:hAnsi="宋体" w:eastAsia="宋体" w:cs="宋体"/>
          <w:spacing w:val="7"/>
          <w:sz w:val="26"/>
          <w:szCs w:val="26"/>
          <w:highlight w:val="none"/>
          <w:lang w:val="en-US" w:eastAsia="zh-CN"/>
        </w:rPr>
        <w:t>（2）专业负责人5名（给排水专业负责人1名具有注册公用设备工程师（给水排水）执业资格证；建筑专业负责人1名具有一级注册建筑师执业资格证；结构专业负责人1名具有一级注册结构师执业资格证；电气专业负责人1名具有注册电气工程师（供配电）执业资格证；道路专业负责人1名具有注册土木工程师（道路工程）执业资格证。）</w:t>
      </w:r>
    </w:p>
    <w:p>
      <w:pPr>
        <w:spacing w:before="208" w:line="372" w:lineRule="auto"/>
        <w:ind w:left="1" w:firstLine="543"/>
        <w:rPr>
          <w:rFonts w:ascii="宋体" w:hAnsi="宋体" w:eastAsia="宋体" w:cs="宋体"/>
          <w:spacing w:val="8"/>
          <w:sz w:val="26"/>
          <w:szCs w:val="26"/>
          <w:highlight w:val="none"/>
        </w:rPr>
      </w:pPr>
      <w:r>
        <w:rPr>
          <w:rFonts w:hint="eastAsia" w:ascii="宋体" w:hAnsi="宋体" w:eastAsia="宋体" w:cs="宋体"/>
          <w:spacing w:val="8"/>
          <w:sz w:val="26"/>
          <w:szCs w:val="26"/>
          <w:highlight w:val="none"/>
          <w:lang w:val="en-US" w:eastAsia="zh-CN"/>
        </w:rPr>
        <w:t>4</w:t>
      </w:r>
      <w:r>
        <w:rPr>
          <w:rFonts w:hint="eastAsia" w:ascii="宋体" w:hAnsi="宋体" w:eastAsia="宋体" w:cs="宋体"/>
          <w:spacing w:val="8"/>
          <w:sz w:val="26"/>
          <w:szCs w:val="26"/>
          <w:highlight w:val="none"/>
          <w:lang w:eastAsia="zh-CN"/>
        </w:rPr>
        <w:t>、</w:t>
      </w:r>
      <w:r>
        <w:rPr>
          <w:rFonts w:ascii="宋体" w:hAnsi="宋体" w:eastAsia="宋体" w:cs="宋体"/>
          <w:spacing w:val="8"/>
          <w:sz w:val="26"/>
          <w:szCs w:val="26"/>
          <w:highlight w:val="none"/>
        </w:rPr>
        <w:t>验收：整个项目按规定的时间完成后，采购人</w:t>
      </w:r>
      <w:r>
        <w:rPr>
          <w:rFonts w:ascii="宋体" w:hAnsi="宋体" w:eastAsia="宋体" w:cs="宋体"/>
          <w:spacing w:val="7"/>
          <w:sz w:val="26"/>
          <w:szCs w:val="26"/>
          <w:highlight w:val="none"/>
        </w:rPr>
        <w:t>按磋商文件、响应文件及合同要</w:t>
      </w:r>
      <w:r>
        <w:rPr>
          <w:rFonts w:ascii="宋体" w:hAnsi="宋体" w:eastAsia="宋体" w:cs="宋体"/>
          <w:spacing w:val="9"/>
          <w:sz w:val="26"/>
          <w:szCs w:val="26"/>
          <w:highlight w:val="none"/>
        </w:rPr>
        <w:t>求进行验收，验收合格后由采购人出具验收</w:t>
      </w:r>
      <w:r>
        <w:rPr>
          <w:rFonts w:ascii="宋体" w:hAnsi="宋体" w:eastAsia="宋体" w:cs="宋体"/>
          <w:spacing w:val="8"/>
          <w:sz w:val="26"/>
          <w:szCs w:val="26"/>
          <w:highlight w:val="none"/>
        </w:rPr>
        <w:t>报告。</w:t>
      </w:r>
    </w:p>
    <w:p>
      <w:pPr>
        <w:spacing w:before="84" w:line="226" w:lineRule="auto"/>
        <w:ind w:firstLine="556" w:firstLineChars="200"/>
        <w:rPr>
          <w:rFonts w:ascii="宋体" w:hAnsi="宋体" w:eastAsia="宋体" w:cs="宋体"/>
          <w:sz w:val="26"/>
          <w:szCs w:val="26"/>
        </w:rPr>
      </w:pPr>
      <w:r>
        <w:rPr>
          <w:rFonts w:hint="eastAsia" w:ascii="宋体" w:hAnsi="宋体" w:eastAsia="宋体" w:cs="宋体"/>
          <w:spacing w:val="9"/>
          <w:sz w:val="26"/>
          <w:szCs w:val="26"/>
          <w:lang w:val="en-US" w:eastAsia="zh-CN"/>
        </w:rPr>
        <w:t>5、</w:t>
      </w:r>
      <w:r>
        <w:rPr>
          <w:rFonts w:ascii="宋体" w:hAnsi="宋体" w:eastAsia="宋体" w:cs="宋体"/>
          <w:spacing w:val="9"/>
          <w:sz w:val="26"/>
          <w:szCs w:val="26"/>
        </w:rPr>
        <w:t>响应供应商须提供符合要求的设计成果，并负责服务中出现的任何问题。</w:t>
      </w:r>
    </w:p>
    <w:p>
      <w:pPr>
        <w:spacing w:before="161" w:line="226" w:lineRule="auto"/>
        <w:ind w:firstLine="532" w:firstLineChars="200"/>
        <w:jc w:val="both"/>
        <w:rPr>
          <w:rFonts w:ascii="宋体" w:hAnsi="宋体" w:eastAsia="宋体" w:cs="宋体"/>
          <w:sz w:val="26"/>
          <w:szCs w:val="26"/>
        </w:rPr>
      </w:pPr>
      <w:r>
        <w:rPr>
          <w:rFonts w:hint="eastAsia" w:ascii="宋体" w:hAnsi="宋体" w:eastAsia="宋体" w:cs="宋体"/>
          <w:spacing w:val="3"/>
          <w:sz w:val="26"/>
          <w:szCs w:val="26"/>
          <w:lang w:val="en-US" w:eastAsia="zh-CN"/>
        </w:rPr>
        <w:t>6、</w:t>
      </w:r>
      <w:r>
        <w:rPr>
          <w:rFonts w:ascii="宋体" w:hAnsi="宋体" w:eastAsia="宋体" w:cs="宋体"/>
          <w:spacing w:val="3"/>
          <w:sz w:val="26"/>
          <w:szCs w:val="26"/>
        </w:rPr>
        <w:t>所有设计成果的知识产权问题，由各响应供应商自行负责，及承担法律责任。</w:t>
      </w:r>
    </w:p>
    <w:p>
      <w:pPr>
        <w:spacing w:before="227" w:line="226" w:lineRule="auto"/>
        <w:ind w:firstLine="552" w:firstLineChars="200"/>
        <w:rPr>
          <w:rFonts w:ascii="宋体" w:hAnsi="宋体" w:eastAsia="宋体" w:cs="宋体"/>
          <w:sz w:val="26"/>
          <w:szCs w:val="26"/>
        </w:rPr>
      </w:pPr>
      <w:r>
        <w:rPr>
          <w:rFonts w:hint="eastAsia" w:ascii="宋体" w:hAnsi="宋体" w:eastAsia="宋体" w:cs="宋体"/>
          <w:spacing w:val="8"/>
          <w:sz w:val="26"/>
          <w:szCs w:val="26"/>
          <w:lang w:val="en-US" w:eastAsia="zh-CN"/>
        </w:rPr>
        <w:t>7、</w:t>
      </w:r>
      <w:r>
        <w:rPr>
          <w:rFonts w:ascii="宋体" w:hAnsi="宋体" w:eastAsia="宋体" w:cs="宋体"/>
          <w:spacing w:val="8"/>
          <w:sz w:val="26"/>
          <w:szCs w:val="26"/>
        </w:rPr>
        <w:t>本磋商文件提出的是最低限度的要求，响</w:t>
      </w:r>
      <w:r>
        <w:rPr>
          <w:rFonts w:ascii="宋体" w:hAnsi="宋体" w:eastAsia="宋体" w:cs="宋体"/>
          <w:spacing w:val="7"/>
          <w:sz w:val="26"/>
          <w:szCs w:val="26"/>
        </w:rPr>
        <w:t>应供应商的方案应达到或优于本磋</w:t>
      </w:r>
      <w:r>
        <w:rPr>
          <w:rFonts w:ascii="宋体" w:hAnsi="宋体" w:eastAsia="宋体" w:cs="宋体"/>
          <w:spacing w:val="8"/>
          <w:sz w:val="26"/>
          <w:szCs w:val="26"/>
        </w:rPr>
        <w:t>商文件要求，且符合国家有关标准和规范要求。</w:t>
      </w:r>
    </w:p>
    <w:p>
      <w:pPr>
        <w:spacing w:before="1" w:line="225" w:lineRule="auto"/>
        <w:ind w:left="538"/>
        <w:rPr>
          <w:rFonts w:ascii="宋体" w:hAnsi="宋体" w:eastAsia="宋体" w:cs="宋体"/>
          <w:b/>
          <w:bCs/>
          <w:spacing w:val="7"/>
          <w:sz w:val="26"/>
          <w:szCs w:val="26"/>
        </w:rPr>
      </w:pPr>
      <w:bookmarkStart w:id="2" w:name="bookmark11"/>
      <w:bookmarkEnd w:id="2"/>
      <w:r>
        <w:rPr>
          <w:rFonts w:ascii="宋体" w:hAnsi="宋体" w:eastAsia="宋体" w:cs="宋体"/>
          <w:b/>
          <w:bCs/>
          <w:spacing w:val="7"/>
          <w:sz w:val="26"/>
          <w:szCs w:val="26"/>
        </w:rPr>
        <w:t>注：以上采购项目需求所有条款投标人必须满足或优于，否则投标无效。</w:t>
      </w:r>
    </w:p>
    <w:p>
      <w:pPr>
        <w:pStyle w:val="2"/>
      </w:pPr>
    </w:p>
    <w:p/>
    <w:p/>
    <w:p>
      <w:pPr>
        <w:pStyle w:val="2"/>
      </w:pPr>
    </w:p>
    <w:p/>
    <w:p>
      <w:pPr>
        <w:pStyle w:val="2"/>
      </w:pPr>
    </w:p>
    <w:p/>
    <w:p>
      <w:pPr>
        <w:pStyle w:val="2"/>
      </w:pPr>
    </w:p>
    <w:p/>
    <w:p/>
    <w:p/>
    <w:p/>
    <w:p/>
    <w:p/>
    <w:p>
      <w:pPr>
        <w:rPr>
          <w:lang w:eastAsia="zh-CN"/>
        </w:rPr>
      </w:pPr>
      <w:bookmarkStart w:id="3" w:name="_GoBack"/>
      <w:bookmarkEnd w:id="3"/>
    </w:p>
    <w:sectPr>
      <w:headerReference r:id="rId3" w:type="default"/>
      <w:footerReference r:id="rId4" w:type="default"/>
      <w:pgSz w:w="11906" w:h="16838"/>
      <w:pgMar w:top="1134" w:right="1134" w:bottom="1134" w:left="1134" w:header="0" w:footer="992" w:gutter="0"/>
      <w:pgNumType w:fmt="decimal"/>
      <w:cols w:space="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Cambria">
    <w:panose1 w:val="02040503050406030204"/>
    <w:charset w:val="00"/>
    <w:family w:val="roman"/>
    <w:pitch w:val="default"/>
    <w:sig w:usb0="E00002FF" w:usb1="400004FF"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0"/>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xyswEzAgAAYwQAAA4AAABkcnMvZTJvRG9jLnhtbK1US44TMRDdI3EH&#10;y3vSSdC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9MrSgzTqPj5x/fz&#10;z9/nX98IziBQ7cIccQ8OkbF5Zxu0zXAecJh4N6XX6QtGBH7Ie7rIK5pIeLo0m85mY7g4fMMG+NnT&#10;dedDfC+sJsnIqUf9WlnZcRtiFzqEpGzGbqRSbQ2VIXVOr99ejd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xyswEzAgAAYwQAAA4AAAAAAAAAAQAgAAAAHwEAAGRycy9lMm9Eb2MueG1sUEsF&#10;BgAAAAAGAAYAWQEAAMQFAAAAAA==&#10;">
              <v:fill on="f" focussize="0,0"/>
              <v:stroke on="f" weight="0.5pt"/>
              <v:imagedata o:title=""/>
              <o:lock v:ext="edit" aspectratio="f"/>
              <v:textbox inset="0mm,0mm,0mm,0mm" style="mso-fit-shape-to-text:t;">
                <w:txbxContent>
                  <w:p>
                    <w:pPr>
                      <w:pStyle w:val="10"/>
                    </w:pPr>
                    <w:r>
                      <w:fldChar w:fldCharType="begin"/>
                    </w:r>
                    <w:r>
                      <w:instrText xml:space="preserve"> PAGE  \* MERGEFORMAT </w:instrText>
                    </w:r>
                    <w:r>
                      <w:fldChar w:fldCharType="separate"/>
                    </w:r>
                    <w:r>
                      <w:t>56</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Bdr>
        <w:bottom w:val="none" w:color="auto" w:sz="0" w:space="1"/>
      </w:pBdr>
      <w:jc w:val="left"/>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embedTrueTypeFonts/>
  <w:saveSubsetFonts/>
  <w:bordersDoNotSurroundHeader w:val="0"/>
  <w:bordersDoNotSurroundFooter w:val="0"/>
  <w:documentProtection w:enforcement="0"/>
  <w:defaultTabStop w:val="421"/>
  <w:drawingGridHorizontalSpacing w:val="210"/>
  <w:drawingGridVerticalSpacing w:val="99999990"/>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M2N2U2NzdkMTg0MGRkNmRjZmViOWY2Y2ViMzhkNGMifQ=="/>
  </w:docVars>
  <w:rsids>
    <w:rsidRoot w:val="00F72BE7"/>
    <w:rsid w:val="0031198B"/>
    <w:rsid w:val="00412A37"/>
    <w:rsid w:val="004E6C2D"/>
    <w:rsid w:val="00585335"/>
    <w:rsid w:val="005D75BC"/>
    <w:rsid w:val="006308AB"/>
    <w:rsid w:val="007E7821"/>
    <w:rsid w:val="00847DE1"/>
    <w:rsid w:val="0087046E"/>
    <w:rsid w:val="00CD47AB"/>
    <w:rsid w:val="00D6521D"/>
    <w:rsid w:val="00F72BE7"/>
    <w:rsid w:val="01030A3F"/>
    <w:rsid w:val="013D404E"/>
    <w:rsid w:val="014707D5"/>
    <w:rsid w:val="0183453D"/>
    <w:rsid w:val="01C0501B"/>
    <w:rsid w:val="01D856D2"/>
    <w:rsid w:val="01E178D6"/>
    <w:rsid w:val="01F176F8"/>
    <w:rsid w:val="020044B1"/>
    <w:rsid w:val="023D46EC"/>
    <w:rsid w:val="02F56D74"/>
    <w:rsid w:val="02F62DEB"/>
    <w:rsid w:val="033038B1"/>
    <w:rsid w:val="03A14F29"/>
    <w:rsid w:val="03C43FA1"/>
    <w:rsid w:val="044D1E30"/>
    <w:rsid w:val="044D6EF5"/>
    <w:rsid w:val="047C47B6"/>
    <w:rsid w:val="04F64D19"/>
    <w:rsid w:val="04FA27AC"/>
    <w:rsid w:val="04FC43EA"/>
    <w:rsid w:val="052B325D"/>
    <w:rsid w:val="055600A9"/>
    <w:rsid w:val="05852631"/>
    <w:rsid w:val="05F07017"/>
    <w:rsid w:val="062D088E"/>
    <w:rsid w:val="06556626"/>
    <w:rsid w:val="06F25881"/>
    <w:rsid w:val="071A5FC4"/>
    <w:rsid w:val="071D6D01"/>
    <w:rsid w:val="076566A7"/>
    <w:rsid w:val="079A2F4B"/>
    <w:rsid w:val="07B64740"/>
    <w:rsid w:val="08045A58"/>
    <w:rsid w:val="081F5E69"/>
    <w:rsid w:val="084C7436"/>
    <w:rsid w:val="0893590C"/>
    <w:rsid w:val="08B10B5B"/>
    <w:rsid w:val="08D800EA"/>
    <w:rsid w:val="08D86F1C"/>
    <w:rsid w:val="098C4275"/>
    <w:rsid w:val="099C2AD0"/>
    <w:rsid w:val="0A341E71"/>
    <w:rsid w:val="0A5474C3"/>
    <w:rsid w:val="0A5F7AD5"/>
    <w:rsid w:val="0A630BD7"/>
    <w:rsid w:val="0AAA50E9"/>
    <w:rsid w:val="0ABB6AF5"/>
    <w:rsid w:val="0AEB7442"/>
    <w:rsid w:val="0AF15C18"/>
    <w:rsid w:val="0B212C64"/>
    <w:rsid w:val="0B3C7C36"/>
    <w:rsid w:val="0B54506D"/>
    <w:rsid w:val="0B614FF2"/>
    <w:rsid w:val="0B8D0492"/>
    <w:rsid w:val="0BC83278"/>
    <w:rsid w:val="0BCE5A19"/>
    <w:rsid w:val="0BD25EA5"/>
    <w:rsid w:val="0BDF24C4"/>
    <w:rsid w:val="0C027923"/>
    <w:rsid w:val="0C1E16F8"/>
    <w:rsid w:val="0C3B4061"/>
    <w:rsid w:val="0C4F6BDA"/>
    <w:rsid w:val="0C6242B8"/>
    <w:rsid w:val="0C9C79F9"/>
    <w:rsid w:val="0D6A36CF"/>
    <w:rsid w:val="0DB63714"/>
    <w:rsid w:val="0DBF7C0D"/>
    <w:rsid w:val="0DD264ED"/>
    <w:rsid w:val="0DD809E2"/>
    <w:rsid w:val="0DE84CCE"/>
    <w:rsid w:val="0E045967"/>
    <w:rsid w:val="0E306947"/>
    <w:rsid w:val="0E7A2A88"/>
    <w:rsid w:val="0EAA115A"/>
    <w:rsid w:val="0F3D5BC9"/>
    <w:rsid w:val="0F8346BB"/>
    <w:rsid w:val="0F8A52CF"/>
    <w:rsid w:val="0FA80009"/>
    <w:rsid w:val="0FAD17DF"/>
    <w:rsid w:val="0FAE5D7D"/>
    <w:rsid w:val="0FD04DF1"/>
    <w:rsid w:val="0FD54089"/>
    <w:rsid w:val="107F306E"/>
    <w:rsid w:val="10D80401"/>
    <w:rsid w:val="112E12F3"/>
    <w:rsid w:val="114948FA"/>
    <w:rsid w:val="115D4462"/>
    <w:rsid w:val="116D3638"/>
    <w:rsid w:val="118A4C64"/>
    <w:rsid w:val="119D0D43"/>
    <w:rsid w:val="11CB5781"/>
    <w:rsid w:val="121E36B7"/>
    <w:rsid w:val="125E4874"/>
    <w:rsid w:val="126757A9"/>
    <w:rsid w:val="12687563"/>
    <w:rsid w:val="128B5679"/>
    <w:rsid w:val="1292624E"/>
    <w:rsid w:val="12955EB0"/>
    <w:rsid w:val="129C0FBA"/>
    <w:rsid w:val="129C545E"/>
    <w:rsid w:val="129D2A07"/>
    <w:rsid w:val="139F6FB4"/>
    <w:rsid w:val="13C22CA3"/>
    <w:rsid w:val="143E0B0F"/>
    <w:rsid w:val="14B561ED"/>
    <w:rsid w:val="14F13A81"/>
    <w:rsid w:val="15265FD2"/>
    <w:rsid w:val="1538599A"/>
    <w:rsid w:val="155802A4"/>
    <w:rsid w:val="158B0678"/>
    <w:rsid w:val="15A703A2"/>
    <w:rsid w:val="15B41546"/>
    <w:rsid w:val="15D60CCA"/>
    <w:rsid w:val="168A2126"/>
    <w:rsid w:val="16907363"/>
    <w:rsid w:val="16A356CC"/>
    <w:rsid w:val="173418E5"/>
    <w:rsid w:val="17342109"/>
    <w:rsid w:val="174E29A3"/>
    <w:rsid w:val="177A6704"/>
    <w:rsid w:val="178E538D"/>
    <w:rsid w:val="17A00D84"/>
    <w:rsid w:val="17B8761D"/>
    <w:rsid w:val="17D60801"/>
    <w:rsid w:val="182E6B2B"/>
    <w:rsid w:val="18363C5F"/>
    <w:rsid w:val="186009B5"/>
    <w:rsid w:val="18846779"/>
    <w:rsid w:val="188D27E0"/>
    <w:rsid w:val="18B057C0"/>
    <w:rsid w:val="18C97898"/>
    <w:rsid w:val="18E4551E"/>
    <w:rsid w:val="18E84F59"/>
    <w:rsid w:val="18F643B3"/>
    <w:rsid w:val="19241D0A"/>
    <w:rsid w:val="19354B0E"/>
    <w:rsid w:val="193E2DCB"/>
    <w:rsid w:val="196206F1"/>
    <w:rsid w:val="198158BA"/>
    <w:rsid w:val="19DB5E7F"/>
    <w:rsid w:val="19F33BB6"/>
    <w:rsid w:val="1A551963"/>
    <w:rsid w:val="1A971DF2"/>
    <w:rsid w:val="1AAF3BB2"/>
    <w:rsid w:val="1ACB7B91"/>
    <w:rsid w:val="1AD0292A"/>
    <w:rsid w:val="1AD31D10"/>
    <w:rsid w:val="1AEE0B2F"/>
    <w:rsid w:val="1AF44F33"/>
    <w:rsid w:val="1B1E113A"/>
    <w:rsid w:val="1B4548E5"/>
    <w:rsid w:val="1B702014"/>
    <w:rsid w:val="1B8F6D81"/>
    <w:rsid w:val="1BD32665"/>
    <w:rsid w:val="1BD47A17"/>
    <w:rsid w:val="1C821675"/>
    <w:rsid w:val="1CDD16F2"/>
    <w:rsid w:val="1D085BCA"/>
    <w:rsid w:val="1D3201F7"/>
    <w:rsid w:val="1D74500E"/>
    <w:rsid w:val="1DC90749"/>
    <w:rsid w:val="1DD800C0"/>
    <w:rsid w:val="1DD91315"/>
    <w:rsid w:val="1DFE0D7B"/>
    <w:rsid w:val="1E401DA1"/>
    <w:rsid w:val="1E43791C"/>
    <w:rsid w:val="1F274302"/>
    <w:rsid w:val="1F2952CA"/>
    <w:rsid w:val="1FA0799F"/>
    <w:rsid w:val="1FAB6CE1"/>
    <w:rsid w:val="20026D16"/>
    <w:rsid w:val="200D5619"/>
    <w:rsid w:val="206155F1"/>
    <w:rsid w:val="20B54DB2"/>
    <w:rsid w:val="20D03C42"/>
    <w:rsid w:val="20F15CDC"/>
    <w:rsid w:val="21042B4C"/>
    <w:rsid w:val="210A6AC5"/>
    <w:rsid w:val="213A566A"/>
    <w:rsid w:val="21713FE8"/>
    <w:rsid w:val="2195298B"/>
    <w:rsid w:val="21CE72BA"/>
    <w:rsid w:val="22072FB3"/>
    <w:rsid w:val="22112B50"/>
    <w:rsid w:val="224433AA"/>
    <w:rsid w:val="22791318"/>
    <w:rsid w:val="22A85555"/>
    <w:rsid w:val="22B0111F"/>
    <w:rsid w:val="22BA387D"/>
    <w:rsid w:val="22D74D6F"/>
    <w:rsid w:val="22FD3CF7"/>
    <w:rsid w:val="23056708"/>
    <w:rsid w:val="234D0A23"/>
    <w:rsid w:val="23746473"/>
    <w:rsid w:val="23810484"/>
    <w:rsid w:val="23B5012E"/>
    <w:rsid w:val="23B95F8F"/>
    <w:rsid w:val="23C04A55"/>
    <w:rsid w:val="244C60C2"/>
    <w:rsid w:val="248D28F6"/>
    <w:rsid w:val="253E5089"/>
    <w:rsid w:val="25533D7B"/>
    <w:rsid w:val="25823163"/>
    <w:rsid w:val="25E2090D"/>
    <w:rsid w:val="25F37706"/>
    <w:rsid w:val="268F2EB8"/>
    <w:rsid w:val="26BE3321"/>
    <w:rsid w:val="2722776F"/>
    <w:rsid w:val="27457A1B"/>
    <w:rsid w:val="274B704D"/>
    <w:rsid w:val="279C2686"/>
    <w:rsid w:val="27EF1D1C"/>
    <w:rsid w:val="28042C4F"/>
    <w:rsid w:val="280660E7"/>
    <w:rsid w:val="281A1B28"/>
    <w:rsid w:val="286B3A4E"/>
    <w:rsid w:val="28706D19"/>
    <w:rsid w:val="28CF7D70"/>
    <w:rsid w:val="291F3D28"/>
    <w:rsid w:val="29253660"/>
    <w:rsid w:val="29BF27BE"/>
    <w:rsid w:val="29DA5D7B"/>
    <w:rsid w:val="29F02881"/>
    <w:rsid w:val="2A071140"/>
    <w:rsid w:val="2A3976B9"/>
    <w:rsid w:val="2A7D126A"/>
    <w:rsid w:val="2AB2711F"/>
    <w:rsid w:val="2AC967C3"/>
    <w:rsid w:val="2B020E86"/>
    <w:rsid w:val="2B0F5B99"/>
    <w:rsid w:val="2B514BE0"/>
    <w:rsid w:val="2B6C5691"/>
    <w:rsid w:val="2B7173B4"/>
    <w:rsid w:val="2B797C93"/>
    <w:rsid w:val="2BD630A1"/>
    <w:rsid w:val="2BDA2720"/>
    <w:rsid w:val="2BE93C1A"/>
    <w:rsid w:val="2BED313B"/>
    <w:rsid w:val="2BF10171"/>
    <w:rsid w:val="2C695F59"/>
    <w:rsid w:val="2CA90A4C"/>
    <w:rsid w:val="2CE90E48"/>
    <w:rsid w:val="2CF55C1F"/>
    <w:rsid w:val="2D376058"/>
    <w:rsid w:val="2D5B1D46"/>
    <w:rsid w:val="2D665E74"/>
    <w:rsid w:val="2D99286E"/>
    <w:rsid w:val="2DF41412"/>
    <w:rsid w:val="2DF84522"/>
    <w:rsid w:val="2E03608B"/>
    <w:rsid w:val="2E234DC0"/>
    <w:rsid w:val="2E2B0E5E"/>
    <w:rsid w:val="2E575FCC"/>
    <w:rsid w:val="2E693B84"/>
    <w:rsid w:val="2E8645F4"/>
    <w:rsid w:val="2EAA5641"/>
    <w:rsid w:val="2EB108A7"/>
    <w:rsid w:val="2ED31DB0"/>
    <w:rsid w:val="2ED9380E"/>
    <w:rsid w:val="2F3C1896"/>
    <w:rsid w:val="2F484CB1"/>
    <w:rsid w:val="2F5F3B7C"/>
    <w:rsid w:val="2FA75BCE"/>
    <w:rsid w:val="2FB63E0A"/>
    <w:rsid w:val="2FC17E5A"/>
    <w:rsid w:val="30136908"/>
    <w:rsid w:val="302614C1"/>
    <w:rsid w:val="302A2D00"/>
    <w:rsid w:val="3047382A"/>
    <w:rsid w:val="305E1890"/>
    <w:rsid w:val="30677FAE"/>
    <w:rsid w:val="30FF6F51"/>
    <w:rsid w:val="31104BF6"/>
    <w:rsid w:val="31353885"/>
    <w:rsid w:val="314D409C"/>
    <w:rsid w:val="31526CE7"/>
    <w:rsid w:val="316B62D0"/>
    <w:rsid w:val="317539BF"/>
    <w:rsid w:val="318178A1"/>
    <w:rsid w:val="31AC0DC2"/>
    <w:rsid w:val="31C55E0D"/>
    <w:rsid w:val="31E76326"/>
    <w:rsid w:val="31F84F28"/>
    <w:rsid w:val="31FE5396"/>
    <w:rsid w:val="321C6AB4"/>
    <w:rsid w:val="3233535A"/>
    <w:rsid w:val="323572F6"/>
    <w:rsid w:val="3292724F"/>
    <w:rsid w:val="329A3D4F"/>
    <w:rsid w:val="32BE2A91"/>
    <w:rsid w:val="33074498"/>
    <w:rsid w:val="33097011"/>
    <w:rsid w:val="330D4250"/>
    <w:rsid w:val="33525E3B"/>
    <w:rsid w:val="33847995"/>
    <w:rsid w:val="33AE791F"/>
    <w:rsid w:val="33F26834"/>
    <w:rsid w:val="3408478C"/>
    <w:rsid w:val="34325184"/>
    <w:rsid w:val="346E1C27"/>
    <w:rsid w:val="34A15A6B"/>
    <w:rsid w:val="34AB35B3"/>
    <w:rsid w:val="34BC717C"/>
    <w:rsid w:val="34DF14AF"/>
    <w:rsid w:val="34F27B67"/>
    <w:rsid w:val="3522571C"/>
    <w:rsid w:val="35591BE5"/>
    <w:rsid w:val="35897F29"/>
    <w:rsid w:val="35F165B8"/>
    <w:rsid w:val="35FE0154"/>
    <w:rsid w:val="36064E50"/>
    <w:rsid w:val="362863AF"/>
    <w:rsid w:val="36597105"/>
    <w:rsid w:val="36844F22"/>
    <w:rsid w:val="36D178DD"/>
    <w:rsid w:val="375460E3"/>
    <w:rsid w:val="376E2676"/>
    <w:rsid w:val="37AF0454"/>
    <w:rsid w:val="37D05C01"/>
    <w:rsid w:val="384E10B3"/>
    <w:rsid w:val="38590496"/>
    <w:rsid w:val="38613F89"/>
    <w:rsid w:val="3899102A"/>
    <w:rsid w:val="38A54E5C"/>
    <w:rsid w:val="38B12F90"/>
    <w:rsid w:val="38B62F41"/>
    <w:rsid w:val="38E34C6A"/>
    <w:rsid w:val="39012FAB"/>
    <w:rsid w:val="39225E0E"/>
    <w:rsid w:val="398A76FF"/>
    <w:rsid w:val="39A352DB"/>
    <w:rsid w:val="39BA3A1C"/>
    <w:rsid w:val="39CD7B28"/>
    <w:rsid w:val="39D440DC"/>
    <w:rsid w:val="39D96E5F"/>
    <w:rsid w:val="3A1B5E20"/>
    <w:rsid w:val="3A6B125E"/>
    <w:rsid w:val="3ACC4E51"/>
    <w:rsid w:val="3AED2409"/>
    <w:rsid w:val="3AFD443D"/>
    <w:rsid w:val="3AFE54B5"/>
    <w:rsid w:val="3B163B4E"/>
    <w:rsid w:val="3B7E51F7"/>
    <w:rsid w:val="3B857847"/>
    <w:rsid w:val="3B8811A4"/>
    <w:rsid w:val="3B9A7EDD"/>
    <w:rsid w:val="3BAC10D3"/>
    <w:rsid w:val="3BC6514F"/>
    <w:rsid w:val="3C0F220A"/>
    <w:rsid w:val="3C267544"/>
    <w:rsid w:val="3C5938F5"/>
    <w:rsid w:val="3C836BC3"/>
    <w:rsid w:val="3C8C6D91"/>
    <w:rsid w:val="3CD44D29"/>
    <w:rsid w:val="3CDE029E"/>
    <w:rsid w:val="3D36354C"/>
    <w:rsid w:val="3D3831E2"/>
    <w:rsid w:val="3D894F96"/>
    <w:rsid w:val="3DBB413B"/>
    <w:rsid w:val="3DC93A44"/>
    <w:rsid w:val="3DD11BB1"/>
    <w:rsid w:val="3DED4811"/>
    <w:rsid w:val="3E052433"/>
    <w:rsid w:val="3E1D6EB4"/>
    <w:rsid w:val="3E1F3CAD"/>
    <w:rsid w:val="3E292C29"/>
    <w:rsid w:val="3E332D34"/>
    <w:rsid w:val="3E417CA1"/>
    <w:rsid w:val="3E78615B"/>
    <w:rsid w:val="3E8E35FE"/>
    <w:rsid w:val="3E8F22E6"/>
    <w:rsid w:val="3ED90883"/>
    <w:rsid w:val="3F0A06F4"/>
    <w:rsid w:val="3F19434D"/>
    <w:rsid w:val="3F261A88"/>
    <w:rsid w:val="3F8A64BB"/>
    <w:rsid w:val="3F956A6C"/>
    <w:rsid w:val="3F984C13"/>
    <w:rsid w:val="401C6303"/>
    <w:rsid w:val="40271DD6"/>
    <w:rsid w:val="41001EE0"/>
    <w:rsid w:val="41015B84"/>
    <w:rsid w:val="410C362B"/>
    <w:rsid w:val="42090681"/>
    <w:rsid w:val="42425BDF"/>
    <w:rsid w:val="425E4D1B"/>
    <w:rsid w:val="428E7BE1"/>
    <w:rsid w:val="42B20B36"/>
    <w:rsid w:val="42FB66C8"/>
    <w:rsid w:val="43192944"/>
    <w:rsid w:val="43394480"/>
    <w:rsid w:val="438F40A0"/>
    <w:rsid w:val="447255E6"/>
    <w:rsid w:val="44A306E0"/>
    <w:rsid w:val="44CD7E13"/>
    <w:rsid w:val="453A628D"/>
    <w:rsid w:val="45436F9D"/>
    <w:rsid w:val="454B2248"/>
    <w:rsid w:val="45B61DB8"/>
    <w:rsid w:val="45D2152F"/>
    <w:rsid w:val="45D73ADC"/>
    <w:rsid w:val="45E2560A"/>
    <w:rsid w:val="45EE0F95"/>
    <w:rsid w:val="45F42F70"/>
    <w:rsid w:val="45F85626"/>
    <w:rsid w:val="45FE38D3"/>
    <w:rsid w:val="462273F5"/>
    <w:rsid w:val="46582E6F"/>
    <w:rsid w:val="466556B5"/>
    <w:rsid w:val="46710516"/>
    <w:rsid w:val="4692195B"/>
    <w:rsid w:val="46C17CB9"/>
    <w:rsid w:val="47040EA2"/>
    <w:rsid w:val="470E15D4"/>
    <w:rsid w:val="47234C6F"/>
    <w:rsid w:val="47E131DF"/>
    <w:rsid w:val="47E36768"/>
    <w:rsid w:val="47F0700D"/>
    <w:rsid w:val="4810142F"/>
    <w:rsid w:val="484162BE"/>
    <w:rsid w:val="48643D4D"/>
    <w:rsid w:val="487D7E3E"/>
    <w:rsid w:val="48967192"/>
    <w:rsid w:val="489A6313"/>
    <w:rsid w:val="48A56ADD"/>
    <w:rsid w:val="48A95C04"/>
    <w:rsid w:val="48CE0A5C"/>
    <w:rsid w:val="4949445D"/>
    <w:rsid w:val="49B51BAE"/>
    <w:rsid w:val="4A1225DB"/>
    <w:rsid w:val="4A442B3D"/>
    <w:rsid w:val="4A5E2A1E"/>
    <w:rsid w:val="4A5E47CC"/>
    <w:rsid w:val="4A7E09CA"/>
    <w:rsid w:val="4A884CC6"/>
    <w:rsid w:val="4AA55BC3"/>
    <w:rsid w:val="4ABC7D85"/>
    <w:rsid w:val="4AC97E97"/>
    <w:rsid w:val="4B0F7196"/>
    <w:rsid w:val="4BA3693A"/>
    <w:rsid w:val="4BEF3374"/>
    <w:rsid w:val="4C254B4B"/>
    <w:rsid w:val="4D07114B"/>
    <w:rsid w:val="4D403EDA"/>
    <w:rsid w:val="4D56721B"/>
    <w:rsid w:val="4D954046"/>
    <w:rsid w:val="4DC02937"/>
    <w:rsid w:val="4DE73FEC"/>
    <w:rsid w:val="4DFB2878"/>
    <w:rsid w:val="4E202AF3"/>
    <w:rsid w:val="4E304F29"/>
    <w:rsid w:val="4E6D29C4"/>
    <w:rsid w:val="4E7A06F8"/>
    <w:rsid w:val="4E9A0D74"/>
    <w:rsid w:val="4ECF2C73"/>
    <w:rsid w:val="4ED43D0A"/>
    <w:rsid w:val="4F282F37"/>
    <w:rsid w:val="4F701691"/>
    <w:rsid w:val="4FAA2095"/>
    <w:rsid w:val="4FC60E49"/>
    <w:rsid w:val="4FCD31AD"/>
    <w:rsid w:val="4FF52C71"/>
    <w:rsid w:val="502B5150"/>
    <w:rsid w:val="503A7A08"/>
    <w:rsid w:val="50440668"/>
    <w:rsid w:val="50512976"/>
    <w:rsid w:val="5052092F"/>
    <w:rsid w:val="5055041F"/>
    <w:rsid w:val="509A51EA"/>
    <w:rsid w:val="509E3ED1"/>
    <w:rsid w:val="50B319AE"/>
    <w:rsid w:val="50B44F07"/>
    <w:rsid w:val="514E559A"/>
    <w:rsid w:val="51D610EC"/>
    <w:rsid w:val="51E92988"/>
    <w:rsid w:val="520E62B8"/>
    <w:rsid w:val="528312E8"/>
    <w:rsid w:val="529A4BA7"/>
    <w:rsid w:val="52B50FFA"/>
    <w:rsid w:val="52BB3578"/>
    <w:rsid w:val="52C31E67"/>
    <w:rsid w:val="52DA54E7"/>
    <w:rsid w:val="52E468A6"/>
    <w:rsid w:val="52E8669F"/>
    <w:rsid w:val="531F42E7"/>
    <w:rsid w:val="536B75CD"/>
    <w:rsid w:val="53B077F0"/>
    <w:rsid w:val="53D6797D"/>
    <w:rsid w:val="53E775E0"/>
    <w:rsid w:val="543A0058"/>
    <w:rsid w:val="54505CA5"/>
    <w:rsid w:val="5454060E"/>
    <w:rsid w:val="54723052"/>
    <w:rsid w:val="54BC690A"/>
    <w:rsid w:val="54FD5330"/>
    <w:rsid w:val="55101FB4"/>
    <w:rsid w:val="55132EB9"/>
    <w:rsid w:val="556F3D31"/>
    <w:rsid w:val="55E101CF"/>
    <w:rsid w:val="55F00828"/>
    <w:rsid w:val="560E1519"/>
    <w:rsid w:val="56174AC2"/>
    <w:rsid w:val="56431446"/>
    <w:rsid w:val="564F3020"/>
    <w:rsid w:val="569D0B1A"/>
    <w:rsid w:val="56E5591B"/>
    <w:rsid w:val="56E8059A"/>
    <w:rsid w:val="57091C60"/>
    <w:rsid w:val="57631674"/>
    <w:rsid w:val="5794495B"/>
    <w:rsid w:val="57A500D0"/>
    <w:rsid w:val="57C351F2"/>
    <w:rsid w:val="57C6432D"/>
    <w:rsid w:val="57D4431F"/>
    <w:rsid w:val="581904FA"/>
    <w:rsid w:val="583C1011"/>
    <w:rsid w:val="58532224"/>
    <w:rsid w:val="586903C5"/>
    <w:rsid w:val="58711142"/>
    <w:rsid w:val="588726B7"/>
    <w:rsid w:val="593212FE"/>
    <w:rsid w:val="59590F80"/>
    <w:rsid w:val="59A732EE"/>
    <w:rsid w:val="59C3464B"/>
    <w:rsid w:val="59DE2BBE"/>
    <w:rsid w:val="5A28151F"/>
    <w:rsid w:val="5A410A6F"/>
    <w:rsid w:val="5A4A2677"/>
    <w:rsid w:val="5A4F0CFD"/>
    <w:rsid w:val="5AC55338"/>
    <w:rsid w:val="5B3F45CC"/>
    <w:rsid w:val="5BC17152"/>
    <w:rsid w:val="5C157C52"/>
    <w:rsid w:val="5C432399"/>
    <w:rsid w:val="5C65447A"/>
    <w:rsid w:val="5CCD039C"/>
    <w:rsid w:val="5CD14736"/>
    <w:rsid w:val="5CE05C01"/>
    <w:rsid w:val="5D067F46"/>
    <w:rsid w:val="5D670D19"/>
    <w:rsid w:val="5DEA6484"/>
    <w:rsid w:val="5E2A0506"/>
    <w:rsid w:val="5EA36E9C"/>
    <w:rsid w:val="5F7A1A62"/>
    <w:rsid w:val="5F816B3B"/>
    <w:rsid w:val="5F8A2976"/>
    <w:rsid w:val="5F8B5C0B"/>
    <w:rsid w:val="5FB9070F"/>
    <w:rsid w:val="5FE039CC"/>
    <w:rsid w:val="600E7957"/>
    <w:rsid w:val="6025396A"/>
    <w:rsid w:val="606D70BF"/>
    <w:rsid w:val="60C87067"/>
    <w:rsid w:val="60D137C0"/>
    <w:rsid w:val="60EB4FAC"/>
    <w:rsid w:val="611C2FBF"/>
    <w:rsid w:val="613D03AF"/>
    <w:rsid w:val="615269E1"/>
    <w:rsid w:val="61823001"/>
    <w:rsid w:val="61872BEC"/>
    <w:rsid w:val="61952D71"/>
    <w:rsid w:val="62197C87"/>
    <w:rsid w:val="622C1128"/>
    <w:rsid w:val="624C756A"/>
    <w:rsid w:val="62840C9B"/>
    <w:rsid w:val="62D90A3C"/>
    <w:rsid w:val="62E95123"/>
    <w:rsid w:val="62EC5DE5"/>
    <w:rsid w:val="632E2C25"/>
    <w:rsid w:val="63753EA0"/>
    <w:rsid w:val="63923347"/>
    <w:rsid w:val="6398567A"/>
    <w:rsid w:val="63A60D41"/>
    <w:rsid w:val="63AD1BC9"/>
    <w:rsid w:val="63C45248"/>
    <w:rsid w:val="63C6035F"/>
    <w:rsid w:val="63ED0C43"/>
    <w:rsid w:val="645759B5"/>
    <w:rsid w:val="646E0F66"/>
    <w:rsid w:val="649A1D1D"/>
    <w:rsid w:val="64E04304"/>
    <w:rsid w:val="6512794B"/>
    <w:rsid w:val="65146819"/>
    <w:rsid w:val="656057CF"/>
    <w:rsid w:val="659B691E"/>
    <w:rsid w:val="65AD39C4"/>
    <w:rsid w:val="65BB267B"/>
    <w:rsid w:val="65D242C5"/>
    <w:rsid w:val="65D43361"/>
    <w:rsid w:val="65F10142"/>
    <w:rsid w:val="66124991"/>
    <w:rsid w:val="661A56B3"/>
    <w:rsid w:val="662D4F6B"/>
    <w:rsid w:val="66770C98"/>
    <w:rsid w:val="66E10C4D"/>
    <w:rsid w:val="67035B0B"/>
    <w:rsid w:val="676236F6"/>
    <w:rsid w:val="67D22629"/>
    <w:rsid w:val="685D140B"/>
    <w:rsid w:val="6893128E"/>
    <w:rsid w:val="68D47A7B"/>
    <w:rsid w:val="68DF193E"/>
    <w:rsid w:val="68E84E3F"/>
    <w:rsid w:val="68F76E5C"/>
    <w:rsid w:val="69455133"/>
    <w:rsid w:val="69937B96"/>
    <w:rsid w:val="69C2222A"/>
    <w:rsid w:val="69DF21C2"/>
    <w:rsid w:val="69EC172D"/>
    <w:rsid w:val="6A3757AC"/>
    <w:rsid w:val="6A62031D"/>
    <w:rsid w:val="6A6E4160"/>
    <w:rsid w:val="6A701523"/>
    <w:rsid w:val="6ABE50E7"/>
    <w:rsid w:val="6AC1406F"/>
    <w:rsid w:val="6B4120C8"/>
    <w:rsid w:val="6B58506D"/>
    <w:rsid w:val="6B8E33C6"/>
    <w:rsid w:val="6B9B5986"/>
    <w:rsid w:val="6BA06042"/>
    <w:rsid w:val="6BDD42B9"/>
    <w:rsid w:val="6BE84649"/>
    <w:rsid w:val="6BFF3B80"/>
    <w:rsid w:val="6C085287"/>
    <w:rsid w:val="6C20195B"/>
    <w:rsid w:val="6C401523"/>
    <w:rsid w:val="6C7D0E73"/>
    <w:rsid w:val="6C9A748E"/>
    <w:rsid w:val="6CD00EA6"/>
    <w:rsid w:val="6CE6131C"/>
    <w:rsid w:val="6D1A2C05"/>
    <w:rsid w:val="6D313420"/>
    <w:rsid w:val="6D4C69DA"/>
    <w:rsid w:val="6DDB7D5E"/>
    <w:rsid w:val="6DDD5A51"/>
    <w:rsid w:val="6DE51FC5"/>
    <w:rsid w:val="6DF50809"/>
    <w:rsid w:val="6E042F01"/>
    <w:rsid w:val="6E1C377D"/>
    <w:rsid w:val="6E397487"/>
    <w:rsid w:val="6E3F2C17"/>
    <w:rsid w:val="6EA15698"/>
    <w:rsid w:val="6EA231BA"/>
    <w:rsid w:val="6ED10A34"/>
    <w:rsid w:val="6ED30F77"/>
    <w:rsid w:val="6F3A3E03"/>
    <w:rsid w:val="6F482D42"/>
    <w:rsid w:val="6FA523D2"/>
    <w:rsid w:val="6FAA57D6"/>
    <w:rsid w:val="6FBA4A3E"/>
    <w:rsid w:val="6FDE58E3"/>
    <w:rsid w:val="700F2C96"/>
    <w:rsid w:val="701045B5"/>
    <w:rsid w:val="701C133B"/>
    <w:rsid w:val="703D37EB"/>
    <w:rsid w:val="70BF5715"/>
    <w:rsid w:val="712D6B22"/>
    <w:rsid w:val="71305754"/>
    <w:rsid w:val="715B4B81"/>
    <w:rsid w:val="717B055E"/>
    <w:rsid w:val="71B16C93"/>
    <w:rsid w:val="71F2002D"/>
    <w:rsid w:val="724F0F1D"/>
    <w:rsid w:val="727918F3"/>
    <w:rsid w:val="729C3F60"/>
    <w:rsid w:val="729E26DA"/>
    <w:rsid w:val="72B8558C"/>
    <w:rsid w:val="72D4516E"/>
    <w:rsid w:val="7301390F"/>
    <w:rsid w:val="73070F3B"/>
    <w:rsid w:val="73131EED"/>
    <w:rsid w:val="73A11255"/>
    <w:rsid w:val="73B07EB2"/>
    <w:rsid w:val="73ED585D"/>
    <w:rsid w:val="741E6BF6"/>
    <w:rsid w:val="74257F85"/>
    <w:rsid w:val="747607E0"/>
    <w:rsid w:val="74885165"/>
    <w:rsid w:val="757A7E5C"/>
    <w:rsid w:val="75E01033"/>
    <w:rsid w:val="76065B94"/>
    <w:rsid w:val="768C7E47"/>
    <w:rsid w:val="76B15B00"/>
    <w:rsid w:val="76BB01D4"/>
    <w:rsid w:val="76D56593"/>
    <w:rsid w:val="775A1CF3"/>
    <w:rsid w:val="77731BD0"/>
    <w:rsid w:val="778446AD"/>
    <w:rsid w:val="77845FB9"/>
    <w:rsid w:val="778B160C"/>
    <w:rsid w:val="77B24B01"/>
    <w:rsid w:val="77DF59B7"/>
    <w:rsid w:val="783F4636"/>
    <w:rsid w:val="786C6182"/>
    <w:rsid w:val="78AE6557"/>
    <w:rsid w:val="78E75FB4"/>
    <w:rsid w:val="794949B1"/>
    <w:rsid w:val="79F151EA"/>
    <w:rsid w:val="79FE1404"/>
    <w:rsid w:val="7A043533"/>
    <w:rsid w:val="7A4B1055"/>
    <w:rsid w:val="7A5549F4"/>
    <w:rsid w:val="7A63567B"/>
    <w:rsid w:val="7A7F4E68"/>
    <w:rsid w:val="7ADC47C3"/>
    <w:rsid w:val="7B024AF4"/>
    <w:rsid w:val="7B4B6523"/>
    <w:rsid w:val="7B637EF6"/>
    <w:rsid w:val="7BD07335"/>
    <w:rsid w:val="7BD227A0"/>
    <w:rsid w:val="7BDE04EB"/>
    <w:rsid w:val="7C07399B"/>
    <w:rsid w:val="7C251252"/>
    <w:rsid w:val="7C2D5E41"/>
    <w:rsid w:val="7C3407D5"/>
    <w:rsid w:val="7C3C62AB"/>
    <w:rsid w:val="7C8C7580"/>
    <w:rsid w:val="7CA010C3"/>
    <w:rsid w:val="7CA34E54"/>
    <w:rsid w:val="7CCE6A29"/>
    <w:rsid w:val="7CEA1D6C"/>
    <w:rsid w:val="7CF33270"/>
    <w:rsid w:val="7D02603F"/>
    <w:rsid w:val="7D2C2B03"/>
    <w:rsid w:val="7D4A280A"/>
    <w:rsid w:val="7D7550E8"/>
    <w:rsid w:val="7DC205F3"/>
    <w:rsid w:val="7E146C66"/>
    <w:rsid w:val="7E1D3989"/>
    <w:rsid w:val="7E230D19"/>
    <w:rsid w:val="7E261D0D"/>
    <w:rsid w:val="7E461224"/>
    <w:rsid w:val="7E6E437D"/>
    <w:rsid w:val="7ED002D9"/>
    <w:rsid w:val="7ED61979"/>
    <w:rsid w:val="7EF060F4"/>
    <w:rsid w:val="7F051133"/>
    <w:rsid w:val="7F150C8C"/>
    <w:rsid w:val="7F1E07E4"/>
    <w:rsid w:val="7F61079B"/>
    <w:rsid w:val="7FC50E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1"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4">
    <w:name w:val="heading 4"/>
    <w:basedOn w:val="1"/>
    <w:next w:val="1"/>
    <w:link w:val="31"/>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ody Text"/>
    <w:basedOn w:val="1"/>
    <w:qFormat/>
    <w:uiPriority w:val="0"/>
    <w:rPr>
      <w:rFonts w:ascii="仿宋" w:hAnsi="仿宋" w:eastAsia="仿宋" w:cs="仿宋"/>
      <w:sz w:val="30"/>
      <w:szCs w:val="30"/>
    </w:rPr>
  </w:style>
  <w:style w:type="paragraph" w:styleId="7">
    <w:name w:val="Body Text Indent"/>
    <w:basedOn w:val="1"/>
    <w:next w:val="8"/>
    <w:unhideWhenUsed/>
    <w:qFormat/>
    <w:uiPriority w:val="99"/>
    <w:pPr>
      <w:spacing w:after="120"/>
      <w:ind w:left="420" w:leftChars="200"/>
    </w:pPr>
    <w:rPr>
      <w:rFonts w:eastAsia="微软雅黑"/>
      <w:kern w:val="0"/>
      <w:sz w:val="24"/>
      <w:szCs w:val="20"/>
    </w:rPr>
  </w:style>
  <w:style w:type="paragraph" w:styleId="8">
    <w:name w:val="Body Text First Indent 2"/>
    <w:basedOn w:val="7"/>
    <w:qFormat/>
    <w:uiPriority w:val="0"/>
    <w:pPr>
      <w:ind w:firstLine="420"/>
    </w:pPr>
  </w:style>
  <w:style w:type="paragraph" w:styleId="9">
    <w:name w:val="Plain Text"/>
    <w:basedOn w:val="1"/>
    <w:qFormat/>
    <w:uiPriority w:val="0"/>
    <w:rPr>
      <w:rFonts w:ascii="宋体" w:hAnsi="Courier New"/>
      <w:kern w:val="0"/>
      <w:sz w:val="20"/>
      <w:szCs w:val="21"/>
    </w:rPr>
  </w:style>
  <w:style w:type="paragraph" w:styleId="10">
    <w:name w:val="footer"/>
    <w:basedOn w:val="1"/>
    <w:qFormat/>
    <w:uiPriority w:val="0"/>
    <w:pPr>
      <w:tabs>
        <w:tab w:val="center" w:pos="4153"/>
        <w:tab w:val="right" w:pos="8306"/>
      </w:tabs>
    </w:pPr>
    <w:rPr>
      <w:sz w:val="18"/>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2">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3">
    <w:name w:val="toc 2"/>
    <w:basedOn w:val="1"/>
    <w:next w:val="1"/>
    <w:qFormat/>
    <w:uiPriority w:val="1"/>
    <w:pPr>
      <w:spacing w:before="240"/>
      <w:ind w:right="524"/>
      <w:jc w:val="right"/>
    </w:pPr>
    <w:rPr>
      <w:rFonts w:ascii="仿宋" w:hAnsi="仿宋" w:eastAsia="仿宋" w:cs="仿宋"/>
      <w:b/>
      <w:bCs/>
      <w:sz w:val="20"/>
      <w:szCs w:val="20"/>
    </w:rPr>
  </w:style>
  <w:style w:type="paragraph" w:styleId="14">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15">
    <w:name w:val="Body Text First Indent"/>
    <w:basedOn w:val="6"/>
    <w:next w:val="1"/>
    <w:qFormat/>
    <w:uiPriority w:val="0"/>
    <w:pPr>
      <w:ind w:firstLine="420" w:firstLineChars="100"/>
    </w:p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page number"/>
    <w:basedOn w:val="18"/>
    <w:qFormat/>
    <w:uiPriority w:val="99"/>
    <w:rPr>
      <w:rFonts w:cs="Times New Roman"/>
    </w:rPr>
  </w:style>
  <w:style w:type="character" w:styleId="20">
    <w:name w:val="Emphasis"/>
    <w:qFormat/>
    <w:uiPriority w:val="0"/>
  </w:style>
  <w:style w:type="character" w:styleId="21">
    <w:name w:val="Hyperlink"/>
    <w:basedOn w:val="18"/>
    <w:qFormat/>
    <w:uiPriority w:val="0"/>
    <w:rPr>
      <w:color w:val="0000FF"/>
      <w:u w:val="single"/>
    </w:rPr>
  </w:style>
  <w:style w:type="character" w:styleId="22">
    <w:name w:val="annotation reference"/>
    <w:unhideWhenUsed/>
    <w:qFormat/>
    <w:uiPriority w:val="0"/>
    <w:rPr>
      <w:sz w:val="21"/>
      <w:szCs w:val="21"/>
    </w:rPr>
  </w:style>
  <w:style w:type="paragraph" w:customStyle="1" w:styleId="23">
    <w:name w:val="BodyText1I2"/>
    <w:basedOn w:val="24"/>
    <w:qFormat/>
    <w:uiPriority w:val="0"/>
    <w:pPr>
      <w:spacing w:after="120" w:line="240" w:lineRule="auto"/>
      <w:ind w:left="420" w:leftChars="200" w:firstLine="420" w:firstLineChars="200"/>
    </w:pPr>
    <w:rPr>
      <w:rFonts w:ascii="Times New Roman"/>
      <w:sz w:val="21"/>
    </w:rPr>
  </w:style>
  <w:style w:type="paragraph" w:customStyle="1" w:styleId="24">
    <w:name w:val="BodyTextIndent"/>
    <w:basedOn w:val="1"/>
    <w:next w:val="23"/>
    <w:qFormat/>
    <w:uiPriority w:val="0"/>
    <w:pPr>
      <w:spacing w:line="360" w:lineRule="auto"/>
      <w:ind w:firstLine="480"/>
      <w:textAlignment w:val="baseline"/>
    </w:pPr>
    <w:rPr>
      <w:rFonts w:ascii="宋体" w:hAnsi="宋体" w:eastAsia="仿宋_GB2312"/>
      <w:b/>
      <w:spacing w:val="4"/>
      <w:sz w:val="24"/>
      <w:szCs w:val="28"/>
    </w:rPr>
  </w:style>
  <w:style w:type="paragraph" w:customStyle="1" w:styleId="25">
    <w:name w:val="Normal Indent"/>
    <w:basedOn w:val="1"/>
    <w:qFormat/>
    <w:uiPriority w:val="0"/>
    <w:pPr>
      <w:widowControl/>
      <w:ind w:firstLine="420" w:firstLineChars="200"/>
    </w:pPr>
  </w:style>
  <w:style w:type="table" w:customStyle="1" w:styleId="26">
    <w:name w:val="Table Normal"/>
    <w:semiHidden/>
    <w:unhideWhenUsed/>
    <w:qFormat/>
    <w:uiPriority w:val="0"/>
    <w:tblPr>
      <w:tblCellMar>
        <w:top w:w="0" w:type="dxa"/>
        <w:left w:w="0" w:type="dxa"/>
        <w:bottom w:w="0" w:type="dxa"/>
        <w:right w:w="0" w:type="dxa"/>
      </w:tblCellMar>
    </w:tblPr>
  </w:style>
  <w:style w:type="paragraph" w:customStyle="1" w:styleId="27">
    <w:name w:val="Table Text"/>
    <w:basedOn w:val="1"/>
    <w:semiHidden/>
    <w:qFormat/>
    <w:uiPriority w:val="0"/>
  </w:style>
  <w:style w:type="paragraph" w:customStyle="1" w:styleId="28">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29">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30">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31">
    <w:name w:val="标题 4 Char"/>
    <w:link w:val="4"/>
    <w:qFormat/>
    <w:uiPriority w:val="0"/>
    <w:rPr>
      <w:rFonts w:ascii="Arial" w:hAnsi="Arial" w:eastAsia="黑体"/>
      <w:b/>
      <w:sz w:val="28"/>
    </w:rPr>
  </w:style>
  <w:style w:type="paragraph" w:customStyle="1" w:styleId="32">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3">
    <w:name w:val="样式1"/>
    <w:basedOn w:val="2"/>
    <w:qFormat/>
    <w:uiPriority w:val="0"/>
    <w:pPr>
      <w:spacing w:before="240" w:after="240" w:line="440" w:lineRule="exact"/>
      <w:ind w:firstLine="0" w:firstLineChars="0"/>
      <w:jc w:val="center"/>
    </w:pPr>
    <w:rPr>
      <w:rFonts w:eastAsia="楷体"/>
      <w:sz w:val="36"/>
      <w:szCs w:val="28"/>
    </w:rPr>
  </w:style>
  <w:style w:type="character" w:customStyle="1" w:styleId="34">
    <w:name w:val="font31"/>
    <w:qFormat/>
    <w:uiPriority w:val="0"/>
    <w:rPr>
      <w:rFonts w:hint="eastAsia" w:ascii="宋体" w:hAnsi="宋体" w:eastAsia="宋体" w:cs="宋体"/>
      <w:color w:val="000000"/>
      <w:sz w:val="21"/>
      <w:szCs w:val="21"/>
      <w:u w:val="none"/>
    </w:rPr>
  </w:style>
  <w:style w:type="paragraph" w:customStyle="1" w:styleId="35">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6">
    <w:name w:val="样式 首行缩进:  2 字符"/>
    <w:basedOn w:val="1"/>
    <w:qFormat/>
    <w:uiPriority w:val="0"/>
    <w:pPr>
      <w:ind w:firstLine="480" w:firstLineChars="200"/>
    </w:pPr>
    <w:rPr>
      <w:rFonts w:ascii="Calibri" w:hAnsi="Calibri" w:cs="宋体"/>
      <w:color w:val="000000"/>
      <w:szCs w:val="20"/>
    </w:rPr>
  </w:style>
  <w:style w:type="paragraph" w:customStyle="1" w:styleId="37">
    <w:name w:val="二室正文"/>
    <w:basedOn w:val="1"/>
    <w:qFormat/>
    <w:uiPriority w:val="0"/>
    <w:pPr>
      <w:ind w:firstLine="583" w:firstLineChars="200"/>
    </w:pPr>
    <w:rPr>
      <w:rFonts w:ascii="Calibri" w:hAnsi="Calibri" w:eastAsia="宋体" w:cs="Times New Roman"/>
      <w:kern w:val="0"/>
      <w:sz w:val="24"/>
    </w:rPr>
  </w:style>
  <w:style w:type="character" w:customStyle="1" w:styleId="38">
    <w:name w:val="NormalCharacter"/>
    <w:qFormat/>
    <w:uiPriority w:val="0"/>
  </w:style>
  <w:style w:type="paragraph" w:customStyle="1" w:styleId="39">
    <w:name w:val="Table Paragraph"/>
    <w:basedOn w:val="1"/>
    <w:qFormat/>
    <w:uiPriority w:val="1"/>
  </w:style>
  <w:style w:type="paragraph" w:customStyle="1" w:styleId="40">
    <w:name w:val="WPSOffice手动目录 1"/>
    <w:qFormat/>
    <w:uiPriority w:val="0"/>
    <w:pPr>
      <w:ind w:leftChars="0"/>
    </w:pPr>
    <w:rPr>
      <w:rFonts w:ascii="Times New Roman" w:hAnsi="Times New Roman" w:eastAsia="宋体" w:cs="Times New Roman"/>
      <w:sz w:val="20"/>
      <w:szCs w:val="20"/>
    </w:rPr>
  </w:style>
  <w:style w:type="paragraph" w:customStyle="1" w:styleId="41">
    <w:name w:val="WPSOffice手动目录 2"/>
    <w:qFormat/>
    <w:uiPriority w:val="0"/>
    <w:pPr>
      <w:ind w:leftChars="200"/>
    </w:pPr>
    <w:rPr>
      <w:rFonts w:ascii="Times New Roman" w:hAnsi="Times New Roman" w:eastAsia="宋体" w:cs="Times New Roman"/>
      <w:sz w:val="20"/>
      <w:szCs w:val="20"/>
    </w:rPr>
  </w:style>
  <w:style w:type="paragraph" w:customStyle="1" w:styleId="42">
    <w:name w:val="WPSOffice手动目录 3"/>
    <w:qFormat/>
    <w:uiPriority w:val="0"/>
    <w:pPr>
      <w:ind w:leftChars="4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65</Pages>
  <Words>32262</Words>
  <Characters>34192</Characters>
  <Lines>230</Lines>
  <Paragraphs>64</Paragraphs>
  <TotalTime>339</TotalTime>
  <ScaleCrop>false</ScaleCrop>
  <LinksUpToDate>false</LinksUpToDate>
  <CharactersWithSpaces>36056</CharactersWithSpaces>
  <Application>WPS Office_11.1.0.12650_F1E327BC-269C-435d-A152-05C5408002CA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Administrator</cp:lastModifiedBy>
  <cp:lastPrinted>2026-01-30T01:33:00Z</cp:lastPrinted>
  <dcterms:modified xsi:type="dcterms:W3CDTF">2026-05-25T08:36:48Z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2052-11.1.0.12650</vt:lpwstr>
  </property>
  <property fmtid="{D5CDD505-2E9C-101B-9397-08002B2CF9AE}" pid="5" name="ICV">
    <vt:lpwstr>A1EEFC33BD9C4A9BA57F2370FF490A7E</vt:lpwstr>
  </property>
  <property fmtid="{D5CDD505-2E9C-101B-9397-08002B2CF9AE}" pid="6" name="KSOTemplateDocerSaveRecord">
    <vt:lpwstr>eyJoZGlkIjoiZjRhNWZkM2JjM2EzNDQ2NmRiMTMwNGFmMGQyNTJiMGYiLCJ1c2VySWQiOiIxNDkxNjUxMzczIn0=</vt:lpwstr>
  </property>
</Properties>
</file>