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B86A37">
      <w:pPr>
        <w:spacing w:line="360" w:lineRule="auto"/>
        <w:jc w:val="center"/>
        <w:rPr>
          <w:rFonts w:asciiTheme="minorEastAsia" w:hAnsiTheme="minorEastAsia" w:eastAsiaTheme="minorEastAsia"/>
          <w:color w:val="auto"/>
          <w:sz w:val="28"/>
          <w:szCs w:val="28"/>
          <w:lang w:eastAsia="zh-CN"/>
        </w:rPr>
      </w:pPr>
      <w:r>
        <w:rPr>
          <w:rFonts w:hint="eastAsia" w:asciiTheme="minorEastAsia" w:hAnsiTheme="minorEastAsia" w:eastAsiaTheme="minorEastAsia"/>
          <w:color w:val="auto"/>
          <w:sz w:val="28"/>
          <w:szCs w:val="28"/>
          <w:lang w:eastAsia="zh-CN"/>
        </w:rPr>
        <w:t>技术需求</w:t>
      </w:r>
    </w:p>
    <w:p w14:paraId="6480BAF9">
      <w:pPr>
        <w:spacing w:line="360" w:lineRule="auto"/>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1、</w:t>
      </w:r>
      <w:r>
        <w:rPr>
          <w:rFonts w:asciiTheme="minorEastAsia" w:hAnsiTheme="minorEastAsia" w:eastAsiaTheme="minorEastAsia"/>
          <w:b/>
          <w:color w:val="auto"/>
          <w:sz w:val="24"/>
          <w:szCs w:val="24"/>
          <w:lang w:eastAsia="zh-CN"/>
        </w:rPr>
        <w:t>采购标的需实现的功能或者目标</w:t>
      </w:r>
    </w:p>
    <w:p w14:paraId="2C432173">
      <w:pPr>
        <w:spacing w:line="360" w:lineRule="auto"/>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1.1</w:t>
      </w:r>
      <w:r>
        <w:rPr>
          <w:rFonts w:asciiTheme="minorEastAsia" w:hAnsiTheme="minorEastAsia" w:eastAsiaTheme="minorEastAsia"/>
          <w:b/>
          <w:color w:val="auto"/>
          <w:sz w:val="24"/>
          <w:szCs w:val="24"/>
          <w:lang w:eastAsia="zh-CN"/>
        </w:rPr>
        <w:t>采购标的需实现的功能</w:t>
      </w:r>
    </w:p>
    <w:p w14:paraId="2867EAE1">
      <w:pPr>
        <w:spacing w:line="360" w:lineRule="auto"/>
        <w:ind w:firstLine="480" w:firstLineChars="200"/>
        <w:rPr>
          <w:rFonts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显微拉曼光谱快速成像系统是一种集成了高分辨光学显微镜与拉曼光谱技术的先进分析平台。它能够以微米甚至亚微米级的空间分辨率，快速获取样品表面的化学成分、分子结构、晶体结构、相态分布及应力状态等丰富信息。</w:t>
      </w:r>
    </w:p>
    <w:p w14:paraId="3101A941">
      <w:pPr>
        <w:spacing w:line="360" w:lineRule="auto"/>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 xml:space="preserve">1.2 </w:t>
      </w:r>
      <w:r>
        <w:rPr>
          <w:rFonts w:asciiTheme="minorEastAsia" w:hAnsiTheme="minorEastAsia" w:eastAsiaTheme="minorEastAsia"/>
          <w:b/>
          <w:color w:val="auto"/>
          <w:sz w:val="24"/>
          <w:szCs w:val="24"/>
          <w:lang w:eastAsia="zh-CN"/>
        </w:rPr>
        <w:t>采购标的需实现的目标</w:t>
      </w:r>
    </w:p>
    <w:p w14:paraId="501BF31F">
      <w:pPr>
        <w:spacing w:line="360" w:lineRule="auto"/>
        <w:ind w:firstLine="480" w:firstLineChars="200"/>
        <w:rPr>
          <w:rFonts w:asciiTheme="minorEastAsia" w:hAnsiTheme="minorEastAsia" w:eastAsiaTheme="minorEastAsia"/>
          <w:sz w:val="24"/>
          <w:szCs w:val="32"/>
          <w:lang w:eastAsia="zh-CN"/>
        </w:rPr>
      </w:pPr>
      <w:r>
        <w:rPr>
          <w:rFonts w:hint="eastAsia" w:asciiTheme="minorEastAsia" w:hAnsiTheme="minorEastAsia" w:eastAsiaTheme="minorEastAsia"/>
          <w:sz w:val="24"/>
          <w:szCs w:val="32"/>
          <w:lang w:eastAsia="zh-CN"/>
        </w:rPr>
        <w:t>提升传统陶瓷材料研究精度的核心需求、满足先进陶瓷材料研发的多维度表征需求、填补校内高端显微成像分析平台的空白。</w:t>
      </w:r>
    </w:p>
    <w:p w14:paraId="43AF296C">
      <w:pPr>
        <w:spacing w:line="360" w:lineRule="auto"/>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2</w:t>
      </w:r>
      <w:r>
        <w:rPr>
          <w:rFonts w:asciiTheme="minorEastAsia" w:hAnsiTheme="minorEastAsia" w:eastAsiaTheme="minorEastAsia"/>
          <w:b/>
          <w:color w:val="auto"/>
          <w:sz w:val="24"/>
          <w:szCs w:val="24"/>
          <w:lang w:eastAsia="zh-CN"/>
        </w:rPr>
        <w:t>、</w:t>
      </w:r>
      <w:bookmarkStart w:id="0" w:name="OLE_LINK8"/>
      <w:r>
        <w:rPr>
          <w:rFonts w:asciiTheme="minorEastAsia" w:hAnsiTheme="minorEastAsia" w:eastAsiaTheme="minorEastAsia"/>
          <w:b/>
          <w:color w:val="auto"/>
          <w:sz w:val="24"/>
          <w:szCs w:val="24"/>
          <w:lang w:eastAsia="zh-CN"/>
        </w:rPr>
        <w:t>采购标的需执行的国家相关标准、行业标准、地方标准或者其他标准、规范</w:t>
      </w:r>
      <w:bookmarkEnd w:id="0"/>
    </w:p>
    <w:p w14:paraId="214D9612">
      <w:pPr>
        <w:spacing w:line="360" w:lineRule="auto"/>
        <w:ind w:firstLine="480" w:firstLineChars="200"/>
        <w:rPr>
          <w:rFonts w:asciiTheme="minorEastAsia" w:hAnsiTheme="minorEastAsia" w:eastAsiaTheme="minorEastAsia"/>
          <w:sz w:val="24"/>
          <w:szCs w:val="32"/>
          <w:lang w:eastAsia="zh-CN"/>
        </w:rPr>
      </w:pPr>
      <w:bookmarkStart w:id="1" w:name="OLE_LINK9"/>
      <w:r>
        <w:rPr>
          <w:rFonts w:hint="eastAsia" w:asciiTheme="minorEastAsia" w:hAnsiTheme="minorEastAsia" w:eastAsiaTheme="minorEastAsia"/>
          <w:sz w:val="24"/>
          <w:szCs w:val="32"/>
          <w:lang w:eastAsia="zh-CN"/>
        </w:rPr>
        <w:t>投标人应提供符合技术要求</w:t>
      </w:r>
      <w:r>
        <w:rPr>
          <w:rFonts w:hint="eastAsia" w:ascii="宋体" w:hAnsi="宋体" w:eastAsia="宋体" w:cs="Times New Roman"/>
          <w:sz w:val="24"/>
          <w:szCs w:val="24"/>
          <w:lang w:eastAsia="zh-CN"/>
        </w:rPr>
        <w:t>、</w:t>
      </w:r>
      <w:r>
        <w:rPr>
          <w:rFonts w:ascii="宋体" w:hAnsi="宋体" w:eastAsia="宋体" w:cs="Times New Roman"/>
          <w:sz w:val="24"/>
          <w:szCs w:val="24"/>
          <w:lang w:eastAsia="zh-CN"/>
        </w:rPr>
        <w:t>国家标准、行业规范和合同等相关文件要求</w:t>
      </w:r>
      <w:r>
        <w:rPr>
          <w:rFonts w:hint="eastAsia" w:asciiTheme="minorEastAsia" w:hAnsiTheme="minorEastAsia" w:eastAsiaTheme="minorEastAsia"/>
          <w:sz w:val="24"/>
          <w:szCs w:val="32"/>
          <w:lang w:eastAsia="zh-CN"/>
        </w:rPr>
        <w:t>的优质产品。</w:t>
      </w:r>
    </w:p>
    <w:bookmarkEnd w:id="1"/>
    <w:p w14:paraId="38300838">
      <w:pPr>
        <w:spacing w:line="360" w:lineRule="auto"/>
        <w:ind w:firstLine="482" w:firstLineChars="200"/>
        <w:rPr>
          <w:rFonts w:asciiTheme="minorEastAsia" w:hAnsiTheme="minorEastAsia" w:eastAsiaTheme="minorEastAsia"/>
          <w:b/>
          <w:color w:val="auto"/>
          <w:sz w:val="24"/>
          <w:szCs w:val="24"/>
          <w:lang w:eastAsia="zh-CN"/>
        </w:rPr>
      </w:pPr>
      <w:r>
        <w:rPr>
          <w:rFonts w:hint="eastAsia" w:asciiTheme="minorEastAsia" w:hAnsiTheme="minorEastAsia" w:eastAsiaTheme="minorEastAsia"/>
          <w:b/>
          <w:color w:val="auto"/>
          <w:sz w:val="24"/>
          <w:szCs w:val="24"/>
          <w:lang w:eastAsia="zh-CN"/>
        </w:rPr>
        <w:t>3</w:t>
      </w:r>
      <w:r>
        <w:rPr>
          <w:rFonts w:asciiTheme="minorEastAsia" w:hAnsiTheme="minorEastAsia" w:eastAsiaTheme="minorEastAsia"/>
          <w:b/>
          <w:color w:val="auto"/>
          <w:sz w:val="24"/>
          <w:szCs w:val="24"/>
          <w:lang w:eastAsia="zh-CN"/>
        </w:rPr>
        <w:t>、采购标的需满足的性能、材料、结构、外观、质量、安全、技术规格、物理特性等要求</w:t>
      </w:r>
    </w:p>
    <w:p w14:paraId="373E8E44">
      <w:pPr>
        <w:spacing w:line="500" w:lineRule="exact"/>
        <w:ind w:firstLine="482" w:firstLineChars="200"/>
        <w:rPr>
          <w:rFonts w:ascii="宋体" w:hAnsi="宋体" w:eastAsia="宋体" w:cs="Times New Roman"/>
          <w:b/>
          <w:bCs/>
          <w:sz w:val="24"/>
          <w:szCs w:val="24"/>
          <w:lang w:eastAsia="zh-CN"/>
        </w:rPr>
      </w:pPr>
      <w:r>
        <w:rPr>
          <w:rFonts w:ascii="宋体" w:hAnsi="宋体" w:eastAsia="宋体" w:cs="Times New Roman"/>
          <w:b/>
          <w:bCs/>
          <w:sz w:val="24"/>
          <w:szCs w:val="24"/>
          <w:lang w:eastAsia="zh-CN"/>
        </w:rPr>
        <w:t>序号1：</w:t>
      </w:r>
      <w:r>
        <w:rPr>
          <w:rFonts w:hint="eastAsia" w:ascii="宋体" w:hAnsi="宋体" w:eastAsia="宋体" w:cs="Times New Roman"/>
          <w:b/>
          <w:bCs/>
          <w:sz w:val="24"/>
          <w:szCs w:val="24"/>
          <w:lang w:eastAsia="zh-CN"/>
        </w:rPr>
        <w:t>显微共聚焦拉曼光谱测试系统</w:t>
      </w:r>
    </w:p>
    <w:p w14:paraId="596FE64D">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系统主要部件：整套系统需包含激光器，开放式光学显微镜，高灵敏度光谱仪，光栅，CCD光谱探测器，全自动机械平台，控制器，数据分析与处理软件和计算机系统、配套制样切割设备。</w:t>
      </w:r>
    </w:p>
    <w:p w14:paraId="597CC341">
      <w:pPr>
        <w:spacing w:line="500" w:lineRule="exact"/>
        <w:ind w:firstLine="480" w:firstLineChars="200"/>
        <w:rPr>
          <w:rFonts w:ascii="宋体" w:hAnsi="宋体" w:eastAsia="宋体" w:cs="Times New Roman"/>
          <w:sz w:val="24"/>
          <w:szCs w:val="24"/>
          <w:lang w:eastAsia="zh-CN"/>
        </w:rPr>
      </w:pPr>
      <w:r>
        <w:rPr>
          <w:rFonts w:hint="eastAsia" w:ascii="宋体" w:hAnsi="宋体" w:eastAsia="宋体" w:cs="Times New Roman"/>
          <w:sz w:val="24"/>
          <w:szCs w:val="24"/>
          <w:lang w:eastAsia="zh-CN"/>
        </w:rPr>
        <w:t>系统主要部件：整套系统需包含激光器，开放式光学显微镜，高灵敏度光谱仪，光栅，CCD光谱探测器，全自动机械平台，控制器，数据分析与处理软件和计算机系统、配套制样切割设备。</w:t>
      </w:r>
    </w:p>
    <w:p w14:paraId="021F417B">
      <w:pPr>
        <w:spacing w:line="500" w:lineRule="exact"/>
        <w:ind w:firstLine="480" w:firstLineChars="200"/>
        <w:rPr>
          <w:rFonts w:ascii="宋体" w:hAnsi="宋体" w:eastAsia="宋体" w:cs="Times New Roman"/>
          <w:sz w:val="24"/>
          <w:szCs w:val="24"/>
          <w:lang w:eastAsia="zh-CN"/>
        </w:rPr>
      </w:pPr>
      <w:r>
        <w:rPr>
          <w:rFonts w:hint="eastAsia" w:ascii="宋体" w:hAnsi="宋体" w:eastAsia="宋体" w:cs="Times New Roman"/>
          <w:sz w:val="24"/>
          <w:szCs w:val="24"/>
          <w:lang w:eastAsia="zh-CN"/>
        </w:rPr>
        <w:t>1、激光器</w:t>
      </w:r>
    </w:p>
    <w:p w14:paraId="42F25BD4">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1.1 配置532nm 单纵模激光器，功率≥30mW。</w:t>
      </w:r>
    </w:p>
    <w:p w14:paraId="56B60933">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1.2 数字化功率控制系统，软件控制532 nm激光功率连续可调（无需改变激光器电压），内置激光功率计和反馈系统，通过软件可以直接输入样品表面功率，连续可调精确度必须≤0.1mW。</w:t>
      </w:r>
    </w:p>
    <w:p w14:paraId="714691F0">
      <w:pPr>
        <w:spacing w:line="500" w:lineRule="exact"/>
        <w:ind w:firstLine="480" w:firstLineChars="200"/>
        <w:rPr>
          <w:rFonts w:ascii="宋体" w:hAnsi="宋体" w:eastAsia="宋体" w:cs="Times New Roman"/>
          <w:sz w:val="24"/>
          <w:szCs w:val="24"/>
          <w:lang w:eastAsia="zh-CN"/>
        </w:rPr>
      </w:pPr>
      <w:r>
        <w:rPr>
          <w:rFonts w:hint="eastAsia" w:ascii="宋体" w:hAnsi="宋体" w:eastAsia="宋体" w:cs="Times New Roman"/>
          <w:sz w:val="24"/>
          <w:szCs w:val="24"/>
          <w:lang w:eastAsia="zh-CN"/>
        </w:rPr>
        <w:t>1.3配置785nm 单纵模激光器，功率≥125mW；</w:t>
      </w:r>
    </w:p>
    <w:p w14:paraId="1B971C91">
      <w:pPr>
        <w:spacing w:line="500" w:lineRule="exact"/>
        <w:ind w:firstLine="480" w:firstLineChars="200"/>
        <w:rPr>
          <w:rFonts w:ascii="宋体" w:hAnsi="宋体" w:eastAsia="宋体" w:cs="Times New Roman"/>
          <w:sz w:val="24"/>
          <w:szCs w:val="24"/>
          <w:lang w:eastAsia="zh-CN"/>
        </w:rPr>
      </w:pPr>
      <w:r>
        <w:rPr>
          <w:rFonts w:hint="eastAsia" w:ascii="宋体" w:hAnsi="宋体" w:eastAsia="宋体" w:cs="Times New Roman"/>
          <w:sz w:val="24"/>
          <w:szCs w:val="24"/>
          <w:lang w:eastAsia="zh-CN"/>
        </w:rPr>
        <w:t>1.4 数字化功率控制系统，软件控制785功率连续可调（无需改变激光器电压），内置激光功率计和反馈系统，通过软件可以直接输入样品表面功率，可调精确度必须达到</w:t>
      </w:r>
      <w:r>
        <w:rPr>
          <w:rFonts w:ascii="宋体" w:hAnsi="宋体" w:eastAsia="宋体" w:cs="Times New Roman"/>
          <w:sz w:val="24"/>
          <w:szCs w:val="24"/>
          <w:lang w:eastAsia="zh-CN"/>
        </w:rPr>
        <w:t>≤</w:t>
      </w:r>
      <w:r>
        <w:rPr>
          <w:rFonts w:hint="eastAsia" w:ascii="宋体" w:hAnsi="宋体" w:eastAsia="宋体" w:cs="Times New Roman"/>
          <w:sz w:val="24"/>
          <w:szCs w:val="24"/>
          <w:lang w:eastAsia="zh-CN"/>
        </w:rPr>
        <w:t>0.1 mW。</w:t>
      </w:r>
    </w:p>
    <w:p w14:paraId="635D447F">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2、研究级开放式光学显微镜</w:t>
      </w:r>
    </w:p>
    <w:p w14:paraId="1618B414">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2.1 开放式显微镜，具有科勒照明系统，具有反射及透射照明方式，具有显微镜反射及透射偏光观察功能，配有彩色相机观察样品表面。</w:t>
      </w:r>
    </w:p>
    <w:p w14:paraId="1C16D4F3">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2.2 具有景深合成功能。</w:t>
      </w:r>
    </w:p>
    <w:p w14:paraId="62B21541">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2.3 软件控制白光照明强度变化，白光照明具有全自动光阑开关，可一键式快速聚焦样品表面进行拉曼测试。</w:t>
      </w:r>
    </w:p>
    <w:p w14:paraId="5C27481B">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2.4 具有光学图片拼接功能及图片一键式导航定位，点击白光图片任意位置即可一键式定位到目标点进行测试。</w:t>
      </w:r>
    </w:p>
    <w:p w14:paraId="5CEF0007">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2.5 显微镜样品台承重≥3kg，空间可以根据需求最大可以预留≥30cm，可放置各种高度和重量的原位池实现原位测试。</w:t>
      </w:r>
    </w:p>
    <w:p w14:paraId="69F08544">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2.6 物镜配置：10X，50X，100X（NA≥0.9，工作距离≥1mm）以及50X长焦物镜（NA≥0.55，工作距离≥9mm）。</w:t>
      </w:r>
    </w:p>
    <w:p w14:paraId="2A8063BA">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2.7 配置XYZ自动平台，XY扫描范围≥50mm*50mm, 最小步长≤25 nm。Z轴移动范围≥30 mm，最小步长≤10nm，可实现2D及3D拉曼快速成像功能。</w:t>
      </w:r>
    </w:p>
    <w:p w14:paraId="631B0157">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3、光谱探测系统</w:t>
      </w:r>
    </w:p>
    <w:p w14:paraId="33C6B1B7">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3.1 高灵敏度光谱仪，光谱仪内无任何反射镜损耗信号。</w:t>
      </w:r>
    </w:p>
    <w:p w14:paraId="00024F70">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3.2 焦长≥300mm。光谱仪内部同时安装1800、600、300刻线三块光栅，软件实现全自动切换，无需手动更换光栅。</w:t>
      </w:r>
    </w:p>
    <w:p w14:paraId="6DFCFB5D">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3.3 配置拉曼滤光片，</w:t>
      </w:r>
      <w:r>
        <w:rPr>
          <w:rFonts w:hint="eastAsia" w:ascii="宋体" w:hAnsi="宋体" w:eastAsia="宋体" w:cs="Times New Roman"/>
          <w:sz w:val="24"/>
          <w:szCs w:val="24"/>
          <w:lang w:eastAsia="zh-CN"/>
        </w:rPr>
        <w:t>532nm 拉曼低波数≤100 cm-1，785nm 拉曼低波数≤80 cm-1。</w:t>
      </w:r>
    </w:p>
    <w:p w14:paraId="2F77DC93">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3.4 配有一英寸大芯片CCD探测器。</w:t>
      </w:r>
    </w:p>
    <w:p w14:paraId="0BBD8B28">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3.5 同一测试条件下（532nm激发、1800刻线光栅、50um共焦孔径），同时具有以下性能指标：</w:t>
      </w:r>
    </w:p>
    <w:p w14:paraId="4F194191">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3.5.1光谱分辨率（正常测试条件）：≤1.6cm-1（全谱范围）</w:t>
      </w:r>
    </w:p>
    <w:p w14:paraId="1CA68C91">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 xml:space="preserve">3.5.2 白光反射吸收光谱横向空间分辨率：≤ 500 nm </w:t>
      </w:r>
    </w:p>
    <w:p w14:paraId="58A51459">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3.5.3 横向（XY方向）光学空间分辨率：使用100倍干物镜，拉曼成像横向光学分辨率：≤</w:t>
      </w:r>
      <w:r>
        <w:rPr>
          <w:rFonts w:hint="eastAsia" w:ascii="宋体" w:hAnsi="宋体" w:eastAsia="宋体" w:cs="Times New Roman"/>
          <w:sz w:val="24"/>
          <w:szCs w:val="24"/>
          <w:lang w:eastAsia="zh-CN"/>
        </w:rPr>
        <w:t>1000nm</w:t>
      </w:r>
      <w:r>
        <w:rPr>
          <w:rFonts w:ascii="宋体" w:hAnsi="宋体" w:eastAsia="宋体" w:cs="Times New Roman"/>
          <w:sz w:val="24"/>
          <w:szCs w:val="24"/>
          <w:lang w:eastAsia="zh-CN"/>
        </w:rPr>
        <w:t xml:space="preserve"> @532 nm</w:t>
      </w:r>
      <w:r>
        <w:rPr>
          <w:rFonts w:hint="eastAsia" w:ascii="宋体" w:hAnsi="宋体" w:eastAsia="宋体" w:cs="Times New Roman"/>
          <w:sz w:val="24"/>
          <w:szCs w:val="24"/>
          <w:lang w:eastAsia="zh-CN"/>
        </w:rPr>
        <w:t>。</w:t>
      </w:r>
    </w:p>
    <w:p w14:paraId="1897D337">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 xml:space="preserve">3.5.4 纵向（Z方向）空间分辨率：使用100倍干物镜，拉曼成像纵向光学分辨率：≤ </w:t>
      </w:r>
      <w:r>
        <w:rPr>
          <w:rFonts w:hint="eastAsia" w:ascii="宋体" w:hAnsi="宋体" w:eastAsia="宋体" w:cs="Times New Roman"/>
          <w:sz w:val="24"/>
          <w:szCs w:val="24"/>
          <w:lang w:eastAsia="zh-CN"/>
        </w:rPr>
        <w:t>1500</w:t>
      </w:r>
      <w:r>
        <w:rPr>
          <w:rFonts w:ascii="宋体" w:hAnsi="宋体" w:eastAsia="宋体" w:cs="Times New Roman"/>
          <w:sz w:val="24"/>
          <w:szCs w:val="24"/>
          <w:lang w:eastAsia="zh-CN"/>
        </w:rPr>
        <w:t xml:space="preserve"> nm@532 nm</w:t>
      </w:r>
      <w:r>
        <w:rPr>
          <w:rFonts w:hint="eastAsia" w:ascii="宋体" w:hAnsi="宋体" w:eastAsia="宋体" w:cs="Times New Roman"/>
          <w:sz w:val="24"/>
          <w:szCs w:val="24"/>
          <w:lang w:eastAsia="zh-CN"/>
        </w:rPr>
        <w:t>。</w:t>
      </w:r>
    </w:p>
    <w:p w14:paraId="53E99872">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3.5.5 共聚焦灵敏度：满足拉曼空间分辨率XY≤</w:t>
      </w:r>
      <w:r>
        <w:rPr>
          <w:rFonts w:hint="eastAsia" w:ascii="宋体" w:hAnsi="宋体" w:eastAsia="宋体" w:cs="Times New Roman"/>
          <w:sz w:val="24"/>
          <w:szCs w:val="24"/>
          <w:lang w:eastAsia="zh-CN"/>
        </w:rPr>
        <w:t>10</w:t>
      </w:r>
      <w:r>
        <w:rPr>
          <w:rFonts w:ascii="宋体" w:hAnsi="宋体" w:eastAsia="宋体" w:cs="Times New Roman"/>
          <w:sz w:val="24"/>
          <w:szCs w:val="24"/>
          <w:lang w:eastAsia="zh-CN"/>
        </w:rPr>
        <w:t>00 nm@532 nm、Z≤1</w:t>
      </w:r>
      <w:r>
        <w:rPr>
          <w:rFonts w:hint="eastAsia" w:ascii="宋体" w:hAnsi="宋体" w:eastAsia="宋体" w:cs="Times New Roman"/>
          <w:sz w:val="24"/>
          <w:szCs w:val="24"/>
          <w:lang w:eastAsia="zh-CN"/>
        </w:rPr>
        <w:t>5</w:t>
      </w:r>
      <w:r>
        <w:rPr>
          <w:rFonts w:ascii="宋体" w:hAnsi="宋体" w:eastAsia="宋体" w:cs="Times New Roman"/>
          <w:sz w:val="24"/>
          <w:szCs w:val="24"/>
          <w:lang w:eastAsia="zh-CN"/>
        </w:rPr>
        <w:t>00 nm@532 nm的条件下，硅的三阶拉曼峰（约1440 cm-1）信噪比≥20:1，能清晰地观察到硅的四阶拉曼峰，其中无明显的N2和O2拉曼峰；总积分时间不高于300S。</w:t>
      </w:r>
    </w:p>
    <w:p w14:paraId="3A5FC264">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3.5.6 光谱重复性：≤</w:t>
      </w:r>
      <w:r>
        <w:rPr>
          <w:rFonts w:hint="eastAsia" w:ascii="宋体" w:hAnsi="宋体" w:eastAsia="宋体" w:cs="Times New Roman"/>
          <w:sz w:val="24"/>
          <w:szCs w:val="24"/>
          <w:lang w:eastAsia="zh-CN"/>
        </w:rPr>
        <w:t>0.05</w:t>
      </w:r>
      <w:r>
        <w:rPr>
          <w:rFonts w:ascii="宋体" w:hAnsi="宋体" w:eastAsia="宋体" w:cs="Times New Roman"/>
          <w:sz w:val="24"/>
          <w:szCs w:val="24"/>
          <w:lang w:eastAsia="zh-CN"/>
        </w:rPr>
        <w:t>cm-1。</w:t>
      </w:r>
    </w:p>
    <w:p w14:paraId="2B064C1F">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3.6 ≥800*800mm的隔振光学平台。</w:t>
      </w:r>
    </w:p>
    <w:p w14:paraId="79CAB49B">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3.7 高级数据软件：具有多功能数据处理功能，具有PCA，NMF等高级功能。</w:t>
      </w:r>
    </w:p>
    <w:p w14:paraId="3E20BFD8">
      <w:pPr>
        <w:spacing w:line="500" w:lineRule="exact"/>
        <w:ind w:firstLine="480" w:firstLineChars="200"/>
        <w:rPr>
          <w:rFonts w:ascii="宋体" w:hAnsi="宋体" w:eastAsia="宋体" w:cs="Times New Roman"/>
          <w:sz w:val="24"/>
          <w:szCs w:val="24"/>
          <w:lang w:eastAsia="zh-CN"/>
        </w:rPr>
      </w:pPr>
      <w:r>
        <w:rPr>
          <w:rFonts w:hint="eastAsia" w:ascii="宋体" w:hAnsi="宋体" w:eastAsia="宋体" w:cs="Times New Roman"/>
          <w:sz w:val="24"/>
          <w:szCs w:val="24"/>
          <w:lang w:eastAsia="zh-CN"/>
        </w:rPr>
        <w:t>3.8具备与其他显微成像系统（如 SEM、AFM 等）进行数据关联分析的能力。支持通过软件导入其他系统的图像数据，并提供坐标转换或图像配准工具（允许使用标记点或手动/半自动校准方式）</w:t>
      </w:r>
    </w:p>
    <w:p w14:paraId="454378C0">
      <w:pPr>
        <w:spacing w:line="500" w:lineRule="exact"/>
        <w:ind w:firstLine="480" w:firstLineChars="200"/>
        <w:rPr>
          <w:rFonts w:ascii="宋体" w:hAnsi="宋体" w:eastAsia="宋体" w:cs="Times New Roman"/>
          <w:sz w:val="24"/>
          <w:szCs w:val="24"/>
          <w:lang w:eastAsia="zh-CN"/>
        </w:rPr>
      </w:pPr>
      <w:r>
        <w:rPr>
          <w:rFonts w:hint="eastAsia" w:ascii="宋体" w:hAnsi="宋体" w:eastAsia="宋体" w:cs="Times New Roman"/>
          <w:sz w:val="24"/>
          <w:szCs w:val="24"/>
          <w:lang w:eastAsia="zh-CN"/>
        </w:rPr>
        <w:t xml:space="preserve">3.9控制器及软件: </w:t>
      </w:r>
      <w:r>
        <w:rPr>
          <w:rFonts w:ascii="宋体" w:hAnsi="宋体" w:eastAsia="宋体" w:cs="Times New Roman"/>
          <w:sz w:val="24"/>
          <w:szCs w:val="24"/>
          <w:lang w:eastAsia="zh-CN"/>
        </w:rPr>
        <w:t>配置高性能工作站</w:t>
      </w:r>
      <w:r>
        <w:rPr>
          <w:rFonts w:hint="eastAsia" w:ascii="宋体" w:hAnsi="宋体" w:eastAsia="宋体" w:cs="Times New Roman"/>
          <w:sz w:val="24"/>
          <w:szCs w:val="24"/>
          <w:lang w:eastAsia="zh-CN"/>
        </w:rPr>
        <w:t>，处理器不低于六核十二线程，基础主频≥2.9GHz，最大睿频频率：≥4.3 GHz，三级缓存≥12MB，功耗≤65W；配置容量≥16GB；存储系统系统盘（固态存储）容量≥ 512 GB，数据盘（机械硬盘或大容量固态）容量≥ 1 TB；配套显示器屏幕尺寸：≥ 27 英寸；分辨率：≥1920×1080。预装正版 Windows 10/11操作系统；预装专业软件：包括仪器控制，拉曼/荧光/光电流数据采集、计算和处理及曲线拟合，快速生成拉曼图像及图像计算，具有拉曼成像数据分析、化学成分分析等各项功能；数据分析软件可安装在不少于3台设备上同时使用。</w:t>
      </w:r>
    </w:p>
    <w:p w14:paraId="1A56F7BC">
      <w:pPr>
        <w:spacing w:line="500" w:lineRule="exact"/>
        <w:ind w:firstLine="480" w:firstLineChars="200"/>
        <w:rPr>
          <w:rFonts w:ascii="宋体" w:hAnsi="宋体" w:eastAsia="宋体" w:cs="Times New Roman"/>
          <w:sz w:val="24"/>
          <w:szCs w:val="24"/>
          <w:lang w:eastAsia="zh-CN"/>
        </w:rPr>
      </w:pPr>
      <w:r>
        <w:rPr>
          <w:rFonts w:ascii="宋体" w:hAnsi="宋体" w:eastAsia="宋体" w:cs="Times New Roman"/>
          <w:sz w:val="24"/>
          <w:szCs w:val="24"/>
          <w:lang w:eastAsia="zh-CN"/>
        </w:rPr>
        <w:t>4、配套</w:t>
      </w:r>
      <w:r>
        <w:rPr>
          <w:rFonts w:ascii="宋体" w:hAnsi="宋体" w:eastAsia="宋体" w:cs="Times New Roman"/>
          <w:sz w:val="24"/>
          <w:szCs w:val="24"/>
          <w:lang w:val="en-SG" w:eastAsia="zh-CN"/>
        </w:rPr>
        <w:t>制样</w:t>
      </w:r>
      <w:r>
        <w:rPr>
          <w:rFonts w:ascii="宋体" w:hAnsi="宋体" w:eastAsia="宋体" w:cs="Times New Roman"/>
          <w:sz w:val="24"/>
          <w:szCs w:val="24"/>
          <w:lang w:eastAsia="zh-CN"/>
        </w:rPr>
        <w:t>切割</w:t>
      </w:r>
      <w:r>
        <w:rPr>
          <w:rFonts w:ascii="宋体" w:hAnsi="宋体" w:eastAsia="宋体" w:cs="Times New Roman"/>
          <w:sz w:val="24"/>
          <w:szCs w:val="24"/>
          <w:lang w:val="en-SG" w:eastAsia="zh-CN"/>
        </w:rPr>
        <w:t>设备</w:t>
      </w:r>
    </w:p>
    <w:p w14:paraId="65EEEFFE">
      <w:pPr>
        <w:spacing w:line="500" w:lineRule="exact"/>
        <w:ind w:firstLine="480" w:firstLineChars="200"/>
        <w:rPr>
          <w:rFonts w:ascii="宋体" w:hAnsi="宋体" w:eastAsia="宋体" w:cs="Times New Roman"/>
          <w:sz w:val="24"/>
          <w:szCs w:val="24"/>
          <w:lang w:val="en-SG" w:eastAsia="zh-CN"/>
        </w:rPr>
      </w:pPr>
      <w:r>
        <w:rPr>
          <w:rFonts w:ascii="宋体" w:hAnsi="宋体" w:eastAsia="宋体" w:cs="Times New Roman"/>
          <w:sz w:val="24"/>
          <w:szCs w:val="24"/>
          <w:lang w:eastAsia="zh-CN"/>
        </w:rPr>
        <w:t>4.1</w:t>
      </w:r>
      <w:r>
        <w:rPr>
          <w:rFonts w:ascii="宋体" w:hAnsi="宋体" w:eastAsia="宋体" w:cs="Times New Roman"/>
          <w:sz w:val="24"/>
          <w:szCs w:val="24"/>
          <w:lang w:val="en-SG" w:eastAsia="zh-CN"/>
        </w:rPr>
        <w:t>工作功率:550W直流无刷</w:t>
      </w:r>
    </w:p>
    <w:p w14:paraId="793D5E80">
      <w:pPr>
        <w:spacing w:line="500" w:lineRule="exact"/>
        <w:ind w:firstLine="480" w:firstLineChars="200"/>
        <w:rPr>
          <w:rFonts w:ascii="宋体" w:hAnsi="宋体" w:eastAsia="宋体" w:cs="Times New Roman"/>
          <w:sz w:val="24"/>
          <w:szCs w:val="24"/>
          <w:lang w:val="en-SG" w:eastAsia="zh-CN"/>
        </w:rPr>
      </w:pPr>
      <w:r>
        <w:rPr>
          <w:rFonts w:ascii="宋体" w:hAnsi="宋体" w:eastAsia="宋体" w:cs="Times New Roman"/>
          <w:sz w:val="24"/>
          <w:szCs w:val="24"/>
          <w:lang w:eastAsia="zh-CN"/>
        </w:rPr>
        <w:t>4.2</w:t>
      </w:r>
      <w:r>
        <w:rPr>
          <w:rFonts w:ascii="宋体" w:hAnsi="宋体" w:eastAsia="宋体" w:cs="Times New Roman"/>
          <w:sz w:val="24"/>
          <w:szCs w:val="24"/>
          <w:lang w:val="en-SG" w:eastAsia="zh-CN"/>
        </w:rPr>
        <w:t>刀片转速:</w:t>
      </w:r>
      <w:r>
        <w:rPr>
          <w:rFonts w:ascii="宋体" w:hAnsi="宋体" w:eastAsia="宋体" w:cs="Times New Roman"/>
          <w:sz w:val="24"/>
          <w:szCs w:val="24"/>
          <w:lang w:eastAsia="zh-CN"/>
        </w:rPr>
        <w:t>100-1500r/min</w:t>
      </w:r>
      <w:r>
        <w:rPr>
          <w:rFonts w:ascii="宋体" w:hAnsi="宋体" w:eastAsia="宋体" w:cs="Times New Roman"/>
          <w:sz w:val="24"/>
          <w:szCs w:val="24"/>
          <w:lang w:val="en-SG" w:eastAsia="zh-CN"/>
        </w:rPr>
        <w:t>连续可调</w:t>
      </w:r>
    </w:p>
    <w:p w14:paraId="390B3F3F">
      <w:pPr>
        <w:spacing w:line="500" w:lineRule="exact"/>
        <w:ind w:firstLine="480" w:firstLineChars="200"/>
        <w:rPr>
          <w:rFonts w:ascii="宋体" w:hAnsi="宋体" w:eastAsia="宋体" w:cs="Times New Roman"/>
          <w:sz w:val="24"/>
          <w:szCs w:val="24"/>
          <w:lang w:val="en-SG" w:eastAsia="zh-CN"/>
        </w:rPr>
      </w:pPr>
      <w:r>
        <w:rPr>
          <w:rFonts w:ascii="宋体" w:hAnsi="宋体" w:eastAsia="宋体" w:cs="Times New Roman"/>
          <w:sz w:val="24"/>
          <w:szCs w:val="24"/>
          <w:lang w:eastAsia="zh-CN"/>
        </w:rPr>
        <w:t>4.3</w:t>
      </w:r>
      <w:r>
        <w:rPr>
          <w:rFonts w:ascii="宋体" w:hAnsi="宋体" w:eastAsia="宋体" w:cs="Times New Roman"/>
          <w:sz w:val="24"/>
          <w:szCs w:val="24"/>
          <w:lang w:val="en-SG" w:eastAsia="zh-CN"/>
        </w:rPr>
        <w:t>刀片尺寸: Φ150mm金刚石切割片</w:t>
      </w:r>
    </w:p>
    <w:p w14:paraId="64791AA5">
      <w:pPr>
        <w:spacing w:line="500" w:lineRule="exact"/>
        <w:ind w:firstLine="480" w:firstLineChars="200"/>
        <w:rPr>
          <w:rFonts w:ascii="宋体" w:hAnsi="宋体" w:eastAsia="宋体" w:cs="Times New Roman"/>
          <w:sz w:val="24"/>
          <w:szCs w:val="24"/>
          <w:lang w:val="en-SG" w:eastAsia="zh-CN"/>
        </w:rPr>
      </w:pPr>
      <w:r>
        <w:rPr>
          <w:rFonts w:ascii="宋体" w:hAnsi="宋体" w:eastAsia="宋体" w:cs="Times New Roman"/>
          <w:sz w:val="24"/>
          <w:szCs w:val="24"/>
          <w:lang w:val="en-SG" w:eastAsia="zh-CN"/>
        </w:rPr>
        <w:t>4.</w:t>
      </w:r>
      <w:r>
        <w:rPr>
          <w:rFonts w:hint="eastAsia" w:ascii="宋体" w:hAnsi="宋体" w:eastAsia="宋体" w:cs="Times New Roman"/>
          <w:sz w:val="24"/>
          <w:szCs w:val="24"/>
          <w:lang w:val="en-SG" w:eastAsia="zh-CN"/>
        </w:rPr>
        <w:t>4具备样品定位功能，定位精度优于 0.2mm</w:t>
      </w:r>
    </w:p>
    <w:p w14:paraId="14EE3247">
      <w:pPr>
        <w:spacing w:line="500" w:lineRule="exact"/>
        <w:rPr>
          <w:rFonts w:ascii="宋体" w:hAnsi="宋体" w:eastAsia="宋体" w:cs="Times New Roman"/>
          <w:sz w:val="24"/>
          <w:szCs w:val="24"/>
          <w:lang w:eastAsia="zh-CN"/>
        </w:rPr>
      </w:pPr>
    </w:p>
    <w:p w14:paraId="63D1A311">
      <w:pPr>
        <w:spacing w:line="460" w:lineRule="exact"/>
        <w:ind w:firstLine="482" w:firstLineChars="200"/>
        <w:rPr>
          <w:rFonts w:cs="仿宋_GB2312" w:asciiTheme="minorEastAsia" w:hAnsiTheme="minorEastAsia" w:eastAsiaTheme="minorEastAsia"/>
          <w:b/>
          <w:sz w:val="24"/>
          <w:szCs w:val="32"/>
          <w:lang w:eastAsia="zh-CN"/>
        </w:rPr>
      </w:pPr>
      <w:r>
        <w:rPr>
          <w:rFonts w:hint="eastAsia" w:cs="仿宋_GB2312" w:asciiTheme="minorEastAsia" w:hAnsiTheme="minorEastAsia" w:eastAsiaTheme="minorEastAsia"/>
          <w:b/>
          <w:sz w:val="24"/>
          <w:szCs w:val="32"/>
          <w:lang w:eastAsia="zh-CN"/>
        </w:rPr>
        <w:t>注：以上技术条款为必须满足或优于项，否则作无效投标处理。</w:t>
      </w:r>
    </w:p>
    <w:p w14:paraId="78551B91">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6F2337"/>
    <w:rsid w:val="4A6F23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2026-05-25T06:44:00Z</dcterms:created>
  <dc:creator>Administrator</dc:creator>
  <cp:lastModifiedBy>Administrator</cp:lastModifiedBy>
  <dcterms:modified xsi:type="dcterms:W3CDTF">2026-05-25T06:44:29Z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FA1C9CC5BA1A49F49FF14336F48BF1D6_11</vt:lpwstr>
  </property>
  <property fmtid="{D5CDD505-2E9C-101B-9397-08002B2CF9AE}" pid="4" name="KSOTemplateDocerSaveRecord">
    <vt:lpwstr>eyJoZGlkIjoiMGE5MmMzMjVmNmQ5ZDM5ZDg3YjMyMmNjZDlhNmZlM2UiLCJ1c2VySWQiOiI1OTEyMDM3OTQifQ==</vt:lpwstr>
  </property>
</Properties>
</file>