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DA1F6FD">
      <w:pPr>
        <w:pStyle w:val="2"/>
        <w:widowControl/>
        <w:spacing w:line="500" w:lineRule="exact"/>
        <w:jc w:val="center"/>
        <w:rPr>
          <w:rFonts w:ascii="Times New Roman" w:hAnsi="Times New Roman" w:eastAsia="宋体" w:cs="Times New Roman"/>
          <w:color w:val="000000"/>
          <w:sz w:val="44"/>
          <w:highlight w:val="none"/>
        </w:rPr>
      </w:pPr>
      <w:r>
        <w:rPr>
          <w:rFonts w:hint="eastAsia" w:ascii="Times New Roman" w:hAnsi="Times New Roman" w:eastAsia="宋体" w:cs="Times New Roman"/>
          <w:color w:val="000000"/>
          <w:sz w:val="44"/>
          <w:highlight w:val="none"/>
        </w:rPr>
        <w:t>第三章  采购需求</w:t>
      </w:r>
      <w:bookmarkStart w:id="0" w:name="_Toc293934838"/>
    </w:p>
    <w:bookmarkEnd w:id="0"/>
    <w:p w14:paraId="592C7499">
      <w:pPr>
        <w:numPr>
          <w:ilvl w:val="0"/>
          <w:numId w:val="1"/>
        </w:numPr>
        <w:kinsoku w:val="0"/>
        <w:overflowPunct w:val="0"/>
        <w:autoSpaceDE w:val="0"/>
        <w:autoSpaceDN w:val="0"/>
        <w:adjustRightInd w:val="0"/>
        <w:jc w:val="center"/>
        <w:outlineLvl w:val="1"/>
        <w:rPr>
          <w:rFonts w:ascii="宋体" w:hAnsi="宋体" w:eastAsia="宋体" w:cs="宋体"/>
          <w:b/>
          <w:color w:val="000000"/>
          <w:spacing w:val="-6"/>
          <w:kern w:val="0"/>
          <w:sz w:val="30"/>
          <w:szCs w:val="30"/>
          <w:highlight w:val="none"/>
        </w:rPr>
      </w:pPr>
      <w:bookmarkStart w:id="1" w:name="OLE_LINK3"/>
      <w:r>
        <w:rPr>
          <w:rFonts w:hint="eastAsia" w:ascii="宋体" w:hAnsi="宋体" w:eastAsia="宋体" w:cs="宋体"/>
          <w:b/>
          <w:color w:val="000000"/>
          <w:spacing w:val="-6"/>
          <w:kern w:val="0"/>
          <w:sz w:val="30"/>
          <w:szCs w:val="30"/>
          <w:highlight w:val="none"/>
        </w:rPr>
        <w:t>采购清单及技术要求</w:t>
      </w:r>
    </w:p>
    <w:bookmarkEnd w:id="1"/>
    <w:tbl>
      <w:tblPr>
        <w:tblStyle w:val="3"/>
        <w:tblW w:w="9923" w:type="dxa"/>
        <w:tblInd w:w="108" w:type="dxa"/>
        <w:tblLayout w:type="fixed"/>
        <w:tblCellMar>
          <w:top w:w="0" w:type="dxa"/>
          <w:left w:w="108" w:type="dxa"/>
          <w:bottom w:w="0" w:type="dxa"/>
          <w:right w:w="108" w:type="dxa"/>
        </w:tblCellMar>
      </w:tblPr>
      <w:tblGrid>
        <w:gridCol w:w="1134"/>
        <w:gridCol w:w="1560"/>
        <w:gridCol w:w="4252"/>
        <w:gridCol w:w="709"/>
        <w:gridCol w:w="709"/>
        <w:gridCol w:w="708"/>
        <w:gridCol w:w="851"/>
      </w:tblGrid>
      <w:tr w14:paraId="513608C9">
        <w:tblPrEx>
          <w:tblCellMar>
            <w:top w:w="0" w:type="dxa"/>
            <w:left w:w="108" w:type="dxa"/>
            <w:bottom w:w="0" w:type="dxa"/>
            <w:right w:w="108" w:type="dxa"/>
          </w:tblCellMar>
        </w:tblPrEx>
        <w:trPr>
          <w:trHeight w:val="520" w:hRule="atLeast"/>
        </w:trPr>
        <w:tc>
          <w:tcPr>
            <w:tcW w:w="9923" w:type="dxa"/>
            <w:gridSpan w:val="7"/>
            <w:tcBorders>
              <w:top w:val="single" w:color="auto" w:sz="4" w:space="0"/>
              <w:left w:val="single" w:color="auto" w:sz="4" w:space="0"/>
              <w:bottom w:val="single" w:color="auto" w:sz="4" w:space="0"/>
              <w:right w:val="single" w:color="auto" w:sz="4" w:space="0"/>
            </w:tcBorders>
            <w:noWrap w:val="0"/>
            <w:vAlign w:val="center"/>
          </w:tcPr>
          <w:p w14:paraId="3022F5A1">
            <w:pPr>
              <w:widowControl/>
              <w:jc w:val="center"/>
              <w:rPr>
                <w:rFonts w:ascii="宋体" w:hAnsi="宋体" w:eastAsia="宋体" w:cs="宋体"/>
                <w:color w:val="000000"/>
                <w:kern w:val="0"/>
                <w:sz w:val="32"/>
                <w:szCs w:val="32"/>
                <w:highlight w:val="none"/>
              </w:rPr>
            </w:pPr>
            <w:r>
              <w:rPr>
                <w:rFonts w:hint="eastAsia" w:ascii="宋体" w:hAnsi="宋体" w:eastAsia="宋体" w:cs="宋体"/>
                <w:color w:val="000000"/>
                <w:kern w:val="0"/>
                <w:sz w:val="32"/>
                <w:szCs w:val="32"/>
                <w:highlight w:val="none"/>
              </w:rPr>
              <w:t>万年县城区交通安全应急实施项目(护栏)清单</w:t>
            </w:r>
          </w:p>
        </w:tc>
      </w:tr>
      <w:tr w14:paraId="12C25495">
        <w:tblPrEx>
          <w:tblCellMar>
            <w:top w:w="0" w:type="dxa"/>
            <w:left w:w="108" w:type="dxa"/>
            <w:bottom w:w="0" w:type="dxa"/>
            <w:right w:w="108" w:type="dxa"/>
          </w:tblCellMar>
        </w:tblPrEx>
        <w:trPr>
          <w:trHeight w:val="520" w:hRule="atLeast"/>
        </w:trPr>
        <w:tc>
          <w:tcPr>
            <w:tcW w:w="1134" w:type="dxa"/>
            <w:tcBorders>
              <w:top w:val="nil"/>
              <w:left w:val="single" w:color="auto" w:sz="4" w:space="0"/>
              <w:bottom w:val="single" w:color="auto" w:sz="4" w:space="0"/>
              <w:right w:val="single" w:color="auto" w:sz="4" w:space="0"/>
            </w:tcBorders>
            <w:noWrap w:val="0"/>
            <w:vAlign w:val="center"/>
          </w:tcPr>
          <w:p w14:paraId="0FF0DCDD">
            <w:pPr>
              <w:widowControl/>
              <w:jc w:val="center"/>
              <w:rPr>
                <w:rFonts w:ascii="宋体" w:hAnsi="宋体" w:eastAsia="宋体" w:cs="宋体"/>
                <w:color w:val="000000"/>
                <w:kern w:val="0"/>
                <w:sz w:val="22"/>
                <w:highlight w:val="none"/>
              </w:rPr>
            </w:pPr>
            <w:r>
              <w:rPr>
                <w:rFonts w:hint="eastAsia" w:ascii="宋体" w:hAnsi="宋体" w:eastAsia="宋体" w:cs="宋体"/>
                <w:color w:val="000000"/>
                <w:kern w:val="0"/>
                <w:sz w:val="22"/>
                <w:highlight w:val="none"/>
              </w:rPr>
              <w:t>道路</w:t>
            </w:r>
          </w:p>
        </w:tc>
        <w:tc>
          <w:tcPr>
            <w:tcW w:w="1560" w:type="dxa"/>
            <w:tcBorders>
              <w:top w:val="nil"/>
              <w:left w:val="nil"/>
              <w:bottom w:val="single" w:color="auto" w:sz="4" w:space="0"/>
              <w:right w:val="single" w:color="auto" w:sz="4" w:space="0"/>
            </w:tcBorders>
            <w:noWrap w:val="0"/>
            <w:vAlign w:val="center"/>
          </w:tcPr>
          <w:p w14:paraId="12E5FF9D">
            <w:pPr>
              <w:widowControl/>
              <w:jc w:val="center"/>
              <w:rPr>
                <w:rFonts w:hint="eastAsia" w:ascii="宋体" w:hAnsi="宋体" w:eastAsia="宋体" w:cs="宋体"/>
                <w:color w:val="000000"/>
                <w:kern w:val="0"/>
                <w:sz w:val="22"/>
                <w:highlight w:val="none"/>
              </w:rPr>
            </w:pPr>
            <w:r>
              <w:rPr>
                <w:rFonts w:hint="eastAsia" w:ascii="宋体" w:hAnsi="宋体" w:eastAsia="宋体" w:cs="宋体"/>
                <w:color w:val="000000"/>
                <w:kern w:val="0"/>
                <w:sz w:val="22"/>
                <w:highlight w:val="none"/>
              </w:rPr>
              <w:t>项目</w:t>
            </w:r>
          </w:p>
        </w:tc>
        <w:tc>
          <w:tcPr>
            <w:tcW w:w="4252" w:type="dxa"/>
            <w:tcBorders>
              <w:top w:val="nil"/>
              <w:left w:val="nil"/>
              <w:bottom w:val="single" w:color="auto" w:sz="4" w:space="0"/>
              <w:right w:val="single" w:color="auto" w:sz="4" w:space="0"/>
            </w:tcBorders>
            <w:noWrap w:val="0"/>
            <w:vAlign w:val="center"/>
          </w:tcPr>
          <w:p w14:paraId="45EB9DF7">
            <w:pPr>
              <w:widowControl/>
              <w:jc w:val="center"/>
              <w:rPr>
                <w:rFonts w:hint="eastAsia" w:ascii="宋体" w:hAnsi="宋体" w:eastAsia="宋体" w:cs="宋体"/>
                <w:color w:val="000000"/>
                <w:kern w:val="0"/>
                <w:sz w:val="22"/>
                <w:highlight w:val="none"/>
              </w:rPr>
            </w:pPr>
            <w:r>
              <w:rPr>
                <w:rFonts w:hint="eastAsia" w:ascii="宋体" w:hAnsi="宋体" w:eastAsia="宋体" w:cs="宋体"/>
                <w:color w:val="000000"/>
                <w:kern w:val="0"/>
                <w:sz w:val="22"/>
                <w:highlight w:val="none"/>
              </w:rPr>
              <w:t>技术参数</w:t>
            </w:r>
          </w:p>
        </w:tc>
        <w:tc>
          <w:tcPr>
            <w:tcW w:w="709" w:type="dxa"/>
            <w:tcBorders>
              <w:top w:val="nil"/>
              <w:left w:val="nil"/>
              <w:bottom w:val="single" w:color="auto" w:sz="4" w:space="0"/>
              <w:right w:val="single" w:color="auto" w:sz="4" w:space="0"/>
            </w:tcBorders>
            <w:noWrap w:val="0"/>
            <w:vAlign w:val="center"/>
          </w:tcPr>
          <w:p w14:paraId="635845D1">
            <w:pPr>
              <w:widowControl/>
              <w:jc w:val="center"/>
              <w:rPr>
                <w:rFonts w:hint="eastAsia" w:ascii="宋体" w:hAnsi="宋体" w:eastAsia="宋体" w:cs="宋体"/>
                <w:color w:val="000000"/>
                <w:kern w:val="0"/>
                <w:sz w:val="22"/>
                <w:highlight w:val="none"/>
              </w:rPr>
            </w:pPr>
            <w:r>
              <w:rPr>
                <w:rFonts w:hint="eastAsia" w:ascii="宋体" w:hAnsi="宋体" w:eastAsia="宋体" w:cs="宋体"/>
                <w:color w:val="000000"/>
                <w:kern w:val="0"/>
                <w:sz w:val="22"/>
                <w:highlight w:val="none"/>
              </w:rPr>
              <w:t>数量</w:t>
            </w:r>
          </w:p>
        </w:tc>
        <w:tc>
          <w:tcPr>
            <w:tcW w:w="709" w:type="dxa"/>
            <w:tcBorders>
              <w:top w:val="nil"/>
              <w:left w:val="nil"/>
              <w:bottom w:val="single" w:color="auto" w:sz="4" w:space="0"/>
              <w:right w:val="single" w:color="auto" w:sz="4" w:space="0"/>
            </w:tcBorders>
            <w:noWrap w:val="0"/>
            <w:vAlign w:val="center"/>
          </w:tcPr>
          <w:p w14:paraId="03FADB17">
            <w:pPr>
              <w:widowControl/>
              <w:jc w:val="center"/>
              <w:rPr>
                <w:rFonts w:hint="eastAsia" w:ascii="宋体" w:hAnsi="宋体" w:eastAsia="宋体" w:cs="宋体"/>
                <w:color w:val="000000"/>
                <w:kern w:val="0"/>
                <w:sz w:val="22"/>
                <w:highlight w:val="none"/>
              </w:rPr>
            </w:pPr>
            <w:r>
              <w:rPr>
                <w:rFonts w:hint="eastAsia" w:ascii="宋体" w:hAnsi="宋体" w:eastAsia="宋体" w:cs="宋体"/>
                <w:color w:val="000000"/>
                <w:kern w:val="0"/>
                <w:sz w:val="22"/>
                <w:highlight w:val="none"/>
              </w:rPr>
              <w:t>单位</w:t>
            </w:r>
          </w:p>
        </w:tc>
        <w:tc>
          <w:tcPr>
            <w:tcW w:w="708" w:type="dxa"/>
            <w:tcBorders>
              <w:top w:val="nil"/>
              <w:left w:val="nil"/>
              <w:bottom w:val="single" w:color="auto" w:sz="4" w:space="0"/>
              <w:right w:val="single" w:color="auto" w:sz="4" w:space="0"/>
            </w:tcBorders>
            <w:noWrap w:val="0"/>
            <w:vAlign w:val="center"/>
          </w:tcPr>
          <w:p w14:paraId="1CE64E04">
            <w:pPr>
              <w:widowControl/>
              <w:jc w:val="center"/>
              <w:rPr>
                <w:rFonts w:hint="eastAsia" w:ascii="宋体" w:hAnsi="宋体" w:eastAsia="宋体" w:cs="宋体"/>
                <w:color w:val="000000"/>
                <w:kern w:val="0"/>
                <w:sz w:val="22"/>
                <w:highlight w:val="none"/>
              </w:rPr>
            </w:pPr>
            <w:r>
              <w:rPr>
                <w:rFonts w:hint="eastAsia" w:ascii="宋体" w:hAnsi="宋体" w:eastAsia="宋体" w:cs="宋体"/>
                <w:color w:val="000000"/>
                <w:kern w:val="0"/>
                <w:sz w:val="22"/>
                <w:highlight w:val="none"/>
              </w:rPr>
              <w:t>单价(元）</w:t>
            </w:r>
          </w:p>
        </w:tc>
        <w:tc>
          <w:tcPr>
            <w:tcW w:w="851" w:type="dxa"/>
            <w:tcBorders>
              <w:top w:val="nil"/>
              <w:left w:val="nil"/>
              <w:bottom w:val="single" w:color="auto" w:sz="4" w:space="0"/>
              <w:right w:val="single" w:color="auto" w:sz="4" w:space="0"/>
            </w:tcBorders>
            <w:noWrap w:val="0"/>
            <w:vAlign w:val="center"/>
          </w:tcPr>
          <w:p w14:paraId="3A7975C1">
            <w:pPr>
              <w:widowControl/>
              <w:jc w:val="center"/>
              <w:rPr>
                <w:rFonts w:hint="eastAsia" w:ascii="宋体" w:hAnsi="宋体" w:eastAsia="宋体" w:cs="宋体"/>
                <w:color w:val="000000"/>
                <w:kern w:val="0"/>
                <w:sz w:val="22"/>
                <w:highlight w:val="none"/>
              </w:rPr>
            </w:pPr>
            <w:r>
              <w:rPr>
                <w:rFonts w:hint="eastAsia" w:ascii="宋体" w:hAnsi="宋体" w:eastAsia="宋体" w:cs="宋体"/>
                <w:color w:val="000000"/>
                <w:kern w:val="0"/>
                <w:sz w:val="22"/>
                <w:highlight w:val="none"/>
              </w:rPr>
              <w:t>总价（元）</w:t>
            </w:r>
          </w:p>
        </w:tc>
      </w:tr>
      <w:tr w14:paraId="6DCC352A">
        <w:tblPrEx>
          <w:tblCellMar>
            <w:top w:w="0" w:type="dxa"/>
            <w:left w:w="108" w:type="dxa"/>
            <w:bottom w:w="0" w:type="dxa"/>
            <w:right w:w="108" w:type="dxa"/>
          </w:tblCellMar>
        </w:tblPrEx>
        <w:trPr>
          <w:trHeight w:val="681" w:hRule="atLeast"/>
        </w:trPr>
        <w:tc>
          <w:tcPr>
            <w:tcW w:w="1134" w:type="dxa"/>
            <w:vMerge w:val="restart"/>
            <w:tcBorders>
              <w:top w:val="nil"/>
              <w:left w:val="single" w:color="auto" w:sz="4" w:space="0"/>
              <w:bottom w:val="single" w:color="auto" w:sz="4" w:space="0"/>
              <w:right w:val="single" w:color="auto" w:sz="4" w:space="0"/>
            </w:tcBorders>
            <w:noWrap w:val="0"/>
            <w:vAlign w:val="center"/>
          </w:tcPr>
          <w:p w14:paraId="4DE16058">
            <w:pPr>
              <w:widowControl/>
              <w:jc w:val="center"/>
              <w:rPr>
                <w:rFonts w:ascii="宋体" w:hAnsi="宋体" w:eastAsia="宋体" w:cs="宋体"/>
                <w:color w:val="000000"/>
                <w:kern w:val="0"/>
                <w:sz w:val="22"/>
                <w:highlight w:val="none"/>
              </w:rPr>
            </w:pPr>
            <w:r>
              <w:rPr>
                <w:rFonts w:hint="eastAsia" w:ascii="宋体" w:hAnsi="宋体" w:eastAsia="宋体" w:cs="宋体"/>
                <w:color w:val="000000"/>
                <w:kern w:val="0"/>
                <w:sz w:val="22"/>
                <w:highlight w:val="none"/>
              </w:rPr>
              <w:t>建德大街</w:t>
            </w:r>
          </w:p>
        </w:tc>
        <w:tc>
          <w:tcPr>
            <w:tcW w:w="1560" w:type="dxa"/>
            <w:tcBorders>
              <w:top w:val="nil"/>
              <w:left w:val="nil"/>
              <w:bottom w:val="single" w:color="auto" w:sz="4" w:space="0"/>
              <w:right w:val="single" w:color="auto" w:sz="4" w:space="0"/>
            </w:tcBorders>
            <w:noWrap w:val="0"/>
            <w:vAlign w:val="center"/>
          </w:tcPr>
          <w:p w14:paraId="15CD366C">
            <w:pPr>
              <w:widowControl/>
              <w:jc w:val="center"/>
              <w:rPr>
                <w:rFonts w:hint="eastAsia" w:ascii="宋体" w:hAnsi="宋体" w:eastAsia="宋体" w:cs="宋体"/>
                <w:color w:val="000000"/>
                <w:kern w:val="0"/>
                <w:sz w:val="22"/>
                <w:highlight w:val="none"/>
              </w:rPr>
            </w:pPr>
            <w:r>
              <w:rPr>
                <w:rFonts w:hint="eastAsia" w:ascii="宋体" w:hAnsi="宋体" w:eastAsia="宋体" w:cs="宋体"/>
                <w:color w:val="000000"/>
                <w:kern w:val="0"/>
                <w:sz w:val="22"/>
                <w:highlight w:val="none"/>
              </w:rPr>
              <w:t>新增中央护栏（白色）</w:t>
            </w:r>
          </w:p>
        </w:tc>
        <w:tc>
          <w:tcPr>
            <w:tcW w:w="4252" w:type="dxa"/>
            <w:tcBorders>
              <w:top w:val="nil"/>
              <w:left w:val="nil"/>
              <w:bottom w:val="single" w:color="auto" w:sz="4" w:space="0"/>
              <w:right w:val="single" w:color="auto" w:sz="4" w:space="0"/>
            </w:tcBorders>
            <w:noWrap w:val="0"/>
            <w:vAlign w:val="center"/>
          </w:tcPr>
          <w:p w14:paraId="4C38A498">
            <w:pPr>
              <w:widowControl/>
              <w:rPr>
                <w:rFonts w:hint="eastAsia" w:ascii="宋体" w:hAnsi="宋体" w:eastAsia="宋体" w:cs="宋体"/>
                <w:color w:val="000000"/>
                <w:kern w:val="0"/>
                <w:sz w:val="22"/>
                <w:highlight w:val="none"/>
              </w:rPr>
            </w:pPr>
            <w:r>
              <w:rPr>
                <w:rFonts w:hint="eastAsia" w:ascii="宋体" w:hAnsi="宋体" w:eastAsia="宋体" w:cs="宋体"/>
                <w:color w:val="000000"/>
                <w:kern w:val="0"/>
                <w:sz w:val="22"/>
                <w:highlight w:val="none"/>
              </w:rPr>
              <w:t>规格：竖杠30*30*1.5mm、上下横杠60*40*2mm抗压管、底座400*300*150mm（20kg）、H：1200mm；底座铸铁，整体热镀锌，表面氟碳喷涂</w:t>
            </w:r>
          </w:p>
        </w:tc>
        <w:tc>
          <w:tcPr>
            <w:tcW w:w="709" w:type="dxa"/>
            <w:tcBorders>
              <w:top w:val="nil"/>
              <w:left w:val="nil"/>
              <w:bottom w:val="single" w:color="auto" w:sz="4" w:space="0"/>
              <w:right w:val="single" w:color="auto" w:sz="4" w:space="0"/>
            </w:tcBorders>
            <w:noWrap w:val="0"/>
            <w:vAlign w:val="center"/>
          </w:tcPr>
          <w:p w14:paraId="74AC9D6B">
            <w:pPr>
              <w:widowControl/>
              <w:jc w:val="center"/>
              <w:rPr>
                <w:rFonts w:hint="eastAsia" w:ascii="宋体" w:hAnsi="宋体" w:eastAsia="宋体" w:cs="宋体"/>
                <w:color w:val="000000"/>
                <w:kern w:val="0"/>
                <w:sz w:val="22"/>
                <w:highlight w:val="none"/>
              </w:rPr>
            </w:pPr>
            <w:r>
              <w:rPr>
                <w:rFonts w:hint="eastAsia" w:ascii="宋体" w:hAnsi="宋体" w:eastAsia="宋体" w:cs="宋体"/>
                <w:color w:val="000000"/>
                <w:kern w:val="0"/>
                <w:sz w:val="22"/>
                <w:highlight w:val="none"/>
              </w:rPr>
              <w:t>1820</w:t>
            </w:r>
          </w:p>
        </w:tc>
        <w:tc>
          <w:tcPr>
            <w:tcW w:w="709" w:type="dxa"/>
            <w:tcBorders>
              <w:top w:val="nil"/>
              <w:left w:val="nil"/>
              <w:bottom w:val="single" w:color="auto" w:sz="4" w:space="0"/>
              <w:right w:val="single" w:color="auto" w:sz="4" w:space="0"/>
            </w:tcBorders>
            <w:noWrap w:val="0"/>
            <w:vAlign w:val="center"/>
          </w:tcPr>
          <w:p w14:paraId="3EEBCD08">
            <w:pPr>
              <w:widowControl/>
              <w:jc w:val="center"/>
              <w:rPr>
                <w:rFonts w:hint="eastAsia" w:ascii="宋体" w:hAnsi="宋体" w:eastAsia="宋体" w:cs="宋体"/>
                <w:color w:val="000000"/>
                <w:kern w:val="0"/>
                <w:sz w:val="22"/>
                <w:highlight w:val="none"/>
              </w:rPr>
            </w:pPr>
            <w:r>
              <w:rPr>
                <w:rFonts w:hint="eastAsia" w:ascii="宋体" w:hAnsi="宋体" w:eastAsia="宋体" w:cs="宋体"/>
                <w:color w:val="000000"/>
                <w:kern w:val="0"/>
                <w:sz w:val="22"/>
                <w:highlight w:val="none"/>
              </w:rPr>
              <w:t>m</w:t>
            </w:r>
          </w:p>
        </w:tc>
        <w:tc>
          <w:tcPr>
            <w:tcW w:w="708" w:type="dxa"/>
            <w:tcBorders>
              <w:top w:val="nil"/>
              <w:left w:val="nil"/>
              <w:bottom w:val="single" w:color="auto" w:sz="4" w:space="0"/>
              <w:right w:val="single" w:color="auto" w:sz="4" w:space="0"/>
            </w:tcBorders>
            <w:noWrap w:val="0"/>
            <w:vAlign w:val="center"/>
          </w:tcPr>
          <w:p w14:paraId="51D4F635">
            <w:pPr>
              <w:widowControl/>
              <w:jc w:val="center"/>
              <w:rPr>
                <w:rFonts w:hint="eastAsia" w:ascii="宋体" w:hAnsi="宋体" w:eastAsia="宋体" w:cs="宋体"/>
                <w:color w:val="000000"/>
                <w:kern w:val="0"/>
                <w:sz w:val="22"/>
                <w:highlight w:val="none"/>
              </w:rPr>
            </w:pPr>
            <w:r>
              <w:rPr>
                <w:rFonts w:hint="eastAsia" w:ascii="宋体" w:hAnsi="宋体" w:eastAsia="宋体" w:cs="宋体"/>
                <w:color w:val="000000"/>
                <w:kern w:val="0"/>
                <w:sz w:val="22"/>
                <w:highlight w:val="none"/>
              </w:rPr>
              <w:t>215</w:t>
            </w:r>
          </w:p>
        </w:tc>
        <w:tc>
          <w:tcPr>
            <w:tcW w:w="851" w:type="dxa"/>
            <w:tcBorders>
              <w:top w:val="nil"/>
              <w:left w:val="nil"/>
              <w:bottom w:val="single" w:color="auto" w:sz="4" w:space="0"/>
              <w:right w:val="single" w:color="auto" w:sz="4" w:space="0"/>
            </w:tcBorders>
            <w:noWrap w:val="0"/>
            <w:vAlign w:val="center"/>
          </w:tcPr>
          <w:p w14:paraId="1465BA75">
            <w:pPr>
              <w:widowControl/>
              <w:jc w:val="center"/>
              <w:rPr>
                <w:rFonts w:hint="eastAsia" w:ascii="宋体" w:hAnsi="宋体" w:eastAsia="宋体" w:cs="宋体"/>
                <w:color w:val="000000"/>
                <w:kern w:val="0"/>
                <w:sz w:val="20"/>
                <w:highlight w:val="none"/>
              </w:rPr>
            </w:pPr>
            <w:r>
              <w:rPr>
                <w:rFonts w:hint="eastAsia" w:ascii="宋体" w:hAnsi="宋体" w:eastAsia="宋体" w:cs="宋体"/>
                <w:color w:val="000000"/>
                <w:kern w:val="0"/>
                <w:sz w:val="20"/>
                <w:highlight w:val="none"/>
              </w:rPr>
              <w:t xml:space="preserve">¥391,300.00 </w:t>
            </w:r>
          </w:p>
        </w:tc>
      </w:tr>
      <w:tr w14:paraId="266FE88D">
        <w:tblPrEx>
          <w:tblCellMar>
            <w:top w:w="0" w:type="dxa"/>
            <w:left w:w="108" w:type="dxa"/>
            <w:bottom w:w="0" w:type="dxa"/>
            <w:right w:w="108" w:type="dxa"/>
          </w:tblCellMar>
        </w:tblPrEx>
        <w:trPr>
          <w:trHeight w:val="820" w:hRule="atLeast"/>
        </w:trPr>
        <w:tc>
          <w:tcPr>
            <w:tcW w:w="1134" w:type="dxa"/>
            <w:vMerge w:val="continue"/>
            <w:tcBorders>
              <w:top w:val="nil"/>
              <w:left w:val="single" w:color="auto" w:sz="4" w:space="0"/>
              <w:bottom w:val="single" w:color="auto" w:sz="4" w:space="0"/>
              <w:right w:val="single" w:color="auto" w:sz="4" w:space="0"/>
            </w:tcBorders>
            <w:noWrap w:val="0"/>
            <w:vAlign w:val="center"/>
          </w:tcPr>
          <w:p w14:paraId="0D417181">
            <w:pPr>
              <w:widowControl/>
              <w:jc w:val="left"/>
              <w:rPr>
                <w:rFonts w:ascii="宋体" w:hAnsi="宋体" w:eastAsia="宋体" w:cs="宋体"/>
                <w:color w:val="000000"/>
                <w:kern w:val="0"/>
                <w:sz w:val="22"/>
                <w:highlight w:val="none"/>
              </w:rPr>
            </w:pPr>
          </w:p>
        </w:tc>
        <w:tc>
          <w:tcPr>
            <w:tcW w:w="1560" w:type="dxa"/>
            <w:tcBorders>
              <w:top w:val="nil"/>
              <w:left w:val="nil"/>
              <w:bottom w:val="single" w:color="auto" w:sz="4" w:space="0"/>
              <w:right w:val="single" w:color="auto" w:sz="4" w:space="0"/>
            </w:tcBorders>
            <w:noWrap w:val="0"/>
            <w:vAlign w:val="center"/>
          </w:tcPr>
          <w:p w14:paraId="44319CBD">
            <w:pPr>
              <w:widowControl/>
              <w:jc w:val="center"/>
              <w:rPr>
                <w:rFonts w:ascii="宋体" w:hAnsi="宋体" w:eastAsia="宋体" w:cs="宋体"/>
                <w:color w:val="000000"/>
                <w:kern w:val="0"/>
                <w:sz w:val="22"/>
                <w:highlight w:val="none"/>
              </w:rPr>
            </w:pPr>
            <w:r>
              <w:rPr>
                <w:rFonts w:hint="eastAsia" w:ascii="宋体" w:hAnsi="宋体" w:eastAsia="宋体" w:cs="宋体"/>
                <w:color w:val="000000"/>
                <w:kern w:val="0"/>
                <w:sz w:val="22"/>
                <w:highlight w:val="none"/>
              </w:rPr>
              <w:t>拆除机非护栏（白色）</w:t>
            </w:r>
          </w:p>
        </w:tc>
        <w:tc>
          <w:tcPr>
            <w:tcW w:w="4252" w:type="dxa"/>
            <w:tcBorders>
              <w:top w:val="nil"/>
              <w:left w:val="nil"/>
              <w:bottom w:val="single" w:color="auto" w:sz="4" w:space="0"/>
              <w:right w:val="single" w:color="auto" w:sz="4" w:space="0"/>
            </w:tcBorders>
            <w:noWrap w:val="0"/>
            <w:vAlign w:val="center"/>
          </w:tcPr>
          <w:p w14:paraId="2B299213">
            <w:pPr>
              <w:widowControl/>
              <w:rPr>
                <w:rFonts w:hint="eastAsia" w:ascii="宋体" w:hAnsi="宋体" w:eastAsia="宋体" w:cs="宋体"/>
                <w:color w:val="000000"/>
                <w:kern w:val="0"/>
                <w:sz w:val="22"/>
                <w:highlight w:val="none"/>
              </w:rPr>
            </w:pPr>
            <w:r>
              <w:rPr>
                <w:rFonts w:hint="eastAsia" w:ascii="宋体" w:hAnsi="宋体" w:eastAsia="宋体" w:cs="宋体"/>
                <w:color w:val="000000"/>
                <w:kern w:val="0"/>
                <w:sz w:val="22"/>
                <w:highlight w:val="none"/>
              </w:rPr>
              <w:t>拆除；规格：立柱100*100*2mm、竖杠</w:t>
            </w:r>
            <w:r>
              <w:rPr>
                <w:rFonts w:ascii="Cambria Math" w:hAnsi="Cambria Math" w:eastAsia="宋体" w:cs="Cambria Math"/>
                <w:color w:val="000000"/>
                <w:kern w:val="0"/>
                <w:sz w:val="22"/>
                <w:highlight w:val="none"/>
              </w:rPr>
              <w:t>∅</w:t>
            </w:r>
            <w:r>
              <w:rPr>
                <w:rFonts w:hint="eastAsia" w:ascii="宋体" w:hAnsi="宋体" w:eastAsia="宋体" w:cs="宋体"/>
                <w:color w:val="000000"/>
                <w:kern w:val="0"/>
                <w:sz w:val="22"/>
                <w:highlight w:val="none"/>
              </w:rPr>
              <w:t>25*2mm、下横杠63*40*1.5mm抗压管、底座400*300*150mm（20kg）、H：800mm（含拆除、运输）；底座铸铁，整体热镀锌，表面氟碳喷涂</w:t>
            </w:r>
          </w:p>
        </w:tc>
        <w:tc>
          <w:tcPr>
            <w:tcW w:w="709" w:type="dxa"/>
            <w:tcBorders>
              <w:top w:val="nil"/>
              <w:left w:val="nil"/>
              <w:bottom w:val="single" w:color="auto" w:sz="4" w:space="0"/>
              <w:right w:val="single" w:color="auto" w:sz="4" w:space="0"/>
            </w:tcBorders>
            <w:noWrap w:val="0"/>
            <w:vAlign w:val="center"/>
          </w:tcPr>
          <w:p w14:paraId="1144492D">
            <w:pPr>
              <w:widowControl/>
              <w:jc w:val="center"/>
              <w:rPr>
                <w:rFonts w:hint="eastAsia" w:ascii="宋体" w:hAnsi="宋体" w:eastAsia="宋体" w:cs="宋体"/>
                <w:color w:val="000000"/>
                <w:kern w:val="0"/>
                <w:sz w:val="22"/>
                <w:highlight w:val="none"/>
              </w:rPr>
            </w:pPr>
            <w:r>
              <w:rPr>
                <w:rFonts w:hint="eastAsia" w:ascii="宋体" w:hAnsi="宋体" w:eastAsia="宋体" w:cs="宋体"/>
                <w:color w:val="000000"/>
                <w:kern w:val="0"/>
                <w:sz w:val="22"/>
                <w:highlight w:val="none"/>
              </w:rPr>
              <w:t>880</w:t>
            </w:r>
          </w:p>
        </w:tc>
        <w:tc>
          <w:tcPr>
            <w:tcW w:w="709" w:type="dxa"/>
            <w:tcBorders>
              <w:top w:val="nil"/>
              <w:left w:val="nil"/>
              <w:bottom w:val="single" w:color="auto" w:sz="4" w:space="0"/>
              <w:right w:val="single" w:color="auto" w:sz="4" w:space="0"/>
            </w:tcBorders>
            <w:noWrap w:val="0"/>
            <w:vAlign w:val="center"/>
          </w:tcPr>
          <w:p w14:paraId="2C65BB57">
            <w:pPr>
              <w:widowControl/>
              <w:jc w:val="center"/>
              <w:rPr>
                <w:rFonts w:hint="eastAsia" w:ascii="宋体" w:hAnsi="宋体" w:eastAsia="宋体" w:cs="宋体"/>
                <w:color w:val="000000"/>
                <w:kern w:val="0"/>
                <w:sz w:val="22"/>
                <w:highlight w:val="none"/>
              </w:rPr>
            </w:pPr>
            <w:r>
              <w:rPr>
                <w:rFonts w:hint="eastAsia" w:ascii="宋体" w:hAnsi="宋体" w:eastAsia="宋体" w:cs="宋体"/>
                <w:color w:val="000000"/>
                <w:kern w:val="0"/>
                <w:sz w:val="22"/>
                <w:highlight w:val="none"/>
              </w:rPr>
              <w:t>m</w:t>
            </w:r>
          </w:p>
        </w:tc>
        <w:tc>
          <w:tcPr>
            <w:tcW w:w="708" w:type="dxa"/>
            <w:tcBorders>
              <w:top w:val="nil"/>
              <w:left w:val="nil"/>
              <w:bottom w:val="single" w:color="auto" w:sz="4" w:space="0"/>
              <w:right w:val="single" w:color="auto" w:sz="4" w:space="0"/>
            </w:tcBorders>
            <w:noWrap w:val="0"/>
            <w:vAlign w:val="center"/>
          </w:tcPr>
          <w:p w14:paraId="1FC5D5F2">
            <w:pPr>
              <w:widowControl/>
              <w:jc w:val="center"/>
              <w:rPr>
                <w:rFonts w:hint="eastAsia" w:ascii="宋体" w:hAnsi="宋体" w:eastAsia="宋体" w:cs="宋体"/>
                <w:color w:val="000000"/>
                <w:kern w:val="0"/>
                <w:sz w:val="22"/>
                <w:highlight w:val="none"/>
              </w:rPr>
            </w:pPr>
            <w:r>
              <w:rPr>
                <w:rFonts w:hint="eastAsia" w:ascii="宋体" w:hAnsi="宋体" w:eastAsia="宋体" w:cs="宋体"/>
                <w:color w:val="000000"/>
                <w:kern w:val="0"/>
                <w:sz w:val="22"/>
                <w:highlight w:val="none"/>
              </w:rPr>
              <w:t>15</w:t>
            </w:r>
          </w:p>
        </w:tc>
        <w:tc>
          <w:tcPr>
            <w:tcW w:w="851" w:type="dxa"/>
            <w:tcBorders>
              <w:top w:val="nil"/>
              <w:left w:val="nil"/>
              <w:bottom w:val="single" w:color="auto" w:sz="4" w:space="0"/>
              <w:right w:val="single" w:color="auto" w:sz="4" w:space="0"/>
            </w:tcBorders>
            <w:noWrap w:val="0"/>
            <w:vAlign w:val="center"/>
          </w:tcPr>
          <w:p w14:paraId="3ADF4165">
            <w:pPr>
              <w:widowControl/>
              <w:jc w:val="center"/>
              <w:rPr>
                <w:rFonts w:hint="eastAsia" w:ascii="宋体" w:hAnsi="宋体" w:eastAsia="宋体" w:cs="宋体"/>
                <w:color w:val="000000"/>
                <w:kern w:val="0"/>
                <w:sz w:val="20"/>
                <w:highlight w:val="none"/>
              </w:rPr>
            </w:pPr>
            <w:r>
              <w:rPr>
                <w:rFonts w:hint="eastAsia" w:ascii="宋体" w:hAnsi="宋体" w:eastAsia="宋体" w:cs="宋体"/>
                <w:color w:val="000000"/>
                <w:kern w:val="0"/>
                <w:sz w:val="20"/>
                <w:highlight w:val="none"/>
              </w:rPr>
              <w:t xml:space="preserve">¥13,200.00 </w:t>
            </w:r>
          </w:p>
        </w:tc>
      </w:tr>
      <w:tr w14:paraId="50C54D62">
        <w:tblPrEx>
          <w:tblCellMar>
            <w:top w:w="0" w:type="dxa"/>
            <w:left w:w="108" w:type="dxa"/>
            <w:bottom w:w="0" w:type="dxa"/>
            <w:right w:w="108" w:type="dxa"/>
          </w:tblCellMar>
        </w:tblPrEx>
        <w:trPr>
          <w:trHeight w:val="810" w:hRule="atLeast"/>
        </w:trPr>
        <w:tc>
          <w:tcPr>
            <w:tcW w:w="1134" w:type="dxa"/>
            <w:vMerge w:val="continue"/>
            <w:tcBorders>
              <w:top w:val="nil"/>
              <w:left w:val="single" w:color="auto" w:sz="4" w:space="0"/>
              <w:bottom w:val="single" w:color="auto" w:sz="4" w:space="0"/>
              <w:right w:val="single" w:color="auto" w:sz="4" w:space="0"/>
            </w:tcBorders>
            <w:noWrap w:val="0"/>
            <w:vAlign w:val="center"/>
          </w:tcPr>
          <w:p w14:paraId="02F81D2C">
            <w:pPr>
              <w:widowControl/>
              <w:jc w:val="left"/>
              <w:rPr>
                <w:rFonts w:ascii="宋体" w:hAnsi="宋体" w:eastAsia="宋体" w:cs="宋体"/>
                <w:color w:val="000000"/>
                <w:kern w:val="0"/>
                <w:sz w:val="22"/>
                <w:highlight w:val="none"/>
              </w:rPr>
            </w:pPr>
          </w:p>
        </w:tc>
        <w:tc>
          <w:tcPr>
            <w:tcW w:w="1560" w:type="dxa"/>
            <w:tcBorders>
              <w:top w:val="nil"/>
              <w:left w:val="nil"/>
              <w:bottom w:val="single" w:color="auto" w:sz="4" w:space="0"/>
              <w:right w:val="single" w:color="auto" w:sz="4" w:space="0"/>
            </w:tcBorders>
            <w:noWrap w:val="0"/>
            <w:vAlign w:val="center"/>
          </w:tcPr>
          <w:p w14:paraId="7335EC6C">
            <w:pPr>
              <w:widowControl/>
              <w:jc w:val="center"/>
              <w:rPr>
                <w:rFonts w:ascii="宋体" w:hAnsi="宋体" w:eastAsia="宋体" w:cs="宋体"/>
                <w:color w:val="000000"/>
                <w:kern w:val="0"/>
                <w:sz w:val="22"/>
                <w:highlight w:val="none"/>
              </w:rPr>
            </w:pPr>
            <w:r>
              <w:rPr>
                <w:rFonts w:hint="eastAsia" w:ascii="宋体" w:hAnsi="宋体" w:eastAsia="宋体" w:cs="宋体"/>
                <w:color w:val="000000"/>
                <w:kern w:val="0"/>
                <w:sz w:val="22"/>
                <w:highlight w:val="none"/>
              </w:rPr>
              <w:t>移动机非护栏（白色）</w:t>
            </w:r>
          </w:p>
        </w:tc>
        <w:tc>
          <w:tcPr>
            <w:tcW w:w="4252" w:type="dxa"/>
            <w:tcBorders>
              <w:top w:val="nil"/>
              <w:left w:val="nil"/>
              <w:bottom w:val="single" w:color="auto" w:sz="4" w:space="0"/>
              <w:right w:val="single" w:color="auto" w:sz="4" w:space="0"/>
            </w:tcBorders>
            <w:noWrap w:val="0"/>
            <w:vAlign w:val="center"/>
          </w:tcPr>
          <w:p w14:paraId="20508C70">
            <w:pPr>
              <w:widowControl/>
              <w:rPr>
                <w:rFonts w:hint="eastAsia" w:ascii="宋体" w:hAnsi="宋体" w:eastAsia="宋体" w:cs="宋体"/>
                <w:color w:val="000000"/>
                <w:kern w:val="0"/>
                <w:sz w:val="22"/>
                <w:highlight w:val="none"/>
              </w:rPr>
            </w:pPr>
            <w:r>
              <w:rPr>
                <w:rFonts w:hint="eastAsia" w:ascii="宋体" w:hAnsi="宋体" w:eastAsia="宋体" w:cs="宋体"/>
                <w:color w:val="000000"/>
                <w:kern w:val="0"/>
                <w:sz w:val="22"/>
                <w:highlight w:val="none"/>
              </w:rPr>
              <w:t>移动；规格：立柱100*100*2mm、竖杠</w:t>
            </w:r>
            <w:r>
              <w:rPr>
                <w:rFonts w:ascii="Cambria Math" w:hAnsi="Cambria Math" w:eastAsia="宋体" w:cs="Cambria Math"/>
                <w:color w:val="000000"/>
                <w:kern w:val="0"/>
                <w:sz w:val="22"/>
                <w:highlight w:val="none"/>
              </w:rPr>
              <w:t>∅</w:t>
            </w:r>
            <w:r>
              <w:rPr>
                <w:rFonts w:hint="eastAsia" w:ascii="宋体" w:hAnsi="宋体" w:eastAsia="宋体" w:cs="宋体"/>
                <w:color w:val="000000"/>
                <w:kern w:val="0"/>
                <w:sz w:val="22"/>
                <w:highlight w:val="none"/>
              </w:rPr>
              <w:t>25*2mm、下横杠63*40*1.5mm抗压管、底座400*300*150mm（20kg）、H：800mm（含拆除、运输、安装）；底座铸铁，整体热镀锌，表面氟碳喷涂</w:t>
            </w:r>
          </w:p>
        </w:tc>
        <w:tc>
          <w:tcPr>
            <w:tcW w:w="709" w:type="dxa"/>
            <w:tcBorders>
              <w:top w:val="nil"/>
              <w:left w:val="nil"/>
              <w:bottom w:val="single" w:color="auto" w:sz="4" w:space="0"/>
              <w:right w:val="single" w:color="auto" w:sz="4" w:space="0"/>
            </w:tcBorders>
            <w:noWrap w:val="0"/>
            <w:vAlign w:val="center"/>
          </w:tcPr>
          <w:p w14:paraId="47723266">
            <w:pPr>
              <w:widowControl/>
              <w:jc w:val="center"/>
              <w:rPr>
                <w:rFonts w:hint="eastAsia" w:ascii="宋体" w:hAnsi="宋体" w:eastAsia="宋体" w:cs="宋体"/>
                <w:color w:val="000000"/>
                <w:kern w:val="0"/>
                <w:sz w:val="22"/>
                <w:highlight w:val="none"/>
              </w:rPr>
            </w:pPr>
            <w:r>
              <w:rPr>
                <w:rFonts w:hint="eastAsia" w:ascii="宋体" w:hAnsi="宋体" w:eastAsia="宋体" w:cs="宋体"/>
                <w:color w:val="000000"/>
                <w:kern w:val="0"/>
                <w:sz w:val="22"/>
                <w:highlight w:val="none"/>
              </w:rPr>
              <w:t>880</w:t>
            </w:r>
          </w:p>
        </w:tc>
        <w:tc>
          <w:tcPr>
            <w:tcW w:w="709" w:type="dxa"/>
            <w:tcBorders>
              <w:top w:val="nil"/>
              <w:left w:val="nil"/>
              <w:bottom w:val="single" w:color="auto" w:sz="4" w:space="0"/>
              <w:right w:val="single" w:color="auto" w:sz="4" w:space="0"/>
            </w:tcBorders>
            <w:noWrap w:val="0"/>
            <w:vAlign w:val="center"/>
          </w:tcPr>
          <w:p w14:paraId="284F5FFA">
            <w:pPr>
              <w:widowControl/>
              <w:jc w:val="center"/>
              <w:rPr>
                <w:rFonts w:hint="eastAsia" w:ascii="宋体" w:hAnsi="宋体" w:eastAsia="宋体" w:cs="宋体"/>
                <w:color w:val="000000"/>
                <w:kern w:val="0"/>
                <w:sz w:val="22"/>
                <w:highlight w:val="none"/>
              </w:rPr>
            </w:pPr>
            <w:r>
              <w:rPr>
                <w:rFonts w:hint="eastAsia" w:ascii="宋体" w:hAnsi="宋体" w:eastAsia="宋体" w:cs="宋体"/>
                <w:color w:val="000000"/>
                <w:kern w:val="0"/>
                <w:sz w:val="22"/>
                <w:highlight w:val="none"/>
              </w:rPr>
              <w:t>m</w:t>
            </w:r>
          </w:p>
        </w:tc>
        <w:tc>
          <w:tcPr>
            <w:tcW w:w="708" w:type="dxa"/>
            <w:tcBorders>
              <w:top w:val="nil"/>
              <w:left w:val="nil"/>
              <w:bottom w:val="single" w:color="auto" w:sz="4" w:space="0"/>
              <w:right w:val="single" w:color="auto" w:sz="4" w:space="0"/>
            </w:tcBorders>
            <w:noWrap w:val="0"/>
            <w:vAlign w:val="center"/>
          </w:tcPr>
          <w:p w14:paraId="4326A4BC">
            <w:pPr>
              <w:widowControl/>
              <w:jc w:val="center"/>
              <w:rPr>
                <w:rFonts w:hint="eastAsia" w:ascii="宋体" w:hAnsi="宋体" w:eastAsia="宋体" w:cs="宋体"/>
                <w:color w:val="000000"/>
                <w:kern w:val="0"/>
                <w:sz w:val="22"/>
                <w:highlight w:val="none"/>
              </w:rPr>
            </w:pPr>
            <w:r>
              <w:rPr>
                <w:rFonts w:hint="eastAsia" w:ascii="宋体" w:hAnsi="宋体" w:eastAsia="宋体" w:cs="宋体"/>
                <w:color w:val="000000"/>
                <w:kern w:val="0"/>
                <w:sz w:val="22"/>
                <w:highlight w:val="none"/>
              </w:rPr>
              <w:t>30</w:t>
            </w:r>
          </w:p>
        </w:tc>
        <w:tc>
          <w:tcPr>
            <w:tcW w:w="851" w:type="dxa"/>
            <w:tcBorders>
              <w:top w:val="nil"/>
              <w:left w:val="nil"/>
              <w:bottom w:val="single" w:color="auto" w:sz="4" w:space="0"/>
              <w:right w:val="single" w:color="auto" w:sz="4" w:space="0"/>
            </w:tcBorders>
            <w:noWrap w:val="0"/>
            <w:vAlign w:val="center"/>
          </w:tcPr>
          <w:p w14:paraId="164D222E">
            <w:pPr>
              <w:widowControl/>
              <w:jc w:val="center"/>
              <w:rPr>
                <w:rFonts w:hint="eastAsia" w:ascii="宋体" w:hAnsi="宋体" w:eastAsia="宋体" w:cs="宋体"/>
                <w:color w:val="000000"/>
                <w:kern w:val="0"/>
                <w:sz w:val="20"/>
                <w:highlight w:val="none"/>
              </w:rPr>
            </w:pPr>
            <w:r>
              <w:rPr>
                <w:rFonts w:hint="eastAsia" w:ascii="宋体" w:hAnsi="宋体" w:eastAsia="宋体" w:cs="宋体"/>
                <w:color w:val="000000"/>
                <w:kern w:val="0"/>
                <w:sz w:val="20"/>
                <w:highlight w:val="none"/>
              </w:rPr>
              <w:t xml:space="preserve">¥26,400.00 </w:t>
            </w:r>
          </w:p>
        </w:tc>
      </w:tr>
      <w:tr w14:paraId="0B551E4B">
        <w:tblPrEx>
          <w:tblCellMar>
            <w:top w:w="0" w:type="dxa"/>
            <w:left w:w="108" w:type="dxa"/>
            <w:bottom w:w="0" w:type="dxa"/>
            <w:right w:w="108" w:type="dxa"/>
          </w:tblCellMar>
        </w:tblPrEx>
        <w:trPr>
          <w:trHeight w:val="501" w:hRule="atLeast"/>
        </w:trPr>
        <w:tc>
          <w:tcPr>
            <w:tcW w:w="1134" w:type="dxa"/>
            <w:vMerge w:val="continue"/>
            <w:tcBorders>
              <w:top w:val="nil"/>
              <w:left w:val="single" w:color="auto" w:sz="4" w:space="0"/>
              <w:bottom w:val="single" w:color="auto" w:sz="4" w:space="0"/>
              <w:right w:val="single" w:color="auto" w:sz="4" w:space="0"/>
            </w:tcBorders>
            <w:noWrap w:val="0"/>
            <w:vAlign w:val="center"/>
          </w:tcPr>
          <w:p w14:paraId="398B609C">
            <w:pPr>
              <w:widowControl/>
              <w:jc w:val="left"/>
              <w:rPr>
                <w:rFonts w:ascii="宋体" w:hAnsi="宋体" w:eastAsia="宋体" w:cs="宋体"/>
                <w:color w:val="000000"/>
                <w:kern w:val="0"/>
                <w:sz w:val="22"/>
                <w:highlight w:val="none"/>
              </w:rPr>
            </w:pPr>
          </w:p>
        </w:tc>
        <w:tc>
          <w:tcPr>
            <w:tcW w:w="1560" w:type="dxa"/>
            <w:tcBorders>
              <w:top w:val="nil"/>
              <w:left w:val="nil"/>
              <w:bottom w:val="single" w:color="auto" w:sz="4" w:space="0"/>
              <w:right w:val="single" w:color="auto" w:sz="4" w:space="0"/>
            </w:tcBorders>
            <w:noWrap w:val="0"/>
            <w:vAlign w:val="center"/>
          </w:tcPr>
          <w:p w14:paraId="2BF7114B">
            <w:pPr>
              <w:widowControl/>
              <w:jc w:val="center"/>
              <w:rPr>
                <w:rFonts w:ascii="宋体" w:hAnsi="宋体" w:eastAsia="宋体" w:cs="宋体"/>
                <w:color w:val="000000"/>
                <w:kern w:val="0"/>
                <w:sz w:val="22"/>
                <w:highlight w:val="none"/>
              </w:rPr>
            </w:pPr>
            <w:r>
              <w:rPr>
                <w:rFonts w:hint="eastAsia" w:ascii="宋体" w:hAnsi="宋体" w:eastAsia="宋体" w:cs="宋体"/>
                <w:color w:val="000000"/>
                <w:kern w:val="0"/>
                <w:sz w:val="22"/>
                <w:highlight w:val="none"/>
              </w:rPr>
              <w:t>机非护栏端头反光警示柱</w:t>
            </w:r>
          </w:p>
        </w:tc>
        <w:tc>
          <w:tcPr>
            <w:tcW w:w="4252" w:type="dxa"/>
            <w:tcBorders>
              <w:top w:val="nil"/>
              <w:left w:val="nil"/>
              <w:bottom w:val="single" w:color="auto" w:sz="4" w:space="0"/>
              <w:right w:val="single" w:color="auto" w:sz="4" w:space="0"/>
            </w:tcBorders>
            <w:noWrap w:val="0"/>
            <w:vAlign w:val="center"/>
          </w:tcPr>
          <w:p w14:paraId="7B8915F1">
            <w:pPr>
              <w:widowControl/>
              <w:rPr>
                <w:rFonts w:hint="eastAsia" w:ascii="宋体" w:hAnsi="宋体" w:eastAsia="宋体" w:cs="宋体"/>
                <w:color w:val="000000"/>
                <w:kern w:val="0"/>
                <w:sz w:val="22"/>
                <w:highlight w:val="none"/>
              </w:rPr>
            </w:pPr>
            <w:r>
              <w:rPr>
                <w:rFonts w:hint="eastAsia" w:ascii="宋体" w:hAnsi="宋体" w:eastAsia="宋体" w:cs="宋体"/>
                <w:color w:val="000000"/>
                <w:kern w:val="0"/>
                <w:sz w:val="22"/>
                <w:highlight w:val="none"/>
              </w:rPr>
              <w:t>H800*3mm（含机械钻孔，注浆）</w:t>
            </w:r>
          </w:p>
        </w:tc>
        <w:tc>
          <w:tcPr>
            <w:tcW w:w="709" w:type="dxa"/>
            <w:tcBorders>
              <w:top w:val="nil"/>
              <w:left w:val="nil"/>
              <w:bottom w:val="single" w:color="auto" w:sz="4" w:space="0"/>
              <w:right w:val="single" w:color="auto" w:sz="4" w:space="0"/>
            </w:tcBorders>
            <w:noWrap w:val="0"/>
            <w:vAlign w:val="center"/>
          </w:tcPr>
          <w:p w14:paraId="4C591B5A">
            <w:pPr>
              <w:widowControl/>
              <w:jc w:val="center"/>
              <w:rPr>
                <w:rFonts w:hint="eastAsia" w:ascii="宋体" w:hAnsi="宋体" w:eastAsia="宋体" w:cs="宋体"/>
                <w:color w:val="000000"/>
                <w:kern w:val="0"/>
                <w:sz w:val="22"/>
                <w:highlight w:val="none"/>
              </w:rPr>
            </w:pPr>
            <w:r>
              <w:rPr>
                <w:rFonts w:hint="eastAsia" w:ascii="宋体" w:hAnsi="宋体" w:eastAsia="宋体" w:cs="宋体"/>
                <w:color w:val="000000"/>
                <w:kern w:val="0"/>
                <w:sz w:val="22"/>
                <w:highlight w:val="none"/>
              </w:rPr>
              <w:t>92</w:t>
            </w:r>
          </w:p>
        </w:tc>
        <w:tc>
          <w:tcPr>
            <w:tcW w:w="709" w:type="dxa"/>
            <w:tcBorders>
              <w:top w:val="nil"/>
              <w:left w:val="nil"/>
              <w:bottom w:val="single" w:color="auto" w:sz="4" w:space="0"/>
              <w:right w:val="single" w:color="auto" w:sz="4" w:space="0"/>
            </w:tcBorders>
            <w:noWrap w:val="0"/>
            <w:vAlign w:val="center"/>
          </w:tcPr>
          <w:p w14:paraId="699D726A">
            <w:pPr>
              <w:widowControl/>
              <w:jc w:val="center"/>
              <w:rPr>
                <w:rFonts w:hint="eastAsia" w:ascii="宋体" w:hAnsi="宋体" w:eastAsia="宋体" w:cs="宋体"/>
                <w:color w:val="000000"/>
                <w:kern w:val="0"/>
                <w:sz w:val="22"/>
                <w:highlight w:val="none"/>
              </w:rPr>
            </w:pPr>
            <w:r>
              <w:rPr>
                <w:rFonts w:hint="eastAsia" w:ascii="宋体" w:hAnsi="宋体" w:eastAsia="宋体" w:cs="宋体"/>
                <w:color w:val="000000"/>
                <w:kern w:val="0"/>
                <w:sz w:val="22"/>
                <w:highlight w:val="none"/>
              </w:rPr>
              <w:t>根</w:t>
            </w:r>
          </w:p>
        </w:tc>
        <w:tc>
          <w:tcPr>
            <w:tcW w:w="708" w:type="dxa"/>
            <w:tcBorders>
              <w:top w:val="nil"/>
              <w:left w:val="nil"/>
              <w:bottom w:val="single" w:color="auto" w:sz="4" w:space="0"/>
              <w:right w:val="single" w:color="auto" w:sz="4" w:space="0"/>
            </w:tcBorders>
            <w:noWrap w:val="0"/>
            <w:vAlign w:val="center"/>
          </w:tcPr>
          <w:p w14:paraId="12C0841F">
            <w:pPr>
              <w:widowControl/>
              <w:jc w:val="center"/>
              <w:rPr>
                <w:rFonts w:hint="eastAsia" w:ascii="宋体" w:hAnsi="宋体" w:eastAsia="宋体" w:cs="宋体"/>
                <w:color w:val="000000"/>
                <w:kern w:val="0"/>
                <w:sz w:val="22"/>
                <w:highlight w:val="none"/>
              </w:rPr>
            </w:pPr>
            <w:r>
              <w:rPr>
                <w:rFonts w:hint="eastAsia" w:ascii="宋体" w:hAnsi="宋体" w:eastAsia="宋体" w:cs="宋体"/>
                <w:color w:val="000000"/>
                <w:kern w:val="0"/>
                <w:sz w:val="22"/>
                <w:highlight w:val="none"/>
              </w:rPr>
              <w:t>150</w:t>
            </w:r>
          </w:p>
        </w:tc>
        <w:tc>
          <w:tcPr>
            <w:tcW w:w="851" w:type="dxa"/>
            <w:tcBorders>
              <w:top w:val="nil"/>
              <w:left w:val="nil"/>
              <w:bottom w:val="single" w:color="auto" w:sz="4" w:space="0"/>
              <w:right w:val="single" w:color="auto" w:sz="4" w:space="0"/>
            </w:tcBorders>
            <w:noWrap w:val="0"/>
            <w:vAlign w:val="center"/>
          </w:tcPr>
          <w:p w14:paraId="1583BC5B">
            <w:pPr>
              <w:widowControl/>
              <w:jc w:val="center"/>
              <w:rPr>
                <w:rFonts w:hint="eastAsia" w:ascii="宋体" w:hAnsi="宋体" w:eastAsia="宋体" w:cs="宋体"/>
                <w:color w:val="000000"/>
                <w:kern w:val="0"/>
                <w:sz w:val="20"/>
                <w:highlight w:val="none"/>
              </w:rPr>
            </w:pPr>
            <w:r>
              <w:rPr>
                <w:rFonts w:hint="eastAsia" w:ascii="宋体" w:hAnsi="宋体" w:eastAsia="宋体" w:cs="宋体"/>
                <w:color w:val="000000"/>
                <w:kern w:val="0"/>
                <w:sz w:val="20"/>
                <w:highlight w:val="none"/>
              </w:rPr>
              <w:t xml:space="preserve">¥13,800.00 </w:t>
            </w:r>
          </w:p>
        </w:tc>
      </w:tr>
      <w:tr w14:paraId="4293A856">
        <w:tblPrEx>
          <w:tblCellMar>
            <w:top w:w="0" w:type="dxa"/>
            <w:left w:w="108" w:type="dxa"/>
            <w:bottom w:w="0" w:type="dxa"/>
            <w:right w:w="108" w:type="dxa"/>
          </w:tblCellMar>
        </w:tblPrEx>
        <w:trPr>
          <w:trHeight w:val="360" w:hRule="atLeast"/>
        </w:trPr>
        <w:tc>
          <w:tcPr>
            <w:tcW w:w="1134" w:type="dxa"/>
            <w:vMerge w:val="continue"/>
            <w:tcBorders>
              <w:top w:val="nil"/>
              <w:left w:val="single" w:color="auto" w:sz="4" w:space="0"/>
              <w:bottom w:val="single" w:color="auto" w:sz="4" w:space="0"/>
              <w:right w:val="single" w:color="auto" w:sz="4" w:space="0"/>
            </w:tcBorders>
            <w:noWrap w:val="0"/>
            <w:vAlign w:val="center"/>
          </w:tcPr>
          <w:p w14:paraId="696CFF40">
            <w:pPr>
              <w:widowControl/>
              <w:jc w:val="left"/>
              <w:rPr>
                <w:rFonts w:ascii="宋体" w:hAnsi="宋体" w:eastAsia="宋体" w:cs="宋体"/>
                <w:color w:val="000000"/>
                <w:kern w:val="0"/>
                <w:sz w:val="22"/>
                <w:highlight w:val="none"/>
              </w:rPr>
            </w:pPr>
          </w:p>
        </w:tc>
        <w:tc>
          <w:tcPr>
            <w:tcW w:w="1560" w:type="dxa"/>
            <w:tcBorders>
              <w:top w:val="nil"/>
              <w:left w:val="nil"/>
              <w:bottom w:val="single" w:color="auto" w:sz="4" w:space="0"/>
              <w:right w:val="single" w:color="auto" w:sz="4" w:space="0"/>
            </w:tcBorders>
            <w:noWrap w:val="0"/>
            <w:vAlign w:val="center"/>
          </w:tcPr>
          <w:p w14:paraId="70DBDA1D">
            <w:pPr>
              <w:widowControl/>
              <w:jc w:val="center"/>
              <w:rPr>
                <w:rFonts w:ascii="宋体" w:hAnsi="宋体" w:eastAsia="宋体" w:cs="宋体"/>
                <w:color w:val="000000"/>
                <w:kern w:val="0"/>
                <w:sz w:val="22"/>
                <w:highlight w:val="none"/>
              </w:rPr>
            </w:pPr>
            <w:r>
              <w:rPr>
                <w:rFonts w:hint="eastAsia" w:ascii="宋体" w:hAnsi="宋体" w:eastAsia="宋体" w:cs="宋体"/>
                <w:color w:val="000000"/>
                <w:kern w:val="0"/>
                <w:sz w:val="22"/>
                <w:highlight w:val="none"/>
              </w:rPr>
              <w:t>中央护栏端头</w:t>
            </w:r>
          </w:p>
        </w:tc>
        <w:tc>
          <w:tcPr>
            <w:tcW w:w="4252" w:type="dxa"/>
            <w:tcBorders>
              <w:top w:val="nil"/>
              <w:left w:val="nil"/>
              <w:bottom w:val="single" w:color="auto" w:sz="4" w:space="0"/>
              <w:right w:val="single" w:color="auto" w:sz="4" w:space="0"/>
            </w:tcBorders>
            <w:noWrap w:val="0"/>
            <w:vAlign w:val="center"/>
          </w:tcPr>
          <w:p w14:paraId="389A804E">
            <w:pPr>
              <w:widowControl/>
              <w:rPr>
                <w:rFonts w:hint="eastAsia" w:ascii="宋体" w:hAnsi="宋体" w:eastAsia="宋体" w:cs="宋体"/>
                <w:color w:val="000000"/>
                <w:kern w:val="0"/>
                <w:sz w:val="22"/>
                <w:highlight w:val="none"/>
              </w:rPr>
            </w:pPr>
            <w:r>
              <w:rPr>
                <w:rFonts w:hint="eastAsia" w:ascii="宋体" w:hAnsi="宋体" w:eastAsia="宋体" w:cs="宋体"/>
                <w:color w:val="000000"/>
                <w:kern w:val="0"/>
                <w:sz w:val="22"/>
                <w:highlight w:val="none"/>
              </w:rPr>
              <w:t>H2500mm，铁型材+高透光性聚碳酸酯 PC，含太阳能板及蓄电池</w:t>
            </w:r>
          </w:p>
        </w:tc>
        <w:tc>
          <w:tcPr>
            <w:tcW w:w="709" w:type="dxa"/>
            <w:tcBorders>
              <w:top w:val="nil"/>
              <w:left w:val="nil"/>
              <w:bottom w:val="single" w:color="auto" w:sz="4" w:space="0"/>
              <w:right w:val="single" w:color="auto" w:sz="4" w:space="0"/>
            </w:tcBorders>
            <w:noWrap w:val="0"/>
            <w:vAlign w:val="center"/>
          </w:tcPr>
          <w:p w14:paraId="1AA2CC5B">
            <w:pPr>
              <w:widowControl/>
              <w:jc w:val="center"/>
              <w:rPr>
                <w:rFonts w:hint="eastAsia" w:ascii="宋体" w:hAnsi="宋体" w:eastAsia="宋体" w:cs="宋体"/>
                <w:color w:val="000000"/>
                <w:kern w:val="0"/>
                <w:sz w:val="22"/>
                <w:highlight w:val="none"/>
              </w:rPr>
            </w:pPr>
            <w:r>
              <w:rPr>
                <w:rFonts w:hint="eastAsia" w:ascii="宋体" w:hAnsi="宋体" w:eastAsia="宋体" w:cs="宋体"/>
                <w:color w:val="000000"/>
                <w:kern w:val="0"/>
                <w:sz w:val="22"/>
                <w:highlight w:val="none"/>
              </w:rPr>
              <w:t>11</w:t>
            </w:r>
          </w:p>
        </w:tc>
        <w:tc>
          <w:tcPr>
            <w:tcW w:w="709" w:type="dxa"/>
            <w:tcBorders>
              <w:top w:val="nil"/>
              <w:left w:val="nil"/>
              <w:bottom w:val="single" w:color="auto" w:sz="4" w:space="0"/>
              <w:right w:val="single" w:color="auto" w:sz="4" w:space="0"/>
            </w:tcBorders>
            <w:noWrap w:val="0"/>
            <w:vAlign w:val="center"/>
          </w:tcPr>
          <w:p w14:paraId="54734C00">
            <w:pPr>
              <w:widowControl/>
              <w:jc w:val="center"/>
              <w:rPr>
                <w:rFonts w:hint="eastAsia" w:ascii="宋体" w:hAnsi="宋体" w:eastAsia="宋体" w:cs="宋体"/>
                <w:color w:val="000000"/>
                <w:kern w:val="0"/>
                <w:sz w:val="22"/>
                <w:highlight w:val="none"/>
              </w:rPr>
            </w:pPr>
            <w:r>
              <w:rPr>
                <w:rFonts w:hint="eastAsia" w:ascii="宋体" w:hAnsi="宋体" w:eastAsia="宋体" w:cs="宋体"/>
                <w:color w:val="000000"/>
                <w:kern w:val="0"/>
                <w:sz w:val="22"/>
                <w:highlight w:val="none"/>
              </w:rPr>
              <w:t>根</w:t>
            </w:r>
          </w:p>
        </w:tc>
        <w:tc>
          <w:tcPr>
            <w:tcW w:w="708" w:type="dxa"/>
            <w:tcBorders>
              <w:top w:val="nil"/>
              <w:left w:val="nil"/>
              <w:bottom w:val="single" w:color="auto" w:sz="4" w:space="0"/>
              <w:right w:val="single" w:color="auto" w:sz="4" w:space="0"/>
            </w:tcBorders>
            <w:noWrap w:val="0"/>
            <w:vAlign w:val="center"/>
          </w:tcPr>
          <w:p w14:paraId="46101C22">
            <w:pPr>
              <w:widowControl/>
              <w:jc w:val="center"/>
              <w:rPr>
                <w:rFonts w:hint="eastAsia" w:ascii="宋体" w:hAnsi="宋体" w:eastAsia="宋体" w:cs="宋体"/>
                <w:color w:val="000000"/>
                <w:kern w:val="0"/>
                <w:sz w:val="22"/>
                <w:highlight w:val="none"/>
              </w:rPr>
            </w:pPr>
            <w:r>
              <w:rPr>
                <w:rFonts w:hint="eastAsia" w:ascii="宋体" w:hAnsi="宋体" w:eastAsia="宋体" w:cs="宋体"/>
                <w:color w:val="000000"/>
                <w:kern w:val="0"/>
                <w:sz w:val="22"/>
                <w:highlight w:val="none"/>
              </w:rPr>
              <w:t>2000</w:t>
            </w:r>
          </w:p>
        </w:tc>
        <w:tc>
          <w:tcPr>
            <w:tcW w:w="851" w:type="dxa"/>
            <w:tcBorders>
              <w:top w:val="nil"/>
              <w:left w:val="nil"/>
              <w:bottom w:val="single" w:color="auto" w:sz="4" w:space="0"/>
              <w:right w:val="single" w:color="auto" w:sz="4" w:space="0"/>
            </w:tcBorders>
            <w:noWrap w:val="0"/>
            <w:vAlign w:val="center"/>
          </w:tcPr>
          <w:p w14:paraId="09DC0C35">
            <w:pPr>
              <w:widowControl/>
              <w:jc w:val="center"/>
              <w:rPr>
                <w:rFonts w:hint="eastAsia" w:ascii="宋体" w:hAnsi="宋体" w:eastAsia="宋体" w:cs="宋体"/>
                <w:color w:val="000000"/>
                <w:kern w:val="0"/>
                <w:sz w:val="20"/>
                <w:highlight w:val="none"/>
              </w:rPr>
            </w:pPr>
            <w:r>
              <w:rPr>
                <w:rFonts w:hint="eastAsia" w:ascii="宋体" w:hAnsi="宋体" w:eastAsia="宋体" w:cs="宋体"/>
                <w:color w:val="000000"/>
                <w:kern w:val="0"/>
                <w:sz w:val="20"/>
                <w:highlight w:val="none"/>
              </w:rPr>
              <w:t xml:space="preserve">¥22,000.00 </w:t>
            </w:r>
          </w:p>
        </w:tc>
      </w:tr>
      <w:tr w14:paraId="3A38BC86">
        <w:tblPrEx>
          <w:tblCellMar>
            <w:top w:w="0" w:type="dxa"/>
            <w:left w:w="108" w:type="dxa"/>
            <w:bottom w:w="0" w:type="dxa"/>
            <w:right w:w="108" w:type="dxa"/>
          </w:tblCellMar>
        </w:tblPrEx>
        <w:trPr>
          <w:trHeight w:val="540" w:hRule="atLeast"/>
        </w:trPr>
        <w:tc>
          <w:tcPr>
            <w:tcW w:w="1134" w:type="dxa"/>
            <w:vMerge w:val="restart"/>
            <w:tcBorders>
              <w:top w:val="nil"/>
              <w:left w:val="single" w:color="auto" w:sz="4" w:space="0"/>
              <w:bottom w:val="single" w:color="auto" w:sz="4" w:space="0"/>
              <w:right w:val="single" w:color="auto" w:sz="4" w:space="0"/>
            </w:tcBorders>
            <w:noWrap w:val="0"/>
            <w:vAlign w:val="center"/>
          </w:tcPr>
          <w:p w14:paraId="023AA6C3">
            <w:pPr>
              <w:widowControl/>
              <w:jc w:val="center"/>
              <w:rPr>
                <w:rFonts w:ascii="宋体" w:hAnsi="宋体" w:eastAsia="宋体" w:cs="宋体"/>
                <w:color w:val="000000"/>
                <w:kern w:val="0"/>
                <w:sz w:val="22"/>
                <w:highlight w:val="none"/>
              </w:rPr>
            </w:pPr>
            <w:r>
              <w:rPr>
                <w:rFonts w:hint="eastAsia" w:ascii="宋体" w:hAnsi="宋体" w:eastAsia="宋体" w:cs="宋体"/>
                <w:color w:val="000000"/>
                <w:kern w:val="0"/>
                <w:sz w:val="22"/>
                <w:highlight w:val="none"/>
              </w:rPr>
              <w:t>正大街</w:t>
            </w:r>
          </w:p>
        </w:tc>
        <w:tc>
          <w:tcPr>
            <w:tcW w:w="1560" w:type="dxa"/>
            <w:tcBorders>
              <w:top w:val="nil"/>
              <w:left w:val="nil"/>
              <w:bottom w:val="single" w:color="auto" w:sz="4" w:space="0"/>
              <w:right w:val="single" w:color="auto" w:sz="4" w:space="0"/>
            </w:tcBorders>
            <w:noWrap w:val="0"/>
            <w:vAlign w:val="center"/>
          </w:tcPr>
          <w:p w14:paraId="31428D67">
            <w:pPr>
              <w:widowControl/>
              <w:jc w:val="center"/>
              <w:rPr>
                <w:rFonts w:hint="eastAsia" w:ascii="宋体" w:hAnsi="宋体" w:eastAsia="宋体" w:cs="宋体"/>
                <w:color w:val="000000"/>
                <w:kern w:val="0"/>
                <w:sz w:val="22"/>
                <w:highlight w:val="none"/>
              </w:rPr>
            </w:pPr>
            <w:r>
              <w:rPr>
                <w:rFonts w:hint="eastAsia" w:ascii="宋体" w:hAnsi="宋体" w:eastAsia="宋体" w:cs="宋体"/>
                <w:color w:val="000000"/>
                <w:kern w:val="0"/>
                <w:sz w:val="22"/>
                <w:highlight w:val="none"/>
              </w:rPr>
              <w:t>新增中央护栏（白色）</w:t>
            </w:r>
          </w:p>
        </w:tc>
        <w:tc>
          <w:tcPr>
            <w:tcW w:w="4252" w:type="dxa"/>
            <w:tcBorders>
              <w:top w:val="nil"/>
              <w:left w:val="nil"/>
              <w:bottom w:val="single" w:color="auto" w:sz="4" w:space="0"/>
              <w:right w:val="single" w:color="auto" w:sz="4" w:space="0"/>
            </w:tcBorders>
            <w:noWrap w:val="0"/>
            <w:vAlign w:val="center"/>
          </w:tcPr>
          <w:p w14:paraId="54C030BE">
            <w:pPr>
              <w:widowControl/>
              <w:rPr>
                <w:rFonts w:hint="eastAsia" w:ascii="宋体" w:hAnsi="宋体" w:eastAsia="宋体" w:cs="宋体"/>
                <w:color w:val="000000"/>
                <w:kern w:val="0"/>
                <w:sz w:val="22"/>
                <w:highlight w:val="none"/>
              </w:rPr>
            </w:pPr>
            <w:r>
              <w:rPr>
                <w:rFonts w:hint="eastAsia" w:ascii="宋体" w:hAnsi="宋体" w:eastAsia="宋体" w:cs="宋体"/>
                <w:color w:val="000000"/>
                <w:kern w:val="0"/>
                <w:sz w:val="22"/>
                <w:highlight w:val="none"/>
              </w:rPr>
              <w:t>规格：竖杠30*30*1.5mm、上下横杠60*40*2mm抗压管、底座400*300*150mm（20kg）、H：1200mm；底座铸铁，整体热镀锌，表面氟碳喷涂</w:t>
            </w:r>
          </w:p>
        </w:tc>
        <w:tc>
          <w:tcPr>
            <w:tcW w:w="709" w:type="dxa"/>
            <w:tcBorders>
              <w:top w:val="nil"/>
              <w:left w:val="nil"/>
              <w:bottom w:val="single" w:color="auto" w:sz="4" w:space="0"/>
              <w:right w:val="single" w:color="auto" w:sz="4" w:space="0"/>
            </w:tcBorders>
            <w:noWrap w:val="0"/>
            <w:vAlign w:val="center"/>
          </w:tcPr>
          <w:p w14:paraId="344BF0F6">
            <w:pPr>
              <w:widowControl/>
              <w:jc w:val="center"/>
              <w:rPr>
                <w:rFonts w:hint="eastAsia" w:ascii="宋体" w:hAnsi="宋体" w:eastAsia="宋体" w:cs="宋体"/>
                <w:color w:val="000000"/>
                <w:kern w:val="0"/>
                <w:sz w:val="22"/>
                <w:highlight w:val="none"/>
              </w:rPr>
            </w:pPr>
            <w:r>
              <w:rPr>
                <w:rFonts w:hint="eastAsia" w:ascii="宋体" w:hAnsi="宋体" w:eastAsia="宋体" w:cs="宋体"/>
                <w:color w:val="000000"/>
                <w:kern w:val="0"/>
                <w:sz w:val="22"/>
                <w:highlight w:val="none"/>
              </w:rPr>
              <w:t>3500</w:t>
            </w:r>
          </w:p>
        </w:tc>
        <w:tc>
          <w:tcPr>
            <w:tcW w:w="709" w:type="dxa"/>
            <w:tcBorders>
              <w:top w:val="nil"/>
              <w:left w:val="nil"/>
              <w:bottom w:val="single" w:color="auto" w:sz="4" w:space="0"/>
              <w:right w:val="single" w:color="auto" w:sz="4" w:space="0"/>
            </w:tcBorders>
            <w:noWrap w:val="0"/>
            <w:vAlign w:val="center"/>
          </w:tcPr>
          <w:p w14:paraId="09D45855">
            <w:pPr>
              <w:widowControl/>
              <w:jc w:val="center"/>
              <w:rPr>
                <w:rFonts w:hint="eastAsia" w:ascii="宋体" w:hAnsi="宋体" w:eastAsia="宋体" w:cs="宋体"/>
                <w:color w:val="000000"/>
                <w:kern w:val="0"/>
                <w:sz w:val="22"/>
                <w:highlight w:val="none"/>
              </w:rPr>
            </w:pPr>
            <w:r>
              <w:rPr>
                <w:rFonts w:hint="eastAsia" w:ascii="宋体" w:hAnsi="宋体" w:eastAsia="宋体" w:cs="宋体"/>
                <w:color w:val="000000"/>
                <w:kern w:val="0"/>
                <w:sz w:val="22"/>
                <w:highlight w:val="none"/>
              </w:rPr>
              <w:t>m</w:t>
            </w:r>
          </w:p>
        </w:tc>
        <w:tc>
          <w:tcPr>
            <w:tcW w:w="708" w:type="dxa"/>
            <w:tcBorders>
              <w:top w:val="nil"/>
              <w:left w:val="nil"/>
              <w:bottom w:val="single" w:color="auto" w:sz="4" w:space="0"/>
              <w:right w:val="single" w:color="auto" w:sz="4" w:space="0"/>
            </w:tcBorders>
            <w:noWrap w:val="0"/>
            <w:vAlign w:val="center"/>
          </w:tcPr>
          <w:p w14:paraId="4A32ACC2">
            <w:pPr>
              <w:widowControl/>
              <w:jc w:val="center"/>
              <w:rPr>
                <w:rFonts w:hint="eastAsia" w:ascii="宋体" w:hAnsi="宋体" w:eastAsia="宋体" w:cs="宋体"/>
                <w:color w:val="000000"/>
                <w:kern w:val="0"/>
                <w:sz w:val="22"/>
                <w:highlight w:val="none"/>
              </w:rPr>
            </w:pPr>
            <w:r>
              <w:rPr>
                <w:rFonts w:hint="eastAsia" w:ascii="宋体" w:hAnsi="宋体" w:eastAsia="宋体" w:cs="宋体"/>
                <w:color w:val="000000"/>
                <w:kern w:val="0"/>
                <w:sz w:val="22"/>
                <w:highlight w:val="none"/>
              </w:rPr>
              <w:t>215</w:t>
            </w:r>
          </w:p>
        </w:tc>
        <w:tc>
          <w:tcPr>
            <w:tcW w:w="851" w:type="dxa"/>
            <w:tcBorders>
              <w:top w:val="nil"/>
              <w:left w:val="nil"/>
              <w:bottom w:val="single" w:color="auto" w:sz="4" w:space="0"/>
              <w:right w:val="single" w:color="auto" w:sz="4" w:space="0"/>
            </w:tcBorders>
            <w:noWrap w:val="0"/>
            <w:vAlign w:val="center"/>
          </w:tcPr>
          <w:p w14:paraId="75ABAF79">
            <w:pPr>
              <w:widowControl/>
              <w:jc w:val="center"/>
              <w:rPr>
                <w:rFonts w:hint="eastAsia" w:ascii="宋体" w:hAnsi="宋体" w:eastAsia="宋体" w:cs="宋体"/>
                <w:color w:val="000000"/>
                <w:kern w:val="0"/>
                <w:sz w:val="20"/>
                <w:highlight w:val="none"/>
              </w:rPr>
            </w:pPr>
            <w:r>
              <w:rPr>
                <w:rFonts w:hint="eastAsia" w:ascii="宋体" w:hAnsi="宋体" w:eastAsia="宋体" w:cs="宋体"/>
                <w:color w:val="000000"/>
                <w:kern w:val="0"/>
                <w:sz w:val="20"/>
                <w:highlight w:val="none"/>
              </w:rPr>
              <w:t xml:space="preserve">¥752,500.00 </w:t>
            </w:r>
          </w:p>
        </w:tc>
      </w:tr>
      <w:tr w14:paraId="4F15E7D1">
        <w:tblPrEx>
          <w:tblCellMar>
            <w:top w:w="0" w:type="dxa"/>
            <w:left w:w="108" w:type="dxa"/>
            <w:bottom w:w="0" w:type="dxa"/>
            <w:right w:w="108" w:type="dxa"/>
          </w:tblCellMar>
        </w:tblPrEx>
        <w:trPr>
          <w:trHeight w:val="861" w:hRule="atLeast"/>
        </w:trPr>
        <w:tc>
          <w:tcPr>
            <w:tcW w:w="1134" w:type="dxa"/>
            <w:vMerge w:val="continue"/>
            <w:tcBorders>
              <w:top w:val="nil"/>
              <w:left w:val="single" w:color="auto" w:sz="4" w:space="0"/>
              <w:bottom w:val="single" w:color="auto" w:sz="4" w:space="0"/>
              <w:right w:val="single" w:color="auto" w:sz="4" w:space="0"/>
            </w:tcBorders>
            <w:noWrap w:val="0"/>
            <w:vAlign w:val="center"/>
          </w:tcPr>
          <w:p w14:paraId="769CAD5D">
            <w:pPr>
              <w:widowControl/>
              <w:jc w:val="left"/>
              <w:rPr>
                <w:rFonts w:ascii="宋体" w:hAnsi="宋体" w:eastAsia="宋体" w:cs="宋体"/>
                <w:color w:val="000000"/>
                <w:kern w:val="0"/>
                <w:sz w:val="22"/>
                <w:highlight w:val="none"/>
              </w:rPr>
            </w:pPr>
          </w:p>
        </w:tc>
        <w:tc>
          <w:tcPr>
            <w:tcW w:w="1560" w:type="dxa"/>
            <w:tcBorders>
              <w:top w:val="nil"/>
              <w:left w:val="nil"/>
              <w:bottom w:val="single" w:color="auto" w:sz="4" w:space="0"/>
              <w:right w:val="single" w:color="auto" w:sz="4" w:space="0"/>
            </w:tcBorders>
            <w:noWrap w:val="0"/>
            <w:vAlign w:val="center"/>
          </w:tcPr>
          <w:p w14:paraId="697EF9AA">
            <w:pPr>
              <w:widowControl/>
              <w:jc w:val="center"/>
              <w:rPr>
                <w:rFonts w:ascii="宋体" w:hAnsi="宋体" w:eastAsia="宋体" w:cs="宋体"/>
                <w:color w:val="000000"/>
                <w:kern w:val="0"/>
                <w:sz w:val="22"/>
                <w:highlight w:val="none"/>
              </w:rPr>
            </w:pPr>
            <w:r>
              <w:rPr>
                <w:rFonts w:hint="eastAsia" w:ascii="宋体" w:hAnsi="宋体" w:eastAsia="宋体" w:cs="宋体"/>
                <w:color w:val="000000"/>
                <w:kern w:val="0"/>
                <w:sz w:val="22"/>
                <w:highlight w:val="none"/>
              </w:rPr>
              <w:t>拆除机非护栏（白色）</w:t>
            </w:r>
          </w:p>
        </w:tc>
        <w:tc>
          <w:tcPr>
            <w:tcW w:w="4252" w:type="dxa"/>
            <w:tcBorders>
              <w:top w:val="nil"/>
              <w:left w:val="nil"/>
              <w:bottom w:val="single" w:color="auto" w:sz="4" w:space="0"/>
              <w:right w:val="single" w:color="auto" w:sz="4" w:space="0"/>
            </w:tcBorders>
            <w:noWrap w:val="0"/>
            <w:vAlign w:val="center"/>
          </w:tcPr>
          <w:p w14:paraId="51D04445">
            <w:pPr>
              <w:widowControl/>
              <w:rPr>
                <w:rFonts w:hint="eastAsia" w:ascii="宋体" w:hAnsi="宋体" w:eastAsia="宋体" w:cs="宋体"/>
                <w:color w:val="000000"/>
                <w:kern w:val="0"/>
                <w:sz w:val="22"/>
                <w:highlight w:val="none"/>
              </w:rPr>
            </w:pPr>
            <w:r>
              <w:rPr>
                <w:rFonts w:hint="eastAsia" w:ascii="宋体" w:hAnsi="宋体" w:eastAsia="宋体" w:cs="宋体"/>
                <w:color w:val="000000"/>
                <w:kern w:val="0"/>
                <w:sz w:val="22"/>
                <w:highlight w:val="none"/>
              </w:rPr>
              <w:t>拆除；规格：立柱100*100*2mm、竖杠</w:t>
            </w:r>
            <w:r>
              <w:rPr>
                <w:rFonts w:ascii="Cambria Math" w:hAnsi="Cambria Math" w:eastAsia="宋体" w:cs="Cambria Math"/>
                <w:color w:val="000000"/>
                <w:kern w:val="0"/>
                <w:sz w:val="22"/>
                <w:highlight w:val="none"/>
              </w:rPr>
              <w:t>∅</w:t>
            </w:r>
            <w:r>
              <w:rPr>
                <w:rFonts w:hint="eastAsia" w:ascii="宋体" w:hAnsi="宋体" w:eastAsia="宋体" w:cs="宋体"/>
                <w:color w:val="000000"/>
                <w:kern w:val="0"/>
                <w:sz w:val="22"/>
                <w:highlight w:val="none"/>
              </w:rPr>
              <w:t>25*2mm、下横杠63*40*1.5mm抗压管、底座400*300*150mm（20kg）、H：800mm（含拆除、运输）；底座铸铁，整体热镀锌，表面氟碳喷涂</w:t>
            </w:r>
          </w:p>
        </w:tc>
        <w:tc>
          <w:tcPr>
            <w:tcW w:w="709" w:type="dxa"/>
            <w:tcBorders>
              <w:top w:val="nil"/>
              <w:left w:val="nil"/>
              <w:bottom w:val="single" w:color="auto" w:sz="4" w:space="0"/>
              <w:right w:val="single" w:color="auto" w:sz="4" w:space="0"/>
            </w:tcBorders>
            <w:noWrap w:val="0"/>
            <w:vAlign w:val="center"/>
          </w:tcPr>
          <w:p w14:paraId="784C2372">
            <w:pPr>
              <w:widowControl/>
              <w:jc w:val="center"/>
              <w:rPr>
                <w:rFonts w:hint="eastAsia" w:ascii="宋体" w:hAnsi="宋体" w:eastAsia="宋体" w:cs="宋体"/>
                <w:color w:val="000000"/>
                <w:kern w:val="0"/>
                <w:sz w:val="22"/>
                <w:highlight w:val="none"/>
              </w:rPr>
            </w:pPr>
            <w:r>
              <w:rPr>
                <w:rFonts w:hint="eastAsia" w:ascii="宋体" w:hAnsi="宋体" w:eastAsia="宋体" w:cs="宋体"/>
                <w:color w:val="000000"/>
                <w:kern w:val="0"/>
                <w:sz w:val="22"/>
                <w:highlight w:val="none"/>
              </w:rPr>
              <w:t>1620</w:t>
            </w:r>
          </w:p>
        </w:tc>
        <w:tc>
          <w:tcPr>
            <w:tcW w:w="709" w:type="dxa"/>
            <w:tcBorders>
              <w:top w:val="nil"/>
              <w:left w:val="nil"/>
              <w:bottom w:val="single" w:color="auto" w:sz="4" w:space="0"/>
              <w:right w:val="single" w:color="auto" w:sz="4" w:space="0"/>
            </w:tcBorders>
            <w:noWrap w:val="0"/>
            <w:vAlign w:val="center"/>
          </w:tcPr>
          <w:p w14:paraId="2C6D598B">
            <w:pPr>
              <w:widowControl/>
              <w:jc w:val="center"/>
              <w:rPr>
                <w:rFonts w:hint="eastAsia" w:ascii="宋体" w:hAnsi="宋体" w:eastAsia="宋体" w:cs="宋体"/>
                <w:color w:val="000000"/>
                <w:kern w:val="0"/>
                <w:sz w:val="22"/>
                <w:highlight w:val="none"/>
              </w:rPr>
            </w:pPr>
            <w:r>
              <w:rPr>
                <w:rFonts w:hint="eastAsia" w:ascii="宋体" w:hAnsi="宋体" w:eastAsia="宋体" w:cs="宋体"/>
                <w:color w:val="000000"/>
                <w:kern w:val="0"/>
                <w:sz w:val="22"/>
                <w:highlight w:val="none"/>
              </w:rPr>
              <w:t>m</w:t>
            </w:r>
          </w:p>
        </w:tc>
        <w:tc>
          <w:tcPr>
            <w:tcW w:w="708" w:type="dxa"/>
            <w:tcBorders>
              <w:top w:val="nil"/>
              <w:left w:val="nil"/>
              <w:bottom w:val="single" w:color="auto" w:sz="4" w:space="0"/>
              <w:right w:val="single" w:color="auto" w:sz="4" w:space="0"/>
            </w:tcBorders>
            <w:noWrap w:val="0"/>
            <w:vAlign w:val="center"/>
          </w:tcPr>
          <w:p w14:paraId="51B4341D">
            <w:pPr>
              <w:widowControl/>
              <w:jc w:val="center"/>
              <w:rPr>
                <w:rFonts w:hint="eastAsia" w:ascii="宋体" w:hAnsi="宋体" w:eastAsia="宋体" w:cs="宋体"/>
                <w:color w:val="000000"/>
                <w:kern w:val="0"/>
                <w:sz w:val="22"/>
                <w:highlight w:val="none"/>
              </w:rPr>
            </w:pPr>
            <w:r>
              <w:rPr>
                <w:rFonts w:hint="eastAsia" w:ascii="宋体" w:hAnsi="宋体" w:eastAsia="宋体" w:cs="宋体"/>
                <w:color w:val="000000"/>
                <w:kern w:val="0"/>
                <w:sz w:val="22"/>
                <w:highlight w:val="none"/>
              </w:rPr>
              <w:t>15</w:t>
            </w:r>
          </w:p>
        </w:tc>
        <w:tc>
          <w:tcPr>
            <w:tcW w:w="851" w:type="dxa"/>
            <w:tcBorders>
              <w:top w:val="nil"/>
              <w:left w:val="nil"/>
              <w:bottom w:val="single" w:color="auto" w:sz="4" w:space="0"/>
              <w:right w:val="single" w:color="auto" w:sz="4" w:space="0"/>
            </w:tcBorders>
            <w:noWrap w:val="0"/>
            <w:vAlign w:val="center"/>
          </w:tcPr>
          <w:p w14:paraId="66E395E6">
            <w:pPr>
              <w:widowControl/>
              <w:jc w:val="center"/>
              <w:rPr>
                <w:rFonts w:hint="eastAsia" w:ascii="宋体" w:hAnsi="宋体" w:eastAsia="宋体" w:cs="宋体"/>
                <w:color w:val="000000"/>
                <w:kern w:val="0"/>
                <w:sz w:val="20"/>
                <w:highlight w:val="none"/>
              </w:rPr>
            </w:pPr>
            <w:r>
              <w:rPr>
                <w:rFonts w:hint="eastAsia" w:ascii="宋体" w:hAnsi="宋体" w:eastAsia="宋体" w:cs="宋体"/>
                <w:color w:val="000000"/>
                <w:kern w:val="0"/>
                <w:sz w:val="20"/>
                <w:highlight w:val="none"/>
              </w:rPr>
              <w:t xml:space="preserve">¥24,300.00 </w:t>
            </w:r>
          </w:p>
        </w:tc>
      </w:tr>
      <w:tr w14:paraId="6E1A5C82">
        <w:tblPrEx>
          <w:tblCellMar>
            <w:top w:w="0" w:type="dxa"/>
            <w:left w:w="108" w:type="dxa"/>
            <w:bottom w:w="0" w:type="dxa"/>
            <w:right w:w="108" w:type="dxa"/>
          </w:tblCellMar>
        </w:tblPrEx>
        <w:trPr>
          <w:trHeight w:val="810" w:hRule="atLeast"/>
        </w:trPr>
        <w:tc>
          <w:tcPr>
            <w:tcW w:w="1134" w:type="dxa"/>
            <w:vMerge w:val="continue"/>
            <w:tcBorders>
              <w:top w:val="nil"/>
              <w:left w:val="single" w:color="auto" w:sz="4" w:space="0"/>
              <w:bottom w:val="single" w:color="auto" w:sz="4" w:space="0"/>
              <w:right w:val="single" w:color="auto" w:sz="4" w:space="0"/>
            </w:tcBorders>
            <w:noWrap w:val="0"/>
            <w:vAlign w:val="center"/>
          </w:tcPr>
          <w:p w14:paraId="5E424DCE">
            <w:pPr>
              <w:widowControl/>
              <w:jc w:val="left"/>
              <w:rPr>
                <w:rFonts w:ascii="宋体" w:hAnsi="宋体" w:eastAsia="宋体" w:cs="宋体"/>
                <w:color w:val="000000"/>
                <w:kern w:val="0"/>
                <w:sz w:val="22"/>
                <w:highlight w:val="none"/>
              </w:rPr>
            </w:pPr>
          </w:p>
        </w:tc>
        <w:tc>
          <w:tcPr>
            <w:tcW w:w="1560" w:type="dxa"/>
            <w:tcBorders>
              <w:top w:val="nil"/>
              <w:left w:val="nil"/>
              <w:bottom w:val="single" w:color="auto" w:sz="4" w:space="0"/>
              <w:right w:val="single" w:color="auto" w:sz="4" w:space="0"/>
            </w:tcBorders>
            <w:noWrap w:val="0"/>
            <w:vAlign w:val="center"/>
          </w:tcPr>
          <w:p w14:paraId="7B6372F3">
            <w:pPr>
              <w:widowControl/>
              <w:jc w:val="center"/>
              <w:rPr>
                <w:rFonts w:ascii="宋体" w:hAnsi="宋体" w:eastAsia="宋体" w:cs="宋体"/>
                <w:color w:val="000000"/>
                <w:kern w:val="0"/>
                <w:sz w:val="22"/>
                <w:highlight w:val="none"/>
              </w:rPr>
            </w:pPr>
            <w:r>
              <w:rPr>
                <w:rFonts w:hint="eastAsia" w:ascii="宋体" w:hAnsi="宋体" w:eastAsia="宋体" w:cs="宋体"/>
                <w:color w:val="000000"/>
                <w:kern w:val="0"/>
                <w:sz w:val="22"/>
                <w:highlight w:val="none"/>
              </w:rPr>
              <w:t>移动机非护栏（白色）</w:t>
            </w:r>
          </w:p>
        </w:tc>
        <w:tc>
          <w:tcPr>
            <w:tcW w:w="4252" w:type="dxa"/>
            <w:tcBorders>
              <w:top w:val="nil"/>
              <w:left w:val="nil"/>
              <w:bottom w:val="single" w:color="auto" w:sz="4" w:space="0"/>
              <w:right w:val="single" w:color="auto" w:sz="4" w:space="0"/>
            </w:tcBorders>
            <w:noWrap w:val="0"/>
            <w:vAlign w:val="center"/>
          </w:tcPr>
          <w:p w14:paraId="51EFE9B4">
            <w:pPr>
              <w:widowControl/>
              <w:rPr>
                <w:rFonts w:hint="eastAsia" w:ascii="宋体" w:hAnsi="宋体" w:eastAsia="宋体" w:cs="宋体"/>
                <w:color w:val="000000"/>
                <w:kern w:val="0"/>
                <w:sz w:val="22"/>
                <w:highlight w:val="none"/>
              </w:rPr>
            </w:pPr>
            <w:r>
              <w:rPr>
                <w:rFonts w:hint="eastAsia" w:ascii="宋体" w:hAnsi="宋体" w:eastAsia="宋体" w:cs="宋体"/>
                <w:color w:val="000000"/>
                <w:kern w:val="0"/>
                <w:sz w:val="22"/>
                <w:highlight w:val="none"/>
              </w:rPr>
              <w:t>移动；规格：立柱100*100*2mm、竖杠</w:t>
            </w:r>
            <w:r>
              <w:rPr>
                <w:rFonts w:ascii="Cambria Math" w:hAnsi="Cambria Math" w:eastAsia="宋体" w:cs="Cambria Math"/>
                <w:color w:val="000000"/>
                <w:kern w:val="0"/>
                <w:sz w:val="22"/>
                <w:highlight w:val="none"/>
              </w:rPr>
              <w:t>∅</w:t>
            </w:r>
            <w:r>
              <w:rPr>
                <w:rFonts w:hint="eastAsia" w:ascii="宋体" w:hAnsi="宋体" w:eastAsia="宋体" w:cs="宋体"/>
                <w:color w:val="000000"/>
                <w:kern w:val="0"/>
                <w:sz w:val="22"/>
                <w:highlight w:val="none"/>
              </w:rPr>
              <w:t>25*2mm、下横杠63*40*1.5mm抗压管、底座400*300*150mm（20kg）、H：800mm（含拆除、运输、安装）；底座铸铁，整体热镀锌，表面氟碳喷涂</w:t>
            </w:r>
          </w:p>
        </w:tc>
        <w:tc>
          <w:tcPr>
            <w:tcW w:w="709" w:type="dxa"/>
            <w:tcBorders>
              <w:top w:val="nil"/>
              <w:left w:val="nil"/>
              <w:bottom w:val="single" w:color="auto" w:sz="4" w:space="0"/>
              <w:right w:val="single" w:color="auto" w:sz="4" w:space="0"/>
            </w:tcBorders>
            <w:noWrap w:val="0"/>
            <w:vAlign w:val="center"/>
          </w:tcPr>
          <w:p w14:paraId="568FB904">
            <w:pPr>
              <w:widowControl/>
              <w:jc w:val="center"/>
              <w:rPr>
                <w:rFonts w:hint="eastAsia" w:ascii="宋体" w:hAnsi="宋体" w:eastAsia="宋体" w:cs="宋体"/>
                <w:color w:val="000000"/>
                <w:kern w:val="0"/>
                <w:sz w:val="22"/>
                <w:highlight w:val="none"/>
              </w:rPr>
            </w:pPr>
            <w:r>
              <w:rPr>
                <w:rFonts w:hint="eastAsia" w:ascii="宋体" w:hAnsi="宋体" w:eastAsia="宋体" w:cs="宋体"/>
                <w:color w:val="000000"/>
                <w:kern w:val="0"/>
                <w:sz w:val="22"/>
                <w:highlight w:val="none"/>
              </w:rPr>
              <w:t>1370</w:t>
            </w:r>
          </w:p>
        </w:tc>
        <w:tc>
          <w:tcPr>
            <w:tcW w:w="709" w:type="dxa"/>
            <w:tcBorders>
              <w:top w:val="nil"/>
              <w:left w:val="nil"/>
              <w:bottom w:val="single" w:color="auto" w:sz="4" w:space="0"/>
              <w:right w:val="single" w:color="auto" w:sz="4" w:space="0"/>
            </w:tcBorders>
            <w:noWrap w:val="0"/>
            <w:vAlign w:val="center"/>
          </w:tcPr>
          <w:p w14:paraId="0C3E26DD">
            <w:pPr>
              <w:widowControl/>
              <w:jc w:val="center"/>
              <w:rPr>
                <w:rFonts w:hint="eastAsia" w:ascii="宋体" w:hAnsi="宋体" w:eastAsia="宋体" w:cs="宋体"/>
                <w:color w:val="000000"/>
                <w:kern w:val="0"/>
                <w:sz w:val="22"/>
                <w:highlight w:val="none"/>
              </w:rPr>
            </w:pPr>
            <w:r>
              <w:rPr>
                <w:rFonts w:hint="eastAsia" w:ascii="宋体" w:hAnsi="宋体" w:eastAsia="宋体" w:cs="宋体"/>
                <w:color w:val="000000"/>
                <w:kern w:val="0"/>
                <w:sz w:val="22"/>
                <w:highlight w:val="none"/>
              </w:rPr>
              <w:t>m</w:t>
            </w:r>
          </w:p>
        </w:tc>
        <w:tc>
          <w:tcPr>
            <w:tcW w:w="708" w:type="dxa"/>
            <w:tcBorders>
              <w:top w:val="nil"/>
              <w:left w:val="nil"/>
              <w:bottom w:val="single" w:color="auto" w:sz="4" w:space="0"/>
              <w:right w:val="single" w:color="auto" w:sz="4" w:space="0"/>
            </w:tcBorders>
            <w:noWrap w:val="0"/>
            <w:vAlign w:val="center"/>
          </w:tcPr>
          <w:p w14:paraId="48A041AF">
            <w:pPr>
              <w:widowControl/>
              <w:jc w:val="center"/>
              <w:rPr>
                <w:rFonts w:hint="eastAsia" w:ascii="宋体" w:hAnsi="宋体" w:eastAsia="宋体" w:cs="宋体"/>
                <w:color w:val="000000"/>
                <w:kern w:val="0"/>
                <w:sz w:val="22"/>
                <w:highlight w:val="none"/>
              </w:rPr>
            </w:pPr>
            <w:r>
              <w:rPr>
                <w:rFonts w:hint="eastAsia" w:ascii="宋体" w:hAnsi="宋体" w:eastAsia="宋体" w:cs="宋体"/>
                <w:color w:val="000000"/>
                <w:kern w:val="0"/>
                <w:sz w:val="22"/>
                <w:highlight w:val="none"/>
              </w:rPr>
              <w:t>30</w:t>
            </w:r>
          </w:p>
        </w:tc>
        <w:tc>
          <w:tcPr>
            <w:tcW w:w="851" w:type="dxa"/>
            <w:tcBorders>
              <w:top w:val="nil"/>
              <w:left w:val="nil"/>
              <w:bottom w:val="single" w:color="auto" w:sz="4" w:space="0"/>
              <w:right w:val="single" w:color="auto" w:sz="4" w:space="0"/>
            </w:tcBorders>
            <w:noWrap w:val="0"/>
            <w:vAlign w:val="center"/>
          </w:tcPr>
          <w:p w14:paraId="3D63DC59">
            <w:pPr>
              <w:widowControl/>
              <w:jc w:val="center"/>
              <w:rPr>
                <w:rFonts w:hint="eastAsia" w:ascii="宋体" w:hAnsi="宋体" w:eastAsia="宋体" w:cs="宋体"/>
                <w:color w:val="000000"/>
                <w:kern w:val="0"/>
                <w:sz w:val="20"/>
                <w:highlight w:val="none"/>
              </w:rPr>
            </w:pPr>
            <w:r>
              <w:rPr>
                <w:rFonts w:hint="eastAsia" w:ascii="宋体" w:hAnsi="宋体" w:eastAsia="宋体" w:cs="宋体"/>
                <w:color w:val="000000"/>
                <w:kern w:val="0"/>
                <w:sz w:val="20"/>
                <w:highlight w:val="none"/>
              </w:rPr>
              <w:t xml:space="preserve">¥41,100.00 </w:t>
            </w:r>
          </w:p>
        </w:tc>
      </w:tr>
      <w:tr w14:paraId="7983B373">
        <w:tblPrEx>
          <w:tblCellMar>
            <w:top w:w="0" w:type="dxa"/>
            <w:left w:w="108" w:type="dxa"/>
            <w:bottom w:w="0" w:type="dxa"/>
            <w:right w:w="108" w:type="dxa"/>
          </w:tblCellMar>
        </w:tblPrEx>
        <w:trPr>
          <w:trHeight w:val="580" w:hRule="atLeast"/>
        </w:trPr>
        <w:tc>
          <w:tcPr>
            <w:tcW w:w="1134" w:type="dxa"/>
            <w:vMerge w:val="continue"/>
            <w:tcBorders>
              <w:top w:val="nil"/>
              <w:left w:val="single" w:color="auto" w:sz="4" w:space="0"/>
              <w:bottom w:val="single" w:color="auto" w:sz="4" w:space="0"/>
              <w:right w:val="single" w:color="auto" w:sz="4" w:space="0"/>
            </w:tcBorders>
            <w:noWrap w:val="0"/>
            <w:vAlign w:val="center"/>
          </w:tcPr>
          <w:p w14:paraId="2434ED17">
            <w:pPr>
              <w:widowControl/>
              <w:jc w:val="left"/>
              <w:rPr>
                <w:rFonts w:ascii="宋体" w:hAnsi="宋体" w:eastAsia="宋体" w:cs="宋体"/>
                <w:color w:val="000000"/>
                <w:kern w:val="0"/>
                <w:sz w:val="22"/>
                <w:highlight w:val="none"/>
              </w:rPr>
            </w:pPr>
          </w:p>
        </w:tc>
        <w:tc>
          <w:tcPr>
            <w:tcW w:w="1560" w:type="dxa"/>
            <w:tcBorders>
              <w:top w:val="nil"/>
              <w:left w:val="nil"/>
              <w:bottom w:val="single" w:color="auto" w:sz="4" w:space="0"/>
              <w:right w:val="single" w:color="auto" w:sz="4" w:space="0"/>
            </w:tcBorders>
            <w:noWrap w:val="0"/>
            <w:vAlign w:val="center"/>
          </w:tcPr>
          <w:p w14:paraId="49AD0022">
            <w:pPr>
              <w:widowControl/>
              <w:jc w:val="center"/>
              <w:rPr>
                <w:rFonts w:ascii="宋体" w:hAnsi="宋体" w:eastAsia="宋体" w:cs="宋体"/>
                <w:color w:val="000000"/>
                <w:kern w:val="0"/>
                <w:sz w:val="22"/>
                <w:highlight w:val="none"/>
              </w:rPr>
            </w:pPr>
            <w:r>
              <w:rPr>
                <w:rFonts w:hint="eastAsia" w:ascii="宋体" w:hAnsi="宋体" w:eastAsia="宋体" w:cs="宋体"/>
                <w:color w:val="000000"/>
                <w:kern w:val="0"/>
                <w:sz w:val="22"/>
                <w:highlight w:val="none"/>
              </w:rPr>
              <w:t>机非护栏端头反光警示柱</w:t>
            </w:r>
          </w:p>
        </w:tc>
        <w:tc>
          <w:tcPr>
            <w:tcW w:w="4252" w:type="dxa"/>
            <w:tcBorders>
              <w:top w:val="nil"/>
              <w:left w:val="nil"/>
              <w:bottom w:val="single" w:color="auto" w:sz="4" w:space="0"/>
              <w:right w:val="single" w:color="auto" w:sz="4" w:space="0"/>
            </w:tcBorders>
            <w:noWrap w:val="0"/>
            <w:vAlign w:val="center"/>
          </w:tcPr>
          <w:p w14:paraId="217D21E3">
            <w:pPr>
              <w:widowControl/>
              <w:rPr>
                <w:rFonts w:hint="eastAsia" w:ascii="宋体" w:hAnsi="宋体" w:eastAsia="宋体" w:cs="宋体"/>
                <w:color w:val="000000"/>
                <w:kern w:val="0"/>
                <w:sz w:val="22"/>
                <w:highlight w:val="none"/>
              </w:rPr>
            </w:pPr>
            <w:r>
              <w:rPr>
                <w:rFonts w:hint="eastAsia" w:ascii="宋体" w:hAnsi="宋体" w:eastAsia="宋体" w:cs="宋体"/>
                <w:color w:val="000000"/>
                <w:kern w:val="0"/>
                <w:sz w:val="22"/>
                <w:highlight w:val="none"/>
              </w:rPr>
              <w:t>H800*3mm（含机械钻孔，注浆）</w:t>
            </w:r>
          </w:p>
        </w:tc>
        <w:tc>
          <w:tcPr>
            <w:tcW w:w="709" w:type="dxa"/>
            <w:tcBorders>
              <w:top w:val="nil"/>
              <w:left w:val="nil"/>
              <w:bottom w:val="single" w:color="auto" w:sz="4" w:space="0"/>
              <w:right w:val="single" w:color="auto" w:sz="4" w:space="0"/>
            </w:tcBorders>
            <w:noWrap w:val="0"/>
            <w:vAlign w:val="center"/>
          </w:tcPr>
          <w:p w14:paraId="70F39B8A">
            <w:pPr>
              <w:widowControl/>
              <w:jc w:val="center"/>
              <w:rPr>
                <w:rFonts w:hint="eastAsia" w:ascii="宋体" w:hAnsi="宋体" w:eastAsia="宋体" w:cs="宋体"/>
                <w:color w:val="000000"/>
                <w:kern w:val="0"/>
                <w:sz w:val="22"/>
                <w:highlight w:val="none"/>
              </w:rPr>
            </w:pPr>
            <w:r>
              <w:rPr>
                <w:rFonts w:hint="eastAsia" w:ascii="宋体" w:hAnsi="宋体" w:eastAsia="宋体" w:cs="宋体"/>
                <w:color w:val="000000"/>
                <w:kern w:val="0"/>
                <w:sz w:val="22"/>
                <w:highlight w:val="none"/>
              </w:rPr>
              <w:t>115</w:t>
            </w:r>
          </w:p>
        </w:tc>
        <w:tc>
          <w:tcPr>
            <w:tcW w:w="709" w:type="dxa"/>
            <w:tcBorders>
              <w:top w:val="nil"/>
              <w:left w:val="nil"/>
              <w:bottom w:val="single" w:color="auto" w:sz="4" w:space="0"/>
              <w:right w:val="single" w:color="auto" w:sz="4" w:space="0"/>
            </w:tcBorders>
            <w:noWrap w:val="0"/>
            <w:vAlign w:val="center"/>
          </w:tcPr>
          <w:p w14:paraId="77F12E78">
            <w:pPr>
              <w:widowControl/>
              <w:jc w:val="center"/>
              <w:rPr>
                <w:rFonts w:hint="eastAsia" w:ascii="宋体" w:hAnsi="宋体" w:eastAsia="宋体" w:cs="宋体"/>
                <w:color w:val="000000"/>
                <w:kern w:val="0"/>
                <w:sz w:val="22"/>
                <w:highlight w:val="none"/>
              </w:rPr>
            </w:pPr>
            <w:r>
              <w:rPr>
                <w:rFonts w:hint="eastAsia" w:ascii="宋体" w:hAnsi="宋体" w:eastAsia="宋体" w:cs="宋体"/>
                <w:color w:val="000000"/>
                <w:kern w:val="0"/>
                <w:sz w:val="22"/>
                <w:highlight w:val="none"/>
              </w:rPr>
              <w:t>根</w:t>
            </w:r>
          </w:p>
        </w:tc>
        <w:tc>
          <w:tcPr>
            <w:tcW w:w="708" w:type="dxa"/>
            <w:tcBorders>
              <w:top w:val="nil"/>
              <w:left w:val="nil"/>
              <w:bottom w:val="single" w:color="auto" w:sz="4" w:space="0"/>
              <w:right w:val="single" w:color="auto" w:sz="4" w:space="0"/>
            </w:tcBorders>
            <w:noWrap w:val="0"/>
            <w:vAlign w:val="center"/>
          </w:tcPr>
          <w:p w14:paraId="4F9EA62C">
            <w:pPr>
              <w:widowControl/>
              <w:jc w:val="center"/>
              <w:rPr>
                <w:rFonts w:hint="eastAsia" w:ascii="宋体" w:hAnsi="宋体" w:eastAsia="宋体" w:cs="宋体"/>
                <w:color w:val="000000"/>
                <w:kern w:val="0"/>
                <w:sz w:val="22"/>
                <w:highlight w:val="none"/>
              </w:rPr>
            </w:pPr>
            <w:r>
              <w:rPr>
                <w:rFonts w:hint="eastAsia" w:ascii="宋体" w:hAnsi="宋体" w:eastAsia="宋体" w:cs="宋体"/>
                <w:color w:val="000000"/>
                <w:kern w:val="0"/>
                <w:sz w:val="22"/>
                <w:highlight w:val="none"/>
              </w:rPr>
              <w:t>150</w:t>
            </w:r>
          </w:p>
        </w:tc>
        <w:tc>
          <w:tcPr>
            <w:tcW w:w="851" w:type="dxa"/>
            <w:tcBorders>
              <w:top w:val="nil"/>
              <w:left w:val="nil"/>
              <w:bottom w:val="single" w:color="auto" w:sz="4" w:space="0"/>
              <w:right w:val="single" w:color="auto" w:sz="4" w:space="0"/>
            </w:tcBorders>
            <w:noWrap w:val="0"/>
            <w:vAlign w:val="center"/>
          </w:tcPr>
          <w:p w14:paraId="7E784D16">
            <w:pPr>
              <w:widowControl/>
              <w:jc w:val="center"/>
              <w:rPr>
                <w:rFonts w:hint="eastAsia" w:ascii="宋体" w:hAnsi="宋体" w:eastAsia="宋体" w:cs="宋体"/>
                <w:color w:val="000000"/>
                <w:kern w:val="0"/>
                <w:sz w:val="20"/>
                <w:highlight w:val="none"/>
              </w:rPr>
            </w:pPr>
            <w:r>
              <w:rPr>
                <w:rFonts w:hint="eastAsia" w:ascii="宋体" w:hAnsi="宋体" w:eastAsia="宋体" w:cs="宋体"/>
                <w:color w:val="000000"/>
                <w:kern w:val="0"/>
                <w:sz w:val="20"/>
                <w:highlight w:val="none"/>
              </w:rPr>
              <w:t xml:space="preserve">¥17,250.00 </w:t>
            </w:r>
          </w:p>
        </w:tc>
      </w:tr>
      <w:tr w14:paraId="13BB01C7">
        <w:tblPrEx>
          <w:tblCellMar>
            <w:top w:w="0" w:type="dxa"/>
            <w:left w:w="108" w:type="dxa"/>
            <w:bottom w:w="0" w:type="dxa"/>
            <w:right w:w="108" w:type="dxa"/>
          </w:tblCellMar>
        </w:tblPrEx>
        <w:trPr>
          <w:trHeight w:val="400" w:hRule="atLeast"/>
        </w:trPr>
        <w:tc>
          <w:tcPr>
            <w:tcW w:w="1134" w:type="dxa"/>
            <w:vMerge w:val="continue"/>
            <w:tcBorders>
              <w:top w:val="nil"/>
              <w:left w:val="single" w:color="auto" w:sz="4" w:space="0"/>
              <w:bottom w:val="single" w:color="auto" w:sz="4" w:space="0"/>
              <w:right w:val="single" w:color="auto" w:sz="4" w:space="0"/>
            </w:tcBorders>
            <w:noWrap w:val="0"/>
            <w:vAlign w:val="center"/>
          </w:tcPr>
          <w:p w14:paraId="7AC9AF00">
            <w:pPr>
              <w:widowControl/>
              <w:jc w:val="left"/>
              <w:rPr>
                <w:rFonts w:ascii="宋体" w:hAnsi="宋体" w:eastAsia="宋体" w:cs="宋体"/>
                <w:color w:val="000000"/>
                <w:kern w:val="0"/>
                <w:sz w:val="22"/>
                <w:highlight w:val="none"/>
              </w:rPr>
            </w:pPr>
          </w:p>
        </w:tc>
        <w:tc>
          <w:tcPr>
            <w:tcW w:w="1560" w:type="dxa"/>
            <w:tcBorders>
              <w:top w:val="nil"/>
              <w:left w:val="nil"/>
              <w:bottom w:val="single" w:color="auto" w:sz="4" w:space="0"/>
              <w:right w:val="single" w:color="auto" w:sz="4" w:space="0"/>
            </w:tcBorders>
            <w:noWrap w:val="0"/>
            <w:vAlign w:val="center"/>
          </w:tcPr>
          <w:p w14:paraId="1260F140">
            <w:pPr>
              <w:widowControl/>
              <w:jc w:val="center"/>
              <w:rPr>
                <w:rFonts w:ascii="宋体" w:hAnsi="宋体" w:eastAsia="宋体" w:cs="宋体"/>
                <w:color w:val="000000"/>
                <w:kern w:val="0"/>
                <w:sz w:val="22"/>
                <w:highlight w:val="none"/>
              </w:rPr>
            </w:pPr>
            <w:r>
              <w:rPr>
                <w:rFonts w:hint="eastAsia" w:ascii="宋体" w:hAnsi="宋体" w:eastAsia="宋体" w:cs="宋体"/>
                <w:color w:val="000000"/>
                <w:kern w:val="0"/>
                <w:sz w:val="22"/>
                <w:highlight w:val="none"/>
              </w:rPr>
              <w:t>中央护栏端头</w:t>
            </w:r>
          </w:p>
        </w:tc>
        <w:tc>
          <w:tcPr>
            <w:tcW w:w="4252" w:type="dxa"/>
            <w:tcBorders>
              <w:top w:val="nil"/>
              <w:left w:val="nil"/>
              <w:bottom w:val="single" w:color="auto" w:sz="4" w:space="0"/>
              <w:right w:val="single" w:color="auto" w:sz="4" w:space="0"/>
            </w:tcBorders>
            <w:noWrap w:val="0"/>
            <w:vAlign w:val="center"/>
          </w:tcPr>
          <w:p w14:paraId="4ECEB918">
            <w:pPr>
              <w:widowControl/>
              <w:rPr>
                <w:rFonts w:hint="eastAsia" w:ascii="宋体" w:hAnsi="宋体" w:eastAsia="宋体" w:cs="宋体"/>
                <w:color w:val="000000"/>
                <w:kern w:val="0"/>
                <w:sz w:val="22"/>
                <w:highlight w:val="none"/>
              </w:rPr>
            </w:pPr>
            <w:r>
              <w:rPr>
                <w:rFonts w:hint="eastAsia" w:ascii="宋体" w:hAnsi="宋体" w:eastAsia="宋体" w:cs="宋体"/>
                <w:color w:val="000000"/>
                <w:kern w:val="0"/>
                <w:sz w:val="22"/>
                <w:highlight w:val="none"/>
              </w:rPr>
              <w:t>H2500mm，铁型材+高透光性聚碳酸酯 PC，含太阳能板及蓄电池</w:t>
            </w:r>
          </w:p>
        </w:tc>
        <w:tc>
          <w:tcPr>
            <w:tcW w:w="709" w:type="dxa"/>
            <w:tcBorders>
              <w:top w:val="nil"/>
              <w:left w:val="nil"/>
              <w:bottom w:val="single" w:color="auto" w:sz="4" w:space="0"/>
              <w:right w:val="single" w:color="auto" w:sz="4" w:space="0"/>
            </w:tcBorders>
            <w:noWrap w:val="0"/>
            <w:vAlign w:val="center"/>
          </w:tcPr>
          <w:p w14:paraId="35EFA653">
            <w:pPr>
              <w:widowControl/>
              <w:jc w:val="center"/>
              <w:rPr>
                <w:rFonts w:hint="eastAsia" w:ascii="宋体" w:hAnsi="宋体" w:eastAsia="宋体" w:cs="宋体"/>
                <w:color w:val="000000"/>
                <w:kern w:val="0"/>
                <w:sz w:val="22"/>
                <w:highlight w:val="none"/>
              </w:rPr>
            </w:pPr>
            <w:r>
              <w:rPr>
                <w:rFonts w:hint="eastAsia" w:ascii="宋体" w:hAnsi="宋体" w:eastAsia="宋体" w:cs="宋体"/>
                <w:color w:val="000000"/>
                <w:kern w:val="0"/>
                <w:sz w:val="22"/>
                <w:highlight w:val="none"/>
              </w:rPr>
              <w:t>33</w:t>
            </w:r>
          </w:p>
        </w:tc>
        <w:tc>
          <w:tcPr>
            <w:tcW w:w="709" w:type="dxa"/>
            <w:tcBorders>
              <w:top w:val="nil"/>
              <w:left w:val="nil"/>
              <w:bottom w:val="single" w:color="auto" w:sz="4" w:space="0"/>
              <w:right w:val="single" w:color="auto" w:sz="4" w:space="0"/>
            </w:tcBorders>
            <w:noWrap w:val="0"/>
            <w:vAlign w:val="center"/>
          </w:tcPr>
          <w:p w14:paraId="67FB366C">
            <w:pPr>
              <w:widowControl/>
              <w:jc w:val="center"/>
              <w:rPr>
                <w:rFonts w:hint="eastAsia" w:ascii="宋体" w:hAnsi="宋体" w:eastAsia="宋体" w:cs="宋体"/>
                <w:color w:val="000000"/>
                <w:kern w:val="0"/>
                <w:sz w:val="22"/>
                <w:highlight w:val="none"/>
              </w:rPr>
            </w:pPr>
            <w:r>
              <w:rPr>
                <w:rFonts w:hint="eastAsia" w:ascii="宋体" w:hAnsi="宋体" w:eastAsia="宋体" w:cs="宋体"/>
                <w:color w:val="000000"/>
                <w:kern w:val="0"/>
                <w:sz w:val="22"/>
                <w:highlight w:val="none"/>
              </w:rPr>
              <w:t>根</w:t>
            </w:r>
          </w:p>
        </w:tc>
        <w:tc>
          <w:tcPr>
            <w:tcW w:w="708" w:type="dxa"/>
            <w:tcBorders>
              <w:top w:val="nil"/>
              <w:left w:val="nil"/>
              <w:bottom w:val="single" w:color="auto" w:sz="4" w:space="0"/>
              <w:right w:val="single" w:color="auto" w:sz="4" w:space="0"/>
            </w:tcBorders>
            <w:noWrap w:val="0"/>
            <w:vAlign w:val="center"/>
          </w:tcPr>
          <w:p w14:paraId="02A19F82">
            <w:pPr>
              <w:widowControl/>
              <w:jc w:val="center"/>
              <w:rPr>
                <w:rFonts w:hint="eastAsia" w:ascii="宋体" w:hAnsi="宋体" w:eastAsia="宋体" w:cs="宋体"/>
                <w:color w:val="000000"/>
                <w:kern w:val="0"/>
                <w:sz w:val="22"/>
                <w:highlight w:val="none"/>
              </w:rPr>
            </w:pPr>
            <w:r>
              <w:rPr>
                <w:rFonts w:hint="eastAsia" w:ascii="宋体" w:hAnsi="宋体" w:eastAsia="宋体" w:cs="宋体"/>
                <w:color w:val="000000"/>
                <w:kern w:val="0"/>
                <w:sz w:val="22"/>
                <w:highlight w:val="none"/>
              </w:rPr>
              <w:t>2000</w:t>
            </w:r>
          </w:p>
        </w:tc>
        <w:tc>
          <w:tcPr>
            <w:tcW w:w="851" w:type="dxa"/>
            <w:tcBorders>
              <w:top w:val="nil"/>
              <w:left w:val="nil"/>
              <w:bottom w:val="single" w:color="auto" w:sz="4" w:space="0"/>
              <w:right w:val="single" w:color="auto" w:sz="4" w:space="0"/>
            </w:tcBorders>
            <w:noWrap w:val="0"/>
            <w:vAlign w:val="center"/>
          </w:tcPr>
          <w:p w14:paraId="389D29FD">
            <w:pPr>
              <w:widowControl/>
              <w:jc w:val="center"/>
              <w:rPr>
                <w:rFonts w:hint="eastAsia" w:ascii="宋体" w:hAnsi="宋体" w:eastAsia="宋体" w:cs="宋体"/>
                <w:color w:val="000000"/>
                <w:kern w:val="0"/>
                <w:sz w:val="20"/>
                <w:highlight w:val="none"/>
              </w:rPr>
            </w:pPr>
            <w:r>
              <w:rPr>
                <w:rFonts w:hint="eastAsia" w:ascii="宋体" w:hAnsi="宋体" w:eastAsia="宋体" w:cs="宋体"/>
                <w:color w:val="000000"/>
                <w:kern w:val="0"/>
                <w:sz w:val="20"/>
                <w:highlight w:val="none"/>
              </w:rPr>
              <w:t xml:space="preserve">¥66,000.00 </w:t>
            </w:r>
          </w:p>
        </w:tc>
      </w:tr>
      <w:tr w14:paraId="123AE924">
        <w:tblPrEx>
          <w:tblCellMar>
            <w:top w:w="0" w:type="dxa"/>
            <w:left w:w="108" w:type="dxa"/>
            <w:bottom w:w="0" w:type="dxa"/>
            <w:right w:w="108" w:type="dxa"/>
          </w:tblCellMar>
        </w:tblPrEx>
        <w:trPr>
          <w:trHeight w:val="540" w:hRule="atLeast"/>
        </w:trPr>
        <w:tc>
          <w:tcPr>
            <w:tcW w:w="1134" w:type="dxa"/>
            <w:vMerge w:val="restart"/>
            <w:tcBorders>
              <w:top w:val="nil"/>
              <w:left w:val="single" w:color="auto" w:sz="4" w:space="0"/>
              <w:bottom w:val="single" w:color="auto" w:sz="4" w:space="0"/>
              <w:right w:val="single" w:color="auto" w:sz="4" w:space="0"/>
            </w:tcBorders>
            <w:noWrap w:val="0"/>
            <w:vAlign w:val="center"/>
          </w:tcPr>
          <w:p w14:paraId="4F3F8AD7">
            <w:pPr>
              <w:widowControl/>
              <w:jc w:val="center"/>
              <w:rPr>
                <w:rFonts w:ascii="宋体" w:hAnsi="宋体" w:eastAsia="宋体" w:cs="宋体"/>
                <w:color w:val="000000"/>
                <w:kern w:val="0"/>
                <w:sz w:val="22"/>
                <w:highlight w:val="none"/>
              </w:rPr>
            </w:pPr>
            <w:r>
              <w:rPr>
                <w:rFonts w:hint="eastAsia" w:ascii="宋体" w:hAnsi="宋体" w:eastAsia="宋体" w:cs="宋体"/>
                <w:color w:val="000000"/>
                <w:kern w:val="0"/>
                <w:sz w:val="22"/>
                <w:highlight w:val="none"/>
              </w:rPr>
              <w:t>六〇大道</w:t>
            </w:r>
          </w:p>
        </w:tc>
        <w:tc>
          <w:tcPr>
            <w:tcW w:w="1560" w:type="dxa"/>
            <w:tcBorders>
              <w:top w:val="nil"/>
              <w:left w:val="nil"/>
              <w:bottom w:val="single" w:color="auto" w:sz="4" w:space="0"/>
              <w:right w:val="single" w:color="auto" w:sz="4" w:space="0"/>
            </w:tcBorders>
            <w:noWrap w:val="0"/>
            <w:vAlign w:val="center"/>
          </w:tcPr>
          <w:p w14:paraId="69E188AE">
            <w:pPr>
              <w:widowControl/>
              <w:jc w:val="center"/>
              <w:rPr>
                <w:rFonts w:hint="eastAsia" w:ascii="宋体" w:hAnsi="宋体" w:eastAsia="宋体" w:cs="宋体"/>
                <w:color w:val="000000"/>
                <w:kern w:val="0"/>
                <w:sz w:val="22"/>
                <w:highlight w:val="none"/>
              </w:rPr>
            </w:pPr>
            <w:r>
              <w:rPr>
                <w:rFonts w:hint="eastAsia" w:ascii="宋体" w:hAnsi="宋体" w:eastAsia="宋体" w:cs="宋体"/>
                <w:color w:val="000000"/>
                <w:kern w:val="0"/>
                <w:sz w:val="22"/>
                <w:highlight w:val="none"/>
              </w:rPr>
              <w:t>新增中央护栏(灰色)</w:t>
            </w:r>
          </w:p>
        </w:tc>
        <w:tc>
          <w:tcPr>
            <w:tcW w:w="4252" w:type="dxa"/>
            <w:tcBorders>
              <w:top w:val="nil"/>
              <w:left w:val="nil"/>
              <w:bottom w:val="single" w:color="auto" w:sz="4" w:space="0"/>
              <w:right w:val="single" w:color="auto" w:sz="4" w:space="0"/>
            </w:tcBorders>
            <w:noWrap w:val="0"/>
            <w:vAlign w:val="center"/>
          </w:tcPr>
          <w:p w14:paraId="0214A1B6">
            <w:pPr>
              <w:widowControl/>
              <w:rPr>
                <w:rFonts w:hint="eastAsia" w:ascii="宋体" w:hAnsi="宋体" w:eastAsia="宋体" w:cs="宋体"/>
                <w:color w:val="000000"/>
                <w:kern w:val="0"/>
                <w:sz w:val="22"/>
                <w:highlight w:val="none"/>
              </w:rPr>
            </w:pPr>
            <w:r>
              <w:rPr>
                <w:rFonts w:hint="eastAsia" w:ascii="宋体" w:hAnsi="宋体" w:eastAsia="宋体" w:cs="宋体"/>
                <w:color w:val="000000"/>
                <w:kern w:val="0"/>
                <w:sz w:val="22"/>
                <w:highlight w:val="none"/>
              </w:rPr>
              <w:t>灰色；规格：立柱150*150*2.0mm八角、上下横杠</w:t>
            </w:r>
            <w:r>
              <w:rPr>
                <w:rFonts w:ascii="Cambria Math" w:hAnsi="Cambria Math" w:eastAsia="宋体" w:cs="Cambria Math"/>
                <w:color w:val="000000"/>
                <w:kern w:val="0"/>
                <w:sz w:val="22"/>
                <w:highlight w:val="none"/>
              </w:rPr>
              <w:t>∅</w:t>
            </w:r>
            <w:r>
              <w:rPr>
                <w:rFonts w:hint="eastAsia" w:ascii="宋体" w:hAnsi="宋体" w:eastAsia="宋体" w:cs="宋体"/>
                <w:color w:val="000000"/>
                <w:kern w:val="0"/>
                <w:sz w:val="22"/>
                <w:highlight w:val="none"/>
              </w:rPr>
              <w:t>76*1.5mm、底座400*300*150（20kg）、H：1200mm；底座铸铁，整体热镀锌，表面氟碳喷涂</w:t>
            </w:r>
          </w:p>
        </w:tc>
        <w:tc>
          <w:tcPr>
            <w:tcW w:w="709" w:type="dxa"/>
            <w:tcBorders>
              <w:top w:val="nil"/>
              <w:left w:val="nil"/>
              <w:bottom w:val="single" w:color="auto" w:sz="4" w:space="0"/>
              <w:right w:val="single" w:color="auto" w:sz="4" w:space="0"/>
            </w:tcBorders>
            <w:noWrap w:val="0"/>
            <w:vAlign w:val="center"/>
          </w:tcPr>
          <w:p w14:paraId="1AD425DE">
            <w:pPr>
              <w:widowControl/>
              <w:jc w:val="center"/>
              <w:rPr>
                <w:rFonts w:hint="eastAsia" w:ascii="宋体" w:hAnsi="宋体" w:eastAsia="宋体" w:cs="宋体"/>
                <w:color w:val="000000"/>
                <w:kern w:val="0"/>
                <w:sz w:val="22"/>
                <w:highlight w:val="none"/>
              </w:rPr>
            </w:pPr>
            <w:r>
              <w:rPr>
                <w:rFonts w:hint="eastAsia" w:ascii="宋体" w:hAnsi="宋体" w:eastAsia="宋体" w:cs="宋体"/>
                <w:color w:val="000000"/>
                <w:kern w:val="0"/>
                <w:sz w:val="22"/>
                <w:highlight w:val="none"/>
              </w:rPr>
              <w:t>3500</w:t>
            </w:r>
          </w:p>
        </w:tc>
        <w:tc>
          <w:tcPr>
            <w:tcW w:w="709" w:type="dxa"/>
            <w:tcBorders>
              <w:top w:val="nil"/>
              <w:left w:val="nil"/>
              <w:bottom w:val="single" w:color="auto" w:sz="4" w:space="0"/>
              <w:right w:val="single" w:color="auto" w:sz="4" w:space="0"/>
            </w:tcBorders>
            <w:noWrap w:val="0"/>
            <w:vAlign w:val="center"/>
          </w:tcPr>
          <w:p w14:paraId="4C11D9B2">
            <w:pPr>
              <w:widowControl/>
              <w:jc w:val="center"/>
              <w:rPr>
                <w:rFonts w:hint="eastAsia" w:ascii="宋体" w:hAnsi="宋体" w:eastAsia="宋体" w:cs="宋体"/>
                <w:color w:val="000000"/>
                <w:kern w:val="0"/>
                <w:sz w:val="22"/>
                <w:highlight w:val="none"/>
              </w:rPr>
            </w:pPr>
            <w:r>
              <w:rPr>
                <w:rFonts w:hint="eastAsia" w:ascii="宋体" w:hAnsi="宋体" w:eastAsia="宋体" w:cs="宋体"/>
                <w:color w:val="000000"/>
                <w:kern w:val="0"/>
                <w:sz w:val="22"/>
                <w:highlight w:val="none"/>
              </w:rPr>
              <w:t>m</w:t>
            </w:r>
          </w:p>
        </w:tc>
        <w:tc>
          <w:tcPr>
            <w:tcW w:w="708" w:type="dxa"/>
            <w:tcBorders>
              <w:top w:val="nil"/>
              <w:left w:val="nil"/>
              <w:bottom w:val="single" w:color="auto" w:sz="4" w:space="0"/>
              <w:right w:val="single" w:color="auto" w:sz="4" w:space="0"/>
            </w:tcBorders>
            <w:noWrap w:val="0"/>
            <w:vAlign w:val="center"/>
          </w:tcPr>
          <w:p w14:paraId="69B2A06B">
            <w:pPr>
              <w:widowControl/>
              <w:jc w:val="center"/>
              <w:rPr>
                <w:rFonts w:hint="eastAsia" w:ascii="宋体" w:hAnsi="宋体" w:eastAsia="宋体" w:cs="宋体"/>
                <w:color w:val="000000"/>
                <w:kern w:val="0"/>
                <w:sz w:val="22"/>
                <w:highlight w:val="none"/>
              </w:rPr>
            </w:pPr>
            <w:r>
              <w:rPr>
                <w:rFonts w:hint="eastAsia" w:ascii="宋体" w:hAnsi="宋体" w:eastAsia="宋体" w:cs="宋体"/>
                <w:color w:val="000000"/>
                <w:kern w:val="0"/>
                <w:sz w:val="22"/>
                <w:highlight w:val="none"/>
              </w:rPr>
              <w:t>215</w:t>
            </w:r>
          </w:p>
        </w:tc>
        <w:tc>
          <w:tcPr>
            <w:tcW w:w="851" w:type="dxa"/>
            <w:tcBorders>
              <w:top w:val="nil"/>
              <w:left w:val="nil"/>
              <w:bottom w:val="single" w:color="auto" w:sz="4" w:space="0"/>
              <w:right w:val="single" w:color="auto" w:sz="4" w:space="0"/>
            </w:tcBorders>
            <w:noWrap w:val="0"/>
            <w:vAlign w:val="center"/>
          </w:tcPr>
          <w:p w14:paraId="0CD83058">
            <w:pPr>
              <w:widowControl/>
              <w:jc w:val="center"/>
              <w:rPr>
                <w:rFonts w:hint="eastAsia" w:ascii="宋体" w:hAnsi="宋体" w:eastAsia="宋体" w:cs="宋体"/>
                <w:color w:val="000000"/>
                <w:kern w:val="0"/>
                <w:sz w:val="20"/>
                <w:highlight w:val="none"/>
              </w:rPr>
            </w:pPr>
            <w:r>
              <w:rPr>
                <w:rFonts w:hint="eastAsia" w:ascii="宋体" w:hAnsi="宋体" w:eastAsia="宋体" w:cs="宋体"/>
                <w:color w:val="000000"/>
                <w:kern w:val="0"/>
                <w:sz w:val="20"/>
                <w:highlight w:val="none"/>
              </w:rPr>
              <w:t xml:space="preserve">¥752,500.00 </w:t>
            </w:r>
          </w:p>
        </w:tc>
      </w:tr>
      <w:tr w14:paraId="3840B8B5">
        <w:tblPrEx>
          <w:tblCellMar>
            <w:top w:w="0" w:type="dxa"/>
            <w:left w:w="108" w:type="dxa"/>
            <w:bottom w:w="0" w:type="dxa"/>
            <w:right w:w="108" w:type="dxa"/>
          </w:tblCellMar>
        </w:tblPrEx>
        <w:trPr>
          <w:trHeight w:val="660" w:hRule="atLeast"/>
        </w:trPr>
        <w:tc>
          <w:tcPr>
            <w:tcW w:w="1134" w:type="dxa"/>
            <w:vMerge w:val="continue"/>
            <w:tcBorders>
              <w:top w:val="nil"/>
              <w:left w:val="single" w:color="auto" w:sz="4" w:space="0"/>
              <w:bottom w:val="single" w:color="auto" w:sz="4" w:space="0"/>
              <w:right w:val="single" w:color="auto" w:sz="4" w:space="0"/>
            </w:tcBorders>
            <w:noWrap w:val="0"/>
            <w:vAlign w:val="center"/>
          </w:tcPr>
          <w:p w14:paraId="5C4B2C15">
            <w:pPr>
              <w:widowControl/>
              <w:jc w:val="left"/>
              <w:rPr>
                <w:rFonts w:ascii="宋体" w:hAnsi="宋体" w:eastAsia="宋体" w:cs="宋体"/>
                <w:color w:val="000000"/>
                <w:kern w:val="0"/>
                <w:sz w:val="22"/>
                <w:highlight w:val="none"/>
              </w:rPr>
            </w:pPr>
          </w:p>
        </w:tc>
        <w:tc>
          <w:tcPr>
            <w:tcW w:w="1560" w:type="dxa"/>
            <w:tcBorders>
              <w:top w:val="nil"/>
              <w:left w:val="nil"/>
              <w:bottom w:val="single" w:color="auto" w:sz="4" w:space="0"/>
              <w:right w:val="single" w:color="auto" w:sz="4" w:space="0"/>
            </w:tcBorders>
            <w:noWrap w:val="0"/>
            <w:vAlign w:val="center"/>
          </w:tcPr>
          <w:p w14:paraId="1D60F1D4">
            <w:pPr>
              <w:widowControl/>
              <w:jc w:val="center"/>
              <w:rPr>
                <w:rFonts w:ascii="宋体" w:hAnsi="宋体" w:eastAsia="宋体" w:cs="宋体"/>
                <w:color w:val="000000"/>
                <w:kern w:val="0"/>
                <w:sz w:val="22"/>
                <w:highlight w:val="none"/>
              </w:rPr>
            </w:pPr>
            <w:r>
              <w:rPr>
                <w:rFonts w:hint="eastAsia" w:ascii="宋体" w:hAnsi="宋体" w:eastAsia="宋体" w:cs="宋体"/>
                <w:color w:val="000000"/>
                <w:kern w:val="0"/>
                <w:sz w:val="22"/>
                <w:highlight w:val="none"/>
              </w:rPr>
              <w:t>拆除机非护栏(灰色)</w:t>
            </w:r>
          </w:p>
        </w:tc>
        <w:tc>
          <w:tcPr>
            <w:tcW w:w="4252" w:type="dxa"/>
            <w:tcBorders>
              <w:top w:val="nil"/>
              <w:left w:val="nil"/>
              <w:bottom w:val="single" w:color="auto" w:sz="4" w:space="0"/>
              <w:right w:val="single" w:color="auto" w:sz="4" w:space="0"/>
            </w:tcBorders>
            <w:noWrap w:val="0"/>
            <w:vAlign w:val="center"/>
          </w:tcPr>
          <w:p w14:paraId="6A49A6DF">
            <w:pPr>
              <w:widowControl/>
              <w:rPr>
                <w:rFonts w:hint="eastAsia" w:ascii="宋体" w:hAnsi="宋体" w:eastAsia="宋体" w:cs="宋体"/>
                <w:color w:val="000000"/>
                <w:kern w:val="0"/>
                <w:sz w:val="22"/>
                <w:highlight w:val="none"/>
              </w:rPr>
            </w:pPr>
            <w:r>
              <w:rPr>
                <w:rFonts w:hint="eastAsia" w:ascii="宋体" w:hAnsi="宋体" w:eastAsia="宋体" w:cs="宋体"/>
                <w:color w:val="000000"/>
                <w:kern w:val="0"/>
                <w:sz w:val="22"/>
                <w:highlight w:val="none"/>
              </w:rPr>
              <w:t>拆除；规格：立柱150*150*2.0mm八角、上下横杠</w:t>
            </w:r>
            <w:r>
              <w:rPr>
                <w:rFonts w:ascii="Cambria Math" w:hAnsi="Cambria Math" w:eastAsia="宋体" w:cs="Cambria Math"/>
                <w:color w:val="000000"/>
                <w:kern w:val="0"/>
                <w:sz w:val="22"/>
                <w:highlight w:val="none"/>
              </w:rPr>
              <w:t>∅</w:t>
            </w:r>
            <w:r>
              <w:rPr>
                <w:rFonts w:hint="eastAsia" w:ascii="宋体" w:hAnsi="宋体" w:eastAsia="宋体" w:cs="宋体"/>
                <w:color w:val="000000"/>
                <w:kern w:val="0"/>
                <w:sz w:val="22"/>
                <w:highlight w:val="none"/>
              </w:rPr>
              <w:t>76*1.5mm、底座400*300*150（20kg）；底座铸铁，整体热镀锌，表面氟碳喷涂</w:t>
            </w:r>
          </w:p>
        </w:tc>
        <w:tc>
          <w:tcPr>
            <w:tcW w:w="709" w:type="dxa"/>
            <w:tcBorders>
              <w:top w:val="nil"/>
              <w:left w:val="nil"/>
              <w:bottom w:val="single" w:color="auto" w:sz="4" w:space="0"/>
              <w:right w:val="single" w:color="auto" w:sz="4" w:space="0"/>
            </w:tcBorders>
            <w:noWrap w:val="0"/>
            <w:vAlign w:val="center"/>
          </w:tcPr>
          <w:p w14:paraId="46BE7371">
            <w:pPr>
              <w:widowControl/>
              <w:jc w:val="center"/>
              <w:rPr>
                <w:rFonts w:hint="eastAsia" w:ascii="宋体" w:hAnsi="宋体" w:eastAsia="宋体" w:cs="宋体"/>
                <w:color w:val="000000"/>
                <w:kern w:val="0"/>
                <w:sz w:val="22"/>
                <w:highlight w:val="none"/>
              </w:rPr>
            </w:pPr>
            <w:r>
              <w:rPr>
                <w:rFonts w:hint="eastAsia" w:ascii="宋体" w:hAnsi="宋体" w:eastAsia="宋体" w:cs="宋体"/>
                <w:color w:val="000000"/>
                <w:kern w:val="0"/>
                <w:sz w:val="22"/>
                <w:highlight w:val="none"/>
              </w:rPr>
              <w:t>4100</w:t>
            </w:r>
          </w:p>
        </w:tc>
        <w:tc>
          <w:tcPr>
            <w:tcW w:w="709" w:type="dxa"/>
            <w:tcBorders>
              <w:top w:val="nil"/>
              <w:left w:val="nil"/>
              <w:bottom w:val="single" w:color="auto" w:sz="4" w:space="0"/>
              <w:right w:val="single" w:color="auto" w:sz="4" w:space="0"/>
            </w:tcBorders>
            <w:noWrap w:val="0"/>
            <w:vAlign w:val="center"/>
          </w:tcPr>
          <w:p w14:paraId="6D1B47D5">
            <w:pPr>
              <w:widowControl/>
              <w:jc w:val="center"/>
              <w:rPr>
                <w:rFonts w:hint="eastAsia" w:ascii="宋体" w:hAnsi="宋体" w:eastAsia="宋体" w:cs="宋体"/>
                <w:color w:val="000000"/>
                <w:kern w:val="0"/>
                <w:sz w:val="22"/>
                <w:highlight w:val="none"/>
              </w:rPr>
            </w:pPr>
            <w:r>
              <w:rPr>
                <w:rFonts w:hint="eastAsia" w:ascii="宋体" w:hAnsi="宋体" w:eastAsia="宋体" w:cs="宋体"/>
                <w:color w:val="000000"/>
                <w:kern w:val="0"/>
                <w:sz w:val="22"/>
                <w:highlight w:val="none"/>
              </w:rPr>
              <w:t>m</w:t>
            </w:r>
          </w:p>
        </w:tc>
        <w:tc>
          <w:tcPr>
            <w:tcW w:w="708" w:type="dxa"/>
            <w:tcBorders>
              <w:top w:val="nil"/>
              <w:left w:val="nil"/>
              <w:bottom w:val="single" w:color="auto" w:sz="4" w:space="0"/>
              <w:right w:val="single" w:color="auto" w:sz="4" w:space="0"/>
            </w:tcBorders>
            <w:noWrap w:val="0"/>
            <w:vAlign w:val="center"/>
          </w:tcPr>
          <w:p w14:paraId="6C914022">
            <w:pPr>
              <w:widowControl/>
              <w:jc w:val="center"/>
              <w:rPr>
                <w:rFonts w:hint="eastAsia" w:ascii="宋体" w:hAnsi="宋体" w:eastAsia="宋体" w:cs="宋体"/>
                <w:color w:val="000000"/>
                <w:kern w:val="0"/>
                <w:sz w:val="22"/>
                <w:highlight w:val="none"/>
              </w:rPr>
            </w:pPr>
            <w:r>
              <w:rPr>
                <w:rFonts w:hint="eastAsia" w:ascii="宋体" w:hAnsi="宋体" w:eastAsia="宋体" w:cs="宋体"/>
                <w:color w:val="000000"/>
                <w:kern w:val="0"/>
                <w:sz w:val="22"/>
                <w:highlight w:val="none"/>
              </w:rPr>
              <w:t>15</w:t>
            </w:r>
          </w:p>
        </w:tc>
        <w:tc>
          <w:tcPr>
            <w:tcW w:w="851" w:type="dxa"/>
            <w:tcBorders>
              <w:top w:val="nil"/>
              <w:left w:val="nil"/>
              <w:bottom w:val="single" w:color="auto" w:sz="4" w:space="0"/>
              <w:right w:val="single" w:color="auto" w:sz="4" w:space="0"/>
            </w:tcBorders>
            <w:noWrap w:val="0"/>
            <w:vAlign w:val="center"/>
          </w:tcPr>
          <w:p w14:paraId="4A6BF62E">
            <w:pPr>
              <w:widowControl/>
              <w:jc w:val="center"/>
              <w:rPr>
                <w:rFonts w:hint="eastAsia" w:ascii="宋体" w:hAnsi="宋体" w:eastAsia="宋体" w:cs="宋体"/>
                <w:color w:val="000000"/>
                <w:kern w:val="0"/>
                <w:sz w:val="20"/>
                <w:highlight w:val="none"/>
              </w:rPr>
            </w:pPr>
            <w:r>
              <w:rPr>
                <w:rFonts w:hint="eastAsia" w:ascii="宋体" w:hAnsi="宋体" w:eastAsia="宋体" w:cs="宋体"/>
                <w:color w:val="000000"/>
                <w:kern w:val="0"/>
                <w:sz w:val="20"/>
                <w:highlight w:val="none"/>
              </w:rPr>
              <w:t xml:space="preserve">¥61,500.00 </w:t>
            </w:r>
          </w:p>
        </w:tc>
      </w:tr>
      <w:tr w14:paraId="080AE6D8">
        <w:tblPrEx>
          <w:tblCellMar>
            <w:top w:w="0" w:type="dxa"/>
            <w:left w:w="108" w:type="dxa"/>
            <w:bottom w:w="0" w:type="dxa"/>
            <w:right w:w="108" w:type="dxa"/>
          </w:tblCellMar>
        </w:tblPrEx>
        <w:trPr>
          <w:trHeight w:val="540" w:hRule="atLeast"/>
        </w:trPr>
        <w:tc>
          <w:tcPr>
            <w:tcW w:w="1134" w:type="dxa"/>
            <w:vMerge w:val="continue"/>
            <w:tcBorders>
              <w:top w:val="nil"/>
              <w:left w:val="single" w:color="auto" w:sz="4" w:space="0"/>
              <w:bottom w:val="single" w:color="auto" w:sz="4" w:space="0"/>
              <w:right w:val="single" w:color="auto" w:sz="4" w:space="0"/>
            </w:tcBorders>
            <w:noWrap w:val="0"/>
            <w:vAlign w:val="center"/>
          </w:tcPr>
          <w:p w14:paraId="7A17F945">
            <w:pPr>
              <w:widowControl/>
              <w:jc w:val="left"/>
              <w:rPr>
                <w:rFonts w:ascii="宋体" w:hAnsi="宋体" w:eastAsia="宋体" w:cs="宋体"/>
                <w:color w:val="000000"/>
                <w:kern w:val="0"/>
                <w:sz w:val="22"/>
                <w:highlight w:val="none"/>
              </w:rPr>
            </w:pPr>
          </w:p>
        </w:tc>
        <w:tc>
          <w:tcPr>
            <w:tcW w:w="1560" w:type="dxa"/>
            <w:tcBorders>
              <w:top w:val="nil"/>
              <w:left w:val="nil"/>
              <w:bottom w:val="single" w:color="auto" w:sz="4" w:space="0"/>
              <w:right w:val="single" w:color="auto" w:sz="4" w:space="0"/>
            </w:tcBorders>
            <w:noWrap w:val="0"/>
            <w:vAlign w:val="center"/>
          </w:tcPr>
          <w:p w14:paraId="17DF3F2F">
            <w:pPr>
              <w:widowControl/>
              <w:jc w:val="center"/>
              <w:rPr>
                <w:rFonts w:ascii="宋体" w:hAnsi="宋体" w:eastAsia="宋体" w:cs="宋体"/>
                <w:color w:val="000000"/>
                <w:kern w:val="0"/>
                <w:sz w:val="22"/>
                <w:highlight w:val="none"/>
              </w:rPr>
            </w:pPr>
            <w:r>
              <w:rPr>
                <w:rFonts w:hint="eastAsia" w:ascii="宋体" w:hAnsi="宋体" w:eastAsia="宋体" w:cs="宋体"/>
                <w:color w:val="000000"/>
                <w:kern w:val="0"/>
                <w:sz w:val="22"/>
                <w:highlight w:val="none"/>
              </w:rPr>
              <w:t>移动机非护栏(灰色)</w:t>
            </w:r>
          </w:p>
        </w:tc>
        <w:tc>
          <w:tcPr>
            <w:tcW w:w="4252" w:type="dxa"/>
            <w:tcBorders>
              <w:top w:val="nil"/>
              <w:left w:val="nil"/>
              <w:bottom w:val="single" w:color="auto" w:sz="4" w:space="0"/>
              <w:right w:val="single" w:color="auto" w:sz="4" w:space="0"/>
            </w:tcBorders>
            <w:noWrap w:val="0"/>
            <w:vAlign w:val="center"/>
          </w:tcPr>
          <w:p w14:paraId="04B85021">
            <w:pPr>
              <w:widowControl/>
              <w:rPr>
                <w:rFonts w:hint="eastAsia" w:ascii="宋体" w:hAnsi="宋体" w:eastAsia="宋体" w:cs="宋体"/>
                <w:color w:val="000000"/>
                <w:kern w:val="0"/>
                <w:sz w:val="22"/>
                <w:highlight w:val="none"/>
              </w:rPr>
            </w:pPr>
            <w:r>
              <w:rPr>
                <w:rFonts w:hint="eastAsia" w:ascii="宋体" w:hAnsi="宋体" w:eastAsia="宋体" w:cs="宋体"/>
                <w:color w:val="000000"/>
                <w:kern w:val="0"/>
                <w:sz w:val="22"/>
                <w:highlight w:val="none"/>
              </w:rPr>
              <w:t>移动、H：1150mm（含拆除、运输及安装）；底座铸铁，整体热镀锌，表面氟碳喷涂</w:t>
            </w:r>
          </w:p>
        </w:tc>
        <w:tc>
          <w:tcPr>
            <w:tcW w:w="709" w:type="dxa"/>
            <w:tcBorders>
              <w:top w:val="nil"/>
              <w:left w:val="nil"/>
              <w:bottom w:val="single" w:color="auto" w:sz="4" w:space="0"/>
              <w:right w:val="single" w:color="auto" w:sz="4" w:space="0"/>
            </w:tcBorders>
            <w:noWrap w:val="0"/>
            <w:vAlign w:val="center"/>
          </w:tcPr>
          <w:p w14:paraId="76FFB4A6">
            <w:pPr>
              <w:widowControl/>
              <w:jc w:val="center"/>
              <w:rPr>
                <w:rFonts w:hint="eastAsia" w:ascii="宋体" w:hAnsi="宋体" w:eastAsia="宋体" w:cs="宋体"/>
                <w:color w:val="000000"/>
                <w:kern w:val="0"/>
                <w:sz w:val="22"/>
                <w:highlight w:val="none"/>
              </w:rPr>
            </w:pPr>
            <w:r>
              <w:rPr>
                <w:rFonts w:hint="eastAsia" w:ascii="宋体" w:hAnsi="宋体" w:eastAsia="宋体" w:cs="宋体"/>
                <w:color w:val="000000"/>
                <w:kern w:val="0"/>
                <w:sz w:val="22"/>
                <w:highlight w:val="none"/>
              </w:rPr>
              <w:t>220</w:t>
            </w:r>
          </w:p>
        </w:tc>
        <w:tc>
          <w:tcPr>
            <w:tcW w:w="709" w:type="dxa"/>
            <w:tcBorders>
              <w:top w:val="nil"/>
              <w:left w:val="nil"/>
              <w:bottom w:val="single" w:color="auto" w:sz="4" w:space="0"/>
              <w:right w:val="single" w:color="auto" w:sz="4" w:space="0"/>
            </w:tcBorders>
            <w:noWrap w:val="0"/>
            <w:vAlign w:val="center"/>
          </w:tcPr>
          <w:p w14:paraId="777954A6">
            <w:pPr>
              <w:widowControl/>
              <w:jc w:val="center"/>
              <w:rPr>
                <w:rFonts w:hint="eastAsia" w:ascii="宋体" w:hAnsi="宋体" w:eastAsia="宋体" w:cs="宋体"/>
                <w:color w:val="000000"/>
                <w:kern w:val="0"/>
                <w:sz w:val="22"/>
                <w:highlight w:val="none"/>
              </w:rPr>
            </w:pPr>
            <w:r>
              <w:rPr>
                <w:rFonts w:hint="eastAsia" w:ascii="宋体" w:hAnsi="宋体" w:eastAsia="宋体" w:cs="宋体"/>
                <w:color w:val="000000"/>
                <w:kern w:val="0"/>
                <w:sz w:val="22"/>
                <w:highlight w:val="none"/>
              </w:rPr>
              <w:t>m</w:t>
            </w:r>
          </w:p>
        </w:tc>
        <w:tc>
          <w:tcPr>
            <w:tcW w:w="708" w:type="dxa"/>
            <w:tcBorders>
              <w:top w:val="nil"/>
              <w:left w:val="nil"/>
              <w:bottom w:val="single" w:color="auto" w:sz="4" w:space="0"/>
              <w:right w:val="single" w:color="auto" w:sz="4" w:space="0"/>
            </w:tcBorders>
            <w:noWrap w:val="0"/>
            <w:vAlign w:val="center"/>
          </w:tcPr>
          <w:p w14:paraId="154701C0">
            <w:pPr>
              <w:widowControl/>
              <w:jc w:val="center"/>
              <w:rPr>
                <w:rFonts w:hint="eastAsia" w:ascii="宋体" w:hAnsi="宋体" w:eastAsia="宋体" w:cs="宋体"/>
                <w:color w:val="000000"/>
                <w:kern w:val="0"/>
                <w:sz w:val="22"/>
                <w:highlight w:val="none"/>
              </w:rPr>
            </w:pPr>
            <w:r>
              <w:rPr>
                <w:rFonts w:hint="eastAsia" w:ascii="宋体" w:hAnsi="宋体" w:eastAsia="宋体" w:cs="宋体"/>
                <w:color w:val="000000"/>
                <w:kern w:val="0"/>
                <w:sz w:val="22"/>
                <w:highlight w:val="none"/>
              </w:rPr>
              <w:t>30</w:t>
            </w:r>
          </w:p>
        </w:tc>
        <w:tc>
          <w:tcPr>
            <w:tcW w:w="851" w:type="dxa"/>
            <w:tcBorders>
              <w:top w:val="nil"/>
              <w:left w:val="nil"/>
              <w:bottom w:val="single" w:color="auto" w:sz="4" w:space="0"/>
              <w:right w:val="single" w:color="auto" w:sz="4" w:space="0"/>
            </w:tcBorders>
            <w:noWrap w:val="0"/>
            <w:vAlign w:val="center"/>
          </w:tcPr>
          <w:p w14:paraId="30D9DE9C">
            <w:pPr>
              <w:widowControl/>
              <w:jc w:val="center"/>
              <w:rPr>
                <w:rFonts w:hint="eastAsia" w:ascii="宋体" w:hAnsi="宋体" w:eastAsia="宋体" w:cs="宋体"/>
                <w:color w:val="000000"/>
                <w:kern w:val="0"/>
                <w:sz w:val="20"/>
                <w:highlight w:val="none"/>
              </w:rPr>
            </w:pPr>
            <w:r>
              <w:rPr>
                <w:rFonts w:hint="eastAsia" w:ascii="宋体" w:hAnsi="宋体" w:eastAsia="宋体" w:cs="宋体"/>
                <w:color w:val="000000"/>
                <w:kern w:val="0"/>
                <w:sz w:val="20"/>
                <w:highlight w:val="none"/>
              </w:rPr>
              <w:t xml:space="preserve">¥6,600.00 </w:t>
            </w:r>
          </w:p>
        </w:tc>
      </w:tr>
      <w:tr w14:paraId="159854DE">
        <w:tblPrEx>
          <w:tblCellMar>
            <w:top w:w="0" w:type="dxa"/>
            <w:left w:w="108" w:type="dxa"/>
            <w:bottom w:w="0" w:type="dxa"/>
            <w:right w:w="108" w:type="dxa"/>
          </w:tblCellMar>
        </w:tblPrEx>
        <w:trPr>
          <w:trHeight w:val="540" w:hRule="atLeast"/>
        </w:trPr>
        <w:tc>
          <w:tcPr>
            <w:tcW w:w="1134" w:type="dxa"/>
            <w:vMerge w:val="continue"/>
            <w:tcBorders>
              <w:top w:val="nil"/>
              <w:left w:val="single" w:color="auto" w:sz="4" w:space="0"/>
              <w:bottom w:val="single" w:color="auto" w:sz="4" w:space="0"/>
              <w:right w:val="single" w:color="auto" w:sz="4" w:space="0"/>
            </w:tcBorders>
            <w:noWrap w:val="0"/>
            <w:vAlign w:val="center"/>
          </w:tcPr>
          <w:p w14:paraId="16155C58">
            <w:pPr>
              <w:widowControl/>
              <w:jc w:val="left"/>
              <w:rPr>
                <w:rFonts w:ascii="宋体" w:hAnsi="宋体" w:eastAsia="宋体" w:cs="宋体"/>
                <w:color w:val="000000"/>
                <w:kern w:val="0"/>
                <w:sz w:val="22"/>
                <w:highlight w:val="none"/>
              </w:rPr>
            </w:pPr>
          </w:p>
        </w:tc>
        <w:tc>
          <w:tcPr>
            <w:tcW w:w="1560" w:type="dxa"/>
            <w:tcBorders>
              <w:top w:val="nil"/>
              <w:left w:val="nil"/>
              <w:bottom w:val="single" w:color="auto" w:sz="4" w:space="0"/>
              <w:right w:val="single" w:color="auto" w:sz="4" w:space="0"/>
            </w:tcBorders>
            <w:noWrap w:val="0"/>
            <w:vAlign w:val="center"/>
          </w:tcPr>
          <w:p w14:paraId="28AFC000">
            <w:pPr>
              <w:widowControl/>
              <w:jc w:val="center"/>
              <w:rPr>
                <w:rFonts w:ascii="宋体" w:hAnsi="宋体" w:eastAsia="宋体" w:cs="宋体"/>
                <w:color w:val="000000"/>
                <w:kern w:val="0"/>
                <w:sz w:val="22"/>
                <w:highlight w:val="none"/>
              </w:rPr>
            </w:pPr>
            <w:r>
              <w:rPr>
                <w:rFonts w:hint="eastAsia" w:ascii="宋体" w:hAnsi="宋体" w:eastAsia="宋体" w:cs="宋体"/>
                <w:color w:val="000000"/>
                <w:kern w:val="0"/>
                <w:sz w:val="22"/>
                <w:highlight w:val="none"/>
              </w:rPr>
              <w:t>机非护栏端头反光警示柱</w:t>
            </w:r>
          </w:p>
        </w:tc>
        <w:tc>
          <w:tcPr>
            <w:tcW w:w="4252" w:type="dxa"/>
            <w:tcBorders>
              <w:top w:val="nil"/>
              <w:left w:val="nil"/>
              <w:bottom w:val="single" w:color="auto" w:sz="4" w:space="0"/>
              <w:right w:val="single" w:color="auto" w:sz="4" w:space="0"/>
            </w:tcBorders>
            <w:noWrap w:val="0"/>
            <w:vAlign w:val="center"/>
          </w:tcPr>
          <w:p w14:paraId="794B4E4E">
            <w:pPr>
              <w:widowControl/>
              <w:rPr>
                <w:rFonts w:hint="eastAsia" w:ascii="宋体" w:hAnsi="宋体" w:eastAsia="宋体" w:cs="宋体"/>
                <w:color w:val="000000"/>
                <w:kern w:val="0"/>
                <w:sz w:val="22"/>
                <w:highlight w:val="none"/>
              </w:rPr>
            </w:pPr>
            <w:r>
              <w:rPr>
                <w:rFonts w:hint="eastAsia" w:ascii="宋体" w:hAnsi="宋体" w:eastAsia="宋体" w:cs="宋体"/>
                <w:color w:val="000000"/>
                <w:kern w:val="0"/>
                <w:sz w:val="22"/>
                <w:highlight w:val="none"/>
              </w:rPr>
              <w:t>H800*3mm（含机械钻孔，注浆）</w:t>
            </w:r>
          </w:p>
        </w:tc>
        <w:tc>
          <w:tcPr>
            <w:tcW w:w="709" w:type="dxa"/>
            <w:tcBorders>
              <w:top w:val="nil"/>
              <w:left w:val="nil"/>
              <w:bottom w:val="single" w:color="auto" w:sz="4" w:space="0"/>
              <w:right w:val="single" w:color="auto" w:sz="4" w:space="0"/>
            </w:tcBorders>
            <w:noWrap w:val="0"/>
            <w:vAlign w:val="center"/>
          </w:tcPr>
          <w:p w14:paraId="549B0731">
            <w:pPr>
              <w:widowControl/>
              <w:jc w:val="center"/>
              <w:rPr>
                <w:rFonts w:hint="eastAsia" w:ascii="宋体" w:hAnsi="宋体" w:eastAsia="宋体" w:cs="宋体"/>
                <w:color w:val="000000"/>
                <w:kern w:val="0"/>
                <w:sz w:val="22"/>
                <w:highlight w:val="none"/>
              </w:rPr>
            </w:pPr>
            <w:r>
              <w:rPr>
                <w:rFonts w:hint="eastAsia" w:ascii="宋体" w:hAnsi="宋体" w:eastAsia="宋体" w:cs="宋体"/>
                <w:color w:val="000000"/>
                <w:kern w:val="0"/>
                <w:sz w:val="22"/>
                <w:highlight w:val="none"/>
              </w:rPr>
              <w:t>120</w:t>
            </w:r>
          </w:p>
        </w:tc>
        <w:tc>
          <w:tcPr>
            <w:tcW w:w="709" w:type="dxa"/>
            <w:tcBorders>
              <w:top w:val="nil"/>
              <w:left w:val="nil"/>
              <w:bottom w:val="single" w:color="auto" w:sz="4" w:space="0"/>
              <w:right w:val="single" w:color="auto" w:sz="4" w:space="0"/>
            </w:tcBorders>
            <w:noWrap w:val="0"/>
            <w:vAlign w:val="center"/>
          </w:tcPr>
          <w:p w14:paraId="30CBB8B4">
            <w:pPr>
              <w:widowControl/>
              <w:jc w:val="center"/>
              <w:rPr>
                <w:rFonts w:hint="eastAsia" w:ascii="宋体" w:hAnsi="宋体" w:eastAsia="宋体" w:cs="宋体"/>
                <w:color w:val="000000"/>
                <w:kern w:val="0"/>
                <w:sz w:val="22"/>
                <w:highlight w:val="none"/>
              </w:rPr>
            </w:pPr>
            <w:r>
              <w:rPr>
                <w:rFonts w:hint="eastAsia" w:ascii="宋体" w:hAnsi="宋体" w:eastAsia="宋体" w:cs="宋体"/>
                <w:color w:val="000000"/>
                <w:kern w:val="0"/>
                <w:sz w:val="22"/>
                <w:highlight w:val="none"/>
              </w:rPr>
              <w:t>根</w:t>
            </w:r>
          </w:p>
        </w:tc>
        <w:tc>
          <w:tcPr>
            <w:tcW w:w="708" w:type="dxa"/>
            <w:tcBorders>
              <w:top w:val="nil"/>
              <w:left w:val="nil"/>
              <w:bottom w:val="single" w:color="auto" w:sz="4" w:space="0"/>
              <w:right w:val="single" w:color="auto" w:sz="4" w:space="0"/>
            </w:tcBorders>
            <w:noWrap w:val="0"/>
            <w:vAlign w:val="center"/>
          </w:tcPr>
          <w:p w14:paraId="1E49C26B">
            <w:pPr>
              <w:widowControl/>
              <w:jc w:val="center"/>
              <w:rPr>
                <w:rFonts w:hint="eastAsia" w:ascii="宋体" w:hAnsi="宋体" w:eastAsia="宋体" w:cs="宋体"/>
                <w:color w:val="000000"/>
                <w:kern w:val="0"/>
                <w:sz w:val="22"/>
                <w:highlight w:val="none"/>
              </w:rPr>
            </w:pPr>
            <w:r>
              <w:rPr>
                <w:rFonts w:hint="eastAsia" w:ascii="宋体" w:hAnsi="宋体" w:eastAsia="宋体" w:cs="宋体"/>
                <w:color w:val="000000"/>
                <w:kern w:val="0"/>
                <w:sz w:val="22"/>
                <w:highlight w:val="none"/>
              </w:rPr>
              <w:t>150</w:t>
            </w:r>
          </w:p>
        </w:tc>
        <w:tc>
          <w:tcPr>
            <w:tcW w:w="851" w:type="dxa"/>
            <w:tcBorders>
              <w:top w:val="nil"/>
              <w:left w:val="nil"/>
              <w:bottom w:val="single" w:color="auto" w:sz="4" w:space="0"/>
              <w:right w:val="single" w:color="auto" w:sz="4" w:space="0"/>
            </w:tcBorders>
            <w:noWrap w:val="0"/>
            <w:vAlign w:val="center"/>
          </w:tcPr>
          <w:p w14:paraId="20CC4D8F">
            <w:pPr>
              <w:widowControl/>
              <w:jc w:val="center"/>
              <w:rPr>
                <w:rFonts w:hint="eastAsia" w:ascii="宋体" w:hAnsi="宋体" w:eastAsia="宋体" w:cs="宋体"/>
                <w:color w:val="000000"/>
                <w:kern w:val="0"/>
                <w:sz w:val="20"/>
                <w:highlight w:val="none"/>
              </w:rPr>
            </w:pPr>
            <w:r>
              <w:rPr>
                <w:rFonts w:hint="eastAsia" w:ascii="宋体" w:hAnsi="宋体" w:eastAsia="宋体" w:cs="宋体"/>
                <w:color w:val="000000"/>
                <w:kern w:val="0"/>
                <w:sz w:val="20"/>
                <w:highlight w:val="none"/>
              </w:rPr>
              <w:t xml:space="preserve">¥18,000.00 </w:t>
            </w:r>
          </w:p>
        </w:tc>
      </w:tr>
      <w:tr w14:paraId="22A760F7">
        <w:tblPrEx>
          <w:tblCellMar>
            <w:top w:w="0" w:type="dxa"/>
            <w:left w:w="108" w:type="dxa"/>
            <w:bottom w:w="0" w:type="dxa"/>
            <w:right w:w="108" w:type="dxa"/>
          </w:tblCellMar>
        </w:tblPrEx>
        <w:trPr>
          <w:trHeight w:val="400" w:hRule="atLeast"/>
        </w:trPr>
        <w:tc>
          <w:tcPr>
            <w:tcW w:w="1134" w:type="dxa"/>
            <w:vMerge w:val="continue"/>
            <w:tcBorders>
              <w:top w:val="nil"/>
              <w:left w:val="single" w:color="auto" w:sz="4" w:space="0"/>
              <w:bottom w:val="single" w:color="auto" w:sz="4" w:space="0"/>
              <w:right w:val="single" w:color="auto" w:sz="4" w:space="0"/>
            </w:tcBorders>
            <w:noWrap w:val="0"/>
            <w:vAlign w:val="center"/>
          </w:tcPr>
          <w:p w14:paraId="3CFC60EF">
            <w:pPr>
              <w:widowControl/>
              <w:jc w:val="left"/>
              <w:rPr>
                <w:rFonts w:ascii="宋体" w:hAnsi="宋体" w:eastAsia="宋体" w:cs="宋体"/>
                <w:color w:val="000000"/>
                <w:kern w:val="0"/>
                <w:sz w:val="22"/>
                <w:highlight w:val="none"/>
              </w:rPr>
            </w:pPr>
          </w:p>
        </w:tc>
        <w:tc>
          <w:tcPr>
            <w:tcW w:w="1560" w:type="dxa"/>
            <w:tcBorders>
              <w:top w:val="nil"/>
              <w:left w:val="nil"/>
              <w:bottom w:val="single" w:color="auto" w:sz="4" w:space="0"/>
              <w:right w:val="single" w:color="auto" w:sz="4" w:space="0"/>
            </w:tcBorders>
            <w:noWrap w:val="0"/>
            <w:vAlign w:val="center"/>
          </w:tcPr>
          <w:p w14:paraId="532650FF">
            <w:pPr>
              <w:widowControl/>
              <w:jc w:val="center"/>
              <w:rPr>
                <w:rFonts w:ascii="宋体" w:hAnsi="宋体" w:eastAsia="宋体" w:cs="宋体"/>
                <w:color w:val="000000"/>
                <w:kern w:val="0"/>
                <w:sz w:val="22"/>
                <w:highlight w:val="none"/>
              </w:rPr>
            </w:pPr>
            <w:r>
              <w:rPr>
                <w:rFonts w:hint="eastAsia" w:ascii="宋体" w:hAnsi="宋体" w:eastAsia="宋体" w:cs="宋体"/>
                <w:color w:val="000000"/>
                <w:kern w:val="0"/>
                <w:sz w:val="22"/>
                <w:highlight w:val="none"/>
              </w:rPr>
              <w:t>中央护栏端头</w:t>
            </w:r>
          </w:p>
        </w:tc>
        <w:tc>
          <w:tcPr>
            <w:tcW w:w="4252" w:type="dxa"/>
            <w:tcBorders>
              <w:top w:val="nil"/>
              <w:left w:val="nil"/>
              <w:bottom w:val="single" w:color="auto" w:sz="4" w:space="0"/>
              <w:right w:val="single" w:color="auto" w:sz="4" w:space="0"/>
            </w:tcBorders>
            <w:noWrap w:val="0"/>
            <w:vAlign w:val="center"/>
          </w:tcPr>
          <w:p w14:paraId="69EF6265">
            <w:pPr>
              <w:widowControl/>
              <w:rPr>
                <w:rFonts w:hint="eastAsia" w:ascii="宋体" w:hAnsi="宋体" w:eastAsia="宋体" w:cs="宋体"/>
                <w:color w:val="000000"/>
                <w:kern w:val="0"/>
                <w:sz w:val="22"/>
                <w:highlight w:val="none"/>
              </w:rPr>
            </w:pPr>
            <w:r>
              <w:rPr>
                <w:rFonts w:hint="eastAsia" w:ascii="宋体" w:hAnsi="宋体" w:eastAsia="宋体" w:cs="宋体"/>
                <w:color w:val="000000"/>
                <w:kern w:val="0"/>
                <w:sz w:val="22"/>
                <w:highlight w:val="none"/>
              </w:rPr>
              <w:t>H2500mm，铁型材+高透光性聚碳酸酯 PC，含太阳能板及蓄电池</w:t>
            </w:r>
          </w:p>
        </w:tc>
        <w:tc>
          <w:tcPr>
            <w:tcW w:w="709" w:type="dxa"/>
            <w:tcBorders>
              <w:top w:val="nil"/>
              <w:left w:val="nil"/>
              <w:bottom w:val="single" w:color="auto" w:sz="4" w:space="0"/>
              <w:right w:val="single" w:color="auto" w:sz="4" w:space="0"/>
            </w:tcBorders>
            <w:noWrap w:val="0"/>
            <w:vAlign w:val="center"/>
          </w:tcPr>
          <w:p w14:paraId="59B7E086">
            <w:pPr>
              <w:widowControl/>
              <w:jc w:val="center"/>
              <w:rPr>
                <w:rFonts w:hint="eastAsia" w:ascii="宋体" w:hAnsi="宋体" w:eastAsia="宋体" w:cs="宋体"/>
                <w:color w:val="000000"/>
                <w:kern w:val="0"/>
                <w:sz w:val="22"/>
                <w:highlight w:val="none"/>
              </w:rPr>
            </w:pPr>
            <w:r>
              <w:rPr>
                <w:rFonts w:hint="eastAsia" w:ascii="宋体" w:hAnsi="宋体" w:eastAsia="宋体" w:cs="宋体"/>
                <w:color w:val="000000"/>
                <w:kern w:val="0"/>
                <w:sz w:val="22"/>
                <w:highlight w:val="none"/>
              </w:rPr>
              <w:t>26</w:t>
            </w:r>
          </w:p>
        </w:tc>
        <w:tc>
          <w:tcPr>
            <w:tcW w:w="709" w:type="dxa"/>
            <w:tcBorders>
              <w:top w:val="nil"/>
              <w:left w:val="nil"/>
              <w:bottom w:val="single" w:color="auto" w:sz="4" w:space="0"/>
              <w:right w:val="single" w:color="auto" w:sz="4" w:space="0"/>
            </w:tcBorders>
            <w:noWrap w:val="0"/>
            <w:vAlign w:val="center"/>
          </w:tcPr>
          <w:p w14:paraId="2E791BF2">
            <w:pPr>
              <w:widowControl/>
              <w:jc w:val="center"/>
              <w:rPr>
                <w:rFonts w:hint="eastAsia" w:ascii="宋体" w:hAnsi="宋体" w:eastAsia="宋体" w:cs="宋体"/>
                <w:color w:val="000000"/>
                <w:kern w:val="0"/>
                <w:sz w:val="22"/>
                <w:highlight w:val="none"/>
              </w:rPr>
            </w:pPr>
            <w:r>
              <w:rPr>
                <w:rFonts w:hint="eastAsia" w:ascii="宋体" w:hAnsi="宋体" w:eastAsia="宋体" w:cs="宋体"/>
                <w:color w:val="000000"/>
                <w:kern w:val="0"/>
                <w:sz w:val="22"/>
                <w:highlight w:val="none"/>
              </w:rPr>
              <w:t>根</w:t>
            </w:r>
          </w:p>
        </w:tc>
        <w:tc>
          <w:tcPr>
            <w:tcW w:w="708" w:type="dxa"/>
            <w:tcBorders>
              <w:top w:val="nil"/>
              <w:left w:val="nil"/>
              <w:bottom w:val="single" w:color="auto" w:sz="4" w:space="0"/>
              <w:right w:val="single" w:color="auto" w:sz="4" w:space="0"/>
            </w:tcBorders>
            <w:noWrap w:val="0"/>
            <w:vAlign w:val="center"/>
          </w:tcPr>
          <w:p w14:paraId="05D7AA7E">
            <w:pPr>
              <w:widowControl/>
              <w:jc w:val="center"/>
              <w:rPr>
                <w:rFonts w:hint="eastAsia" w:ascii="宋体" w:hAnsi="宋体" w:eastAsia="宋体" w:cs="宋体"/>
                <w:color w:val="000000"/>
                <w:kern w:val="0"/>
                <w:sz w:val="22"/>
                <w:highlight w:val="none"/>
              </w:rPr>
            </w:pPr>
            <w:r>
              <w:rPr>
                <w:rFonts w:hint="eastAsia" w:ascii="宋体" w:hAnsi="宋体" w:eastAsia="宋体" w:cs="宋体"/>
                <w:color w:val="000000"/>
                <w:kern w:val="0"/>
                <w:sz w:val="22"/>
                <w:highlight w:val="none"/>
              </w:rPr>
              <w:t>2000</w:t>
            </w:r>
          </w:p>
        </w:tc>
        <w:tc>
          <w:tcPr>
            <w:tcW w:w="851" w:type="dxa"/>
            <w:tcBorders>
              <w:top w:val="nil"/>
              <w:left w:val="nil"/>
              <w:bottom w:val="single" w:color="auto" w:sz="4" w:space="0"/>
              <w:right w:val="single" w:color="auto" w:sz="4" w:space="0"/>
            </w:tcBorders>
            <w:noWrap w:val="0"/>
            <w:vAlign w:val="center"/>
          </w:tcPr>
          <w:p w14:paraId="1C17CC5C">
            <w:pPr>
              <w:widowControl/>
              <w:jc w:val="center"/>
              <w:rPr>
                <w:rFonts w:hint="eastAsia" w:ascii="宋体" w:hAnsi="宋体" w:eastAsia="宋体" w:cs="宋体"/>
                <w:color w:val="000000"/>
                <w:kern w:val="0"/>
                <w:sz w:val="20"/>
                <w:highlight w:val="none"/>
              </w:rPr>
            </w:pPr>
            <w:r>
              <w:rPr>
                <w:rFonts w:hint="eastAsia" w:ascii="宋体" w:hAnsi="宋体" w:eastAsia="宋体" w:cs="宋体"/>
                <w:color w:val="000000"/>
                <w:kern w:val="0"/>
                <w:sz w:val="20"/>
                <w:highlight w:val="none"/>
              </w:rPr>
              <w:t xml:space="preserve">¥52,000.00 </w:t>
            </w:r>
          </w:p>
        </w:tc>
      </w:tr>
      <w:tr w14:paraId="40681AE3">
        <w:tblPrEx>
          <w:tblCellMar>
            <w:top w:w="0" w:type="dxa"/>
            <w:left w:w="108" w:type="dxa"/>
            <w:bottom w:w="0" w:type="dxa"/>
            <w:right w:w="108" w:type="dxa"/>
          </w:tblCellMar>
        </w:tblPrEx>
        <w:trPr>
          <w:trHeight w:val="540" w:hRule="atLeast"/>
        </w:trPr>
        <w:tc>
          <w:tcPr>
            <w:tcW w:w="1134" w:type="dxa"/>
            <w:vMerge w:val="restart"/>
            <w:tcBorders>
              <w:top w:val="nil"/>
              <w:left w:val="single" w:color="auto" w:sz="4" w:space="0"/>
              <w:bottom w:val="single" w:color="auto" w:sz="4" w:space="0"/>
              <w:right w:val="single" w:color="auto" w:sz="4" w:space="0"/>
            </w:tcBorders>
            <w:noWrap w:val="0"/>
            <w:vAlign w:val="center"/>
          </w:tcPr>
          <w:p w14:paraId="0B6A27F6">
            <w:pPr>
              <w:widowControl/>
              <w:jc w:val="center"/>
              <w:rPr>
                <w:rFonts w:ascii="宋体" w:hAnsi="宋体" w:eastAsia="宋体" w:cs="宋体"/>
                <w:color w:val="000000"/>
                <w:kern w:val="0"/>
                <w:sz w:val="22"/>
                <w:highlight w:val="none"/>
              </w:rPr>
            </w:pPr>
            <w:r>
              <w:rPr>
                <w:rFonts w:hint="eastAsia" w:ascii="宋体" w:hAnsi="宋体" w:eastAsia="宋体" w:cs="宋体"/>
                <w:color w:val="000000"/>
                <w:kern w:val="0"/>
                <w:sz w:val="22"/>
                <w:highlight w:val="none"/>
              </w:rPr>
              <w:t>神农源路</w:t>
            </w:r>
          </w:p>
        </w:tc>
        <w:tc>
          <w:tcPr>
            <w:tcW w:w="1560" w:type="dxa"/>
            <w:tcBorders>
              <w:top w:val="nil"/>
              <w:left w:val="nil"/>
              <w:bottom w:val="single" w:color="auto" w:sz="4" w:space="0"/>
              <w:right w:val="single" w:color="auto" w:sz="4" w:space="0"/>
            </w:tcBorders>
            <w:noWrap w:val="0"/>
            <w:vAlign w:val="center"/>
          </w:tcPr>
          <w:p w14:paraId="3F083A3C">
            <w:pPr>
              <w:widowControl/>
              <w:jc w:val="center"/>
              <w:rPr>
                <w:rFonts w:hint="eastAsia" w:ascii="宋体" w:hAnsi="宋体" w:eastAsia="宋体" w:cs="宋体"/>
                <w:color w:val="000000"/>
                <w:kern w:val="0"/>
                <w:sz w:val="22"/>
                <w:highlight w:val="none"/>
              </w:rPr>
            </w:pPr>
            <w:r>
              <w:rPr>
                <w:rFonts w:hint="eastAsia" w:ascii="宋体" w:hAnsi="宋体" w:eastAsia="宋体" w:cs="宋体"/>
                <w:color w:val="000000"/>
                <w:kern w:val="0"/>
                <w:sz w:val="22"/>
                <w:highlight w:val="none"/>
              </w:rPr>
              <w:t>新增中央护栏（白色）</w:t>
            </w:r>
          </w:p>
        </w:tc>
        <w:tc>
          <w:tcPr>
            <w:tcW w:w="4252" w:type="dxa"/>
            <w:tcBorders>
              <w:top w:val="nil"/>
              <w:left w:val="nil"/>
              <w:bottom w:val="single" w:color="auto" w:sz="4" w:space="0"/>
              <w:right w:val="single" w:color="auto" w:sz="4" w:space="0"/>
            </w:tcBorders>
            <w:noWrap w:val="0"/>
            <w:vAlign w:val="center"/>
          </w:tcPr>
          <w:p w14:paraId="0C5851A9">
            <w:pPr>
              <w:widowControl/>
              <w:rPr>
                <w:rFonts w:hint="eastAsia" w:ascii="宋体" w:hAnsi="宋体" w:eastAsia="宋体" w:cs="宋体"/>
                <w:color w:val="000000"/>
                <w:kern w:val="0"/>
                <w:sz w:val="22"/>
                <w:highlight w:val="none"/>
              </w:rPr>
            </w:pPr>
            <w:r>
              <w:rPr>
                <w:rFonts w:hint="eastAsia" w:ascii="宋体" w:hAnsi="宋体" w:eastAsia="宋体" w:cs="宋体"/>
                <w:color w:val="000000"/>
                <w:kern w:val="0"/>
                <w:sz w:val="22"/>
                <w:highlight w:val="none"/>
              </w:rPr>
              <w:t>规格：竖杠30*30*1.5mm、上下横杠60*40*2mm抗压管、底座400*300*150mm（20kg）、H：1200mm；底座铸铁，整体热镀锌，表面氟碳喷涂</w:t>
            </w:r>
          </w:p>
        </w:tc>
        <w:tc>
          <w:tcPr>
            <w:tcW w:w="709" w:type="dxa"/>
            <w:tcBorders>
              <w:top w:val="nil"/>
              <w:left w:val="nil"/>
              <w:bottom w:val="single" w:color="auto" w:sz="4" w:space="0"/>
              <w:right w:val="single" w:color="auto" w:sz="4" w:space="0"/>
            </w:tcBorders>
            <w:noWrap w:val="0"/>
            <w:vAlign w:val="center"/>
          </w:tcPr>
          <w:p w14:paraId="0F755102">
            <w:pPr>
              <w:widowControl/>
              <w:jc w:val="center"/>
              <w:rPr>
                <w:rFonts w:hint="eastAsia" w:ascii="宋体" w:hAnsi="宋体" w:eastAsia="宋体" w:cs="宋体"/>
                <w:color w:val="000000"/>
                <w:kern w:val="0"/>
                <w:sz w:val="22"/>
                <w:highlight w:val="none"/>
              </w:rPr>
            </w:pPr>
            <w:r>
              <w:rPr>
                <w:rFonts w:hint="eastAsia" w:ascii="宋体" w:hAnsi="宋体" w:eastAsia="宋体" w:cs="宋体"/>
                <w:color w:val="000000"/>
                <w:kern w:val="0"/>
                <w:sz w:val="22"/>
                <w:highlight w:val="none"/>
              </w:rPr>
              <w:t>2000</w:t>
            </w:r>
          </w:p>
        </w:tc>
        <w:tc>
          <w:tcPr>
            <w:tcW w:w="709" w:type="dxa"/>
            <w:tcBorders>
              <w:top w:val="nil"/>
              <w:left w:val="nil"/>
              <w:bottom w:val="single" w:color="auto" w:sz="4" w:space="0"/>
              <w:right w:val="single" w:color="auto" w:sz="4" w:space="0"/>
            </w:tcBorders>
            <w:noWrap w:val="0"/>
            <w:vAlign w:val="center"/>
          </w:tcPr>
          <w:p w14:paraId="39993EDC">
            <w:pPr>
              <w:widowControl/>
              <w:jc w:val="center"/>
              <w:rPr>
                <w:rFonts w:hint="eastAsia" w:ascii="宋体" w:hAnsi="宋体" w:eastAsia="宋体" w:cs="宋体"/>
                <w:color w:val="000000"/>
                <w:kern w:val="0"/>
                <w:sz w:val="22"/>
                <w:highlight w:val="none"/>
              </w:rPr>
            </w:pPr>
            <w:r>
              <w:rPr>
                <w:rFonts w:hint="eastAsia" w:ascii="宋体" w:hAnsi="宋体" w:eastAsia="宋体" w:cs="宋体"/>
                <w:color w:val="000000"/>
                <w:kern w:val="0"/>
                <w:sz w:val="22"/>
                <w:highlight w:val="none"/>
              </w:rPr>
              <w:t>m</w:t>
            </w:r>
          </w:p>
        </w:tc>
        <w:tc>
          <w:tcPr>
            <w:tcW w:w="708" w:type="dxa"/>
            <w:tcBorders>
              <w:top w:val="nil"/>
              <w:left w:val="nil"/>
              <w:bottom w:val="single" w:color="auto" w:sz="4" w:space="0"/>
              <w:right w:val="single" w:color="auto" w:sz="4" w:space="0"/>
            </w:tcBorders>
            <w:noWrap w:val="0"/>
            <w:vAlign w:val="center"/>
          </w:tcPr>
          <w:p w14:paraId="024879C8">
            <w:pPr>
              <w:widowControl/>
              <w:jc w:val="center"/>
              <w:rPr>
                <w:rFonts w:hint="eastAsia" w:ascii="宋体" w:hAnsi="宋体" w:eastAsia="宋体" w:cs="宋体"/>
                <w:color w:val="000000"/>
                <w:kern w:val="0"/>
                <w:sz w:val="22"/>
                <w:highlight w:val="none"/>
              </w:rPr>
            </w:pPr>
            <w:r>
              <w:rPr>
                <w:rFonts w:hint="eastAsia" w:ascii="宋体" w:hAnsi="宋体" w:eastAsia="宋体" w:cs="宋体"/>
                <w:color w:val="000000"/>
                <w:kern w:val="0"/>
                <w:sz w:val="22"/>
                <w:highlight w:val="none"/>
              </w:rPr>
              <w:t>215</w:t>
            </w:r>
          </w:p>
        </w:tc>
        <w:tc>
          <w:tcPr>
            <w:tcW w:w="851" w:type="dxa"/>
            <w:tcBorders>
              <w:top w:val="nil"/>
              <w:left w:val="nil"/>
              <w:bottom w:val="single" w:color="auto" w:sz="4" w:space="0"/>
              <w:right w:val="single" w:color="auto" w:sz="4" w:space="0"/>
            </w:tcBorders>
            <w:noWrap w:val="0"/>
            <w:vAlign w:val="center"/>
          </w:tcPr>
          <w:p w14:paraId="48CB2480">
            <w:pPr>
              <w:widowControl/>
              <w:jc w:val="center"/>
              <w:rPr>
                <w:rFonts w:hint="eastAsia" w:ascii="宋体" w:hAnsi="宋体" w:eastAsia="宋体" w:cs="宋体"/>
                <w:color w:val="000000"/>
                <w:kern w:val="0"/>
                <w:sz w:val="20"/>
                <w:highlight w:val="none"/>
              </w:rPr>
            </w:pPr>
            <w:r>
              <w:rPr>
                <w:rFonts w:hint="eastAsia" w:ascii="宋体" w:hAnsi="宋体" w:eastAsia="宋体" w:cs="宋体"/>
                <w:color w:val="000000"/>
                <w:kern w:val="0"/>
                <w:sz w:val="20"/>
                <w:highlight w:val="none"/>
              </w:rPr>
              <w:t xml:space="preserve">¥430,000.00 </w:t>
            </w:r>
          </w:p>
        </w:tc>
      </w:tr>
      <w:tr w14:paraId="0C517BF5">
        <w:tblPrEx>
          <w:tblCellMar>
            <w:top w:w="0" w:type="dxa"/>
            <w:left w:w="108" w:type="dxa"/>
            <w:bottom w:w="0" w:type="dxa"/>
            <w:right w:w="108" w:type="dxa"/>
          </w:tblCellMar>
        </w:tblPrEx>
        <w:trPr>
          <w:trHeight w:val="880" w:hRule="atLeast"/>
        </w:trPr>
        <w:tc>
          <w:tcPr>
            <w:tcW w:w="1134" w:type="dxa"/>
            <w:vMerge w:val="continue"/>
            <w:tcBorders>
              <w:top w:val="nil"/>
              <w:left w:val="single" w:color="auto" w:sz="4" w:space="0"/>
              <w:bottom w:val="single" w:color="auto" w:sz="4" w:space="0"/>
              <w:right w:val="single" w:color="auto" w:sz="4" w:space="0"/>
            </w:tcBorders>
            <w:noWrap w:val="0"/>
            <w:vAlign w:val="center"/>
          </w:tcPr>
          <w:p w14:paraId="03FD4690">
            <w:pPr>
              <w:widowControl/>
              <w:jc w:val="left"/>
              <w:rPr>
                <w:rFonts w:ascii="宋体" w:hAnsi="宋体" w:eastAsia="宋体" w:cs="宋体"/>
                <w:color w:val="000000"/>
                <w:kern w:val="0"/>
                <w:sz w:val="22"/>
                <w:highlight w:val="none"/>
              </w:rPr>
            </w:pPr>
          </w:p>
        </w:tc>
        <w:tc>
          <w:tcPr>
            <w:tcW w:w="1560" w:type="dxa"/>
            <w:tcBorders>
              <w:top w:val="nil"/>
              <w:left w:val="nil"/>
              <w:bottom w:val="single" w:color="auto" w:sz="4" w:space="0"/>
              <w:right w:val="single" w:color="auto" w:sz="4" w:space="0"/>
            </w:tcBorders>
            <w:noWrap w:val="0"/>
            <w:vAlign w:val="center"/>
          </w:tcPr>
          <w:p w14:paraId="4B8D9904">
            <w:pPr>
              <w:widowControl/>
              <w:jc w:val="center"/>
              <w:rPr>
                <w:rFonts w:ascii="宋体" w:hAnsi="宋体" w:eastAsia="宋体" w:cs="宋体"/>
                <w:color w:val="000000"/>
                <w:kern w:val="0"/>
                <w:sz w:val="22"/>
                <w:highlight w:val="none"/>
              </w:rPr>
            </w:pPr>
            <w:r>
              <w:rPr>
                <w:rFonts w:hint="eastAsia" w:ascii="宋体" w:hAnsi="宋体" w:eastAsia="宋体" w:cs="宋体"/>
                <w:color w:val="000000"/>
                <w:kern w:val="0"/>
                <w:sz w:val="22"/>
                <w:highlight w:val="none"/>
              </w:rPr>
              <w:t>拆除机非护栏（白色）</w:t>
            </w:r>
          </w:p>
        </w:tc>
        <w:tc>
          <w:tcPr>
            <w:tcW w:w="4252" w:type="dxa"/>
            <w:tcBorders>
              <w:top w:val="nil"/>
              <w:left w:val="nil"/>
              <w:bottom w:val="single" w:color="auto" w:sz="4" w:space="0"/>
              <w:right w:val="single" w:color="auto" w:sz="4" w:space="0"/>
            </w:tcBorders>
            <w:noWrap w:val="0"/>
            <w:vAlign w:val="center"/>
          </w:tcPr>
          <w:p w14:paraId="14DD93BB">
            <w:pPr>
              <w:widowControl/>
              <w:rPr>
                <w:rFonts w:hint="eastAsia" w:ascii="宋体" w:hAnsi="宋体" w:eastAsia="宋体" w:cs="宋体"/>
                <w:color w:val="000000"/>
                <w:kern w:val="0"/>
                <w:sz w:val="22"/>
                <w:highlight w:val="none"/>
              </w:rPr>
            </w:pPr>
            <w:r>
              <w:rPr>
                <w:rFonts w:hint="eastAsia" w:ascii="宋体" w:hAnsi="宋体" w:eastAsia="宋体" w:cs="宋体"/>
                <w:color w:val="000000"/>
                <w:kern w:val="0"/>
                <w:sz w:val="22"/>
                <w:highlight w:val="none"/>
              </w:rPr>
              <w:t>拆除；规格：立柱100*100*2mm、竖杠</w:t>
            </w:r>
            <w:r>
              <w:rPr>
                <w:rFonts w:ascii="Cambria Math" w:hAnsi="Cambria Math" w:eastAsia="宋体" w:cs="Cambria Math"/>
                <w:color w:val="000000"/>
                <w:kern w:val="0"/>
                <w:sz w:val="22"/>
                <w:highlight w:val="none"/>
              </w:rPr>
              <w:t>∅</w:t>
            </w:r>
            <w:r>
              <w:rPr>
                <w:rFonts w:hint="eastAsia" w:ascii="宋体" w:hAnsi="宋体" w:eastAsia="宋体" w:cs="宋体"/>
                <w:color w:val="000000"/>
                <w:kern w:val="0"/>
                <w:sz w:val="22"/>
                <w:highlight w:val="none"/>
              </w:rPr>
              <w:t>25*2mm、下横杠63*40*1.5mm抗压管、底座400*300*150mm（20kg）、H：800mm（含拆除、运输）；底座铸铁，整体热镀锌，表面氟碳喷涂</w:t>
            </w:r>
          </w:p>
        </w:tc>
        <w:tc>
          <w:tcPr>
            <w:tcW w:w="709" w:type="dxa"/>
            <w:tcBorders>
              <w:top w:val="nil"/>
              <w:left w:val="nil"/>
              <w:bottom w:val="single" w:color="auto" w:sz="4" w:space="0"/>
              <w:right w:val="single" w:color="auto" w:sz="4" w:space="0"/>
            </w:tcBorders>
            <w:noWrap w:val="0"/>
            <w:vAlign w:val="center"/>
          </w:tcPr>
          <w:p w14:paraId="5E6754D4">
            <w:pPr>
              <w:widowControl/>
              <w:jc w:val="center"/>
              <w:rPr>
                <w:rFonts w:hint="eastAsia" w:ascii="宋体" w:hAnsi="宋体" w:eastAsia="宋体" w:cs="宋体"/>
                <w:color w:val="000000"/>
                <w:kern w:val="0"/>
                <w:sz w:val="22"/>
                <w:highlight w:val="none"/>
              </w:rPr>
            </w:pPr>
            <w:r>
              <w:rPr>
                <w:rFonts w:hint="eastAsia" w:ascii="宋体" w:hAnsi="宋体" w:eastAsia="宋体" w:cs="宋体"/>
                <w:color w:val="000000"/>
                <w:kern w:val="0"/>
                <w:sz w:val="22"/>
                <w:highlight w:val="none"/>
              </w:rPr>
              <w:t>2350</w:t>
            </w:r>
          </w:p>
        </w:tc>
        <w:tc>
          <w:tcPr>
            <w:tcW w:w="709" w:type="dxa"/>
            <w:tcBorders>
              <w:top w:val="nil"/>
              <w:left w:val="nil"/>
              <w:bottom w:val="single" w:color="auto" w:sz="4" w:space="0"/>
              <w:right w:val="single" w:color="auto" w:sz="4" w:space="0"/>
            </w:tcBorders>
            <w:noWrap w:val="0"/>
            <w:vAlign w:val="center"/>
          </w:tcPr>
          <w:p w14:paraId="1FC41951">
            <w:pPr>
              <w:widowControl/>
              <w:jc w:val="center"/>
              <w:rPr>
                <w:rFonts w:hint="eastAsia" w:ascii="宋体" w:hAnsi="宋体" w:eastAsia="宋体" w:cs="宋体"/>
                <w:color w:val="000000"/>
                <w:kern w:val="0"/>
                <w:sz w:val="22"/>
                <w:highlight w:val="none"/>
              </w:rPr>
            </w:pPr>
            <w:r>
              <w:rPr>
                <w:rFonts w:hint="eastAsia" w:ascii="宋体" w:hAnsi="宋体" w:eastAsia="宋体" w:cs="宋体"/>
                <w:color w:val="000000"/>
                <w:kern w:val="0"/>
                <w:sz w:val="22"/>
                <w:highlight w:val="none"/>
              </w:rPr>
              <w:t>m</w:t>
            </w:r>
          </w:p>
        </w:tc>
        <w:tc>
          <w:tcPr>
            <w:tcW w:w="708" w:type="dxa"/>
            <w:tcBorders>
              <w:top w:val="nil"/>
              <w:left w:val="nil"/>
              <w:bottom w:val="single" w:color="auto" w:sz="4" w:space="0"/>
              <w:right w:val="single" w:color="auto" w:sz="4" w:space="0"/>
            </w:tcBorders>
            <w:noWrap w:val="0"/>
            <w:vAlign w:val="center"/>
          </w:tcPr>
          <w:p w14:paraId="0AEBF7E7">
            <w:pPr>
              <w:widowControl/>
              <w:jc w:val="center"/>
              <w:rPr>
                <w:rFonts w:hint="eastAsia" w:ascii="宋体" w:hAnsi="宋体" w:eastAsia="宋体" w:cs="宋体"/>
                <w:color w:val="000000"/>
                <w:kern w:val="0"/>
                <w:sz w:val="22"/>
                <w:highlight w:val="none"/>
              </w:rPr>
            </w:pPr>
            <w:r>
              <w:rPr>
                <w:rFonts w:hint="eastAsia" w:ascii="宋体" w:hAnsi="宋体" w:eastAsia="宋体" w:cs="宋体"/>
                <w:color w:val="000000"/>
                <w:kern w:val="0"/>
                <w:sz w:val="22"/>
                <w:highlight w:val="none"/>
              </w:rPr>
              <w:t>15</w:t>
            </w:r>
          </w:p>
        </w:tc>
        <w:tc>
          <w:tcPr>
            <w:tcW w:w="851" w:type="dxa"/>
            <w:tcBorders>
              <w:top w:val="nil"/>
              <w:left w:val="nil"/>
              <w:bottom w:val="single" w:color="auto" w:sz="4" w:space="0"/>
              <w:right w:val="single" w:color="auto" w:sz="4" w:space="0"/>
            </w:tcBorders>
            <w:noWrap w:val="0"/>
            <w:vAlign w:val="center"/>
          </w:tcPr>
          <w:p w14:paraId="126957FE">
            <w:pPr>
              <w:widowControl/>
              <w:jc w:val="center"/>
              <w:rPr>
                <w:rFonts w:hint="eastAsia" w:ascii="宋体" w:hAnsi="宋体" w:eastAsia="宋体" w:cs="宋体"/>
                <w:color w:val="000000"/>
                <w:kern w:val="0"/>
                <w:sz w:val="20"/>
                <w:highlight w:val="none"/>
              </w:rPr>
            </w:pPr>
            <w:r>
              <w:rPr>
                <w:rFonts w:hint="eastAsia" w:ascii="宋体" w:hAnsi="宋体" w:eastAsia="宋体" w:cs="宋体"/>
                <w:color w:val="000000"/>
                <w:kern w:val="0"/>
                <w:sz w:val="20"/>
                <w:highlight w:val="none"/>
              </w:rPr>
              <w:t xml:space="preserve">¥35,250.00 </w:t>
            </w:r>
          </w:p>
        </w:tc>
      </w:tr>
      <w:tr w14:paraId="5DEC5F26">
        <w:tblPrEx>
          <w:tblCellMar>
            <w:top w:w="0" w:type="dxa"/>
            <w:left w:w="108" w:type="dxa"/>
            <w:bottom w:w="0" w:type="dxa"/>
            <w:right w:w="108" w:type="dxa"/>
          </w:tblCellMar>
        </w:tblPrEx>
        <w:trPr>
          <w:trHeight w:val="270" w:hRule="atLeast"/>
        </w:trPr>
        <w:tc>
          <w:tcPr>
            <w:tcW w:w="1134" w:type="dxa"/>
            <w:vMerge w:val="continue"/>
            <w:tcBorders>
              <w:top w:val="nil"/>
              <w:left w:val="single" w:color="auto" w:sz="4" w:space="0"/>
              <w:bottom w:val="single" w:color="auto" w:sz="4" w:space="0"/>
              <w:right w:val="single" w:color="auto" w:sz="4" w:space="0"/>
            </w:tcBorders>
            <w:noWrap w:val="0"/>
            <w:vAlign w:val="center"/>
          </w:tcPr>
          <w:p w14:paraId="2DE0787F">
            <w:pPr>
              <w:widowControl/>
              <w:jc w:val="left"/>
              <w:rPr>
                <w:rFonts w:ascii="宋体" w:hAnsi="宋体" w:eastAsia="宋体" w:cs="宋体"/>
                <w:color w:val="000000"/>
                <w:kern w:val="0"/>
                <w:sz w:val="22"/>
                <w:highlight w:val="none"/>
              </w:rPr>
            </w:pPr>
          </w:p>
        </w:tc>
        <w:tc>
          <w:tcPr>
            <w:tcW w:w="1560" w:type="dxa"/>
            <w:tcBorders>
              <w:top w:val="nil"/>
              <w:left w:val="nil"/>
              <w:bottom w:val="single" w:color="auto" w:sz="4" w:space="0"/>
              <w:right w:val="single" w:color="auto" w:sz="4" w:space="0"/>
            </w:tcBorders>
            <w:noWrap w:val="0"/>
            <w:vAlign w:val="center"/>
          </w:tcPr>
          <w:p w14:paraId="200F982B">
            <w:pPr>
              <w:widowControl/>
              <w:jc w:val="center"/>
              <w:rPr>
                <w:rFonts w:ascii="宋体" w:hAnsi="宋体" w:eastAsia="宋体" w:cs="宋体"/>
                <w:color w:val="000000"/>
                <w:kern w:val="0"/>
                <w:sz w:val="22"/>
                <w:highlight w:val="none"/>
              </w:rPr>
            </w:pPr>
            <w:r>
              <w:rPr>
                <w:rFonts w:hint="eastAsia" w:ascii="宋体" w:hAnsi="宋体" w:eastAsia="宋体" w:cs="宋体"/>
                <w:color w:val="000000"/>
                <w:kern w:val="0"/>
                <w:sz w:val="22"/>
                <w:highlight w:val="none"/>
              </w:rPr>
              <w:t>中央护栏端头</w:t>
            </w:r>
          </w:p>
        </w:tc>
        <w:tc>
          <w:tcPr>
            <w:tcW w:w="4252" w:type="dxa"/>
            <w:tcBorders>
              <w:top w:val="nil"/>
              <w:left w:val="nil"/>
              <w:bottom w:val="single" w:color="auto" w:sz="4" w:space="0"/>
              <w:right w:val="single" w:color="auto" w:sz="4" w:space="0"/>
            </w:tcBorders>
            <w:noWrap w:val="0"/>
            <w:vAlign w:val="center"/>
          </w:tcPr>
          <w:p w14:paraId="2B70CBC0">
            <w:pPr>
              <w:widowControl/>
              <w:rPr>
                <w:rFonts w:hint="eastAsia" w:ascii="宋体" w:hAnsi="宋体" w:eastAsia="宋体" w:cs="宋体"/>
                <w:color w:val="000000"/>
                <w:kern w:val="0"/>
                <w:sz w:val="22"/>
                <w:highlight w:val="none"/>
              </w:rPr>
            </w:pPr>
            <w:r>
              <w:rPr>
                <w:rFonts w:hint="eastAsia" w:ascii="宋体" w:hAnsi="宋体" w:eastAsia="宋体" w:cs="宋体"/>
                <w:color w:val="000000"/>
                <w:kern w:val="0"/>
                <w:sz w:val="22"/>
                <w:highlight w:val="none"/>
              </w:rPr>
              <w:t>H2500mm，铁型材+高透光性聚碳酸酯 PC，含太阳能板及蓄电池</w:t>
            </w:r>
          </w:p>
        </w:tc>
        <w:tc>
          <w:tcPr>
            <w:tcW w:w="709" w:type="dxa"/>
            <w:tcBorders>
              <w:top w:val="nil"/>
              <w:left w:val="nil"/>
              <w:bottom w:val="single" w:color="auto" w:sz="4" w:space="0"/>
              <w:right w:val="single" w:color="auto" w:sz="4" w:space="0"/>
            </w:tcBorders>
            <w:noWrap w:val="0"/>
            <w:vAlign w:val="center"/>
          </w:tcPr>
          <w:p w14:paraId="13265894">
            <w:pPr>
              <w:widowControl/>
              <w:jc w:val="center"/>
              <w:rPr>
                <w:rFonts w:hint="eastAsia" w:ascii="宋体" w:hAnsi="宋体" w:eastAsia="宋体" w:cs="宋体"/>
                <w:color w:val="000000"/>
                <w:kern w:val="0"/>
                <w:sz w:val="22"/>
                <w:highlight w:val="none"/>
              </w:rPr>
            </w:pPr>
            <w:r>
              <w:rPr>
                <w:rFonts w:hint="eastAsia" w:ascii="宋体" w:hAnsi="宋体" w:eastAsia="宋体" w:cs="宋体"/>
                <w:color w:val="000000"/>
                <w:kern w:val="0"/>
                <w:sz w:val="22"/>
                <w:highlight w:val="none"/>
              </w:rPr>
              <w:t>35</w:t>
            </w:r>
          </w:p>
        </w:tc>
        <w:tc>
          <w:tcPr>
            <w:tcW w:w="709" w:type="dxa"/>
            <w:tcBorders>
              <w:top w:val="nil"/>
              <w:left w:val="nil"/>
              <w:bottom w:val="single" w:color="auto" w:sz="4" w:space="0"/>
              <w:right w:val="single" w:color="auto" w:sz="4" w:space="0"/>
            </w:tcBorders>
            <w:noWrap w:val="0"/>
            <w:vAlign w:val="center"/>
          </w:tcPr>
          <w:p w14:paraId="00A225CA">
            <w:pPr>
              <w:widowControl/>
              <w:jc w:val="center"/>
              <w:rPr>
                <w:rFonts w:hint="eastAsia" w:ascii="宋体" w:hAnsi="宋体" w:eastAsia="宋体" w:cs="宋体"/>
                <w:color w:val="000000"/>
                <w:kern w:val="0"/>
                <w:sz w:val="22"/>
                <w:highlight w:val="none"/>
              </w:rPr>
            </w:pPr>
            <w:r>
              <w:rPr>
                <w:rFonts w:hint="eastAsia" w:ascii="宋体" w:hAnsi="宋体" w:eastAsia="宋体" w:cs="宋体"/>
                <w:color w:val="000000"/>
                <w:kern w:val="0"/>
                <w:sz w:val="22"/>
                <w:highlight w:val="none"/>
              </w:rPr>
              <w:t>根</w:t>
            </w:r>
          </w:p>
        </w:tc>
        <w:tc>
          <w:tcPr>
            <w:tcW w:w="708" w:type="dxa"/>
            <w:tcBorders>
              <w:top w:val="nil"/>
              <w:left w:val="nil"/>
              <w:bottom w:val="single" w:color="auto" w:sz="4" w:space="0"/>
              <w:right w:val="single" w:color="auto" w:sz="4" w:space="0"/>
            </w:tcBorders>
            <w:noWrap w:val="0"/>
            <w:vAlign w:val="center"/>
          </w:tcPr>
          <w:p w14:paraId="55CF7F22">
            <w:pPr>
              <w:widowControl/>
              <w:jc w:val="center"/>
              <w:rPr>
                <w:rFonts w:hint="eastAsia" w:ascii="宋体" w:hAnsi="宋体" w:eastAsia="宋体" w:cs="宋体"/>
                <w:color w:val="000000"/>
                <w:kern w:val="0"/>
                <w:sz w:val="22"/>
                <w:highlight w:val="none"/>
              </w:rPr>
            </w:pPr>
            <w:r>
              <w:rPr>
                <w:rFonts w:hint="eastAsia" w:ascii="宋体" w:hAnsi="宋体" w:eastAsia="宋体" w:cs="宋体"/>
                <w:color w:val="000000"/>
                <w:kern w:val="0"/>
                <w:sz w:val="22"/>
                <w:highlight w:val="none"/>
              </w:rPr>
              <w:t>2000</w:t>
            </w:r>
          </w:p>
        </w:tc>
        <w:tc>
          <w:tcPr>
            <w:tcW w:w="851" w:type="dxa"/>
            <w:tcBorders>
              <w:top w:val="nil"/>
              <w:left w:val="nil"/>
              <w:bottom w:val="single" w:color="auto" w:sz="4" w:space="0"/>
              <w:right w:val="single" w:color="auto" w:sz="4" w:space="0"/>
            </w:tcBorders>
            <w:noWrap w:val="0"/>
            <w:vAlign w:val="center"/>
          </w:tcPr>
          <w:p w14:paraId="000C966F">
            <w:pPr>
              <w:widowControl/>
              <w:jc w:val="center"/>
              <w:rPr>
                <w:rFonts w:hint="eastAsia" w:ascii="宋体" w:hAnsi="宋体" w:eastAsia="宋体" w:cs="宋体"/>
                <w:color w:val="000000"/>
                <w:kern w:val="0"/>
                <w:sz w:val="20"/>
                <w:highlight w:val="none"/>
              </w:rPr>
            </w:pPr>
            <w:r>
              <w:rPr>
                <w:rFonts w:hint="eastAsia" w:ascii="宋体" w:hAnsi="宋体" w:eastAsia="宋体" w:cs="宋体"/>
                <w:color w:val="000000"/>
                <w:kern w:val="0"/>
                <w:sz w:val="20"/>
                <w:highlight w:val="none"/>
              </w:rPr>
              <w:t xml:space="preserve">¥70,000.00 </w:t>
            </w:r>
          </w:p>
        </w:tc>
      </w:tr>
      <w:tr w14:paraId="374BE4D8">
        <w:tblPrEx>
          <w:tblCellMar>
            <w:top w:w="0" w:type="dxa"/>
            <w:left w:w="108" w:type="dxa"/>
            <w:bottom w:w="0" w:type="dxa"/>
            <w:right w:w="108" w:type="dxa"/>
          </w:tblCellMar>
        </w:tblPrEx>
        <w:trPr>
          <w:trHeight w:val="801" w:hRule="atLeast"/>
        </w:trPr>
        <w:tc>
          <w:tcPr>
            <w:tcW w:w="1134" w:type="dxa"/>
            <w:vMerge w:val="restart"/>
            <w:tcBorders>
              <w:top w:val="nil"/>
              <w:left w:val="single" w:color="auto" w:sz="4" w:space="0"/>
              <w:bottom w:val="single" w:color="auto" w:sz="4" w:space="0"/>
              <w:right w:val="single" w:color="auto" w:sz="4" w:space="0"/>
            </w:tcBorders>
            <w:noWrap w:val="0"/>
            <w:vAlign w:val="center"/>
          </w:tcPr>
          <w:p w14:paraId="2125E4B2">
            <w:pPr>
              <w:widowControl/>
              <w:jc w:val="center"/>
              <w:rPr>
                <w:rFonts w:ascii="宋体" w:hAnsi="宋体" w:eastAsia="宋体" w:cs="宋体"/>
                <w:color w:val="000000"/>
                <w:kern w:val="0"/>
                <w:sz w:val="22"/>
                <w:highlight w:val="none"/>
              </w:rPr>
            </w:pPr>
            <w:r>
              <w:rPr>
                <w:rFonts w:hint="eastAsia" w:ascii="宋体" w:hAnsi="宋体" w:eastAsia="宋体" w:cs="宋体"/>
                <w:color w:val="000000"/>
                <w:kern w:val="0"/>
                <w:sz w:val="22"/>
                <w:highlight w:val="none"/>
              </w:rPr>
              <w:t>建安大街</w:t>
            </w:r>
          </w:p>
        </w:tc>
        <w:tc>
          <w:tcPr>
            <w:tcW w:w="1560" w:type="dxa"/>
            <w:tcBorders>
              <w:top w:val="nil"/>
              <w:left w:val="nil"/>
              <w:bottom w:val="single" w:color="auto" w:sz="4" w:space="0"/>
              <w:right w:val="single" w:color="auto" w:sz="4" w:space="0"/>
            </w:tcBorders>
            <w:noWrap w:val="0"/>
            <w:vAlign w:val="center"/>
          </w:tcPr>
          <w:p w14:paraId="6388B399">
            <w:pPr>
              <w:widowControl/>
              <w:jc w:val="center"/>
              <w:rPr>
                <w:rFonts w:hint="eastAsia" w:ascii="宋体" w:hAnsi="宋体" w:eastAsia="宋体" w:cs="宋体"/>
                <w:color w:val="000000"/>
                <w:kern w:val="0"/>
                <w:sz w:val="22"/>
                <w:highlight w:val="none"/>
              </w:rPr>
            </w:pPr>
            <w:r>
              <w:rPr>
                <w:rFonts w:hint="eastAsia" w:ascii="宋体" w:hAnsi="宋体" w:eastAsia="宋体" w:cs="宋体"/>
                <w:color w:val="000000"/>
                <w:kern w:val="0"/>
                <w:sz w:val="22"/>
                <w:highlight w:val="none"/>
              </w:rPr>
              <w:t>移动中央护栏（白色）</w:t>
            </w:r>
          </w:p>
        </w:tc>
        <w:tc>
          <w:tcPr>
            <w:tcW w:w="4252" w:type="dxa"/>
            <w:tcBorders>
              <w:top w:val="nil"/>
              <w:left w:val="nil"/>
              <w:bottom w:val="single" w:color="auto" w:sz="4" w:space="0"/>
              <w:right w:val="single" w:color="auto" w:sz="4" w:space="0"/>
            </w:tcBorders>
            <w:noWrap w:val="0"/>
            <w:vAlign w:val="center"/>
          </w:tcPr>
          <w:p w14:paraId="00FBB2E6">
            <w:pPr>
              <w:widowControl/>
              <w:rPr>
                <w:rFonts w:hint="eastAsia" w:ascii="宋体" w:hAnsi="宋体" w:eastAsia="宋体" w:cs="宋体"/>
                <w:color w:val="000000"/>
                <w:kern w:val="0"/>
                <w:sz w:val="22"/>
                <w:highlight w:val="none"/>
              </w:rPr>
            </w:pPr>
            <w:r>
              <w:rPr>
                <w:rFonts w:hint="eastAsia" w:ascii="宋体" w:hAnsi="宋体" w:eastAsia="宋体" w:cs="宋体"/>
                <w:color w:val="000000"/>
                <w:kern w:val="0"/>
                <w:sz w:val="22"/>
                <w:highlight w:val="none"/>
              </w:rPr>
              <w:t>移动；规格：竖杠30*30*1.5mm、上下横杠60*40*2mm抗压管、底座400*300*150mm（20kg）、H：1200mm（含拆除、运输及安装）；底座铸铁，整体热镀锌，表面氟碳喷涂</w:t>
            </w:r>
          </w:p>
        </w:tc>
        <w:tc>
          <w:tcPr>
            <w:tcW w:w="709" w:type="dxa"/>
            <w:tcBorders>
              <w:top w:val="nil"/>
              <w:left w:val="nil"/>
              <w:bottom w:val="single" w:color="auto" w:sz="4" w:space="0"/>
              <w:right w:val="single" w:color="auto" w:sz="4" w:space="0"/>
            </w:tcBorders>
            <w:noWrap w:val="0"/>
            <w:vAlign w:val="center"/>
          </w:tcPr>
          <w:p w14:paraId="6622FF98">
            <w:pPr>
              <w:widowControl/>
              <w:jc w:val="center"/>
              <w:rPr>
                <w:rFonts w:hint="eastAsia" w:ascii="宋体" w:hAnsi="宋体" w:eastAsia="宋体" w:cs="宋体"/>
                <w:color w:val="000000"/>
                <w:kern w:val="0"/>
                <w:sz w:val="22"/>
                <w:highlight w:val="none"/>
              </w:rPr>
            </w:pPr>
            <w:r>
              <w:rPr>
                <w:rFonts w:hint="eastAsia" w:ascii="宋体" w:hAnsi="宋体" w:eastAsia="宋体" w:cs="宋体"/>
                <w:color w:val="000000"/>
                <w:kern w:val="0"/>
                <w:sz w:val="22"/>
                <w:highlight w:val="none"/>
              </w:rPr>
              <w:t>518</w:t>
            </w:r>
          </w:p>
        </w:tc>
        <w:tc>
          <w:tcPr>
            <w:tcW w:w="709" w:type="dxa"/>
            <w:tcBorders>
              <w:top w:val="nil"/>
              <w:left w:val="nil"/>
              <w:bottom w:val="single" w:color="auto" w:sz="4" w:space="0"/>
              <w:right w:val="single" w:color="auto" w:sz="4" w:space="0"/>
            </w:tcBorders>
            <w:noWrap w:val="0"/>
            <w:vAlign w:val="center"/>
          </w:tcPr>
          <w:p w14:paraId="44D66065">
            <w:pPr>
              <w:widowControl/>
              <w:jc w:val="center"/>
              <w:rPr>
                <w:rFonts w:hint="eastAsia" w:ascii="宋体" w:hAnsi="宋体" w:eastAsia="宋体" w:cs="宋体"/>
                <w:color w:val="000000"/>
                <w:kern w:val="0"/>
                <w:sz w:val="22"/>
                <w:highlight w:val="none"/>
              </w:rPr>
            </w:pPr>
            <w:r>
              <w:rPr>
                <w:rFonts w:hint="eastAsia" w:ascii="宋体" w:hAnsi="宋体" w:eastAsia="宋体" w:cs="宋体"/>
                <w:color w:val="000000"/>
                <w:kern w:val="0"/>
                <w:sz w:val="22"/>
                <w:highlight w:val="none"/>
              </w:rPr>
              <w:t>m</w:t>
            </w:r>
          </w:p>
        </w:tc>
        <w:tc>
          <w:tcPr>
            <w:tcW w:w="708" w:type="dxa"/>
            <w:tcBorders>
              <w:top w:val="nil"/>
              <w:left w:val="nil"/>
              <w:bottom w:val="single" w:color="auto" w:sz="4" w:space="0"/>
              <w:right w:val="single" w:color="auto" w:sz="4" w:space="0"/>
            </w:tcBorders>
            <w:noWrap w:val="0"/>
            <w:vAlign w:val="center"/>
          </w:tcPr>
          <w:p w14:paraId="7C1D2CD8">
            <w:pPr>
              <w:widowControl/>
              <w:jc w:val="center"/>
              <w:rPr>
                <w:rFonts w:hint="eastAsia" w:ascii="宋体" w:hAnsi="宋体" w:eastAsia="宋体" w:cs="宋体"/>
                <w:color w:val="000000"/>
                <w:kern w:val="0"/>
                <w:sz w:val="22"/>
                <w:highlight w:val="none"/>
              </w:rPr>
            </w:pPr>
            <w:r>
              <w:rPr>
                <w:rFonts w:hint="eastAsia" w:ascii="宋体" w:hAnsi="宋体" w:eastAsia="宋体" w:cs="宋体"/>
                <w:color w:val="000000"/>
                <w:kern w:val="0"/>
                <w:sz w:val="22"/>
                <w:highlight w:val="none"/>
              </w:rPr>
              <w:t>30</w:t>
            </w:r>
          </w:p>
        </w:tc>
        <w:tc>
          <w:tcPr>
            <w:tcW w:w="851" w:type="dxa"/>
            <w:tcBorders>
              <w:top w:val="nil"/>
              <w:left w:val="nil"/>
              <w:bottom w:val="single" w:color="auto" w:sz="4" w:space="0"/>
              <w:right w:val="single" w:color="auto" w:sz="4" w:space="0"/>
            </w:tcBorders>
            <w:noWrap w:val="0"/>
            <w:vAlign w:val="center"/>
          </w:tcPr>
          <w:p w14:paraId="0C822C13">
            <w:pPr>
              <w:widowControl/>
              <w:jc w:val="center"/>
              <w:rPr>
                <w:rFonts w:hint="eastAsia" w:ascii="宋体" w:hAnsi="宋体" w:eastAsia="宋体" w:cs="宋体"/>
                <w:color w:val="000000"/>
                <w:kern w:val="0"/>
                <w:sz w:val="20"/>
                <w:highlight w:val="none"/>
              </w:rPr>
            </w:pPr>
            <w:r>
              <w:rPr>
                <w:rFonts w:hint="eastAsia" w:ascii="宋体" w:hAnsi="宋体" w:eastAsia="宋体" w:cs="宋体"/>
                <w:color w:val="000000"/>
                <w:kern w:val="0"/>
                <w:sz w:val="20"/>
                <w:highlight w:val="none"/>
              </w:rPr>
              <w:t xml:space="preserve">¥15,540.00 </w:t>
            </w:r>
          </w:p>
        </w:tc>
      </w:tr>
      <w:tr w14:paraId="359C0645">
        <w:tblPrEx>
          <w:tblCellMar>
            <w:top w:w="0" w:type="dxa"/>
            <w:left w:w="108" w:type="dxa"/>
            <w:bottom w:w="0" w:type="dxa"/>
            <w:right w:w="108" w:type="dxa"/>
          </w:tblCellMar>
        </w:tblPrEx>
        <w:trPr>
          <w:trHeight w:val="540" w:hRule="atLeast"/>
        </w:trPr>
        <w:tc>
          <w:tcPr>
            <w:tcW w:w="1134" w:type="dxa"/>
            <w:vMerge w:val="continue"/>
            <w:tcBorders>
              <w:top w:val="nil"/>
              <w:left w:val="single" w:color="auto" w:sz="4" w:space="0"/>
              <w:bottom w:val="single" w:color="auto" w:sz="4" w:space="0"/>
              <w:right w:val="single" w:color="auto" w:sz="4" w:space="0"/>
            </w:tcBorders>
            <w:noWrap w:val="0"/>
            <w:vAlign w:val="center"/>
          </w:tcPr>
          <w:p w14:paraId="494C5BF9">
            <w:pPr>
              <w:widowControl/>
              <w:jc w:val="left"/>
              <w:rPr>
                <w:rFonts w:ascii="宋体" w:hAnsi="宋体" w:eastAsia="宋体" w:cs="宋体"/>
                <w:color w:val="000000"/>
                <w:kern w:val="0"/>
                <w:sz w:val="22"/>
                <w:highlight w:val="none"/>
              </w:rPr>
            </w:pPr>
          </w:p>
        </w:tc>
        <w:tc>
          <w:tcPr>
            <w:tcW w:w="1560" w:type="dxa"/>
            <w:tcBorders>
              <w:top w:val="nil"/>
              <w:left w:val="nil"/>
              <w:bottom w:val="single" w:color="auto" w:sz="4" w:space="0"/>
              <w:right w:val="single" w:color="auto" w:sz="4" w:space="0"/>
            </w:tcBorders>
            <w:noWrap w:val="0"/>
            <w:vAlign w:val="center"/>
          </w:tcPr>
          <w:p w14:paraId="2BB8E27C">
            <w:pPr>
              <w:widowControl/>
              <w:jc w:val="center"/>
              <w:rPr>
                <w:rFonts w:ascii="宋体" w:hAnsi="宋体" w:eastAsia="宋体" w:cs="宋体"/>
                <w:color w:val="000000"/>
                <w:kern w:val="0"/>
                <w:sz w:val="22"/>
                <w:highlight w:val="none"/>
              </w:rPr>
            </w:pPr>
            <w:r>
              <w:rPr>
                <w:rFonts w:hint="eastAsia" w:ascii="宋体" w:hAnsi="宋体" w:eastAsia="宋体" w:cs="宋体"/>
                <w:color w:val="000000"/>
                <w:kern w:val="0"/>
                <w:sz w:val="22"/>
                <w:highlight w:val="none"/>
              </w:rPr>
              <w:t>新增中央护栏（白色）</w:t>
            </w:r>
          </w:p>
        </w:tc>
        <w:tc>
          <w:tcPr>
            <w:tcW w:w="4252" w:type="dxa"/>
            <w:tcBorders>
              <w:top w:val="nil"/>
              <w:left w:val="nil"/>
              <w:bottom w:val="single" w:color="auto" w:sz="4" w:space="0"/>
              <w:right w:val="single" w:color="auto" w:sz="4" w:space="0"/>
            </w:tcBorders>
            <w:noWrap w:val="0"/>
            <w:vAlign w:val="center"/>
          </w:tcPr>
          <w:p w14:paraId="076B8651">
            <w:pPr>
              <w:widowControl/>
              <w:rPr>
                <w:rFonts w:hint="eastAsia" w:ascii="宋体" w:hAnsi="宋体" w:eastAsia="宋体" w:cs="宋体"/>
                <w:color w:val="000000"/>
                <w:kern w:val="0"/>
                <w:sz w:val="22"/>
                <w:highlight w:val="none"/>
              </w:rPr>
            </w:pPr>
            <w:r>
              <w:rPr>
                <w:rFonts w:hint="eastAsia" w:ascii="宋体" w:hAnsi="宋体" w:eastAsia="宋体" w:cs="宋体"/>
                <w:color w:val="000000"/>
                <w:kern w:val="0"/>
                <w:sz w:val="22"/>
                <w:highlight w:val="none"/>
              </w:rPr>
              <w:t>规格：竖杠30*30*1.5mm、上下横杠60*40*2mm抗压管、底座400*300*150mm（20kg）、H：1200mm；底座铸铁，整体热镀锌，表面氟碳喷涂</w:t>
            </w:r>
          </w:p>
        </w:tc>
        <w:tc>
          <w:tcPr>
            <w:tcW w:w="709" w:type="dxa"/>
            <w:tcBorders>
              <w:top w:val="nil"/>
              <w:left w:val="nil"/>
              <w:bottom w:val="single" w:color="auto" w:sz="4" w:space="0"/>
              <w:right w:val="single" w:color="auto" w:sz="4" w:space="0"/>
            </w:tcBorders>
            <w:noWrap w:val="0"/>
            <w:vAlign w:val="center"/>
          </w:tcPr>
          <w:p w14:paraId="2982A903">
            <w:pPr>
              <w:widowControl/>
              <w:jc w:val="center"/>
              <w:rPr>
                <w:rFonts w:hint="eastAsia" w:ascii="宋体" w:hAnsi="宋体" w:eastAsia="宋体" w:cs="宋体"/>
                <w:color w:val="000000"/>
                <w:kern w:val="0"/>
                <w:sz w:val="22"/>
                <w:highlight w:val="none"/>
              </w:rPr>
            </w:pPr>
            <w:r>
              <w:rPr>
                <w:rFonts w:hint="eastAsia" w:ascii="宋体" w:hAnsi="宋体" w:eastAsia="宋体" w:cs="宋体"/>
                <w:color w:val="000000"/>
                <w:kern w:val="0"/>
                <w:sz w:val="22"/>
                <w:highlight w:val="none"/>
              </w:rPr>
              <w:t>1220</w:t>
            </w:r>
          </w:p>
        </w:tc>
        <w:tc>
          <w:tcPr>
            <w:tcW w:w="709" w:type="dxa"/>
            <w:tcBorders>
              <w:top w:val="nil"/>
              <w:left w:val="nil"/>
              <w:bottom w:val="single" w:color="auto" w:sz="4" w:space="0"/>
              <w:right w:val="single" w:color="auto" w:sz="4" w:space="0"/>
            </w:tcBorders>
            <w:noWrap w:val="0"/>
            <w:vAlign w:val="center"/>
          </w:tcPr>
          <w:p w14:paraId="71FF0C8F">
            <w:pPr>
              <w:widowControl/>
              <w:jc w:val="center"/>
              <w:rPr>
                <w:rFonts w:hint="eastAsia" w:ascii="宋体" w:hAnsi="宋体" w:eastAsia="宋体" w:cs="宋体"/>
                <w:color w:val="000000"/>
                <w:kern w:val="0"/>
                <w:sz w:val="22"/>
                <w:highlight w:val="none"/>
              </w:rPr>
            </w:pPr>
            <w:r>
              <w:rPr>
                <w:rFonts w:hint="eastAsia" w:ascii="宋体" w:hAnsi="宋体" w:eastAsia="宋体" w:cs="宋体"/>
                <w:color w:val="000000"/>
                <w:kern w:val="0"/>
                <w:sz w:val="22"/>
                <w:highlight w:val="none"/>
              </w:rPr>
              <w:t>m</w:t>
            </w:r>
          </w:p>
        </w:tc>
        <w:tc>
          <w:tcPr>
            <w:tcW w:w="708" w:type="dxa"/>
            <w:tcBorders>
              <w:top w:val="nil"/>
              <w:left w:val="nil"/>
              <w:bottom w:val="single" w:color="auto" w:sz="4" w:space="0"/>
              <w:right w:val="single" w:color="auto" w:sz="4" w:space="0"/>
            </w:tcBorders>
            <w:noWrap w:val="0"/>
            <w:vAlign w:val="center"/>
          </w:tcPr>
          <w:p w14:paraId="5F049E5D">
            <w:pPr>
              <w:widowControl/>
              <w:jc w:val="center"/>
              <w:rPr>
                <w:rFonts w:hint="eastAsia" w:ascii="宋体" w:hAnsi="宋体" w:eastAsia="宋体" w:cs="宋体"/>
                <w:color w:val="000000"/>
                <w:kern w:val="0"/>
                <w:sz w:val="22"/>
                <w:highlight w:val="none"/>
              </w:rPr>
            </w:pPr>
            <w:r>
              <w:rPr>
                <w:rFonts w:hint="eastAsia" w:ascii="宋体" w:hAnsi="宋体" w:eastAsia="宋体" w:cs="宋体"/>
                <w:color w:val="000000"/>
                <w:kern w:val="0"/>
                <w:sz w:val="22"/>
                <w:highlight w:val="none"/>
              </w:rPr>
              <w:t>215</w:t>
            </w:r>
          </w:p>
        </w:tc>
        <w:tc>
          <w:tcPr>
            <w:tcW w:w="851" w:type="dxa"/>
            <w:tcBorders>
              <w:top w:val="nil"/>
              <w:left w:val="nil"/>
              <w:bottom w:val="single" w:color="auto" w:sz="4" w:space="0"/>
              <w:right w:val="single" w:color="auto" w:sz="4" w:space="0"/>
            </w:tcBorders>
            <w:noWrap w:val="0"/>
            <w:vAlign w:val="center"/>
          </w:tcPr>
          <w:p w14:paraId="61609A89">
            <w:pPr>
              <w:widowControl/>
              <w:jc w:val="center"/>
              <w:rPr>
                <w:rFonts w:hint="eastAsia" w:ascii="宋体" w:hAnsi="宋体" w:eastAsia="宋体" w:cs="宋体"/>
                <w:color w:val="000000"/>
                <w:kern w:val="0"/>
                <w:sz w:val="20"/>
                <w:highlight w:val="none"/>
              </w:rPr>
            </w:pPr>
            <w:r>
              <w:rPr>
                <w:rFonts w:hint="eastAsia" w:ascii="宋体" w:hAnsi="宋体" w:eastAsia="宋体" w:cs="宋体"/>
                <w:color w:val="000000"/>
                <w:kern w:val="0"/>
                <w:sz w:val="20"/>
                <w:highlight w:val="none"/>
              </w:rPr>
              <w:t xml:space="preserve">¥262,300.00 </w:t>
            </w:r>
          </w:p>
        </w:tc>
      </w:tr>
      <w:tr w14:paraId="4935C6A8">
        <w:tblPrEx>
          <w:tblCellMar>
            <w:top w:w="0" w:type="dxa"/>
            <w:left w:w="108" w:type="dxa"/>
            <w:bottom w:w="0" w:type="dxa"/>
            <w:right w:w="108" w:type="dxa"/>
          </w:tblCellMar>
        </w:tblPrEx>
        <w:trPr>
          <w:trHeight w:val="840" w:hRule="atLeast"/>
        </w:trPr>
        <w:tc>
          <w:tcPr>
            <w:tcW w:w="1134" w:type="dxa"/>
            <w:vMerge w:val="continue"/>
            <w:tcBorders>
              <w:top w:val="nil"/>
              <w:left w:val="single" w:color="auto" w:sz="4" w:space="0"/>
              <w:bottom w:val="single" w:color="auto" w:sz="4" w:space="0"/>
              <w:right w:val="single" w:color="auto" w:sz="4" w:space="0"/>
            </w:tcBorders>
            <w:noWrap w:val="0"/>
            <w:vAlign w:val="center"/>
          </w:tcPr>
          <w:p w14:paraId="1491FE62">
            <w:pPr>
              <w:widowControl/>
              <w:jc w:val="left"/>
              <w:rPr>
                <w:rFonts w:ascii="宋体" w:hAnsi="宋体" w:eastAsia="宋体" w:cs="宋体"/>
                <w:color w:val="000000"/>
                <w:kern w:val="0"/>
                <w:sz w:val="22"/>
                <w:highlight w:val="none"/>
              </w:rPr>
            </w:pPr>
          </w:p>
        </w:tc>
        <w:tc>
          <w:tcPr>
            <w:tcW w:w="1560" w:type="dxa"/>
            <w:tcBorders>
              <w:top w:val="nil"/>
              <w:left w:val="nil"/>
              <w:bottom w:val="single" w:color="auto" w:sz="4" w:space="0"/>
              <w:right w:val="single" w:color="auto" w:sz="4" w:space="0"/>
            </w:tcBorders>
            <w:noWrap w:val="0"/>
            <w:vAlign w:val="center"/>
          </w:tcPr>
          <w:p w14:paraId="0372A9E7">
            <w:pPr>
              <w:widowControl/>
              <w:jc w:val="center"/>
              <w:rPr>
                <w:rFonts w:ascii="宋体" w:hAnsi="宋体" w:eastAsia="宋体" w:cs="宋体"/>
                <w:color w:val="000000"/>
                <w:kern w:val="0"/>
                <w:sz w:val="22"/>
                <w:highlight w:val="none"/>
              </w:rPr>
            </w:pPr>
            <w:r>
              <w:rPr>
                <w:rFonts w:hint="eastAsia" w:ascii="宋体" w:hAnsi="宋体" w:eastAsia="宋体" w:cs="宋体"/>
                <w:color w:val="000000"/>
                <w:kern w:val="0"/>
                <w:sz w:val="22"/>
                <w:highlight w:val="none"/>
              </w:rPr>
              <w:t>拆除机非护栏（白色）</w:t>
            </w:r>
          </w:p>
        </w:tc>
        <w:tc>
          <w:tcPr>
            <w:tcW w:w="4252" w:type="dxa"/>
            <w:tcBorders>
              <w:top w:val="nil"/>
              <w:left w:val="nil"/>
              <w:bottom w:val="single" w:color="auto" w:sz="4" w:space="0"/>
              <w:right w:val="single" w:color="auto" w:sz="4" w:space="0"/>
            </w:tcBorders>
            <w:noWrap w:val="0"/>
            <w:vAlign w:val="center"/>
          </w:tcPr>
          <w:p w14:paraId="14B20AF9">
            <w:pPr>
              <w:widowControl/>
              <w:rPr>
                <w:rFonts w:hint="eastAsia" w:ascii="宋体" w:hAnsi="宋体" w:eastAsia="宋体" w:cs="宋体"/>
                <w:color w:val="000000"/>
                <w:kern w:val="0"/>
                <w:sz w:val="22"/>
                <w:highlight w:val="none"/>
              </w:rPr>
            </w:pPr>
            <w:r>
              <w:rPr>
                <w:rFonts w:hint="eastAsia" w:ascii="宋体" w:hAnsi="宋体" w:eastAsia="宋体" w:cs="宋体"/>
                <w:color w:val="000000"/>
                <w:kern w:val="0"/>
                <w:sz w:val="22"/>
                <w:highlight w:val="none"/>
              </w:rPr>
              <w:t>拆除；规格：立柱100*100*2mm、竖杠</w:t>
            </w:r>
            <w:r>
              <w:rPr>
                <w:rFonts w:ascii="Cambria Math" w:hAnsi="Cambria Math" w:eastAsia="宋体" w:cs="Cambria Math"/>
                <w:color w:val="000000"/>
                <w:kern w:val="0"/>
                <w:sz w:val="22"/>
                <w:highlight w:val="none"/>
              </w:rPr>
              <w:t>∅</w:t>
            </w:r>
            <w:r>
              <w:rPr>
                <w:rFonts w:hint="eastAsia" w:ascii="宋体" w:hAnsi="宋体" w:eastAsia="宋体" w:cs="宋体"/>
                <w:color w:val="000000"/>
                <w:kern w:val="0"/>
                <w:sz w:val="22"/>
                <w:highlight w:val="none"/>
              </w:rPr>
              <w:t>25*2mm、下横杠63*40*1.5mm抗压管、底座400*300*150mm（20kg）、H：800mm（含拆除、运输）；底座铸铁，整体热镀锌，表面氟碳喷涂</w:t>
            </w:r>
          </w:p>
        </w:tc>
        <w:tc>
          <w:tcPr>
            <w:tcW w:w="709" w:type="dxa"/>
            <w:tcBorders>
              <w:top w:val="nil"/>
              <w:left w:val="nil"/>
              <w:bottom w:val="single" w:color="auto" w:sz="4" w:space="0"/>
              <w:right w:val="single" w:color="auto" w:sz="4" w:space="0"/>
            </w:tcBorders>
            <w:noWrap w:val="0"/>
            <w:vAlign w:val="center"/>
          </w:tcPr>
          <w:p w14:paraId="2544D298">
            <w:pPr>
              <w:widowControl/>
              <w:jc w:val="center"/>
              <w:rPr>
                <w:rFonts w:hint="eastAsia" w:ascii="宋体" w:hAnsi="宋体" w:eastAsia="宋体" w:cs="宋体"/>
                <w:color w:val="000000"/>
                <w:kern w:val="0"/>
                <w:sz w:val="22"/>
                <w:highlight w:val="none"/>
              </w:rPr>
            </w:pPr>
            <w:r>
              <w:rPr>
                <w:rFonts w:hint="eastAsia" w:ascii="宋体" w:hAnsi="宋体" w:eastAsia="宋体" w:cs="宋体"/>
                <w:color w:val="000000"/>
                <w:kern w:val="0"/>
                <w:sz w:val="22"/>
                <w:highlight w:val="none"/>
              </w:rPr>
              <w:t>157</w:t>
            </w:r>
          </w:p>
        </w:tc>
        <w:tc>
          <w:tcPr>
            <w:tcW w:w="709" w:type="dxa"/>
            <w:tcBorders>
              <w:top w:val="nil"/>
              <w:left w:val="nil"/>
              <w:bottom w:val="single" w:color="auto" w:sz="4" w:space="0"/>
              <w:right w:val="single" w:color="auto" w:sz="4" w:space="0"/>
            </w:tcBorders>
            <w:noWrap w:val="0"/>
            <w:vAlign w:val="center"/>
          </w:tcPr>
          <w:p w14:paraId="73FFA2C8">
            <w:pPr>
              <w:widowControl/>
              <w:jc w:val="center"/>
              <w:rPr>
                <w:rFonts w:hint="eastAsia" w:ascii="宋体" w:hAnsi="宋体" w:eastAsia="宋体" w:cs="宋体"/>
                <w:color w:val="000000"/>
                <w:kern w:val="0"/>
                <w:sz w:val="22"/>
                <w:highlight w:val="none"/>
              </w:rPr>
            </w:pPr>
            <w:r>
              <w:rPr>
                <w:rFonts w:hint="eastAsia" w:ascii="宋体" w:hAnsi="宋体" w:eastAsia="宋体" w:cs="宋体"/>
                <w:color w:val="000000"/>
                <w:kern w:val="0"/>
                <w:sz w:val="22"/>
                <w:highlight w:val="none"/>
              </w:rPr>
              <w:t>m</w:t>
            </w:r>
          </w:p>
        </w:tc>
        <w:tc>
          <w:tcPr>
            <w:tcW w:w="708" w:type="dxa"/>
            <w:tcBorders>
              <w:top w:val="nil"/>
              <w:left w:val="nil"/>
              <w:bottom w:val="single" w:color="auto" w:sz="4" w:space="0"/>
              <w:right w:val="single" w:color="auto" w:sz="4" w:space="0"/>
            </w:tcBorders>
            <w:noWrap w:val="0"/>
            <w:vAlign w:val="center"/>
          </w:tcPr>
          <w:p w14:paraId="6A99F465">
            <w:pPr>
              <w:widowControl/>
              <w:jc w:val="center"/>
              <w:rPr>
                <w:rFonts w:hint="eastAsia" w:ascii="宋体" w:hAnsi="宋体" w:eastAsia="宋体" w:cs="宋体"/>
                <w:color w:val="000000"/>
                <w:kern w:val="0"/>
                <w:sz w:val="22"/>
                <w:highlight w:val="none"/>
              </w:rPr>
            </w:pPr>
            <w:r>
              <w:rPr>
                <w:rFonts w:hint="eastAsia" w:ascii="宋体" w:hAnsi="宋体" w:eastAsia="宋体" w:cs="宋体"/>
                <w:color w:val="000000"/>
                <w:kern w:val="0"/>
                <w:sz w:val="22"/>
                <w:highlight w:val="none"/>
              </w:rPr>
              <w:t>15</w:t>
            </w:r>
          </w:p>
        </w:tc>
        <w:tc>
          <w:tcPr>
            <w:tcW w:w="851" w:type="dxa"/>
            <w:tcBorders>
              <w:top w:val="nil"/>
              <w:left w:val="nil"/>
              <w:bottom w:val="single" w:color="auto" w:sz="4" w:space="0"/>
              <w:right w:val="single" w:color="auto" w:sz="4" w:space="0"/>
            </w:tcBorders>
            <w:noWrap w:val="0"/>
            <w:vAlign w:val="center"/>
          </w:tcPr>
          <w:p w14:paraId="0E466639">
            <w:pPr>
              <w:widowControl/>
              <w:jc w:val="center"/>
              <w:rPr>
                <w:rFonts w:hint="eastAsia" w:ascii="宋体" w:hAnsi="宋体" w:eastAsia="宋体" w:cs="宋体"/>
                <w:color w:val="000000"/>
                <w:kern w:val="0"/>
                <w:sz w:val="20"/>
                <w:highlight w:val="none"/>
              </w:rPr>
            </w:pPr>
            <w:r>
              <w:rPr>
                <w:rFonts w:hint="eastAsia" w:ascii="宋体" w:hAnsi="宋体" w:eastAsia="宋体" w:cs="宋体"/>
                <w:color w:val="000000"/>
                <w:kern w:val="0"/>
                <w:sz w:val="20"/>
                <w:highlight w:val="none"/>
              </w:rPr>
              <w:t xml:space="preserve">¥2,355.00 </w:t>
            </w:r>
          </w:p>
        </w:tc>
      </w:tr>
      <w:tr w14:paraId="57301878">
        <w:tblPrEx>
          <w:tblCellMar>
            <w:top w:w="0" w:type="dxa"/>
            <w:left w:w="108" w:type="dxa"/>
            <w:bottom w:w="0" w:type="dxa"/>
            <w:right w:w="108" w:type="dxa"/>
          </w:tblCellMar>
        </w:tblPrEx>
        <w:trPr>
          <w:trHeight w:val="810" w:hRule="atLeast"/>
        </w:trPr>
        <w:tc>
          <w:tcPr>
            <w:tcW w:w="1134" w:type="dxa"/>
            <w:vMerge w:val="continue"/>
            <w:tcBorders>
              <w:top w:val="nil"/>
              <w:left w:val="single" w:color="auto" w:sz="4" w:space="0"/>
              <w:bottom w:val="single" w:color="auto" w:sz="4" w:space="0"/>
              <w:right w:val="single" w:color="auto" w:sz="4" w:space="0"/>
            </w:tcBorders>
            <w:noWrap w:val="0"/>
            <w:vAlign w:val="center"/>
          </w:tcPr>
          <w:p w14:paraId="7944FD2D">
            <w:pPr>
              <w:widowControl/>
              <w:jc w:val="left"/>
              <w:rPr>
                <w:rFonts w:ascii="宋体" w:hAnsi="宋体" w:eastAsia="宋体" w:cs="宋体"/>
                <w:color w:val="000000"/>
                <w:kern w:val="0"/>
                <w:sz w:val="22"/>
                <w:highlight w:val="none"/>
              </w:rPr>
            </w:pPr>
          </w:p>
        </w:tc>
        <w:tc>
          <w:tcPr>
            <w:tcW w:w="1560" w:type="dxa"/>
            <w:tcBorders>
              <w:top w:val="nil"/>
              <w:left w:val="nil"/>
              <w:bottom w:val="single" w:color="auto" w:sz="4" w:space="0"/>
              <w:right w:val="single" w:color="auto" w:sz="4" w:space="0"/>
            </w:tcBorders>
            <w:noWrap w:val="0"/>
            <w:vAlign w:val="center"/>
          </w:tcPr>
          <w:p w14:paraId="53002684">
            <w:pPr>
              <w:widowControl/>
              <w:jc w:val="center"/>
              <w:rPr>
                <w:rFonts w:ascii="宋体" w:hAnsi="宋体" w:eastAsia="宋体" w:cs="宋体"/>
                <w:color w:val="000000"/>
                <w:kern w:val="0"/>
                <w:sz w:val="22"/>
                <w:highlight w:val="none"/>
              </w:rPr>
            </w:pPr>
            <w:r>
              <w:rPr>
                <w:rFonts w:hint="eastAsia" w:ascii="宋体" w:hAnsi="宋体" w:eastAsia="宋体" w:cs="宋体"/>
                <w:color w:val="000000"/>
                <w:kern w:val="0"/>
                <w:sz w:val="22"/>
                <w:highlight w:val="none"/>
              </w:rPr>
              <w:t>移动机非护栏（白色）</w:t>
            </w:r>
          </w:p>
        </w:tc>
        <w:tc>
          <w:tcPr>
            <w:tcW w:w="4252" w:type="dxa"/>
            <w:tcBorders>
              <w:top w:val="nil"/>
              <w:left w:val="nil"/>
              <w:bottom w:val="single" w:color="auto" w:sz="4" w:space="0"/>
              <w:right w:val="single" w:color="auto" w:sz="4" w:space="0"/>
            </w:tcBorders>
            <w:noWrap w:val="0"/>
            <w:vAlign w:val="center"/>
          </w:tcPr>
          <w:p w14:paraId="6FFDB4E2">
            <w:pPr>
              <w:widowControl/>
              <w:rPr>
                <w:rFonts w:hint="eastAsia" w:ascii="宋体" w:hAnsi="宋体" w:eastAsia="宋体" w:cs="宋体"/>
                <w:color w:val="000000"/>
                <w:kern w:val="0"/>
                <w:sz w:val="22"/>
                <w:highlight w:val="none"/>
              </w:rPr>
            </w:pPr>
            <w:r>
              <w:rPr>
                <w:rFonts w:hint="eastAsia" w:ascii="宋体" w:hAnsi="宋体" w:eastAsia="宋体" w:cs="宋体"/>
                <w:color w:val="000000"/>
                <w:kern w:val="0"/>
                <w:sz w:val="22"/>
                <w:highlight w:val="none"/>
              </w:rPr>
              <w:t>移动；规格：立柱100*100*2mm、竖杠</w:t>
            </w:r>
            <w:r>
              <w:rPr>
                <w:rFonts w:ascii="Cambria Math" w:hAnsi="Cambria Math" w:eastAsia="宋体" w:cs="Cambria Math"/>
                <w:color w:val="000000"/>
                <w:kern w:val="0"/>
                <w:sz w:val="22"/>
                <w:highlight w:val="none"/>
              </w:rPr>
              <w:t>∅</w:t>
            </w:r>
            <w:r>
              <w:rPr>
                <w:rFonts w:hint="eastAsia" w:ascii="宋体" w:hAnsi="宋体" w:eastAsia="宋体" w:cs="宋体"/>
                <w:color w:val="000000"/>
                <w:kern w:val="0"/>
                <w:sz w:val="22"/>
                <w:highlight w:val="none"/>
              </w:rPr>
              <w:t>25*2mm、下横杠63*40*1.5mm抗压管、底座400*300*150mm（20kg）、H：800mm（含拆除、运输、安装）；底座铸铁，整体热镀锌，表面氟碳喷涂</w:t>
            </w:r>
          </w:p>
        </w:tc>
        <w:tc>
          <w:tcPr>
            <w:tcW w:w="709" w:type="dxa"/>
            <w:tcBorders>
              <w:top w:val="nil"/>
              <w:left w:val="nil"/>
              <w:bottom w:val="single" w:color="auto" w:sz="4" w:space="0"/>
              <w:right w:val="single" w:color="auto" w:sz="4" w:space="0"/>
            </w:tcBorders>
            <w:noWrap w:val="0"/>
            <w:vAlign w:val="center"/>
          </w:tcPr>
          <w:p w14:paraId="47B03DCF">
            <w:pPr>
              <w:widowControl/>
              <w:jc w:val="center"/>
              <w:rPr>
                <w:rFonts w:hint="eastAsia" w:ascii="宋体" w:hAnsi="宋体" w:eastAsia="宋体" w:cs="宋体"/>
                <w:color w:val="000000"/>
                <w:kern w:val="0"/>
                <w:sz w:val="22"/>
                <w:highlight w:val="none"/>
              </w:rPr>
            </w:pPr>
            <w:r>
              <w:rPr>
                <w:rFonts w:hint="eastAsia" w:ascii="宋体" w:hAnsi="宋体" w:eastAsia="宋体" w:cs="宋体"/>
                <w:color w:val="000000"/>
                <w:kern w:val="0"/>
                <w:sz w:val="22"/>
                <w:highlight w:val="none"/>
              </w:rPr>
              <w:t>140</w:t>
            </w:r>
          </w:p>
        </w:tc>
        <w:tc>
          <w:tcPr>
            <w:tcW w:w="709" w:type="dxa"/>
            <w:tcBorders>
              <w:top w:val="nil"/>
              <w:left w:val="nil"/>
              <w:bottom w:val="single" w:color="auto" w:sz="4" w:space="0"/>
              <w:right w:val="single" w:color="auto" w:sz="4" w:space="0"/>
            </w:tcBorders>
            <w:noWrap w:val="0"/>
            <w:vAlign w:val="center"/>
          </w:tcPr>
          <w:p w14:paraId="4DD78D44">
            <w:pPr>
              <w:widowControl/>
              <w:jc w:val="center"/>
              <w:rPr>
                <w:rFonts w:hint="eastAsia" w:ascii="宋体" w:hAnsi="宋体" w:eastAsia="宋体" w:cs="宋体"/>
                <w:color w:val="000000"/>
                <w:kern w:val="0"/>
                <w:sz w:val="22"/>
                <w:highlight w:val="none"/>
              </w:rPr>
            </w:pPr>
            <w:r>
              <w:rPr>
                <w:rFonts w:hint="eastAsia" w:ascii="宋体" w:hAnsi="宋体" w:eastAsia="宋体" w:cs="宋体"/>
                <w:color w:val="000000"/>
                <w:kern w:val="0"/>
                <w:sz w:val="22"/>
                <w:highlight w:val="none"/>
              </w:rPr>
              <w:t>m</w:t>
            </w:r>
          </w:p>
        </w:tc>
        <w:tc>
          <w:tcPr>
            <w:tcW w:w="708" w:type="dxa"/>
            <w:tcBorders>
              <w:top w:val="nil"/>
              <w:left w:val="nil"/>
              <w:bottom w:val="single" w:color="auto" w:sz="4" w:space="0"/>
              <w:right w:val="single" w:color="auto" w:sz="4" w:space="0"/>
            </w:tcBorders>
            <w:noWrap w:val="0"/>
            <w:vAlign w:val="center"/>
          </w:tcPr>
          <w:p w14:paraId="5F23E983">
            <w:pPr>
              <w:widowControl/>
              <w:jc w:val="center"/>
              <w:rPr>
                <w:rFonts w:hint="eastAsia" w:ascii="宋体" w:hAnsi="宋体" w:eastAsia="宋体" w:cs="宋体"/>
                <w:color w:val="000000"/>
                <w:kern w:val="0"/>
                <w:sz w:val="22"/>
                <w:highlight w:val="none"/>
              </w:rPr>
            </w:pPr>
            <w:r>
              <w:rPr>
                <w:rFonts w:hint="eastAsia" w:ascii="宋体" w:hAnsi="宋体" w:eastAsia="宋体" w:cs="宋体"/>
                <w:color w:val="000000"/>
                <w:kern w:val="0"/>
                <w:sz w:val="22"/>
                <w:highlight w:val="none"/>
              </w:rPr>
              <w:t>30</w:t>
            </w:r>
          </w:p>
        </w:tc>
        <w:tc>
          <w:tcPr>
            <w:tcW w:w="851" w:type="dxa"/>
            <w:tcBorders>
              <w:top w:val="nil"/>
              <w:left w:val="nil"/>
              <w:bottom w:val="single" w:color="auto" w:sz="4" w:space="0"/>
              <w:right w:val="single" w:color="auto" w:sz="4" w:space="0"/>
            </w:tcBorders>
            <w:noWrap w:val="0"/>
            <w:vAlign w:val="center"/>
          </w:tcPr>
          <w:p w14:paraId="61EB75BB">
            <w:pPr>
              <w:widowControl/>
              <w:jc w:val="center"/>
              <w:rPr>
                <w:rFonts w:hint="eastAsia" w:ascii="宋体" w:hAnsi="宋体" w:eastAsia="宋体" w:cs="宋体"/>
                <w:color w:val="000000"/>
                <w:kern w:val="0"/>
                <w:sz w:val="20"/>
                <w:highlight w:val="none"/>
              </w:rPr>
            </w:pPr>
            <w:r>
              <w:rPr>
                <w:rFonts w:hint="eastAsia" w:ascii="宋体" w:hAnsi="宋体" w:eastAsia="宋体" w:cs="宋体"/>
                <w:color w:val="000000"/>
                <w:kern w:val="0"/>
                <w:sz w:val="20"/>
                <w:highlight w:val="none"/>
              </w:rPr>
              <w:t xml:space="preserve">¥4,200.00 </w:t>
            </w:r>
          </w:p>
        </w:tc>
      </w:tr>
      <w:tr w14:paraId="33077DA2">
        <w:tblPrEx>
          <w:tblCellMar>
            <w:top w:w="0" w:type="dxa"/>
            <w:left w:w="108" w:type="dxa"/>
            <w:bottom w:w="0" w:type="dxa"/>
            <w:right w:w="108" w:type="dxa"/>
          </w:tblCellMar>
        </w:tblPrEx>
        <w:trPr>
          <w:trHeight w:val="360" w:hRule="atLeast"/>
        </w:trPr>
        <w:tc>
          <w:tcPr>
            <w:tcW w:w="1134" w:type="dxa"/>
            <w:vMerge w:val="continue"/>
            <w:tcBorders>
              <w:top w:val="nil"/>
              <w:left w:val="single" w:color="auto" w:sz="4" w:space="0"/>
              <w:bottom w:val="single" w:color="auto" w:sz="4" w:space="0"/>
              <w:right w:val="single" w:color="auto" w:sz="4" w:space="0"/>
            </w:tcBorders>
            <w:noWrap w:val="0"/>
            <w:vAlign w:val="center"/>
          </w:tcPr>
          <w:p w14:paraId="4DC529A1">
            <w:pPr>
              <w:widowControl/>
              <w:jc w:val="left"/>
              <w:rPr>
                <w:rFonts w:ascii="宋体" w:hAnsi="宋体" w:eastAsia="宋体" w:cs="宋体"/>
                <w:color w:val="000000"/>
                <w:kern w:val="0"/>
                <w:sz w:val="22"/>
                <w:highlight w:val="none"/>
              </w:rPr>
            </w:pPr>
          </w:p>
        </w:tc>
        <w:tc>
          <w:tcPr>
            <w:tcW w:w="1560" w:type="dxa"/>
            <w:tcBorders>
              <w:top w:val="nil"/>
              <w:left w:val="nil"/>
              <w:bottom w:val="single" w:color="auto" w:sz="4" w:space="0"/>
              <w:right w:val="single" w:color="auto" w:sz="4" w:space="0"/>
            </w:tcBorders>
            <w:noWrap w:val="0"/>
            <w:vAlign w:val="center"/>
          </w:tcPr>
          <w:p w14:paraId="20636324">
            <w:pPr>
              <w:widowControl/>
              <w:jc w:val="center"/>
              <w:rPr>
                <w:rFonts w:ascii="宋体" w:hAnsi="宋体" w:eastAsia="宋体" w:cs="宋体"/>
                <w:color w:val="000000"/>
                <w:kern w:val="0"/>
                <w:sz w:val="22"/>
                <w:highlight w:val="none"/>
              </w:rPr>
            </w:pPr>
            <w:r>
              <w:rPr>
                <w:rFonts w:hint="eastAsia" w:ascii="宋体" w:hAnsi="宋体" w:eastAsia="宋体" w:cs="宋体"/>
                <w:color w:val="000000"/>
                <w:kern w:val="0"/>
                <w:sz w:val="22"/>
                <w:highlight w:val="none"/>
              </w:rPr>
              <w:t>中央护栏端头</w:t>
            </w:r>
          </w:p>
        </w:tc>
        <w:tc>
          <w:tcPr>
            <w:tcW w:w="4252" w:type="dxa"/>
            <w:tcBorders>
              <w:top w:val="nil"/>
              <w:left w:val="nil"/>
              <w:bottom w:val="single" w:color="auto" w:sz="4" w:space="0"/>
              <w:right w:val="single" w:color="auto" w:sz="4" w:space="0"/>
            </w:tcBorders>
            <w:noWrap w:val="0"/>
            <w:vAlign w:val="center"/>
          </w:tcPr>
          <w:p w14:paraId="13E6DB95">
            <w:pPr>
              <w:widowControl/>
              <w:rPr>
                <w:rFonts w:hint="eastAsia" w:ascii="宋体" w:hAnsi="宋体" w:eastAsia="宋体" w:cs="宋体"/>
                <w:color w:val="000000"/>
                <w:kern w:val="0"/>
                <w:sz w:val="22"/>
                <w:highlight w:val="none"/>
              </w:rPr>
            </w:pPr>
            <w:r>
              <w:rPr>
                <w:rFonts w:hint="eastAsia" w:ascii="宋体" w:hAnsi="宋体" w:eastAsia="宋体" w:cs="宋体"/>
                <w:color w:val="000000"/>
                <w:kern w:val="0"/>
                <w:sz w:val="22"/>
                <w:highlight w:val="none"/>
              </w:rPr>
              <w:t>H2500mm，铁型材+高透光性聚碳酸酯 PC，含太阳能板及蓄电池</w:t>
            </w:r>
          </w:p>
        </w:tc>
        <w:tc>
          <w:tcPr>
            <w:tcW w:w="709" w:type="dxa"/>
            <w:tcBorders>
              <w:top w:val="nil"/>
              <w:left w:val="nil"/>
              <w:bottom w:val="single" w:color="auto" w:sz="4" w:space="0"/>
              <w:right w:val="single" w:color="auto" w:sz="4" w:space="0"/>
            </w:tcBorders>
            <w:noWrap w:val="0"/>
            <w:vAlign w:val="center"/>
          </w:tcPr>
          <w:p w14:paraId="6634CBA1">
            <w:pPr>
              <w:widowControl/>
              <w:jc w:val="center"/>
              <w:rPr>
                <w:rFonts w:hint="eastAsia" w:ascii="宋体" w:hAnsi="宋体" w:eastAsia="宋体" w:cs="宋体"/>
                <w:color w:val="000000"/>
                <w:kern w:val="0"/>
                <w:sz w:val="22"/>
                <w:highlight w:val="none"/>
              </w:rPr>
            </w:pPr>
            <w:r>
              <w:rPr>
                <w:rFonts w:hint="eastAsia" w:ascii="宋体" w:hAnsi="宋体" w:eastAsia="宋体" w:cs="宋体"/>
                <w:color w:val="000000"/>
                <w:kern w:val="0"/>
                <w:sz w:val="22"/>
                <w:highlight w:val="none"/>
              </w:rPr>
              <w:t>24</w:t>
            </w:r>
          </w:p>
        </w:tc>
        <w:tc>
          <w:tcPr>
            <w:tcW w:w="709" w:type="dxa"/>
            <w:tcBorders>
              <w:top w:val="nil"/>
              <w:left w:val="nil"/>
              <w:bottom w:val="single" w:color="auto" w:sz="4" w:space="0"/>
              <w:right w:val="single" w:color="auto" w:sz="4" w:space="0"/>
            </w:tcBorders>
            <w:noWrap w:val="0"/>
            <w:vAlign w:val="center"/>
          </w:tcPr>
          <w:p w14:paraId="475AC7FE">
            <w:pPr>
              <w:widowControl/>
              <w:jc w:val="center"/>
              <w:rPr>
                <w:rFonts w:hint="eastAsia" w:ascii="宋体" w:hAnsi="宋体" w:eastAsia="宋体" w:cs="宋体"/>
                <w:color w:val="000000"/>
                <w:kern w:val="0"/>
                <w:sz w:val="22"/>
                <w:highlight w:val="none"/>
              </w:rPr>
            </w:pPr>
            <w:r>
              <w:rPr>
                <w:rFonts w:hint="eastAsia" w:ascii="宋体" w:hAnsi="宋体" w:eastAsia="宋体" w:cs="宋体"/>
                <w:color w:val="000000"/>
                <w:kern w:val="0"/>
                <w:sz w:val="22"/>
                <w:highlight w:val="none"/>
              </w:rPr>
              <w:t>根</w:t>
            </w:r>
          </w:p>
        </w:tc>
        <w:tc>
          <w:tcPr>
            <w:tcW w:w="708" w:type="dxa"/>
            <w:tcBorders>
              <w:top w:val="nil"/>
              <w:left w:val="nil"/>
              <w:bottom w:val="single" w:color="auto" w:sz="4" w:space="0"/>
              <w:right w:val="single" w:color="auto" w:sz="4" w:space="0"/>
            </w:tcBorders>
            <w:noWrap w:val="0"/>
            <w:vAlign w:val="center"/>
          </w:tcPr>
          <w:p w14:paraId="6C609C61">
            <w:pPr>
              <w:widowControl/>
              <w:jc w:val="center"/>
              <w:rPr>
                <w:rFonts w:hint="eastAsia" w:ascii="宋体" w:hAnsi="宋体" w:eastAsia="宋体" w:cs="宋体"/>
                <w:color w:val="000000"/>
                <w:kern w:val="0"/>
                <w:sz w:val="22"/>
                <w:highlight w:val="none"/>
              </w:rPr>
            </w:pPr>
            <w:r>
              <w:rPr>
                <w:rFonts w:hint="eastAsia" w:ascii="宋体" w:hAnsi="宋体" w:eastAsia="宋体" w:cs="宋体"/>
                <w:color w:val="000000"/>
                <w:kern w:val="0"/>
                <w:sz w:val="22"/>
                <w:highlight w:val="none"/>
              </w:rPr>
              <w:t>2000</w:t>
            </w:r>
          </w:p>
        </w:tc>
        <w:tc>
          <w:tcPr>
            <w:tcW w:w="851" w:type="dxa"/>
            <w:tcBorders>
              <w:top w:val="nil"/>
              <w:left w:val="nil"/>
              <w:bottom w:val="single" w:color="auto" w:sz="4" w:space="0"/>
              <w:right w:val="single" w:color="auto" w:sz="4" w:space="0"/>
            </w:tcBorders>
            <w:noWrap w:val="0"/>
            <w:vAlign w:val="center"/>
          </w:tcPr>
          <w:p w14:paraId="3B2BEC09">
            <w:pPr>
              <w:widowControl/>
              <w:jc w:val="center"/>
              <w:rPr>
                <w:rFonts w:hint="eastAsia" w:ascii="宋体" w:hAnsi="宋体" w:eastAsia="宋体" w:cs="宋体"/>
                <w:color w:val="000000"/>
                <w:kern w:val="0"/>
                <w:sz w:val="20"/>
                <w:highlight w:val="none"/>
              </w:rPr>
            </w:pPr>
            <w:r>
              <w:rPr>
                <w:rFonts w:hint="eastAsia" w:ascii="宋体" w:hAnsi="宋体" w:eastAsia="宋体" w:cs="宋体"/>
                <w:color w:val="000000"/>
                <w:kern w:val="0"/>
                <w:sz w:val="20"/>
                <w:highlight w:val="none"/>
              </w:rPr>
              <w:t xml:space="preserve">¥48,000.00 </w:t>
            </w:r>
          </w:p>
        </w:tc>
      </w:tr>
      <w:tr w14:paraId="137565E2">
        <w:tblPrEx>
          <w:tblCellMar>
            <w:top w:w="0" w:type="dxa"/>
            <w:left w:w="108" w:type="dxa"/>
            <w:bottom w:w="0" w:type="dxa"/>
            <w:right w:w="108" w:type="dxa"/>
          </w:tblCellMar>
        </w:tblPrEx>
        <w:trPr>
          <w:trHeight w:val="810" w:hRule="atLeast"/>
        </w:trPr>
        <w:tc>
          <w:tcPr>
            <w:tcW w:w="1134" w:type="dxa"/>
            <w:vMerge w:val="restart"/>
            <w:tcBorders>
              <w:top w:val="nil"/>
              <w:left w:val="single" w:color="auto" w:sz="4" w:space="0"/>
              <w:bottom w:val="single" w:color="auto" w:sz="4" w:space="0"/>
              <w:right w:val="single" w:color="auto" w:sz="4" w:space="0"/>
            </w:tcBorders>
            <w:noWrap w:val="0"/>
            <w:vAlign w:val="center"/>
          </w:tcPr>
          <w:p w14:paraId="2901D608">
            <w:pPr>
              <w:widowControl/>
              <w:jc w:val="center"/>
              <w:rPr>
                <w:rFonts w:ascii="宋体" w:hAnsi="宋体" w:eastAsia="宋体" w:cs="宋体"/>
                <w:color w:val="000000"/>
                <w:kern w:val="0"/>
                <w:sz w:val="22"/>
                <w:highlight w:val="none"/>
              </w:rPr>
            </w:pPr>
            <w:r>
              <w:rPr>
                <w:rFonts w:hint="eastAsia" w:ascii="宋体" w:hAnsi="宋体" w:eastAsia="宋体" w:cs="宋体"/>
                <w:color w:val="000000"/>
                <w:kern w:val="0"/>
                <w:sz w:val="22"/>
                <w:highlight w:val="none"/>
              </w:rPr>
              <w:t>万盛大道</w:t>
            </w:r>
          </w:p>
        </w:tc>
        <w:tc>
          <w:tcPr>
            <w:tcW w:w="1560" w:type="dxa"/>
            <w:tcBorders>
              <w:top w:val="nil"/>
              <w:left w:val="nil"/>
              <w:bottom w:val="single" w:color="auto" w:sz="4" w:space="0"/>
              <w:right w:val="single" w:color="auto" w:sz="4" w:space="0"/>
            </w:tcBorders>
            <w:noWrap w:val="0"/>
            <w:vAlign w:val="center"/>
          </w:tcPr>
          <w:p w14:paraId="20AE5177">
            <w:pPr>
              <w:widowControl/>
              <w:jc w:val="center"/>
              <w:rPr>
                <w:rFonts w:hint="eastAsia" w:ascii="宋体" w:hAnsi="宋体" w:eastAsia="宋体" w:cs="宋体"/>
                <w:color w:val="000000"/>
                <w:kern w:val="0"/>
                <w:sz w:val="22"/>
                <w:highlight w:val="none"/>
              </w:rPr>
            </w:pPr>
            <w:r>
              <w:rPr>
                <w:rFonts w:hint="eastAsia" w:ascii="宋体" w:hAnsi="宋体" w:eastAsia="宋体" w:cs="宋体"/>
                <w:color w:val="000000"/>
                <w:kern w:val="0"/>
                <w:sz w:val="22"/>
                <w:highlight w:val="none"/>
              </w:rPr>
              <w:t>移动中央护栏（白色）</w:t>
            </w:r>
          </w:p>
        </w:tc>
        <w:tc>
          <w:tcPr>
            <w:tcW w:w="4252" w:type="dxa"/>
            <w:tcBorders>
              <w:top w:val="nil"/>
              <w:left w:val="nil"/>
              <w:bottom w:val="single" w:color="auto" w:sz="4" w:space="0"/>
              <w:right w:val="single" w:color="auto" w:sz="4" w:space="0"/>
            </w:tcBorders>
            <w:noWrap w:val="0"/>
            <w:vAlign w:val="center"/>
          </w:tcPr>
          <w:p w14:paraId="07A6D088">
            <w:pPr>
              <w:widowControl/>
              <w:rPr>
                <w:rFonts w:hint="eastAsia" w:ascii="宋体" w:hAnsi="宋体" w:eastAsia="宋体" w:cs="宋体"/>
                <w:color w:val="000000"/>
                <w:kern w:val="0"/>
                <w:sz w:val="22"/>
                <w:highlight w:val="none"/>
              </w:rPr>
            </w:pPr>
            <w:r>
              <w:rPr>
                <w:rFonts w:hint="eastAsia" w:ascii="宋体" w:hAnsi="宋体" w:eastAsia="宋体" w:cs="宋体"/>
                <w:color w:val="000000"/>
                <w:kern w:val="0"/>
                <w:sz w:val="22"/>
                <w:highlight w:val="none"/>
              </w:rPr>
              <w:t>移动；规格：竖杠30*30*1.5mm、上下横杠60*40*2mm抗压管、底座400*300*150mm（20kg）、H：1200mm（含拆除、运输及安装）；底座铸铁，整体热镀锌，表面氟碳喷涂</w:t>
            </w:r>
          </w:p>
        </w:tc>
        <w:tc>
          <w:tcPr>
            <w:tcW w:w="709" w:type="dxa"/>
            <w:tcBorders>
              <w:top w:val="nil"/>
              <w:left w:val="nil"/>
              <w:bottom w:val="single" w:color="auto" w:sz="4" w:space="0"/>
              <w:right w:val="single" w:color="auto" w:sz="4" w:space="0"/>
            </w:tcBorders>
            <w:noWrap w:val="0"/>
            <w:vAlign w:val="center"/>
          </w:tcPr>
          <w:p w14:paraId="05A0CEB5">
            <w:pPr>
              <w:widowControl/>
              <w:jc w:val="center"/>
              <w:rPr>
                <w:rFonts w:hint="eastAsia" w:ascii="宋体" w:hAnsi="宋体" w:eastAsia="宋体" w:cs="宋体"/>
                <w:color w:val="000000"/>
                <w:kern w:val="0"/>
                <w:sz w:val="22"/>
                <w:highlight w:val="none"/>
              </w:rPr>
            </w:pPr>
            <w:r>
              <w:rPr>
                <w:rFonts w:hint="eastAsia" w:ascii="宋体" w:hAnsi="宋体" w:eastAsia="宋体" w:cs="宋体"/>
                <w:color w:val="000000"/>
                <w:kern w:val="0"/>
                <w:sz w:val="22"/>
                <w:highlight w:val="none"/>
              </w:rPr>
              <w:t>260</w:t>
            </w:r>
          </w:p>
        </w:tc>
        <w:tc>
          <w:tcPr>
            <w:tcW w:w="709" w:type="dxa"/>
            <w:tcBorders>
              <w:top w:val="nil"/>
              <w:left w:val="nil"/>
              <w:bottom w:val="single" w:color="auto" w:sz="4" w:space="0"/>
              <w:right w:val="single" w:color="auto" w:sz="4" w:space="0"/>
            </w:tcBorders>
            <w:noWrap w:val="0"/>
            <w:vAlign w:val="center"/>
          </w:tcPr>
          <w:p w14:paraId="247085C5">
            <w:pPr>
              <w:widowControl/>
              <w:jc w:val="center"/>
              <w:rPr>
                <w:rFonts w:hint="eastAsia" w:ascii="宋体" w:hAnsi="宋体" w:eastAsia="宋体" w:cs="宋体"/>
                <w:color w:val="000000"/>
                <w:kern w:val="0"/>
                <w:sz w:val="22"/>
                <w:highlight w:val="none"/>
              </w:rPr>
            </w:pPr>
            <w:r>
              <w:rPr>
                <w:rFonts w:hint="eastAsia" w:ascii="宋体" w:hAnsi="宋体" w:eastAsia="宋体" w:cs="宋体"/>
                <w:color w:val="000000"/>
                <w:kern w:val="0"/>
                <w:sz w:val="22"/>
                <w:highlight w:val="none"/>
              </w:rPr>
              <w:t>m</w:t>
            </w:r>
          </w:p>
        </w:tc>
        <w:tc>
          <w:tcPr>
            <w:tcW w:w="708" w:type="dxa"/>
            <w:tcBorders>
              <w:top w:val="nil"/>
              <w:left w:val="nil"/>
              <w:bottom w:val="single" w:color="auto" w:sz="4" w:space="0"/>
              <w:right w:val="single" w:color="auto" w:sz="4" w:space="0"/>
            </w:tcBorders>
            <w:noWrap w:val="0"/>
            <w:vAlign w:val="center"/>
          </w:tcPr>
          <w:p w14:paraId="6661325A">
            <w:pPr>
              <w:widowControl/>
              <w:jc w:val="center"/>
              <w:rPr>
                <w:rFonts w:hint="eastAsia" w:ascii="宋体" w:hAnsi="宋体" w:eastAsia="宋体" w:cs="宋体"/>
                <w:color w:val="000000"/>
                <w:kern w:val="0"/>
                <w:sz w:val="22"/>
                <w:highlight w:val="none"/>
              </w:rPr>
            </w:pPr>
            <w:r>
              <w:rPr>
                <w:rFonts w:hint="eastAsia" w:ascii="宋体" w:hAnsi="宋体" w:eastAsia="宋体" w:cs="宋体"/>
                <w:color w:val="000000"/>
                <w:kern w:val="0"/>
                <w:sz w:val="22"/>
                <w:highlight w:val="none"/>
              </w:rPr>
              <w:t>30</w:t>
            </w:r>
          </w:p>
        </w:tc>
        <w:tc>
          <w:tcPr>
            <w:tcW w:w="851" w:type="dxa"/>
            <w:tcBorders>
              <w:top w:val="nil"/>
              <w:left w:val="nil"/>
              <w:bottom w:val="single" w:color="auto" w:sz="4" w:space="0"/>
              <w:right w:val="single" w:color="auto" w:sz="4" w:space="0"/>
            </w:tcBorders>
            <w:noWrap w:val="0"/>
            <w:vAlign w:val="center"/>
          </w:tcPr>
          <w:p w14:paraId="00FF6407">
            <w:pPr>
              <w:widowControl/>
              <w:jc w:val="center"/>
              <w:rPr>
                <w:rFonts w:hint="eastAsia" w:ascii="宋体" w:hAnsi="宋体" w:eastAsia="宋体" w:cs="宋体"/>
                <w:color w:val="000000"/>
                <w:kern w:val="0"/>
                <w:sz w:val="20"/>
                <w:highlight w:val="none"/>
              </w:rPr>
            </w:pPr>
            <w:r>
              <w:rPr>
                <w:rFonts w:hint="eastAsia" w:ascii="宋体" w:hAnsi="宋体" w:eastAsia="宋体" w:cs="宋体"/>
                <w:color w:val="000000"/>
                <w:kern w:val="0"/>
                <w:sz w:val="20"/>
                <w:highlight w:val="none"/>
              </w:rPr>
              <w:t xml:space="preserve">¥7,800.00 </w:t>
            </w:r>
          </w:p>
        </w:tc>
      </w:tr>
      <w:tr w14:paraId="0568B6EE">
        <w:tblPrEx>
          <w:tblCellMar>
            <w:top w:w="0" w:type="dxa"/>
            <w:left w:w="108" w:type="dxa"/>
            <w:bottom w:w="0" w:type="dxa"/>
            <w:right w:w="108" w:type="dxa"/>
          </w:tblCellMar>
        </w:tblPrEx>
        <w:trPr>
          <w:trHeight w:val="660" w:hRule="atLeast"/>
        </w:trPr>
        <w:tc>
          <w:tcPr>
            <w:tcW w:w="1134" w:type="dxa"/>
            <w:vMerge w:val="continue"/>
            <w:tcBorders>
              <w:top w:val="nil"/>
              <w:left w:val="single" w:color="auto" w:sz="4" w:space="0"/>
              <w:bottom w:val="single" w:color="auto" w:sz="4" w:space="0"/>
              <w:right w:val="single" w:color="auto" w:sz="4" w:space="0"/>
            </w:tcBorders>
            <w:noWrap w:val="0"/>
            <w:vAlign w:val="center"/>
          </w:tcPr>
          <w:p w14:paraId="7EDA02DF">
            <w:pPr>
              <w:widowControl/>
              <w:jc w:val="left"/>
              <w:rPr>
                <w:rFonts w:ascii="宋体" w:hAnsi="宋体" w:eastAsia="宋体" w:cs="宋体"/>
                <w:color w:val="000000"/>
                <w:kern w:val="0"/>
                <w:sz w:val="22"/>
                <w:highlight w:val="none"/>
              </w:rPr>
            </w:pPr>
          </w:p>
        </w:tc>
        <w:tc>
          <w:tcPr>
            <w:tcW w:w="1560" w:type="dxa"/>
            <w:tcBorders>
              <w:top w:val="nil"/>
              <w:left w:val="nil"/>
              <w:bottom w:val="single" w:color="auto" w:sz="4" w:space="0"/>
              <w:right w:val="single" w:color="auto" w:sz="4" w:space="0"/>
            </w:tcBorders>
            <w:noWrap w:val="0"/>
            <w:vAlign w:val="center"/>
          </w:tcPr>
          <w:p w14:paraId="0C9FFD75">
            <w:pPr>
              <w:widowControl/>
              <w:jc w:val="center"/>
              <w:rPr>
                <w:rFonts w:ascii="宋体" w:hAnsi="宋体" w:eastAsia="宋体" w:cs="宋体"/>
                <w:color w:val="000000"/>
                <w:kern w:val="0"/>
                <w:sz w:val="22"/>
                <w:highlight w:val="none"/>
              </w:rPr>
            </w:pPr>
            <w:r>
              <w:rPr>
                <w:rFonts w:hint="eastAsia" w:ascii="宋体" w:hAnsi="宋体" w:eastAsia="宋体" w:cs="宋体"/>
                <w:color w:val="000000"/>
                <w:kern w:val="0"/>
                <w:sz w:val="22"/>
                <w:highlight w:val="none"/>
              </w:rPr>
              <w:t>新增中央护栏（白色）</w:t>
            </w:r>
          </w:p>
        </w:tc>
        <w:tc>
          <w:tcPr>
            <w:tcW w:w="4252" w:type="dxa"/>
            <w:tcBorders>
              <w:top w:val="nil"/>
              <w:left w:val="nil"/>
              <w:bottom w:val="single" w:color="auto" w:sz="4" w:space="0"/>
              <w:right w:val="single" w:color="auto" w:sz="4" w:space="0"/>
            </w:tcBorders>
            <w:noWrap w:val="0"/>
            <w:vAlign w:val="center"/>
          </w:tcPr>
          <w:p w14:paraId="28763945">
            <w:pPr>
              <w:widowControl/>
              <w:rPr>
                <w:rFonts w:hint="eastAsia" w:ascii="宋体" w:hAnsi="宋体" w:eastAsia="宋体" w:cs="宋体"/>
                <w:color w:val="000000"/>
                <w:kern w:val="0"/>
                <w:sz w:val="22"/>
                <w:highlight w:val="none"/>
              </w:rPr>
            </w:pPr>
            <w:r>
              <w:rPr>
                <w:rFonts w:hint="eastAsia" w:ascii="宋体" w:hAnsi="宋体" w:eastAsia="宋体" w:cs="宋体"/>
                <w:color w:val="000000"/>
                <w:kern w:val="0"/>
                <w:sz w:val="22"/>
                <w:highlight w:val="none"/>
              </w:rPr>
              <w:t>规格：竖杠30*30*1.5mm、上下横杠60*40*2mm抗压管、底座400*300*150mm（20kg）、H：1200mm；底座铸铁，整体热镀锌，表面氟碳喷涂</w:t>
            </w:r>
          </w:p>
        </w:tc>
        <w:tc>
          <w:tcPr>
            <w:tcW w:w="709" w:type="dxa"/>
            <w:tcBorders>
              <w:top w:val="nil"/>
              <w:left w:val="nil"/>
              <w:bottom w:val="single" w:color="auto" w:sz="4" w:space="0"/>
              <w:right w:val="single" w:color="auto" w:sz="4" w:space="0"/>
            </w:tcBorders>
            <w:noWrap w:val="0"/>
            <w:vAlign w:val="center"/>
          </w:tcPr>
          <w:p w14:paraId="27AA0F32">
            <w:pPr>
              <w:widowControl/>
              <w:jc w:val="center"/>
              <w:rPr>
                <w:rFonts w:hint="eastAsia" w:ascii="宋体" w:hAnsi="宋体" w:eastAsia="宋体" w:cs="宋体"/>
                <w:color w:val="000000"/>
                <w:kern w:val="0"/>
                <w:sz w:val="22"/>
                <w:highlight w:val="none"/>
              </w:rPr>
            </w:pPr>
            <w:r>
              <w:rPr>
                <w:rFonts w:hint="eastAsia" w:ascii="宋体" w:hAnsi="宋体" w:eastAsia="宋体" w:cs="宋体"/>
                <w:color w:val="000000"/>
                <w:kern w:val="0"/>
                <w:sz w:val="22"/>
                <w:highlight w:val="none"/>
              </w:rPr>
              <w:t>195</w:t>
            </w:r>
          </w:p>
        </w:tc>
        <w:tc>
          <w:tcPr>
            <w:tcW w:w="709" w:type="dxa"/>
            <w:tcBorders>
              <w:top w:val="nil"/>
              <w:left w:val="nil"/>
              <w:bottom w:val="single" w:color="auto" w:sz="4" w:space="0"/>
              <w:right w:val="single" w:color="auto" w:sz="4" w:space="0"/>
            </w:tcBorders>
            <w:noWrap w:val="0"/>
            <w:vAlign w:val="center"/>
          </w:tcPr>
          <w:p w14:paraId="040F80D8">
            <w:pPr>
              <w:widowControl/>
              <w:jc w:val="center"/>
              <w:rPr>
                <w:rFonts w:hint="eastAsia" w:ascii="宋体" w:hAnsi="宋体" w:eastAsia="宋体" w:cs="宋体"/>
                <w:color w:val="000000"/>
                <w:kern w:val="0"/>
                <w:sz w:val="22"/>
                <w:highlight w:val="none"/>
              </w:rPr>
            </w:pPr>
            <w:r>
              <w:rPr>
                <w:rFonts w:hint="eastAsia" w:ascii="宋体" w:hAnsi="宋体" w:eastAsia="宋体" w:cs="宋体"/>
                <w:color w:val="000000"/>
                <w:kern w:val="0"/>
                <w:sz w:val="22"/>
                <w:highlight w:val="none"/>
              </w:rPr>
              <w:t>m</w:t>
            </w:r>
          </w:p>
        </w:tc>
        <w:tc>
          <w:tcPr>
            <w:tcW w:w="708" w:type="dxa"/>
            <w:tcBorders>
              <w:top w:val="nil"/>
              <w:left w:val="nil"/>
              <w:bottom w:val="single" w:color="auto" w:sz="4" w:space="0"/>
              <w:right w:val="single" w:color="auto" w:sz="4" w:space="0"/>
            </w:tcBorders>
            <w:noWrap w:val="0"/>
            <w:vAlign w:val="center"/>
          </w:tcPr>
          <w:p w14:paraId="7AEEA46A">
            <w:pPr>
              <w:widowControl/>
              <w:jc w:val="center"/>
              <w:rPr>
                <w:rFonts w:hint="eastAsia" w:ascii="宋体" w:hAnsi="宋体" w:eastAsia="宋体" w:cs="宋体"/>
                <w:color w:val="000000"/>
                <w:kern w:val="0"/>
                <w:sz w:val="22"/>
                <w:highlight w:val="none"/>
              </w:rPr>
            </w:pPr>
            <w:r>
              <w:rPr>
                <w:rFonts w:hint="eastAsia" w:ascii="宋体" w:hAnsi="宋体" w:eastAsia="宋体" w:cs="宋体"/>
                <w:color w:val="000000"/>
                <w:kern w:val="0"/>
                <w:sz w:val="22"/>
                <w:highlight w:val="none"/>
              </w:rPr>
              <w:t>215</w:t>
            </w:r>
          </w:p>
        </w:tc>
        <w:tc>
          <w:tcPr>
            <w:tcW w:w="851" w:type="dxa"/>
            <w:tcBorders>
              <w:top w:val="nil"/>
              <w:left w:val="nil"/>
              <w:bottom w:val="single" w:color="auto" w:sz="4" w:space="0"/>
              <w:right w:val="single" w:color="auto" w:sz="4" w:space="0"/>
            </w:tcBorders>
            <w:noWrap w:val="0"/>
            <w:vAlign w:val="center"/>
          </w:tcPr>
          <w:p w14:paraId="4D282C9D">
            <w:pPr>
              <w:widowControl/>
              <w:jc w:val="center"/>
              <w:rPr>
                <w:rFonts w:hint="eastAsia" w:ascii="宋体" w:hAnsi="宋体" w:eastAsia="宋体" w:cs="宋体"/>
                <w:color w:val="000000"/>
                <w:kern w:val="0"/>
                <w:sz w:val="20"/>
                <w:highlight w:val="none"/>
              </w:rPr>
            </w:pPr>
            <w:r>
              <w:rPr>
                <w:rFonts w:hint="eastAsia" w:ascii="宋体" w:hAnsi="宋体" w:eastAsia="宋体" w:cs="宋体"/>
                <w:color w:val="000000"/>
                <w:kern w:val="0"/>
                <w:sz w:val="20"/>
                <w:highlight w:val="none"/>
              </w:rPr>
              <w:t xml:space="preserve">¥41,925.00 </w:t>
            </w:r>
          </w:p>
        </w:tc>
      </w:tr>
      <w:tr w14:paraId="1DBC68DA">
        <w:tblPrEx>
          <w:tblCellMar>
            <w:top w:w="0" w:type="dxa"/>
            <w:left w:w="108" w:type="dxa"/>
            <w:bottom w:w="0" w:type="dxa"/>
            <w:right w:w="108" w:type="dxa"/>
          </w:tblCellMar>
        </w:tblPrEx>
        <w:trPr>
          <w:trHeight w:val="720" w:hRule="atLeast"/>
        </w:trPr>
        <w:tc>
          <w:tcPr>
            <w:tcW w:w="1134" w:type="dxa"/>
            <w:vMerge w:val="continue"/>
            <w:tcBorders>
              <w:top w:val="nil"/>
              <w:left w:val="single" w:color="auto" w:sz="4" w:space="0"/>
              <w:bottom w:val="single" w:color="auto" w:sz="4" w:space="0"/>
              <w:right w:val="single" w:color="auto" w:sz="4" w:space="0"/>
            </w:tcBorders>
            <w:noWrap w:val="0"/>
            <w:vAlign w:val="center"/>
          </w:tcPr>
          <w:p w14:paraId="23FB59F2">
            <w:pPr>
              <w:widowControl/>
              <w:jc w:val="left"/>
              <w:rPr>
                <w:rFonts w:ascii="宋体" w:hAnsi="宋体" w:eastAsia="宋体" w:cs="宋体"/>
                <w:color w:val="000000"/>
                <w:kern w:val="0"/>
                <w:sz w:val="22"/>
                <w:highlight w:val="none"/>
              </w:rPr>
            </w:pPr>
          </w:p>
        </w:tc>
        <w:tc>
          <w:tcPr>
            <w:tcW w:w="1560" w:type="dxa"/>
            <w:tcBorders>
              <w:top w:val="nil"/>
              <w:left w:val="nil"/>
              <w:bottom w:val="single" w:color="auto" w:sz="4" w:space="0"/>
              <w:right w:val="single" w:color="auto" w:sz="4" w:space="0"/>
            </w:tcBorders>
            <w:noWrap w:val="0"/>
            <w:vAlign w:val="center"/>
          </w:tcPr>
          <w:p w14:paraId="3B856F05">
            <w:pPr>
              <w:widowControl/>
              <w:jc w:val="center"/>
              <w:rPr>
                <w:rFonts w:ascii="宋体" w:hAnsi="宋体" w:eastAsia="宋体" w:cs="宋体"/>
                <w:color w:val="000000"/>
                <w:kern w:val="0"/>
                <w:sz w:val="22"/>
                <w:highlight w:val="none"/>
              </w:rPr>
            </w:pPr>
            <w:r>
              <w:rPr>
                <w:rFonts w:hint="eastAsia" w:ascii="宋体" w:hAnsi="宋体" w:eastAsia="宋体" w:cs="宋体"/>
                <w:color w:val="000000"/>
                <w:kern w:val="0"/>
                <w:sz w:val="22"/>
                <w:highlight w:val="none"/>
              </w:rPr>
              <w:t>新增机非护栏（白色）</w:t>
            </w:r>
          </w:p>
        </w:tc>
        <w:tc>
          <w:tcPr>
            <w:tcW w:w="4252" w:type="dxa"/>
            <w:tcBorders>
              <w:top w:val="nil"/>
              <w:left w:val="nil"/>
              <w:bottom w:val="single" w:color="auto" w:sz="4" w:space="0"/>
              <w:right w:val="single" w:color="auto" w:sz="4" w:space="0"/>
            </w:tcBorders>
            <w:noWrap w:val="0"/>
            <w:vAlign w:val="center"/>
          </w:tcPr>
          <w:p w14:paraId="25D95715">
            <w:pPr>
              <w:widowControl/>
              <w:rPr>
                <w:rFonts w:hint="eastAsia" w:ascii="宋体" w:hAnsi="宋体" w:eastAsia="宋体" w:cs="宋体"/>
                <w:color w:val="000000"/>
                <w:kern w:val="0"/>
                <w:sz w:val="22"/>
                <w:highlight w:val="none"/>
              </w:rPr>
            </w:pPr>
            <w:r>
              <w:rPr>
                <w:rFonts w:hint="eastAsia" w:ascii="宋体" w:hAnsi="宋体" w:eastAsia="宋体" w:cs="宋体"/>
                <w:color w:val="000000"/>
                <w:kern w:val="0"/>
                <w:sz w:val="22"/>
                <w:highlight w:val="none"/>
              </w:rPr>
              <w:t>规格：立柱100*100*2mm、竖杠</w:t>
            </w:r>
            <w:r>
              <w:rPr>
                <w:rFonts w:ascii="Cambria Math" w:hAnsi="Cambria Math" w:eastAsia="宋体" w:cs="Cambria Math"/>
                <w:color w:val="000000"/>
                <w:kern w:val="0"/>
                <w:sz w:val="22"/>
                <w:highlight w:val="none"/>
              </w:rPr>
              <w:t>∅</w:t>
            </w:r>
            <w:r>
              <w:rPr>
                <w:rFonts w:hint="eastAsia" w:ascii="宋体" w:hAnsi="宋体" w:eastAsia="宋体" w:cs="宋体"/>
                <w:color w:val="000000"/>
                <w:kern w:val="0"/>
                <w:sz w:val="22"/>
                <w:highlight w:val="none"/>
              </w:rPr>
              <w:t>25*2mm、下横杠63*40*1.5mm抗压管、底座400*300*150mm（20kg）、H：800mm；底座铸铁，整体热镀锌，表面氟碳喷涂</w:t>
            </w:r>
          </w:p>
        </w:tc>
        <w:tc>
          <w:tcPr>
            <w:tcW w:w="709" w:type="dxa"/>
            <w:tcBorders>
              <w:top w:val="nil"/>
              <w:left w:val="nil"/>
              <w:bottom w:val="single" w:color="auto" w:sz="4" w:space="0"/>
              <w:right w:val="single" w:color="auto" w:sz="4" w:space="0"/>
            </w:tcBorders>
            <w:noWrap w:val="0"/>
            <w:vAlign w:val="center"/>
          </w:tcPr>
          <w:p w14:paraId="0E839464">
            <w:pPr>
              <w:widowControl/>
              <w:jc w:val="center"/>
              <w:rPr>
                <w:rFonts w:hint="eastAsia" w:ascii="宋体" w:hAnsi="宋体" w:eastAsia="宋体" w:cs="宋体"/>
                <w:color w:val="000000"/>
                <w:kern w:val="0"/>
                <w:sz w:val="22"/>
                <w:highlight w:val="none"/>
              </w:rPr>
            </w:pPr>
            <w:r>
              <w:rPr>
                <w:rFonts w:hint="eastAsia" w:ascii="宋体" w:hAnsi="宋体" w:eastAsia="宋体" w:cs="宋体"/>
                <w:color w:val="000000"/>
                <w:kern w:val="0"/>
                <w:sz w:val="22"/>
                <w:highlight w:val="none"/>
              </w:rPr>
              <w:t>300</w:t>
            </w:r>
          </w:p>
        </w:tc>
        <w:tc>
          <w:tcPr>
            <w:tcW w:w="709" w:type="dxa"/>
            <w:tcBorders>
              <w:top w:val="nil"/>
              <w:left w:val="nil"/>
              <w:bottom w:val="single" w:color="auto" w:sz="4" w:space="0"/>
              <w:right w:val="single" w:color="auto" w:sz="4" w:space="0"/>
            </w:tcBorders>
            <w:noWrap w:val="0"/>
            <w:vAlign w:val="center"/>
          </w:tcPr>
          <w:p w14:paraId="778DC955">
            <w:pPr>
              <w:widowControl/>
              <w:jc w:val="center"/>
              <w:rPr>
                <w:rFonts w:hint="eastAsia" w:ascii="宋体" w:hAnsi="宋体" w:eastAsia="宋体" w:cs="宋体"/>
                <w:color w:val="000000"/>
                <w:kern w:val="0"/>
                <w:sz w:val="22"/>
                <w:highlight w:val="none"/>
              </w:rPr>
            </w:pPr>
            <w:r>
              <w:rPr>
                <w:rFonts w:hint="eastAsia" w:ascii="宋体" w:hAnsi="宋体" w:eastAsia="宋体" w:cs="宋体"/>
                <w:color w:val="000000"/>
                <w:kern w:val="0"/>
                <w:sz w:val="22"/>
                <w:highlight w:val="none"/>
              </w:rPr>
              <w:t>m</w:t>
            </w:r>
          </w:p>
        </w:tc>
        <w:tc>
          <w:tcPr>
            <w:tcW w:w="708" w:type="dxa"/>
            <w:tcBorders>
              <w:top w:val="nil"/>
              <w:left w:val="nil"/>
              <w:bottom w:val="single" w:color="auto" w:sz="4" w:space="0"/>
              <w:right w:val="single" w:color="auto" w:sz="4" w:space="0"/>
            </w:tcBorders>
            <w:noWrap w:val="0"/>
            <w:vAlign w:val="center"/>
          </w:tcPr>
          <w:p w14:paraId="37189F1C">
            <w:pPr>
              <w:widowControl/>
              <w:jc w:val="center"/>
              <w:rPr>
                <w:rFonts w:hint="eastAsia" w:ascii="宋体" w:hAnsi="宋体" w:eastAsia="宋体" w:cs="宋体"/>
                <w:color w:val="000000"/>
                <w:kern w:val="0"/>
                <w:sz w:val="22"/>
                <w:highlight w:val="none"/>
              </w:rPr>
            </w:pPr>
            <w:r>
              <w:rPr>
                <w:rFonts w:hint="eastAsia" w:ascii="宋体" w:hAnsi="宋体" w:eastAsia="宋体" w:cs="宋体"/>
                <w:color w:val="000000"/>
                <w:kern w:val="0"/>
                <w:sz w:val="22"/>
                <w:highlight w:val="none"/>
              </w:rPr>
              <w:t>144</w:t>
            </w:r>
          </w:p>
        </w:tc>
        <w:tc>
          <w:tcPr>
            <w:tcW w:w="851" w:type="dxa"/>
            <w:tcBorders>
              <w:top w:val="nil"/>
              <w:left w:val="nil"/>
              <w:bottom w:val="single" w:color="auto" w:sz="4" w:space="0"/>
              <w:right w:val="single" w:color="auto" w:sz="4" w:space="0"/>
            </w:tcBorders>
            <w:noWrap w:val="0"/>
            <w:vAlign w:val="center"/>
          </w:tcPr>
          <w:p w14:paraId="75B18F76">
            <w:pPr>
              <w:widowControl/>
              <w:jc w:val="center"/>
              <w:rPr>
                <w:rFonts w:hint="eastAsia" w:ascii="宋体" w:hAnsi="宋体" w:eastAsia="宋体" w:cs="宋体"/>
                <w:color w:val="000000"/>
                <w:kern w:val="0"/>
                <w:sz w:val="20"/>
                <w:highlight w:val="none"/>
              </w:rPr>
            </w:pPr>
            <w:r>
              <w:rPr>
                <w:rFonts w:hint="eastAsia" w:ascii="宋体" w:hAnsi="宋体" w:eastAsia="宋体" w:cs="宋体"/>
                <w:color w:val="000000"/>
                <w:kern w:val="0"/>
                <w:sz w:val="20"/>
                <w:highlight w:val="none"/>
              </w:rPr>
              <w:t xml:space="preserve">¥43,200.00 </w:t>
            </w:r>
          </w:p>
        </w:tc>
      </w:tr>
      <w:tr w14:paraId="570C995A">
        <w:tblPrEx>
          <w:tblCellMar>
            <w:top w:w="0" w:type="dxa"/>
            <w:left w:w="108" w:type="dxa"/>
            <w:bottom w:w="0" w:type="dxa"/>
            <w:right w:w="108" w:type="dxa"/>
          </w:tblCellMar>
        </w:tblPrEx>
        <w:trPr>
          <w:trHeight w:val="400" w:hRule="atLeast"/>
        </w:trPr>
        <w:tc>
          <w:tcPr>
            <w:tcW w:w="1134" w:type="dxa"/>
            <w:vMerge w:val="continue"/>
            <w:tcBorders>
              <w:top w:val="nil"/>
              <w:left w:val="single" w:color="auto" w:sz="4" w:space="0"/>
              <w:bottom w:val="single" w:color="auto" w:sz="4" w:space="0"/>
              <w:right w:val="single" w:color="auto" w:sz="4" w:space="0"/>
            </w:tcBorders>
            <w:noWrap w:val="0"/>
            <w:vAlign w:val="center"/>
          </w:tcPr>
          <w:p w14:paraId="3E2CB4B2">
            <w:pPr>
              <w:widowControl/>
              <w:jc w:val="left"/>
              <w:rPr>
                <w:rFonts w:ascii="宋体" w:hAnsi="宋体" w:eastAsia="宋体" w:cs="宋体"/>
                <w:color w:val="000000"/>
                <w:kern w:val="0"/>
                <w:sz w:val="22"/>
                <w:highlight w:val="none"/>
              </w:rPr>
            </w:pPr>
          </w:p>
        </w:tc>
        <w:tc>
          <w:tcPr>
            <w:tcW w:w="1560" w:type="dxa"/>
            <w:tcBorders>
              <w:top w:val="nil"/>
              <w:left w:val="nil"/>
              <w:bottom w:val="single" w:color="auto" w:sz="4" w:space="0"/>
              <w:right w:val="single" w:color="auto" w:sz="4" w:space="0"/>
            </w:tcBorders>
            <w:noWrap w:val="0"/>
            <w:vAlign w:val="center"/>
          </w:tcPr>
          <w:p w14:paraId="52B0109B">
            <w:pPr>
              <w:widowControl/>
              <w:jc w:val="center"/>
              <w:rPr>
                <w:rFonts w:ascii="宋体" w:hAnsi="宋体" w:eastAsia="宋体" w:cs="宋体"/>
                <w:color w:val="000000"/>
                <w:kern w:val="0"/>
                <w:sz w:val="22"/>
                <w:highlight w:val="none"/>
              </w:rPr>
            </w:pPr>
            <w:r>
              <w:rPr>
                <w:rFonts w:hint="eastAsia" w:ascii="宋体" w:hAnsi="宋体" w:eastAsia="宋体" w:cs="宋体"/>
                <w:color w:val="000000"/>
                <w:kern w:val="0"/>
                <w:sz w:val="22"/>
                <w:highlight w:val="none"/>
              </w:rPr>
              <w:t>机非护栏端头反光警示柱</w:t>
            </w:r>
          </w:p>
        </w:tc>
        <w:tc>
          <w:tcPr>
            <w:tcW w:w="4252" w:type="dxa"/>
            <w:tcBorders>
              <w:top w:val="nil"/>
              <w:left w:val="nil"/>
              <w:bottom w:val="single" w:color="auto" w:sz="4" w:space="0"/>
              <w:right w:val="single" w:color="auto" w:sz="4" w:space="0"/>
            </w:tcBorders>
            <w:noWrap w:val="0"/>
            <w:vAlign w:val="center"/>
          </w:tcPr>
          <w:p w14:paraId="0D938D37">
            <w:pPr>
              <w:widowControl/>
              <w:rPr>
                <w:rFonts w:hint="eastAsia" w:ascii="宋体" w:hAnsi="宋体" w:eastAsia="宋体" w:cs="宋体"/>
                <w:color w:val="000000"/>
                <w:kern w:val="0"/>
                <w:sz w:val="22"/>
                <w:highlight w:val="none"/>
              </w:rPr>
            </w:pPr>
            <w:r>
              <w:rPr>
                <w:rFonts w:hint="eastAsia" w:ascii="宋体" w:hAnsi="宋体" w:eastAsia="宋体" w:cs="宋体"/>
                <w:color w:val="000000"/>
                <w:kern w:val="0"/>
                <w:sz w:val="22"/>
                <w:highlight w:val="none"/>
              </w:rPr>
              <w:t>H800*3mm（含机械钻孔，注浆）</w:t>
            </w:r>
          </w:p>
        </w:tc>
        <w:tc>
          <w:tcPr>
            <w:tcW w:w="709" w:type="dxa"/>
            <w:tcBorders>
              <w:top w:val="nil"/>
              <w:left w:val="nil"/>
              <w:bottom w:val="single" w:color="auto" w:sz="4" w:space="0"/>
              <w:right w:val="single" w:color="auto" w:sz="4" w:space="0"/>
            </w:tcBorders>
            <w:noWrap w:val="0"/>
            <w:vAlign w:val="center"/>
          </w:tcPr>
          <w:p w14:paraId="19F33E95">
            <w:pPr>
              <w:widowControl/>
              <w:jc w:val="center"/>
              <w:rPr>
                <w:rFonts w:hint="eastAsia" w:ascii="宋体" w:hAnsi="宋体" w:eastAsia="宋体" w:cs="宋体"/>
                <w:color w:val="000000"/>
                <w:kern w:val="0"/>
                <w:sz w:val="22"/>
                <w:highlight w:val="none"/>
              </w:rPr>
            </w:pPr>
            <w:r>
              <w:rPr>
                <w:rFonts w:hint="eastAsia" w:ascii="宋体" w:hAnsi="宋体" w:eastAsia="宋体" w:cs="宋体"/>
                <w:color w:val="000000"/>
                <w:kern w:val="0"/>
                <w:sz w:val="22"/>
                <w:highlight w:val="none"/>
              </w:rPr>
              <w:t>134</w:t>
            </w:r>
          </w:p>
        </w:tc>
        <w:tc>
          <w:tcPr>
            <w:tcW w:w="709" w:type="dxa"/>
            <w:tcBorders>
              <w:top w:val="nil"/>
              <w:left w:val="nil"/>
              <w:bottom w:val="single" w:color="auto" w:sz="4" w:space="0"/>
              <w:right w:val="single" w:color="auto" w:sz="4" w:space="0"/>
            </w:tcBorders>
            <w:noWrap w:val="0"/>
            <w:vAlign w:val="center"/>
          </w:tcPr>
          <w:p w14:paraId="3E05A00E">
            <w:pPr>
              <w:widowControl/>
              <w:jc w:val="center"/>
              <w:rPr>
                <w:rFonts w:hint="eastAsia" w:ascii="宋体" w:hAnsi="宋体" w:eastAsia="宋体" w:cs="宋体"/>
                <w:color w:val="000000"/>
                <w:kern w:val="0"/>
                <w:sz w:val="22"/>
                <w:highlight w:val="none"/>
              </w:rPr>
            </w:pPr>
            <w:r>
              <w:rPr>
                <w:rFonts w:hint="eastAsia" w:ascii="宋体" w:hAnsi="宋体" w:eastAsia="宋体" w:cs="宋体"/>
                <w:color w:val="000000"/>
                <w:kern w:val="0"/>
                <w:sz w:val="22"/>
                <w:highlight w:val="none"/>
              </w:rPr>
              <w:t>根</w:t>
            </w:r>
          </w:p>
        </w:tc>
        <w:tc>
          <w:tcPr>
            <w:tcW w:w="708" w:type="dxa"/>
            <w:tcBorders>
              <w:top w:val="nil"/>
              <w:left w:val="nil"/>
              <w:bottom w:val="single" w:color="auto" w:sz="4" w:space="0"/>
              <w:right w:val="single" w:color="auto" w:sz="4" w:space="0"/>
            </w:tcBorders>
            <w:noWrap w:val="0"/>
            <w:vAlign w:val="center"/>
          </w:tcPr>
          <w:p w14:paraId="30CE6846">
            <w:pPr>
              <w:widowControl/>
              <w:jc w:val="center"/>
              <w:rPr>
                <w:rFonts w:hint="eastAsia" w:ascii="宋体" w:hAnsi="宋体" w:eastAsia="宋体" w:cs="宋体"/>
                <w:color w:val="000000"/>
                <w:kern w:val="0"/>
                <w:sz w:val="22"/>
                <w:highlight w:val="none"/>
              </w:rPr>
            </w:pPr>
            <w:r>
              <w:rPr>
                <w:rFonts w:hint="eastAsia" w:ascii="宋体" w:hAnsi="宋体" w:eastAsia="宋体" w:cs="宋体"/>
                <w:color w:val="000000"/>
                <w:kern w:val="0"/>
                <w:sz w:val="22"/>
                <w:highlight w:val="none"/>
              </w:rPr>
              <w:t>150</w:t>
            </w:r>
          </w:p>
        </w:tc>
        <w:tc>
          <w:tcPr>
            <w:tcW w:w="851" w:type="dxa"/>
            <w:tcBorders>
              <w:top w:val="nil"/>
              <w:left w:val="nil"/>
              <w:bottom w:val="single" w:color="auto" w:sz="4" w:space="0"/>
              <w:right w:val="single" w:color="auto" w:sz="4" w:space="0"/>
            </w:tcBorders>
            <w:noWrap w:val="0"/>
            <w:vAlign w:val="center"/>
          </w:tcPr>
          <w:p w14:paraId="6FE4D0FD">
            <w:pPr>
              <w:widowControl/>
              <w:jc w:val="center"/>
              <w:rPr>
                <w:rFonts w:hint="eastAsia" w:ascii="宋体" w:hAnsi="宋体" w:eastAsia="宋体" w:cs="宋体"/>
                <w:color w:val="000000"/>
                <w:kern w:val="0"/>
                <w:sz w:val="20"/>
                <w:highlight w:val="none"/>
              </w:rPr>
            </w:pPr>
            <w:r>
              <w:rPr>
                <w:rFonts w:hint="eastAsia" w:ascii="宋体" w:hAnsi="宋体" w:eastAsia="宋体" w:cs="宋体"/>
                <w:color w:val="000000"/>
                <w:kern w:val="0"/>
                <w:sz w:val="20"/>
                <w:highlight w:val="none"/>
              </w:rPr>
              <w:t xml:space="preserve">¥20,100.00 </w:t>
            </w:r>
          </w:p>
        </w:tc>
      </w:tr>
      <w:tr w14:paraId="7A4FB4BD">
        <w:tblPrEx>
          <w:tblCellMar>
            <w:top w:w="0" w:type="dxa"/>
            <w:left w:w="108" w:type="dxa"/>
            <w:bottom w:w="0" w:type="dxa"/>
            <w:right w:w="108" w:type="dxa"/>
          </w:tblCellMar>
        </w:tblPrEx>
        <w:trPr>
          <w:trHeight w:val="381" w:hRule="atLeast"/>
        </w:trPr>
        <w:tc>
          <w:tcPr>
            <w:tcW w:w="1134" w:type="dxa"/>
            <w:vMerge w:val="continue"/>
            <w:tcBorders>
              <w:top w:val="nil"/>
              <w:left w:val="single" w:color="auto" w:sz="4" w:space="0"/>
              <w:bottom w:val="single" w:color="auto" w:sz="4" w:space="0"/>
              <w:right w:val="single" w:color="auto" w:sz="4" w:space="0"/>
            </w:tcBorders>
            <w:noWrap w:val="0"/>
            <w:vAlign w:val="center"/>
          </w:tcPr>
          <w:p w14:paraId="22AB19D3">
            <w:pPr>
              <w:widowControl/>
              <w:jc w:val="left"/>
              <w:rPr>
                <w:rFonts w:ascii="宋体" w:hAnsi="宋体" w:eastAsia="宋体" w:cs="宋体"/>
                <w:color w:val="000000"/>
                <w:kern w:val="0"/>
                <w:sz w:val="22"/>
                <w:highlight w:val="none"/>
              </w:rPr>
            </w:pPr>
          </w:p>
        </w:tc>
        <w:tc>
          <w:tcPr>
            <w:tcW w:w="1560" w:type="dxa"/>
            <w:tcBorders>
              <w:top w:val="nil"/>
              <w:left w:val="nil"/>
              <w:bottom w:val="single" w:color="auto" w:sz="4" w:space="0"/>
              <w:right w:val="single" w:color="auto" w:sz="4" w:space="0"/>
            </w:tcBorders>
            <w:noWrap w:val="0"/>
            <w:vAlign w:val="center"/>
          </w:tcPr>
          <w:p w14:paraId="33F51EE8">
            <w:pPr>
              <w:widowControl/>
              <w:jc w:val="center"/>
              <w:rPr>
                <w:rFonts w:ascii="宋体" w:hAnsi="宋体" w:eastAsia="宋体" w:cs="宋体"/>
                <w:color w:val="000000"/>
                <w:kern w:val="0"/>
                <w:sz w:val="22"/>
                <w:highlight w:val="none"/>
              </w:rPr>
            </w:pPr>
            <w:r>
              <w:rPr>
                <w:rFonts w:hint="eastAsia" w:ascii="宋体" w:hAnsi="宋体" w:eastAsia="宋体" w:cs="宋体"/>
                <w:color w:val="000000"/>
                <w:kern w:val="0"/>
                <w:sz w:val="22"/>
                <w:highlight w:val="none"/>
              </w:rPr>
              <w:t>中央护栏端头</w:t>
            </w:r>
          </w:p>
        </w:tc>
        <w:tc>
          <w:tcPr>
            <w:tcW w:w="4252" w:type="dxa"/>
            <w:tcBorders>
              <w:top w:val="nil"/>
              <w:left w:val="nil"/>
              <w:bottom w:val="single" w:color="auto" w:sz="4" w:space="0"/>
              <w:right w:val="single" w:color="auto" w:sz="4" w:space="0"/>
            </w:tcBorders>
            <w:noWrap w:val="0"/>
            <w:vAlign w:val="center"/>
          </w:tcPr>
          <w:p w14:paraId="37D1BD0F">
            <w:pPr>
              <w:widowControl/>
              <w:rPr>
                <w:rFonts w:hint="eastAsia" w:ascii="宋体" w:hAnsi="宋体" w:eastAsia="宋体" w:cs="宋体"/>
                <w:color w:val="000000"/>
                <w:kern w:val="0"/>
                <w:sz w:val="22"/>
                <w:highlight w:val="none"/>
              </w:rPr>
            </w:pPr>
            <w:r>
              <w:rPr>
                <w:rFonts w:hint="eastAsia" w:ascii="宋体" w:hAnsi="宋体" w:eastAsia="宋体" w:cs="宋体"/>
                <w:color w:val="000000"/>
                <w:kern w:val="0"/>
                <w:sz w:val="22"/>
                <w:highlight w:val="none"/>
              </w:rPr>
              <w:t>H2500mm，铁型材+高透光性聚碳酸酯 PC，含太阳能板及蓄电池</w:t>
            </w:r>
          </w:p>
        </w:tc>
        <w:tc>
          <w:tcPr>
            <w:tcW w:w="709" w:type="dxa"/>
            <w:tcBorders>
              <w:top w:val="nil"/>
              <w:left w:val="nil"/>
              <w:bottom w:val="single" w:color="auto" w:sz="4" w:space="0"/>
              <w:right w:val="single" w:color="auto" w:sz="4" w:space="0"/>
            </w:tcBorders>
            <w:noWrap w:val="0"/>
            <w:vAlign w:val="center"/>
          </w:tcPr>
          <w:p w14:paraId="5FDFF3AE">
            <w:pPr>
              <w:widowControl/>
              <w:jc w:val="center"/>
              <w:rPr>
                <w:rFonts w:hint="eastAsia" w:ascii="宋体" w:hAnsi="宋体" w:eastAsia="宋体" w:cs="宋体"/>
                <w:color w:val="000000"/>
                <w:kern w:val="0"/>
                <w:sz w:val="22"/>
                <w:highlight w:val="none"/>
              </w:rPr>
            </w:pPr>
            <w:r>
              <w:rPr>
                <w:rFonts w:hint="eastAsia" w:ascii="宋体" w:hAnsi="宋体" w:eastAsia="宋体" w:cs="宋体"/>
                <w:color w:val="000000"/>
                <w:kern w:val="0"/>
                <w:sz w:val="22"/>
                <w:highlight w:val="none"/>
              </w:rPr>
              <w:t>26</w:t>
            </w:r>
          </w:p>
        </w:tc>
        <w:tc>
          <w:tcPr>
            <w:tcW w:w="709" w:type="dxa"/>
            <w:tcBorders>
              <w:top w:val="nil"/>
              <w:left w:val="nil"/>
              <w:bottom w:val="single" w:color="auto" w:sz="4" w:space="0"/>
              <w:right w:val="single" w:color="auto" w:sz="4" w:space="0"/>
            </w:tcBorders>
            <w:noWrap w:val="0"/>
            <w:vAlign w:val="center"/>
          </w:tcPr>
          <w:p w14:paraId="055A99A9">
            <w:pPr>
              <w:widowControl/>
              <w:jc w:val="center"/>
              <w:rPr>
                <w:rFonts w:hint="eastAsia" w:ascii="宋体" w:hAnsi="宋体" w:eastAsia="宋体" w:cs="宋体"/>
                <w:color w:val="000000"/>
                <w:kern w:val="0"/>
                <w:sz w:val="22"/>
                <w:highlight w:val="none"/>
              </w:rPr>
            </w:pPr>
            <w:r>
              <w:rPr>
                <w:rFonts w:hint="eastAsia" w:ascii="宋体" w:hAnsi="宋体" w:eastAsia="宋体" w:cs="宋体"/>
                <w:color w:val="000000"/>
                <w:kern w:val="0"/>
                <w:sz w:val="22"/>
                <w:highlight w:val="none"/>
              </w:rPr>
              <w:t>根</w:t>
            </w:r>
          </w:p>
        </w:tc>
        <w:tc>
          <w:tcPr>
            <w:tcW w:w="708" w:type="dxa"/>
            <w:tcBorders>
              <w:top w:val="nil"/>
              <w:left w:val="nil"/>
              <w:bottom w:val="single" w:color="auto" w:sz="4" w:space="0"/>
              <w:right w:val="single" w:color="auto" w:sz="4" w:space="0"/>
            </w:tcBorders>
            <w:noWrap w:val="0"/>
            <w:vAlign w:val="center"/>
          </w:tcPr>
          <w:p w14:paraId="5D428A95">
            <w:pPr>
              <w:widowControl/>
              <w:jc w:val="center"/>
              <w:rPr>
                <w:rFonts w:hint="eastAsia" w:ascii="宋体" w:hAnsi="宋体" w:eastAsia="宋体" w:cs="宋体"/>
                <w:color w:val="000000"/>
                <w:kern w:val="0"/>
                <w:sz w:val="22"/>
                <w:highlight w:val="none"/>
              </w:rPr>
            </w:pPr>
            <w:r>
              <w:rPr>
                <w:rFonts w:hint="eastAsia" w:ascii="宋体" w:hAnsi="宋体" w:eastAsia="宋体" w:cs="宋体"/>
                <w:color w:val="000000"/>
                <w:kern w:val="0"/>
                <w:sz w:val="22"/>
                <w:highlight w:val="none"/>
              </w:rPr>
              <w:t>2000</w:t>
            </w:r>
          </w:p>
        </w:tc>
        <w:tc>
          <w:tcPr>
            <w:tcW w:w="851" w:type="dxa"/>
            <w:tcBorders>
              <w:top w:val="nil"/>
              <w:left w:val="nil"/>
              <w:bottom w:val="single" w:color="auto" w:sz="4" w:space="0"/>
              <w:right w:val="single" w:color="auto" w:sz="4" w:space="0"/>
            </w:tcBorders>
            <w:noWrap w:val="0"/>
            <w:vAlign w:val="center"/>
          </w:tcPr>
          <w:p w14:paraId="309A5873">
            <w:pPr>
              <w:widowControl/>
              <w:jc w:val="center"/>
              <w:rPr>
                <w:rFonts w:hint="eastAsia" w:ascii="宋体" w:hAnsi="宋体" w:eastAsia="宋体" w:cs="宋体"/>
                <w:color w:val="000000"/>
                <w:kern w:val="0"/>
                <w:sz w:val="20"/>
                <w:highlight w:val="none"/>
              </w:rPr>
            </w:pPr>
            <w:r>
              <w:rPr>
                <w:rFonts w:hint="eastAsia" w:ascii="宋体" w:hAnsi="宋体" w:eastAsia="宋体" w:cs="宋体"/>
                <w:color w:val="000000"/>
                <w:kern w:val="0"/>
                <w:sz w:val="20"/>
                <w:highlight w:val="none"/>
              </w:rPr>
              <w:t xml:space="preserve">¥52,000.00 </w:t>
            </w:r>
          </w:p>
        </w:tc>
      </w:tr>
      <w:tr w14:paraId="48FDAFAC">
        <w:tblPrEx>
          <w:tblCellMar>
            <w:top w:w="0" w:type="dxa"/>
            <w:left w:w="108" w:type="dxa"/>
            <w:bottom w:w="0" w:type="dxa"/>
            <w:right w:w="108" w:type="dxa"/>
          </w:tblCellMar>
        </w:tblPrEx>
        <w:trPr>
          <w:trHeight w:val="381" w:hRule="atLeast"/>
        </w:trPr>
        <w:tc>
          <w:tcPr>
            <w:tcW w:w="1134" w:type="dxa"/>
            <w:vMerge w:val="restart"/>
            <w:tcBorders>
              <w:top w:val="nil"/>
              <w:left w:val="single" w:color="auto" w:sz="4" w:space="0"/>
              <w:bottom w:val="nil"/>
              <w:right w:val="single" w:color="auto" w:sz="4" w:space="0"/>
            </w:tcBorders>
            <w:noWrap w:val="0"/>
            <w:vAlign w:val="center"/>
          </w:tcPr>
          <w:p w14:paraId="794F70B3">
            <w:pPr>
              <w:widowControl/>
              <w:jc w:val="center"/>
              <w:rPr>
                <w:rFonts w:ascii="宋体" w:hAnsi="宋体" w:eastAsia="宋体" w:cs="宋体"/>
                <w:color w:val="000000"/>
                <w:kern w:val="0"/>
                <w:sz w:val="22"/>
                <w:highlight w:val="none"/>
              </w:rPr>
            </w:pPr>
            <w:r>
              <w:rPr>
                <w:rFonts w:hint="eastAsia" w:ascii="宋体" w:hAnsi="宋体" w:eastAsia="宋体" w:cs="宋体"/>
                <w:color w:val="000000"/>
                <w:kern w:val="0"/>
                <w:sz w:val="22"/>
                <w:highlight w:val="none"/>
              </w:rPr>
              <w:t>万盛大道(护栏改色)</w:t>
            </w:r>
          </w:p>
        </w:tc>
        <w:tc>
          <w:tcPr>
            <w:tcW w:w="1560" w:type="dxa"/>
            <w:tcBorders>
              <w:top w:val="nil"/>
              <w:left w:val="nil"/>
              <w:bottom w:val="single" w:color="auto" w:sz="4" w:space="0"/>
              <w:right w:val="single" w:color="auto" w:sz="4" w:space="0"/>
            </w:tcBorders>
            <w:noWrap/>
            <w:vAlign w:val="center"/>
          </w:tcPr>
          <w:p w14:paraId="2C3B6C32">
            <w:pPr>
              <w:widowControl/>
              <w:jc w:val="left"/>
              <w:rPr>
                <w:rFonts w:hint="eastAsia" w:ascii="宋体" w:hAnsi="宋体" w:eastAsia="宋体" w:cs="宋体"/>
                <w:color w:val="000000"/>
                <w:kern w:val="0"/>
                <w:sz w:val="22"/>
                <w:highlight w:val="none"/>
              </w:rPr>
            </w:pPr>
            <w:r>
              <w:rPr>
                <w:rFonts w:hint="eastAsia" w:ascii="宋体" w:hAnsi="宋体" w:eastAsia="宋体" w:cs="宋体"/>
                <w:color w:val="000000"/>
                <w:kern w:val="0"/>
                <w:sz w:val="22"/>
                <w:highlight w:val="none"/>
              </w:rPr>
              <w:t>调整喷涂防护漆</w:t>
            </w:r>
          </w:p>
        </w:tc>
        <w:tc>
          <w:tcPr>
            <w:tcW w:w="4252" w:type="dxa"/>
            <w:tcBorders>
              <w:top w:val="nil"/>
              <w:left w:val="nil"/>
              <w:bottom w:val="single" w:color="auto" w:sz="4" w:space="0"/>
              <w:right w:val="single" w:color="auto" w:sz="4" w:space="0"/>
            </w:tcBorders>
            <w:noWrap w:val="0"/>
            <w:vAlign w:val="center"/>
          </w:tcPr>
          <w:p w14:paraId="315DB97B">
            <w:pPr>
              <w:widowControl/>
              <w:rPr>
                <w:rFonts w:hint="eastAsia" w:ascii="宋体" w:hAnsi="宋体" w:eastAsia="宋体" w:cs="宋体"/>
                <w:color w:val="000000"/>
                <w:kern w:val="0"/>
                <w:sz w:val="22"/>
                <w:highlight w:val="none"/>
              </w:rPr>
            </w:pPr>
            <w:r>
              <w:rPr>
                <w:rFonts w:hint="eastAsia" w:ascii="宋体" w:hAnsi="宋体" w:eastAsia="宋体" w:cs="宋体"/>
                <w:color w:val="000000"/>
                <w:kern w:val="0"/>
                <w:sz w:val="22"/>
                <w:highlight w:val="none"/>
              </w:rPr>
              <w:t>栏杆除锈；涂刷防锈底漆；涂刷面漆；栏杆清洗</w:t>
            </w:r>
          </w:p>
        </w:tc>
        <w:tc>
          <w:tcPr>
            <w:tcW w:w="709" w:type="dxa"/>
            <w:tcBorders>
              <w:top w:val="nil"/>
              <w:left w:val="nil"/>
              <w:bottom w:val="single" w:color="auto" w:sz="4" w:space="0"/>
              <w:right w:val="single" w:color="auto" w:sz="4" w:space="0"/>
            </w:tcBorders>
            <w:noWrap/>
            <w:vAlign w:val="center"/>
          </w:tcPr>
          <w:p w14:paraId="3141BBC5">
            <w:pPr>
              <w:widowControl/>
              <w:jc w:val="center"/>
              <w:rPr>
                <w:rFonts w:hint="eastAsia" w:ascii="宋体" w:hAnsi="宋体" w:eastAsia="宋体" w:cs="宋体"/>
                <w:color w:val="000000"/>
                <w:kern w:val="0"/>
                <w:sz w:val="22"/>
                <w:highlight w:val="none"/>
              </w:rPr>
            </w:pPr>
            <w:r>
              <w:rPr>
                <w:rFonts w:hint="eastAsia" w:ascii="宋体" w:hAnsi="宋体" w:eastAsia="宋体" w:cs="宋体"/>
                <w:color w:val="000000"/>
                <w:kern w:val="0"/>
                <w:sz w:val="22"/>
                <w:highlight w:val="none"/>
              </w:rPr>
              <w:t>6085</w:t>
            </w:r>
          </w:p>
        </w:tc>
        <w:tc>
          <w:tcPr>
            <w:tcW w:w="709" w:type="dxa"/>
            <w:tcBorders>
              <w:top w:val="nil"/>
              <w:left w:val="nil"/>
              <w:bottom w:val="single" w:color="auto" w:sz="4" w:space="0"/>
              <w:right w:val="single" w:color="auto" w:sz="4" w:space="0"/>
            </w:tcBorders>
            <w:noWrap/>
            <w:vAlign w:val="center"/>
          </w:tcPr>
          <w:p w14:paraId="11F2BF17">
            <w:pPr>
              <w:widowControl/>
              <w:jc w:val="left"/>
              <w:rPr>
                <w:rFonts w:hint="eastAsia" w:ascii="宋体" w:hAnsi="宋体" w:eastAsia="宋体" w:cs="宋体"/>
                <w:color w:val="000000"/>
                <w:kern w:val="0"/>
                <w:sz w:val="22"/>
                <w:highlight w:val="none"/>
              </w:rPr>
            </w:pPr>
            <w:r>
              <w:rPr>
                <w:rFonts w:hint="eastAsia" w:ascii="宋体" w:hAnsi="宋体" w:eastAsia="宋体" w:cs="宋体"/>
                <w:color w:val="000000"/>
                <w:kern w:val="0"/>
                <w:sz w:val="22"/>
                <w:highlight w:val="none"/>
              </w:rPr>
              <w:t>m</w:t>
            </w:r>
          </w:p>
        </w:tc>
        <w:tc>
          <w:tcPr>
            <w:tcW w:w="708" w:type="dxa"/>
            <w:tcBorders>
              <w:top w:val="nil"/>
              <w:left w:val="nil"/>
              <w:bottom w:val="single" w:color="auto" w:sz="4" w:space="0"/>
              <w:right w:val="single" w:color="auto" w:sz="4" w:space="0"/>
            </w:tcBorders>
            <w:noWrap w:val="0"/>
            <w:vAlign w:val="center"/>
          </w:tcPr>
          <w:p w14:paraId="57E95B37">
            <w:pPr>
              <w:widowControl/>
              <w:jc w:val="center"/>
              <w:rPr>
                <w:rFonts w:hint="eastAsia" w:ascii="宋体" w:hAnsi="宋体" w:eastAsia="宋体" w:cs="宋体"/>
                <w:color w:val="000000"/>
                <w:kern w:val="0"/>
                <w:sz w:val="20"/>
                <w:highlight w:val="none"/>
              </w:rPr>
            </w:pPr>
            <w:r>
              <w:rPr>
                <w:rFonts w:hint="eastAsia" w:ascii="宋体" w:hAnsi="宋体" w:eastAsia="宋体" w:cs="宋体"/>
                <w:color w:val="000000"/>
                <w:kern w:val="0"/>
                <w:sz w:val="20"/>
                <w:highlight w:val="none"/>
              </w:rPr>
              <w:t>20</w:t>
            </w:r>
          </w:p>
        </w:tc>
        <w:tc>
          <w:tcPr>
            <w:tcW w:w="851" w:type="dxa"/>
            <w:tcBorders>
              <w:top w:val="nil"/>
              <w:left w:val="nil"/>
              <w:bottom w:val="single" w:color="auto" w:sz="4" w:space="0"/>
              <w:right w:val="single" w:color="auto" w:sz="4" w:space="0"/>
            </w:tcBorders>
            <w:noWrap w:val="0"/>
            <w:vAlign w:val="center"/>
          </w:tcPr>
          <w:p w14:paraId="0ADF7E2B">
            <w:pPr>
              <w:widowControl/>
              <w:jc w:val="center"/>
              <w:rPr>
                <w:rFonts w:hint="eastAsia" w:ascii="宋体" w:hAnsi="宋体" w:eastAsia="宋体" w:cs="宋体"/>
                <w:color w:val="000000"/>
                <w:kern w:val="0"/>
                <w:sz w:val="20"/>
                <w:highlight w:val="none"/>
              </w:rPr>
            </w:pPr>
            <w:r>
              <w:rPr>
                <w:rFonts w:hint="eastAsia" w:ascii="宋体" w:hAnsi="宋体" w:eastAsia="宋体" w:cs="宋体"/>
                <w:color w:val="000000"/>
                <w:kern w:val="0"/>
                <w:sz w:val="20"/>
                <w:highlight w:val="none"/>
              </w:rPr>
              <w:t xml:space="preserve">¥121,700.00 </w:t>
            </w:r>
          </w:p>
        </w:tc>
      </w:tr>
      <w:tr w14:paraId="09AB6C95">
        <w:tblPrEx>
          <w:tblCellMar>
            <w:top w:w="0" w:type="dxa"/>
            <w:left w:w="108" w:type="dxa"/>
            <w:bottom w:w="0" w:type="dxa"/>
            <w:right w:w="108" w:type="dxa"/>
          </w:tblCellMar>
        </w:tblPrEx>
        <w:trPr>
          <w:trHeight w:val="381" w:hRule="atLeast"/>
        </w:trPr>
        <w:tc>
          <w:tcPr>
            <w:tcW w:w="1134" w:type="dxa"/>
            <w:vMerge w:val="continue"/>
            <w:tcBorders>
              <w:top w:val="nil"/>
              <w:left w:val="single" w:color="auto" w:sz="4" w:space="0"/>
              <w:bottom w:val="nil"/>
              <w:right w:val="single" w:color="auto" w:sz="4" w:space="0"/>
            </w:tcBorders>
            <w:noWrap w:val="0"/>
            <w:vAlign w:val="center"/>
          </w:tcPr>
          <w:p w14:paraId="3E717999">
            <w:pPr>
              <w:widowControl/>
              <w:jc w:val="left"/>
              <w:rPr>
                <w:rFonts w:ascii="宋体" w:hAnsi="宋体" w:eastAsia="宋体" w:cs="宋体"/>
                <w:color w:val="000000"/>
                <w:kern w:val="0"/>
                <w:sz w:val="22"/>
                <w:highlight w:val="none"/>
              </w:rPr>
            </w:pPr>
          </w:p>
        </w:tc>
        <w:tc>
          <w:tcPr>
            <w:tcW w:w="1560" w:type="dxa"/>
            <w:tcBorders>
              <w:top w:val="nil"/>
              <w:left w:val="nil"/>
              <w:bottom w:val="single" w:color="auto" w:sz="4" w:space="0"/>
              <w:right w:val="single" w:color="auto" w:sz="4" w:space="0"/>
            </w:tcBorders>
            <w:noWrap/>
            <w:vAlign w:val="center"/>
          </w:tcPr>
          <w:p w14:paraId="6C837064">
            <w:pPr>
              <w:widowControl/>
              <w:jc w:val="left"/>
              <w:rPr>
                <w:rFonts w:ascii="宋体" w:hAnsi="宋体" w:eastAsia="宋体" w:cs="宋体"/>
                <w:color w:val="000000"/>
                <w:kern w:val="0"/>
                <w:sz w:val="22"/>
                <w:highlight w:val="none"/>
              </w:rPr>
            </w:pPr>
            <w:r>
              <w:rPr>
                <w:rFonts w:hint="eastAsia" w:ascii="宋体" w:hAnsi="宋体" w:eastAsia="宋体" w:cs="宋体"/>
                <w:color w:val="000000"/>
                <w:kern w:val="0"/>
                <w:sz w:val="22"/>
                <w:highlight w:val="none"/>
              </w:rPr>
              <w:t>拆除安装宣传标语牌</w:t>
            </w:r>
          </w:p>
        </w:tc>
        <w:tc>
          <w:tcPr>
            <w:tcW w:w="4252" w:type="dxa"/>
            <w:tcBorders>
              <w:top w:val="nil"/>
              <w:left w:val="nil"/>
              <w:bottom w:val="single" w:color="auto" w:sz="4" w:space="0"/>
              <w:right w:val="single" w:color="auto" w:sz="4" w:space="0"/>
            </w:tcBorders>
            <w:noWrap w:val="0"/>
            <w:vAlign w:val="center"/>
          </w:tcPr>
          <w:p w14:paraId="5AEB4DBB">
            <w:pPr>
              <w:widowControl/>
              <w:rPr>
                <w:rFonts w:hint="eastAsia" w:ascii="宋体" w:hAnsi="宋体" w:eastAsia="宋体" w:cs="宋体"/>
                <w:color w:val="000000"/>
                <w:kern w:val="0"/>
                <w:sz w:val="22"/>
                <w:highlight w:val="none"/>
              </w:rPr>
            </w:pPr>
            <w:r>
              <w:rPr>
                <w:rFonts w:hint="eastAsia" w:ascii="宋体" w:hAnsi="宋体" w:eastAsia="宋体" w:cs="宋体"/>
                <w:color w:val="000000"/>
                <w:kern w:val="0"/>
                <w:sz w:val="22"/>
                <w:highlight w:val="none"/>
              </w:rPr>
              <w:t>拆除旧宣传标语牌；安装宣传标语牌</w:t>
            </w:r>
          </w:p>
        </w:tc>
        <w:tc>
          <w:tcPr>
            <w:tcW w:w="709" w:type="dxa"/>
            <w:tcBorders>
              <w:top w:val="nil"/>
              <w:left w:val="nil"/>
              <w:bottom w:val="single" w:color="auto" w:sz="4" w:space="0"/>
              <w:right w:val="single" w:color="auto" w:sz="4" w:space="0"/>
            </w:tcBorders>
            <w:noWrap/>
            <w:vAlign w:val="center"/>
          </w:tcPr>
          <w:p w14:paraId="57761024">
            <w:pPr>
              <w:widowControl/>
              <w:jc w:val="center"/>
              <w:rPr>
                <w:rFonts w:hint="eastAsia" w:ascii="宋体" w:hAnsi="宋体" w:eastAsia="宋体" w:cs="宋体"/>
                <w:color w:val="000000"/>
                <w:kern w:val="0"/>
                <w:sz w:val="22"/>
                <w:highlight w:val="none"/>
              </w:rPr>
            </w:pPr>
            <w:r>
              <w:rPr>
                <w:rFonts w:hint="eastAsia" w:ascii="宋体" w:hAnsi="宋体" w:eastAsia="宋体" w:cs="宋体"/>
                <w:color w:val="000000"/>
                <w:kern w:val="0"/>
                <w:sz w:val="22"/>
                <w:highlight w:val="none"/>
              </w:rPr>
              <w:t>1</w:t>
            </w:r>
          </w:p>
        </w:tc>
        <w:tc>
          <w:tcPr>
            <w:tcW w:w="709" w:type="dxa"/>
            <w:tcBorders>
              <w:top w:val="nil"/>
              <w:left w:val="nil"/>
              <w:bottom w:val="single" w:color="auto" w:sz="4" w:space="0"/>
              <w:right w:val="single" w:color="auto" w:sz="4" w:space="0"/>
            </w:tcBorders>
            <w:noWrap/>
            <w:vAlign w:val="center"/>
          </w:tcPr>
          <w:p w14:paraId="5A67D32A">
            <w:pPr>
              <w:widowControl/>
              <w:jc w:val="left"/>
              <w:rPr>
                <w:rFonts w:hint="eastAsia" w:ascii="宋体" w:hAnsi="宋体" w:eastAsia="宋体" w:cs="宋体"/>
                <w:color w:val="000000"/>
                <w:kern w:val="0"/>
                <w:sz w:val="22"/>
                <w:highlight w:val="none"/>
              </w:rPr>
            </w:pPr>
            <w:r>
              <w:rPr>
                <w:rFonts w:hint="eastAsia" w:ascii="宋体" w:hAnsi="宋体" w:eastAsia="宋体" w:cs="宋体"/>
                <w:color w:val="000000"/>
                <w:kern w:val="0"/>
                <w:sz w:val="22"/>
                <w:highlight w:val="none"/>
              </w:rPr>
              <w:t>项</w:t>
            </w:r>
          </w:p>
        </w:tc>
        <w:tc>
          <w:tcPr>
            <w:tcW w:w="708" w:type="dxa"/>
            <w:tcBorders>
              <w:top w:val="nil"/>
              <w:left w:val="nil"/>
              <w:bottom w:val="single" w:color="auto" w:sz="4" w:space="0"/>
              <w:right w:val="single" w:color="auto" w:sz="4" w:space="0"/>
            </w:tcBorders>
            <w:noWrap w:val="0"/>
            <w:vAlign w:val="center"/>
          </w:tcPr>
          <w:p w14:paraId="064379C4">
            <w:pPr>
              <w:widowControl/>
              <w:jc w:val="center"/>
              <w:rPr>
                <w:rFonts w:hint="eastAsia" w:ascii="宋体" w:hAnsi="宋体" w:eastAsia="宋体" w:cs="宋体"/>
                <w:color w:val="000000"/>
                <w:kern w:val="0"/>
                <w:sz w:val="20"/>
                <w:highlight w:val="none"/>
              </w:rPr>
            </w:pPr>
            <w:r>
              <w:rPr>
                <w:rFonts w:hint="eastAsia" w:ascii="宋体" w:hAnsi="宋体" w:eastAsia="宋体" w:cs="宋体"/>
                <w:color w:val="000000"/>
                <w:kern w:val="0"/>
                <w:sz w:val="20"/>
                <w:highlight w:val="none"/>
              </w:rPr>
              <w:t>12200</w:t>
            </w:r>
          </w:p>
        </w:tc>
        <w:tc>
          <w:tcPr>
            <w:tcW w:w="851" w:type="dxa"/>
            <w:tcBorders>
              <w:top w:val="nil"/>
              <w:left w:val="nil"/>
              <w:bottom w:val="single" w:color="auto" w:sz="4" w:space="0"/>
              <w:right w:val="single" w:color="auto" w:sz="4" w:space="0"/>
            </w:tcBorders>
            <w:noWrap w:val="0"/>
            <w:vAlign w:val="center"/>
          </w:tcPr>
          <w:p w14:paraId="68AD572A">
            <w:pPr>
              <w:widowControl/>
              <w:jc w:val="center"/>
              <w:rPr>
                <w:rFonts w:hint="eastAsia" w:ascii="宋体" w:hAnsi="宋体" w:eastAsia="宋体" w:cs="宋体"/>
                <w:color w:val="000000"/>
                <w:kern w:val="0"/>
                <w:sz w:val="20"/>
                <w:highlight w:val="none"/>
              </w:rPr>
            </w:pPr>
            <w:r>
              <w:rPr>
                <w:rFonts w:hint="eastAsia" w:ascii="宋体" w:hAnsi="宋体" w:eastAsia="宋体" w:cs="宋体"/>
                <w:color w:val="000000"/>
                <w:kern w:val="0"/>
                <w:sz w:val="20"/>
                <w:highlight w:val="none"/>
              </w:rPr>
              <w:t xml:space="preserve">¥12,200.00 </w:t>
            </w:r>
          </w:p>
        </w:tc>
      </w:tr>
      <w:tr w14:paraId="64502854">
        <w:tblPrEx>
          <w:tblCellMar>
            <w:top w:w="0" w:type="dxa"/>
            <w:left w:w="108" w:type="dxa"/>
            <w:bottom w:w="0" w:type="dxa"/>
            <w:right w:w="108" w:type="dxa"/>
          </w:tblCellMar>
        </w:tblPrEx>
        <w:trPr>
          <w:trHeight w:val="540" w:hRule="atLeast"/>
        </w:trPr>
        <w:tc>
          <w:tcPr>
            <w:tcW w:w="1134" w:type="dxa"/>
            <w:vMerge w:val="restart"/>
            <w:tcBorders>
              <w:top w:val="single" w:color="auto" w:sz="4" w:space="0"/>
              <w:left w:val="single" w:color="auto" w:sz="4" w:space="0"/>
              <w:bottom w:val="single" w:color="auto" w:sz="4" w:space="0"/>
              <w:right w:val="single" w:color="auto" w:sz="4" w:space="0"/>
            </w:tcBorders>
            <w:noWrap w:val="0"/>
            <w:vAlign w:val="center"/>
          </w:tcPr>
          <w:p w14:paraId="196B4B7C">
            <w:pPr>
              <w:widowControl/>
              <w:jc w:val="center"/>
              <w:rPr>
                <w:rFonts w:ascii="宋体" w:hAnsi="宋体" w:eastAsia="宋体" w:cs="宋体"/>
                <w:color w:val="000000"/>
                <w:kern w:val="0"/>
                <w:sz w:val="22"/>
                <w:highlight w:val="none"/>
              </w:rPr>
            </w:pPr>
            <w:r>
              <w:rPr>
                <w:rFonts w:hint="eastAsia" w:ascii="宋体" w:hAnsi="宋体" w:eastAsia="宋体" w:cs="宋体"/>
                <w:color w:val="000000"/>
                <w:kern w:val="0"/>
                <w:sz w:val="22"/>
                <w:highlight w:val="none"/>
              </w:rPr>
              <w:t>万昌大道</w:t>
            </w:r>
          </w:p>
        </w:tc>
        <w:tc>
          <w:tcPr>
            <w:tcW w:w="1560" w:type="dxa"/>
            <w:tcBorders>
              <w:top w:val="nil"/>
              <w:left w:val="nil"/>
              <w:bottom w:val="single" w:color="auto" w:sz="4" w:space="0"/>
              <w:right w:val="single" w:color="auto" w:sz="4" w:space="0"/>
            </w:tcBorders>
            <w:noWrap w:val="0"/>
            <w:vAlign w:val="center"/>
          </w:tcPr>
          <w:p w14:paraId="7F97A8AC">
            <w:pPr>
              <w:widowControl/>
              <w:jc w:val="center"/>
              <w:rPr>
                <w:rFonts w:hint="eastAsia" w:ascii="宋体" w:hAnsi="宋体" w:eastAsia="宋体" w:cs="宋体"/>
                <w:color w:val="000000"/>
                <w:kern w:val="0"/>
                <w:sz w:val="22"/>
                <w:highlight w:val="none"/>
              </w:rPr>
            </w:pPr>
            <w:r>
              <w:rPr>
                <w:rFonts w:hint="eastAsia" w:ascii="宋体" w:hAnsi="宋体" w:eastAsia="宋体" w:cs="宋体"/>
                <w:color w:val="000000"/>
                <w:kern w:val="0"/>
                <w:sz w:val="22"/>
                <w:highlight w:val="none"/>
              </w:rPr>
              <w:t>新增中央护栏(灰色)</w:t>
            </w:r>
          </w:p>
        </w:tc>
        <w:tc>
          <w:tcPr>
            <w:tcW w:w="4252" w:type="dxa"/>
            <w:tcBorders>
              <w:top w:val="nil"/>
              <w:left w:val="nil"/>
              <w:bottom w:val="single" w:color="auto" w:sz="4" w:space="0"/>
              <w:right w:val="single" w:color="auto" w:sz="4" w:space="0"/>
            </w:tcBorders>
            <w:noWrap w:val="0"/>
            <w:vAlign w:val="center"/>
          </w:tcPr>
          <w:p w14:paraId="34A83B8A">
            <w:pPr>
              <w:widowControl/>
              <w:rPr>
                <w:rFonts w:hint="eastAsia" w:ascii="宋体" w:hAnsi="宋体" w:eastAsia="宋体" w:cs="宋体"/>
                <w:color w:val="000000"/>
                <w:kern w:val="0"/>
                <w:sz w:val="22"/>
                <w:highlight w:val="none"/>
              </w:rPr>
            </w:pPr>
            <w:r>
              <w:rPr>
                <w:rFonts w:hint="eastAsia" w:ascii="宋体" w:hAnsi="宋体" w:eastAsia="宋体" w:cs="宋体"/>
                <w:color w:val="000000"/>
                <w:kern w:val="0"/>
                <w:sz w:val="22"/>
                <w:highlight w:val="none"/>
              </w:rPr>
              <w:t>灰色；规格：立柱150*150*2.0mm八角、上下横杠</w:t>
            </w:r>
            <w:r>
              <w:rPr>
                <w:rFonts w:ascii="Cambria Math" w:hAnsi="Cambria Math" w:eastAsia="宋体" w:cs="Cambria Math"/>
                <w:color w:val="000000"/>
                <w:kern w:val="0"/>
                <w:sz w:val="22"/>
                <w:highlight w:val="none"/>
              </w:rPr>
              <w:t>∅</w:t>
            </w:r>
            <w:r>
              <w:rPr>
                <w:rFonts w:hint="eastAsia" w:ascii="宋体" w:hAnsi="宋体" w:eastAsia="宋体" w:cs="宋体"/>
                <w:color w:val="000000"/>
                <w:kern w:val="0"/>
                <w:sz w:val="22"/>
                <w:highlight w:val="none"/>
              </w:rPr>
              <w:t>76*1.5mm、底座400*300*150（20kg）、H：1200mm；底座铸铁，整体热镀锌，表面氟碳喷涂</w:t>
            </w:r>
          </w:p>
        </w:tc>
        <w:tc>
          <w:tcPr>
            <w:tcW w:w="709" w:type="dxa"/>
            <w:tcBorders>
              <w:top w:val="nil"/>
              <w:left w:val="nil"/>
              <w:bottom w:val="single" w:color="auto" w:sz="4" w:space="0"/>
              <w:right w:val="single" w:color="auto" w:sz="4" w:space="0"/>
            </w:tcBorders>
            <w:noWrap w:val="0"/>
            <w:vAlign w:val="center"/>
          </w:tcPr>
          <w:p w14:paraId="25C578AC">
            <w:pPr>
              <w:widowControl/>
              <w:jc w:val="center"/>
              <w:rPr>
                <w:rFonts w:hint="eastAsia" w:ascii="宋体" w:hAnsi="宋体" w:eastAsia="宋体" w:cs="宋体"/>
                <w:color w:val="000000"/>
                <w:kern w:val="0"/>
                <w:sz w:val="22"/>
                <w:highlight w:val="none"/>
              </w:rPr>
            </w:pPr>
            <w:r>
              <w:rPr>
                <w:rFonts w:hint="eastAsia" w:ascii="宋体" w:hAnsi="宋体" w:eastAsia="宋体" w:cs="宋体"/>
                <w:color w:val="000000"/>
                <w:kern w:val="0"/>
                <w:sz w:val="22"/>
                <w:highlight w:val="none"/>
              </w:rPr>
              <w:t>1750</w:t>
            </w:r>
          </w:p>
        </w:tc>
        <w:tc>
          <w:tcPr>
            <w:tcW w:w="709" w:type="dxa"/>
            <w:tcBorders>
              <w:top w:val="nil"/>
              <w:left w:val="nil"/>
              <w:bottom w:val="single" w:color="auto" w:sz="4" w:space="0"/>
              <w:right w:val="single" w:color="auto" w:sz="4" w:space="0"/>
            </w:tcBorders>
            <w:noWrap w:val="0"/>
            <w:vAlign w:val="center"/>
          </w:tcPr>
          <w:p w14:paraId="108F9D89">
            <w:pPr>
              <w:widowControl/>
              <w:jc w:val="center"/>
              <w:rPr>
                <w:rFonts w:hint="eastAsia" w:ascii="宋体" w:hAnsi="宋体" w:eastAsia="宋体" w:cs="宋体"/>
                <w:color w:val="000000"/>
                <w:kern w:val="0"/>
                <w:sz w:val="22"/>
                <w:highlight w:val="none"/>
              </w:rPr>
            </w:pPr>
            <w:r>
              <w:rPr>
                <w:rFonts w:hint="eastAsia" w:ascii="宋体" w:hAnsi="宋体" w:eastAsia="宋体" w:cs="宋体"/>
                <w:color w:val="000000"/>
                <w:kern w:val="0"/>
                <w:sz w:val="22"/>
                <w:highlight w:val="none"/>
              </w:rPr>
              <w:t>m</w:t>
            </w:r>
          </w:p>
        </w:tc>
        <w:tc>
          <w:tcPr>
            <w:tcW w:w="708" w:type="dxa"/>
            <w:tcBorders>
              <w:top w:val="nil"/>
              <w:left w:val="nil"/>
              <w:bottom w:val="single" w:color="auto" w:sz="4" w:space="0"/>
              <w:right w:val="single" w:color="auto" w:sz="4" w:space="0"/>
            </w:tcBorders>
            <w:noWrap w:val="0"/>
            <w:vAlign w:val="center"/>
          </w:tcPr>
          <w:p w14:paraId="64BCF4AE">
            <w:pPr>
              <w:widowControl/>
              <w:jc w:val="center"/>
              <w:rPr>
                <w:rFonts w:hint="eastAsia" w:ascii="宋体" w:hAnsi="宋体" w:eastAsia="宋体" w:cs="宋体"/>
                <w:color w:val="000000"/>
                <w:kern w:val="0"/>
                <w:sz w:val="22"/>
                <w:highlight w:val="none"/>
              </w:rPr>
            </w:pPr>
            <w:r>
              <w:rPr>
                <w:rFonts w:hint="eastAsia" w:ascii="宋体" w:hAnsi="宋体" w:eastAsia="宋体" w:cs="宋体"/>
                <w:color w:val="000000"/>
                <w:kern w:val="0"/>
                <w:sz w:val="22"/>
                <w:highlight w:val="none"/>
              </w:rPr>
              <w:t>215</w:t>
            </w:r>
          </w:p>
        </w:tc>
        <w:tc>
          <w:tcPr>
            <w:tcW w:w="851" w:type="dxa"/>
            <w:tcBorders>
              <w:top w:val="nil"/>
              <w:left w:val="nil"/>
              <w:bottom w:val="single" w:color="auto" w:sz="4" w:space="0"/>
              <w:right w:val="single" w:color="auto" w:sz="4" w:space="0"/>
            </w:tcBorders>
            <w:noWrap w:val="0"/>
            <w:vAlign w:val="center"/>
          </w:tcPr>
          <w:p w14:paraId="60EBFB26">
            <w:pPr>
              <w:widowControl/>
              <w:jc w:val="center"/>
              <w:rPr>
                <w:rFonts w:hint="eastAsia" w:ascii="宋体" w:hAnsi="宋体" w:eastAsia="宋体" w:cs="宋体"/>
                <w:color w:val="000000"/>
                <w:kern w:val="0"/>
                <w:sz w:val="20"/>
                <w:highlight w:val="none"/>
              </w:rPr>
            </w:pPr>
            <w:r>
              <w:rPr>
                <w:rFonts w:hint="eastAsia" w:ascii="宋体" w:hAnsi="宋体" w:eastAsia="宋体" w:cs="宋体"/>
                <w:color w:val="000000"/>
                <w:kern w:val="0"/>
                <w:sz w:val="20"/>
                <w:highlight w:val="none"/>
              </w:rPr>
              <w:t xml:space="preserve">¥376,250.00 </w:t>
            </w:r>
          </w:p>
        </w:tc>
      </w:tr>
      <w:tr w14:paraId="3CC8C032">
        <w:tblPrEx>
          <w:tblCellMar>
            <w:top w:w="0" w:type="dxa"/>
            <w:left w:w="108" w:type="dxa"/>
            <w:bottom w:w="0" w:type="dxa"/>
            <w:right w:w="108" w:type="dxa"/>
          </w:tblCellMar>
        </w:tblPrEx>
        <w:trPr>
          <w:trHeight w:val="640" w:hRule="atLeast"/>
        </w:trPr>
        <w:tc>
          <w:tcPr>
            <w:tcW w:w="1134" w:type="dxa"/>
            <w:vMerge w:val="continue"/>
            <w:tcBorders>
              <w:top w:val="single" w:color="auto" w:sz="4" w:space="0"/>
              <w:left w:val="single" w:color="auto" w:sz="4" w:space="0"/>
              <w:bottom w:val="single" w:color="auto" w:sz="4" w:space="0"/>
              <w:right w:val="single" w:color="auto" w:sz="4" w:space="0"/>
            </w:tcBorders>
            <w:noWrap w:val="0"/>
            <w:vAlign w:val="center"/>
          </w:tcPr>
          <w:p w14:paraId="38A68299">
            <w:pPr>
              <w:widowControl/>
              <w:jc w:val="left"/>
              <w:rPr>
                <w:rFonts w:ascii="宋体" w:hAnsi="宋体" w:eastAsia="宋体" w:cs="宋体"/>
                <w:color w:val="000000"/>
                <w:kern w:val="0"/>
                <w:sz w:val="22"/>
                <w:highlight w:val="none"/>
              </w:rPr>
            </w:pPr>
          </w:p>
        </w:tc>
        <w:tc>
          <w:tcPr>
            <w:tcW w:w="1560" w:type="dxa"/>
            <w:tcBorders>
              <w:top w:val="nil"/>
              <w:left w:val="nil"/>
              <w:bottom w:val="single" w:color="auto" w:sz="4" w:space="0"/>
              <w:right w:val="single" w:color="auto" w:sz="4" w:space="0"/>
            </w:tcBorders>
            <w:noWrap w:val="0"/>
            <w:vAlign w:val="center"/>
          </w:tcPr>
          <w:p w14:paraId="3D98ED98">
            <w:pPr>
              <w:widowControl/>
              <w:jc w:val="center"/>
              <w:rPr>
                <w:rFonts w:ascii="宋体" w:hAnsi="宋体" w:eastAsia="宋体" w:cs="宋体"/>
                <w:color w:val="000000"/>
                <w:kern w:val="0"/>
                <w:sz w:val="22"/>
                <w:highlight w:val="none"/>
              </w:rPr>
            </w:pPr>
            <w:r>
              <w:rPr>
                <w:rFonts w:hint="eastAsia" w:ascii="宋体" w:hAnsi="宋体" w:eastAsia="宋体" w:cs="宋体"/>
                <w:color w:val="000000"/>
                <w:kern w:val="0"/>
                <w:sz w:val="22"/>
                <w:highlight w:val="none"/>
              </w:rPr>
              <w:t>拆除机非护栏(灰色)</w:t>
            </w:r>
          </w:p>
        </w:tc>
        <w:tc>
          <w:tcPr>
            <w:tcW w:w="4252" w:type="dxa"/>
            <w:tcBorders>
              <w:top w:val="nil"/>
              <w:left w:val="nil"/>
              <w:bottom w:val="single" w:color="auto" w:sz="4" w:space="0"/>
              <w:right w:val="single" w:color="auto" w:sz="4" w:space="0"/>
            </w:tcBorders>
            <w:noWrap w:val="0"/>
            <w:vAlign w:val="center"/>
          </w:tcPr>
          <w:p w14:paraId="7CC180AA">
            <w:pPr>
              <w:widowControl/>
              <w:rPr>
                <w:rFonts w:hint="eastAsia" w:ascii="宋体" w:hAnsi="宋体" w:eastAsia="宋体" w:cs="宋体"/>
                <w:color w:val="000000"/>
                <w:kern w:val="0"/>
                <w:sz w:val="22"/>
                <w:highlight w:val="none"/>
              </w:rPr>
            </w:pPr>
            <w:r>
              <w:rPr>
                <w:rFonts w:hint="eastAsia" w:ascii="宋体" w:hAnsi="宋体" w:eastAsia="宋体" w:cs="宋体"/>
                <w:color w:val="000000"/>
                <w:kern w:val="0"/>
                <w:sz w:val="22"/>
                <w:highlight w:val="none"/>
              </w:rPr>
              <w:t>拆除；规格：立柱150*150*2.0mm八角、上下横杠</w:t>
            </w:r>
            <w:r>
              <w:rPr>
                <w:rFonts w:ascii="Cambria Math" w:hAnsi="Cambria Math" w:eastAsia="宋体" w:cs="Cambria Math"/>
                <w:color w:val="000000"/>
                <w:kern w:val="0"/>
                <w:sz w:val="22"/>
                <w:highlight w:val="none"/>
              </w:rPr>
              <w:t>∅</w:t>
            </w:r>
            <w:r>
              <w:rPr>
                <w:rFonts w:hint="eastAsia" w:ascii="宋体" w:hAnsi="宋体" w:eastAsia="宋体" w:cs="宋体"/>
                <w:color w:val="000000"/>
                <w:kern w:val="0"/>
                <w:sz w:val="22"/>
                <w:highlight w:val="none"/>
              </w:rPr>
              <w:t>76*1.5mm、底座400*300*150（20kg）；底座铸铁，整体热镀锌，表面氟碳喷涂</w:t>
            </w:r>
          </w:p>
        </w:tc>
        <w:tc>
          <w:tcPr>
            <w:tcW w:w="709" w:type="dxa"/>
            <w:tcBorders>
              <w:top w:val="nil"/>
              <w:left w:val="nil"/>
              <w:bottom w:val="single" w:color="auto" w:sz="4" w:space="0"/>
              <w:right w:val="single" w:color="auto" w:sz="4" w:space="0"/>
            </w:tcBorders>
            <w:noWrap w:val="0"/>
            <w:vAlign w:val="center"/>
          </w:tcPr>
          <w:p w14:paraId="2BC9F116">
            <w:pPr>
              <w:widowControl/>
              <w:jc w:val="center"/>
              <w:rPr>
                <w:rFonts w:hint="eastAsia" w:ascii="宋体" w:hAnsi="宋体" w:eastAsia="宋体" w:cs="宋体"/>
                <w:color w:val="000000"/>
                <w:kern w:val="0"/>
                <w:sz w:val="22"/>
                <w:highlight w:val="none"/>
              </w:rPr>
            </w:pPr>
            <w:r>
              <w:rPr>
                <w:rFonts w:hint="eastAsia" w:ascii="宋体" w:hAnsi="宋体" w:eastAsia="宋体" w:cs="宋体"/>
                <w:color w:val="000000"/>
                <w:kern w:val="0"/>
                <w:sz w:val="22"/>
                <w:highlight w:val="none"/>
              </w:rPr>
              <w:t>2505</w:t>
            </w:r>
          </w:p>
        </w:tc>
        <w:tc>
          <w:tcPr>
            <w:tcW w:w="709" w:type="dxa"/>
            <w:tcBorders>
              <w:top w:val="nil"/>
              <w:left w:val="nil"/>
              <w:bottom w:val="single" w:color="auto" w:sz="4" w:space="0"/>
              <w:right w:val="single" w:color="auto" w:sz="4" w:space="0"/>
            </w:tcBorders>
            <w:noWrap w:val="0"/>
            <w:vAlign w:val="center"/>
          </w:tcPr>
          <w:p w14:paraId="696D5CE4">
            <w:pPr>
              <w:widowControl/>
              <w:jc w:val="center"/>
              <w:rPr>
                <w:rFonts w:hint="eastAsia" w:ascii="宋体" w:hAnsi="宋体" w:eastAsia="宋体" w:cs="宋体"/>
                <w:color w:val="000000"/>
                <w:kern w:val="0"/>
                <w:sz w:val="22"/>
                <w:highlight w:val="none"/>
              </w:rPr>
            </w:pPr>
            <w:r>
              <w:rPr>
                <w:rFonts w:hint="eastAsia" w:ascii="宋体" w:hAnsi="宋体" w:eastAsia="宋体" w:cs="宋体"/>
                <w:color w:val="000000"/>
                <w:kern w:val="0"/>
                <w:sz w:val="22"/>
                <w:highlight w:val="none"/>
              </w:rPr>
              <w:t>m</w:t>
            </w:r>
          </w:p>
        </w:tc>
        <w:tc>
          <w:tcPr>
            <w:tcW w:w="708" w:type="dxa"/>
            <w:tcBorders>
              <w:top w:val="nil"/>
              <w:left w:val="nil"/>
              <w:bottom w:val="single" w:color="auto" w:sz="4" w:space="0"/>
              <w:right w:val="single" w:color="auto" w:sz="4" w:space="0"/>
            </w:tcBorders>
            <w:noWrap w:val="0"/>
            <w:vAlign w:val="center"/>
          </w:tcPr>
          <w:p w14:paraId="30EAD33A">
            <w:pPr>
              <w:widowControl/>
              <w:jc w:val="center"/>
              <w:rPr>
                <w:rFonts w:hint="eastAsia" w:ascii="宋体" w:hAnsi="宋体" w:eastAsia="宋体" w:cs="宋体"/>
                <w:color w:val="000000"/>
                <w:kern w:val="0"/>
                <w:sz w:val="22"/>
                <w:highlight w:val="none"/>
              </w:rPr>
            </w:pPr>
            <w:r>
              <w:rPr>
                <w:rFonts w:hint="eastAsia" w:ascii="宋体" w:hAnsi="宋体" w:eastAsia="宋体" w:cs="宋体"/>
                <w:color w:val="000000"/>
                <w:kern w:val="0"/>
                <w:sz w:val="22"/>
                <w:highlight w:val="none"/>
              </w:rPr>
              <w:t>15</w:t>
            </w:r>
          </w:p>
        </w:tc>
        <w:tc>
          <w:tcPr>
            <w:tcW w:w="851" w:type="dxa"/>
            <w:tcBorders>
              <w:top w:val="nil"/>
              <w:left w:val="nil"/>
              <w:bottom w:val="single" w:color="auto" w:sz="4" w:space="0"/>
              <w:right w:val="single" w:color="auto" w:sz="4" w:space="0"/>
            </w:tcBorders>
            <w:noWrap w:val="0"/>
            <w:vAlign w:val="center"/>
          </w:tcPr>
          <w:p w14:paraId="2F6F4D77">
            <w:pPr>
              <w:widowControl/>
              <w:jc w:val="center"/>
              <w:rPr>
                <w:rFonts w:hint="eastAsia" w:ascii="宋体" w:hAnsi="宋体" w:eastAsia="宋体" w:cs="宋体"/>
                <w:color w:val="000000"/>
                <w:kern w:val="0"/>
                <w:sz w:val="20"/>
                <w:highlight w:val="none"/>
              </w:rPr>
            </w:pPr>
            <w:r>
              <w:rPr>
                <w:rFonts w:hint="eastAsia" w:ascii="宋体" w:hAnsi="宋体" w:eastAsia="宋体" w:cs="宋体"/>
                <w:color w:val="000000"/>
                <w:kern w:val="0"/>
                <w:sz w:val="20"/>
                <w:highlight w:val="none"/>
              </w:rPr>
              <w:t xml:space="preserve">¥37,575.00 </w:t>
            </w:r>
          </w:p>
        </w:tc>
      </w:tr>
      <w:tr w14:paraId="227ED454">
        <w:tblPrEx>
          <w:tblCellMar>
            <w:top w:w="0" w:type="dxa"/>
            <w:left w:w="108" w:type="dxa"/>
            <w:bottom w:w="0" w:type="dxa"/>
            <w:right w:w="108" w:type="dxa"/>
          </w:tblCellMar>
        </w:tblPrEx>
        <w:trPr>
          <w:trHeight w:val="540" w:hRule="atLeast"/>
        </w:trPr>
        <w:tc>
          <w:tcPr>
            <w:tcW w:w="1134" w:type="dxa"/>
            <w:vMerge w:val="continue"/>
            <w:tcBorders>
              <w:top w:val="single" w:color="auto" w:sz="4" w:space="0"/>
              <w:left w:val="single" w:color="auto" w:sz="4" w:space="0"/>
              <w:bottom w:val="single" w:color="auto" w:sz="4" w:space="0"/>
              <w:right w:val="single" w:color="auto" w:sz="4" w:space="0"/>
            </w:tcBorders>
            <w:noWrap w:val="0"/>
            <w:vAlign w:val="center"/>
          </w:tcPr>
          <w:p w14:paraId="338531B9">
            <w:pPr>
              <w:widowControl/>
              <w:jc w:val="left"/>
              <w:rPr>
                <w:rFonts w:ascii="宋体" w:hAnsi="宋体" w:eastAsia="宋体" w:cs="宋体"/>
                <w:color w:val="000000"/>
                <w:kern w:val="0"/>
                <w:sz w:val="22"/>
                <w:highlight w:val="none"/>
              </w:rPr>
            </w:pPr>
          </w:p>
        </w:tc>
        <w:tc>
          <w:tcPr>
            <w:tcW w:w="1560" w:type="dxa"/>
            <w:tcBorders>
              <w:top w:val="nil"/>
              <w:left w:val="nil"/>
              <w:bottom w:val="single" w:color="auto" w:sz="4" w:space="0"/>
              <w:right w:val="single" w:color="auto" w:sz="4" w:space="0"/>
            </w:tcBorders>
            <w:noWrap w:val="0"/>
            <w:vAlign w:val="center"/>
          </w:tcPr>
          <w:p w14:paraId="17EA9570">
            <w:pPr>
              <w:widowControl/>
              <w:jc w:val="center"/>
              <w:rPr>
                <w:rFonts w:ascii="宋体" w:hAnsi="宋体" w:eastAsia="宋体" w:cs="宋体"/>
                <w:color w:val="000000"/>
                <w:kern w:val="0"/>
                <w:sz w:val="22"/>
                <w:highlight w:val="none"/>
              </w:rPr>
            </w:pPr>
            <w:r>
              <w:rPr>
                <w:rFonts w:hint="eastAsia" w:ascii="宋体" w:hAnsi="宋体" w:eastAsia="宋体" w:cs="宋体"/>
                <w:color w:val="000000"/>
                <w:kern w:val="0"/>
                <w:sz w:val="22"/>
                <w:highlight w:val="none"/>
              </w:rPr>
              <w:t>移动机非护栏(灰色)</w:t>
            </w:r>
          </w:p>
        </w:tc>
        <w:tc>
          <w:tcPr>
            <w:tcW w:w="4252" w:type="dxa"/>
            <w:tcBorders>
              <w:top w:val="nil"/>
              <w:left w:val="nil"/>
              <w:bottom w:val="single" w:color="auto" w:sz="4" w:space="0"/>
              <w:right w:val="single" w:color="auto" w:sz="4" w:space="0"/>
            </w:tcBorders>
            <w:noWrap w:val="0"/>
            <w:vAlign w:val="center"/>
          </w:tcPr>
          <w:p w14:paraId="21A9DA8C">
            <w:pPr>
              <w:widowControl/>
              <w:rPr>
                <w:rFonts w:hint="eastAsia" w:ascii="宋体" w:hAnsi="宋体" w:eastAsia="宋体" w:cs="宋体"/>
                <w:color w:val="000000"/>
                <w:kern w:val="0"/>
                <w:sz w:val="22"/>
                <w:highlight w:val="none"/>
              </w:rPr>
            </w:pPr>
            <w:r>
              <w:rPr>
                <w:rFonts w:hint="eastAsia" w:ascii="宋体" w:hAnsi="宋体" w:eastAsia="宋体" w:cs="宋体"/>
                <w:color w:val="000000"/>
                <w:kern w:val="0"/>
                <w:sz w:val="22"/>
                <w:highlight w:val="none"/>
              </w:rPr>
              <w:t>移动；H：1150mm（含拆除、运输及安装）；底座铸铁，整体热镀锌，表面氟碳喷涂</w:t>
            </w:r>
          </w:p>
        </w:tc>
        <w:tc>
          <w:tcPr>
            <w:tcW w:w="709" w:type="dxa"/>
            <w:tcBorders>
              <w:top w:val="nil"/>
              <w:left w:val="nil"/>
              <w:bottom w:val="single" w:color="auto" w:sz="4" w:space="0"/>
              <w:right w:val="single" w:color="auto" w:sz="4" w:space="0"/>
            </w:tcBorders>
            <w:noWrap w:val="0"/>
            <w:vAlign w:val="center"/>
          </w:tcPr>
          <w:p w14:paraId="5730E275">
            <w:pPr>
              <w:widowControl/>
              <w:jc w:val="center"/>
              <w:rPr>
                <w:rFonts w:hint="eastAsia" w:ascii="宋体" w:hAnsi="宋体" w:eastAsia="宋体" w:cs="宋体"/>
                <w:color w:val="000000"/>
                <w:kern w:val="0"/>
                <w:sz w:val="22"/>
                <w:highlight w:val="none"/>
              </w:rPr>
            </w:pPr>
            <w:r>
              <w:rPr>
                <w:rFonts w:hint="eastAsia" w:ascii="宋体" w:hAnsi="宋体" w:eastAsia="宋体" w:cs="宋体"/>
                <w:color w:val="000000"/>
                <w:kern w:val="0"/>
                <w:sz w:val="22"/>
                <w:highlight w:val="none"/>
              </w:rPr>
              <w:t>267</w:t>
            </w:r>
          </w:p>
        </w:tc>
        <w:tc>
          <w:tcPr>
            <w:tcW w:w="709" w:type="dxa"/>
            <w:tcBorders>
              <w:top w:val="nil"/>
              <w:left w:val="nil"/>
              <w:bottom w:val="single" w:color="auto" w:sz="4" w:space="0"/>
              <w:right w:val="single" w:color="auto" w:sz="4" w:space="0"/>
            </w:tcBorders>
            <w:noWrap w:val="0"/>
            <w:vAlign w:val="center"/>
          </w:tcPr>
          <w:p w14:paraId="7D2E3FF7">
            <w:pPr>
              <w:widowControl/>
              <w:jc w:val="center"/>
              <w:rPr>
                <w:rFonts w:hint="eastAsia" w:ascii="宋体" w:hAnsi="宋体" w:eastAsia="宋体" w:cs="宋体"/>
                <w:color w:val="000000"/>
                <w:kern w:val="0"/>
                <w:sz w:val="22"/>
                <w:highlight w:val="none"/>
              </w:rPr>
            </w:pPr>
            <w:r>
              <w:rPr>
                <w:rFonts w:hint="eastAsia" w:ascii="宋体" w:hAnsi="宋体" w:eastAsia="宋体" w:cs="宋体"/>
                <w:color w:val="000000"/>
                <w:kern w:val="0"/>
                <w:sz w:val="22"/>
                <w:highlight w:val="none"/>
              </w:rPr>
              <w:t>m</w:t>
            </w:r>
          </w:p>
        </w:tc>
        <w:tc>
          <w:tcPr>
            <w:tcW w:w="708" w:type="dxa"/>
            <w:tcBorders>
              <w:top w:val="nil"/>
              <w:left w:val="nil"/>
              <w:bottom w:val="single" w:color="auto" w:sz="4" w:space="0"/>
              <w:right w:val="single" w:color="auto" w:sz="4" w:space="0"/>
            </w:tcBorders>
            <w:noWrap w:val="0"/>
            <w:vAlign w:val="center"/>
          </w:tcPr>
          <w:p w14:paraId="54602C99">
            <w:pPr>
              <w:widowControl/>
              <w:jc w:val="center"/>
              <w:rPr>
                <w:rFonts w:hint="eastAsia" w:ascii="宋体" w:hAnsi="宋体" w:eastAsia="宋体" w:cs="宋体"/>
                <w:color w:val="000000"/>
                <w:kern w:val="0"/>
                <w:sz w:val="22"/>
                <w:highlight w:val="none"/>
              </w:rPr>
            </w:pPr>
            <w:r>
              <w:rPr>
                <w:rFonts w:hint="eastAsia" w:ascii="宋体" w:hAnsi="宋体" w:eastAsia="宋体" w:cs="宋体"/>
                <w:color w:val="000000"/>
                <w:kern w:val="0"/>
                <w:sz w:val="22"/>
                <w:highlight w:val="none"/>
              </w:rPr>
              <w:t>30</w:t>
            </w:r>
          </w:p>
        </w:tc>
        <w:tc>
          <w:tcPr>
            <w:tcW w:w="851" w:type="dxa"/>
            <w:tcBorders>
              <w:top w:val="nil"/>
              <w:left w:val="nil"/>
              <w:bottom w:val="single" w:color="auto" w:sz="4" w:space="0"/>
              <w:right w:val="single" w:color="auto" w:sz="4" w:space="0"/>
            </w:tcBorders>
            <w:noWrap w:val="0"/>
            <w:vAlign w:val="center"/>
          </w:tcPr>
          <w:p w14:paraId="3597150F">
            <w:pPr>
              <w:widowControl/>
              <w:jc w:val="center"/>
              <w:rPr>
                <w:rFonts w:hint="eastAsia" w:ascii="宋体" w:hAnsi="宋体" w:eastAsia="宋体" w:cs="宋体"/>
                <w:color w:val="000000"/>
                <w:kern w:val="0"/>
                <w:sz w:val="20"/>
                <w:highlight w:val="none"/>
              </w:rPr>
            </w:pPr>
            <w:r>
              <w:rPr>
                <w:rFonts w:hint="eastAsia" w:ascii="宋体" w:hAnsi="宋体" w:eastAsia="宋体" w:cs="宋体"/>
                <w:color w:val="000000"/>
                <w:kern w:val="0"/>
                <w:sz w:val="20"/>
                <w:highlight w:val="none"/>
              </w:rPr>
              <w:t xml:space="preserve">¥8,010.00 </w:t>
            </w:r>
          </w:p>
        </w:tc>
      </w:tr>
      <w:tr w14:paraId="6313725B">
        <w:tblPrEx>
          <w:tblCellMar>
            <w:top w:w="0" w:type="dxa"/>
            <w:left w:w="108" w:type="dxa"/>
            <w:bottom w:w="0" w:type="dxa"/>
            <w:right w:w="108" w:type="dxa"/>
          </w:tblCellMar>
        </w:tblPrEx>
        <w:trPr>
          <w:trHeight w:val="540" w:hRule="atLeast"/>
        </w:trPr>
        <w:tc>
          <w:tcPr>
            <w:tcW w:w="1134" w:type="dxa"/>
            <w:vMerge w:val="continue"/>
            <w:tcBorders>
              <w:top w:val="single" w:color="auto" w:sz="4" w:space="0"/>
              <w:left w:val="single" w:color="auto" w:sz="4" w:space="0"/>
              <w:bottom w:val="single" w:color="auto" w:sz="4" w:space="0"/>
              <w:right w:val="single" w:color="auto" w:sz="4" w:space="0"/>
            </w:tcBorders>
            <w:noWrap w:val="0"/>
            <w:vAlign w:val="center"/>
          </w:tcPr>
          <w:p w14:paraId="0B035F5E">
            <w:pPr>
              <w:widowControl/>
              <w:jc w:val="left"/>
              <w:rPr>
                <w:rFonts w:ascii="宋体" w:hAnsi="宋体" w:eastAsia="宋体" w:cs="宋体"/>
                <w:color w:val="000000"/>
                <w:kern w:val="0"/>
                <w:sz w:val="22"/>
                <w:highlight w:val="none"/>
              </w:rPr>
            </w:pPr>
          </w:p>
        </w:tc>
        <w:tc>
          <w:tcPr>
            <w:tcW w:w="1560" w:type="dxa"/>
            <w:tcBorders>
              <w:top w:val="nil"/>
              <w:left w:val="nil"/>
              <w:bottom w:val="single" w:color="auto" w:sz="4" w:space="0"/>
              <w:right w:val="single" w:color="auto" w:sz="4" w:space="0"/>
            </w:tcBorders>
            <w:noWrap w:val="0"/>
            <w:vAlign w:val="center"/>
          </w:tcPr>
          <w:p w14:paraId="793CF516">
            <w:pPr>
              <w:widowControl/>
              <w:jc w:val="center"/>
              <w:rPr>
                <w:rFonts w:ascii="宋体" w:hAnsi="宋体" w:eastAsia="宋体" w:cs="宋体"/>
                <w:color w:val="000000"/>
                <w:kern w:val="0"/>
                <w:sz w:val="22"/>
                <w:highlight w:val="none"/>
              </w:rPr>
            </w:pPr>
            <w:r>
              <w:rPr>
                <w:rFonts w:hint="eastAsia" w:ascii="宋体" w:hAnsi="宋体" w:eastAsia="宋体" w:cs="宋体"/>
                <w:color w:val="000000"/>
                <w:kern w:val="0"/>
                <w:sz w:val="22"/>
                <w:highlight w:val="none"/>
              </w:rPr>
              <w:t>机非护栏端头反光警示柱</w:t>
            </w:r>
          </w:p>
        </w:tc>
        <w:tc>
          <w:tcPr>
            <w:tcW w:w="4252" w:type="dxa"/>
            <w:tcBorders>
              <w:top w:val="nil"/>
              <w:left w:val="nil"/>
              <w:bottom w:val="single" w:color="auto" w:sz="4" w:space="0"/>
              <w:right w:val="single" w:color="auto" w:sz="4" w:space="0"/>
            </w:tcBorders>
            <w:noWrap w:val="0"/>
            <w:vAlign w:val="center"/>
          </w:tcPr>
          <w:p w14:paraId="32939812">
            <w:pPr>
              <w:widowControl/>
              <w:rPr>
                <w:rFonts w:hint="eastAsia" w:ascii="宋体" w:hAnsi="宋体" w:eastAsia="宋体" w:cs="宋体"/>
                <w:color w:val="000000"/>
                <w:kern w:val="0"/>
                <w:sz w:val="22"/>
                <w:highlight w:val="none"/>
              </w:rPr>
            </w:pPr>
            <w:r>
              <w:rPr>
                <w:rFonts w:hint="eastAsia" w:ascii="宋体" w:hAnsi="宋体" w:eastAsia="宋体" w:cs="宋体"/>
                <w:color w:val="000000"/>
                <w:kern w:val="0"/>
                <w:sz w:val="22"/>
                <w:highlight w:val="none"/>
              </w:rPr>
              <w:t>H800*3mm（含机械钻孔，注浆）</w:t>
            </w:r>
          </w:p>
        </w:tc>
        <w:tc>
          <w:tcPr>
            <w:tcW w:w="709" w:type="dxa"/>
            <w:tcBorders>
              <w:top w:val="nil"/>
              <w:left w:val="nil"/>
              <w:bottom w:val="single" w:color="auto" w:sz="4" w:space="0"/>
              <w:right w:val="single" w:color="auto" w:sz="4" w:space="0"/>
            </w:tcBorders>
            <w:noWrap w:val="0"/>
            <w:vAlign w:val="center"/>
          </w:tcPr>
          <w:p w14:paraId="27C52A0A">
            <w:pPr>
              <w:widowControl/>
              <w:jc w:val="center"/>
              <w:rPr>
                <w:rFonts w:hint="eastAsia" w:ascii="宋体" w:hAnsi="宋体" w:eastAsia="宋体" w:cs="宋体"/>
                <w:color w:val="000000"/>
                <w:kern w:val="0"/>
                <w:sz w:val="22"/>
                <w:highlight w:val="none"/>
              </w:rPr>
            </w:pPr>
            <w:r>
              <w:rPr>
                <w:rFonts w:hint="eastAsia" w:ascii="宋体" w:hAnsi="宋体" w:eastAsia="宋体" w:cs="宋体"/>
                <w:color w:val="000000"/>
                <w:kern w:val="0"/>
                <w:sz w:val="22"/>
                <w:highlight w:val="none"/>
              </w:rPr>
              <w:t>28</w:t>
            </w:r>
          </w:p>
        </w:tc>
        <w:tc>
          <w:tcPr>
            <w:tcW w:w="709" w:type="dxa"/>
            <w:tcBorders>
              <w:top w:val="nil"/>
              <w:left w:val="nil"/>
              <w:bottom w:val="single" w:color="auto" w:sz="4" w:space="0"/>
              <w:right w:val="single" w:color="auto" w:sz="4" w:space="0"/>
            </w:tcBorders>
            <w:noWrap w:val="0"/>
            <w:vAlign w:val="center"/>
          </w:tcPr>
          <w:p w14:paraId="264854EF">
            <w:pPr>
              <w:widowControl/>
              <w:jc w:val="center"/>
              <w:rPr>
                <w:rFonts w:hint="eastAsia" w:ascii="宋体" w:hAnsi="宋体" w:eastAsia="宋体" w:cs="宋体"/>
                <w:color w:val="000000"/>
                <w:kern w:val="0"/>
                <w:sz w:val="22"/>
                <w:highlight w:val="none"/>
              </w:rPr>
            </w:pPr>
            <w:r>
              <w:rPr>
                <w:rFonts w:hint="eastAsia" w:ascii="宋体" w:hAnsi="宋体" w:eastAsia="宋体" w:cs="宋体"/>
                <w:color w:val="000000"/>
                <w:kern w:val="0"/>
                <w:sz w:val="22"/>
                <w:highlight w:val="none"/>
              </w:rPr>
              <w:t>根</w:t>
            </w:r>
          </w:p>
        </w:tc>
        <w:tc>
          <w:tcPr>
            <w:tcW w:w="708" w:type="dxa"/>
            <w:tcBorders>
              <w:top w:val="nil"/>
              <w:left w:val="nil"/>
              <w:bottom w:val="single" w:color="auto" w:sz="4" w:space="0"/>
              <w:right w:val="single" w:color="auto" w:sz="4" w:space="0"/>
            </w:tcBorders>
            <w:noWrap w:val="0"/>
            <w:vAlign w:val="center"/>
          </w:tcPr>
          <w:p w14:paraId="0FC574B5">
            <w:pPr>
              <w:widowControl/>
              <w:jc w:val="center"/>
              <w:rPr>
                <w:rFonts w:hint="eastAsia" w:ascii="宋体" w:hAnsi="宋体" w:eastAsia="宋体" w:cs="宋体"/>
                <w:color w:val="000000"/>
                <w:kern w:val="0"/>
                <w:sz w:val="22"/>
                <w:highlight w:val="none"/>
              </w:rPr>
            </w:pPr>
            <w:r>
              <w:rPr>
                <w:rFonts w:hint="eastAsia" w:ascii="宋体" w:hAnsi="宋体" w:eastAsia="宋体" w:cs="宋体"/>
                <w:color w:val="000000"/>
                <w:kern w:val="0"/>
                <w:sz w:val="22"/>
                <w:highlight w:val="none"/>
              </w:rPr>
              <w:t>150</w:t>
            </w:r>
          </w:p>
        </w:tc>
        <w:tc>
          <w:tcPr>
            <w:tcW w:w="851" w:type="dxa"/>
            <w:tcBorders>
              <w:top w:val="nil"/>
              <w:left w:val="nil"/>
              <w:bottom w:val="single" w:color="auto" w:sz="4" w:space="0"/>
              <w:right w:val="single" w:color="auto" w:sz="4" w:space="0"/>
            </w:tcBorders>
            <w:noWrap w:val="0"/>
            <w:vAlign w:val="center"/>
          </w:tcPr>
          <w:p w14:paraId="5ED6A077">
            <w:pPr>
              <w:widowControl/>
              <w:jc w:val="center"/>
              <w:rPr>
                <w:rFonts w:hint="eastAsia" w:ascii="宋体" w:hAnsi="宋体" w:eastAsia="宋体" w:cs="宋体"/>
                <w:color w:val="000000"/>
                <w:kern w:val="0"/>
                <w:sz w:val="20"/>
                <w:highlight w:val="none"/>
              </w:rPr>
            </w:pPr>
            <w:r>
              <w:rPr>
                <w:rFonts w:hint="eastAsia" w:ascii="宋体" w:hAnsi="宋体" w:eastAsia="宋体" w:cs="宋体"/>
                <w:color w:val="000000"/>
                <w:kern w:val="0"/>
                <w:sz w:val="20"/>
                <w:highlight w:val="none"/>
              </w:rPr>
              <w:t xml:space="preserve">¥4,200.00 </w:t>
            </w:r>
          </w:p>
        </w:tc>
      </w:tr>
      <w:tr w14:paraId="3CA521DE">
        <w:tblPrEx>
          <w:tblCellMar>
            <w:top w:w="0" w:type="dxa"/>
            <w:left w:w="108" w:type="dxa"/>
            <w:bottom w:w="0" w:type="dxa"/>
            <w:right w:w="108" w:type="dxa"/>
          </w:tblCellMar>
        </w:tblPrEx>
        <w:trPr>
          <w:trHeight w:val="441" w:hRule="atLeast"/>
        </w:trPr>
        <w:tc>
          <w:tcPr>
            <w:tcW w:w="1134" w:type="dxa"/>
            <w:vMerge w:val="continue"/>
            <w:tcBorders>
              <w:top w:val="single" w:color="auto" w:sz="4" w:space="0"/>
              <w:left w:val="single" w:color="auto" w:sz="4" w:space="0"/>
              <w:bottom w:val="single" w:color="auto" w:sz="4" w:space="0"/>
              <w:right w:val="single" w:color="auto" w:sz="4" w:space="0"/>
            </w:tcBorders>
            <w:noWrap w:val="0"/>
            <w:vAlign w:val="center"/>
          </w:tcPr>
          <w:p w14:paraId="2C90C527">
            <w:pPr>
              <w:widowControl/>
              <w:jc w:val="left"/>
              <w:rPr>
                <w:rFonts w:ascii="宋体" w:hAnsi="宋体" w:eastAsia="宋体" w:cs="宋体"/>
                <w:color w:val="000000"/>
                <w:kern w:val="0"/>
                <w:sz w:val="22"/>
                <w:highlight w:val="none"/>
              </w:rPr>
            </w:pPr>
          </w:p>
        </w:tc>
        <w:tc>
          <w:tcPr>
            <w:tcW w:w="1560" w:type="dxa"/>
            <w:tcBorders>
              <w:top w:val="nil"/>
              <w:left w:val="nil"/>
              <w:bottom w:val="single" w:color="auto" w:sz="4" w:space="0"/>
              <w:right w:val="single" w:color="auto" w:sz="4" w:space="0"/>
            </w:tcBorders>
            <w:noWrap w:val="0"/>
            <w:vAlign w:val="center"/>
          </w:tcPr>
          <w:p w14:paraId="7BADCB33">
            <w:pPr>
              <w:widowControl/>
              <w:jc w:val="center"/>
              <w:rPr>
                <w:rFonts w:ascii="宋体" w:hAnsi="宋体" w:eastAsia="宋体" w:cs="宋体"/>
                <w:color w:val="000000"/>
                <w:kern w:val="0"/>
                <w:sz w:val="22"/>
                <w:highlight w:val="none"/>
              </w:rPr>
            </w:pPr>
            <w:r>
              <w:rPr>
                <w:rFonts w:hint="eastAsia" w:ascii="宋体" w:hAnsi="宋体" w:eastAsia="宋体" w:cs="宋体"/>
                <w:color w:val="000000"/>
                <w:kern w:val="0"/>
                <w:sz w:val="22"/>
                <w:highlight w:val="none"/>
              </w:rPr>
              <w:t>中央护栏端头</w:t>
            </w:r>
          </w:p>
        </w:tc>
        <w:tc>
          <w:tcPr>
            <w:tcW w:w="4252" w:type="dxa"/>
            <w:tcBorders>
              <w:top w:val="nil"/>
              <w:left w:val="nil"/>
              <w:bottom w:val="single" w:color="auto" w:sz="4" w:space="0"/>
              <w:right w:val="single" w:color="auto" w:sz="4" w:space="0"/>
            </w:tcBorders>
            <w:noWrap w:val="0"/>
            <w:vAlign w:val="center"/>
          </w:tcPr>
          <w:p w14:paraId="340F5098">
            <w:pPr>
              <w:widowControl/>
              <w:rPr>
                <w:rFonts w:hint="eastAsia" w:ascii="宋体" w:hAnsi="宋体" w:eastAsia="宋体" w:cs="宋体"/>
                <w:color w:val="000000"/>
                <w:kern w:val="0"/>
                <w:sz w:val="22"/>
                <w:highlight w:val="none"/>
              </w:rPr>
            </w:pPr>
            <w:r>
              <w:rPr>
                <w:rFonts w:hint="eastAsia" w:ascii="宋体" w:hAnsi="宋体" w:eastAsia="宋体" w:cs="宋体"/>
                <w:color w:val="000000"/>
                <w:kern w:val="0"/>
                <w:sz w:val="22"/>
                <w:highlight w:val="none"/>
              </w:rPr>
              <w:t>H2500mm，铁型材+高透光性聚碳酸酯 PC，含太阳能板及蓄电池</w:t>
            </w:r>
          </w:p>
        </w:tc>
        <w:tc>
          <w:tcPr>
            <w:tcW w:w="709" w:type="dxa"/>
            <w:tcBorders>
              <w:top w:val="nil"/>
              <w:left w:val="nil"/>
              <w:bottom w:val="single" w:color="auto" w:sz="4" w:space="0"/>
              <w:right w:val="single" w:color="auto" w:sz="4" w:space="0"/>
            </w:tcBorders>
            <w:noWrap w:val="0"/>
            <w:vAlign w:val="center"/>
          </w:tcPr>
          <w:p w14:paraId="353B747A">
            <w:pPr>
              <w:widowControl/>
              <w:jc w:val="center"/>
              <w:rPr>
                <w:rFonts w:hint="eastAsia" w:ascii="宋体" w:hAnsi="宋体" w:eastAsia="宋体" w:cs="宋体"/>
                <w:color w:val="000000"/>
                <w:kern w:val="0"/>
                <w:sz w:val="22"/>
                <w:highlight w:val="none"/>
              </w:rPr>
            </w:pPr>
            <w:r>
              <w:rPr>
                <w:rFonts w:hint="eastAsia" w:ascii="宋体" w:hAnsi="宋体" w:eastAsia="宋体" w:cs="宋体"/>
                <w:color w:val="000000"/>
                <w:kern w:val="0"/>
                <w:sz w:val="22"/>
                <w:highlight w:val="none"/>
              </w:rPr>
              <w:t>70</w:t>
            </w:r>
          </w:p>
        </w:tc>
        <w:tc>
          <w:tcPr>
            <w:tcW w:w="709" w:type="dxa"/>
            <w:tcBorders>
              <w:top w:val="nil"/>
              <w:left w:val="nil"/>
              <w:bottom w:val="single" w:color="auto" w:sz="4" w:space="0"/>
              <w:right w:val="single" w:color="auto" w:sz="4" w:space="0"/>
            </w:tcBorders>
            <w:noWrap w:val="0"/>
            <w:vAlign w:val="center"/>
          </w:tcPr>
          <w:p w14:paraId="04CB7B3C">
            <w:pPr>
              <w:widowControl/>
              <w:jc w:val="center"/>
              <w:rPr>
                <w:rFonts w:hint="eastAsia" w:ascii="宋体" w:hAnsi="宋体" w:eastAsia="宋体" w:cs="宋体"/>
                <w:color w:val="000000"/>
                <w:kern w:val="0"/>
                <w:sz w:val="22"/>
                <w:highlight w:val="none"/>
              </w:rPr>
            </w:pPr>
            <w:r>
              <w:rPr>
                <w:rFonts w:hint="eastAsia" w:ascii="宋体" w:hAnsi="宋体" w:eastAsia="宋体" w:cs="宋体"/>
                <w:color w:val="000000"/>
                <w:kern w:val="0"/>
                <w:sz w:val="22"/>
                <w:highlight w:val="none"/>
              </w:rPr>
              <w:t>根</w:t>
            </w:r>
          </w:p>
        </w:tc>
        <w:tc>
          <w:tcPr>
            <w:tcW w:w="708" w:type="dxa"/>
            <w:tcBorders>
              <w:top w:val="nil"/>
              <w:left w:val="nil"/>
              <w:bottom w:val="single" w:color="auto" w:sz="4" w:space="0"/>
              <w:right w:val="single" w:color="auto" w:sz="4" w:space="0"/>
            </w:tcBorders>
            <w:noWrap w:val="0"/>
            <w:vAlign w:val="center"/>
          </w:tcPr>
          <w:p w14:paraId="38414945">
            <w:pPr>
              <w:widowControl/>
              <w:jc w:val="center"/>
              <w:rPr>
                <w:rFonts w:hint="eastAsia" w:ascii="宋体" w:hAnsi="宋体" w:eastAsia="宋体" w:cs="宋体"/>
                <w:color w:val="000000"/>
                <w:kern w:val="0"/>
                <w:sz w:val="22"/>
                <w:highlight w:val="none"/>
              </w:rPr>
            </w:pPr>
            <w:r>
              <w:rPr>
                <w:rFonts w:hint="eastAsia" w:ascii="宋体" w:hAnsi="宋体" w:eastAsia="宋体" w:cs="宋体"/>
                <w:color w:val="000000"/>
                <w:kern w:val="0"/>
                <w:sz w:val="22"/>
                <w:highlight w:val="none"/>
              </w:rPr>
              <w:t>2000</w:t>
            </w:r>
          </w:p>
        </w:tc>
        <w:tc>
          <w:tcPr>
            <w:tcW w:w="851" w:type="dxa"/>
            <w:tcBorders>
              <w:top w:val="nil"/>
              <w:left w:val="nil"/>
              <w:bottom w:val="single" w:color="auto" w:sz="4" w:space="0"/>
              <w:right w:val="single" w:color="auto" w:sz="4" w:space="0"/>
            </w:tcBorders>
            <w:noWrap w:val="0"/>
            <w:vAlign w:val="center"/>
          </w:tcPr>
          <w:p w14:paraId="1C9DA093">
            <w:pPr>
              <w:widowControl/>
              <w:jc w:val="center"/>
              <w:rPr>
                <w:rFonts w:hint="eastAsia" w:ascii="宋体" w:hAnsi="宋体" w:eastAsia="宋体" w:cs="宋体"/>
                <w:color w:val="000000"/>
                <w:kern w:val="0"/>
                <w:sz w:val="20"/>
                <w:highlight w:val="none"/>
              </w:rPr>
            </w:pPr>
            <w:r>
              <w:rPr>
                <w:rFonts w:hint="eastAsia" w:ascii="宋体" w:hAnsi="宋体" w:eastAsia="宋体" w:cs="宋体"/>
                <w:color w:val="000000"/>
                <w:kern w:val="0"/>
                <w:sz w:val="20"/>
                <w:highlight w:val="none"/>
              </w:rPr>
              <w:t xml:space="preserve">¥140,000.00 </w:t>
            </w:r>
          </w:p>
        </w:tc>
      </w:tr>
      <w:tr w14:paraId="399240B7">
        <w:tblPrEx>
          <w:tblCellMar>
            <w:top w:w="0" w:type="dxa"/>
            <w:left w:w="108" w:type="dxa"/>
            <w:bottom w:w="0" w:type="dxa"/>
            <w:right w:w="108" w:type="dxa"/>
          </w:tblCellMar>
        </w:tblPrEx>
        <w:trPr>
          <w:trHeight w:val="640" w:hRule="atLeast"/>
        </w:trPr>
        <w:tc>
          <w:tcPr>
            <w:tcW w:w="1134" w:type="dxa"/>
            <w:vMerge w:val="restart"/>
            <w:tcBorders>
              <w:top w:val="nil"/>
              <w:left w:val="single" w:color="auto" w:sz="4" w:space="0"/>
              <w:bottom w:val="single" w:color="auto" w:sz="4" w:space="0"/>
              <w:right w:val="single" w:color="auto" w:sz="4" w:space="0"/>
            </w:tcBorders>
            <w:noWrap w:val="0"/>
            <w:vAlign w:val="center"/>
          </w:tcPr>
          <w:p w14:paraId="2A2B2974">
            <w:pPr>
              <w:widowControl/>
              <w:jc w:val="center"/>
              <w:rPr>
                <w:rFonts w:ascii="宋体" w:hAnsi="宋体" w:eastAsia="宋体" w:cs="宋体"/>
                <w:color w:val="000000"/>
                <w:kern w:val="0"/>
                <w:sz w:val="22"/>
                <w:highlight w:val="none"/>
              </w:rPr>
            </w:pPr>
            <w:r>
              <w:rPr>
                <w:rFonts w:hint="eastAsia" w:ascii="宋体" w:hAnsi="宋体" w:eastAsia="宋体" w:cs="宋体"/>
                <w:color w:val="000000"/>
                <w:kern w:val="0"/>
                <w:sz w:val="22"/>
                <w:highlight w:val="none"/>
              </w:rPr>
              <w:t>站前路</w:t>
            </w:r>
          </w:p>
        </w:tc>
        <w:tc>
          <w:tcPr>
            <w:tcW w:w="1560" w:type="dxa"/>
            <w:tcBorders>
              <w:top w:val="nil"/>
              <w:left w:val="nil"/>
              <w:bottom w:val="single" w:color="auto" w:sz="4" w:space="0"/>
              <w:right w:val="single" w:color="auto" w:sz="4" w:space="0"/>
            </w:tcBorders>
            <w:noWrap w:val="0"/>
            <w:vAlign w:val="center"/>
          </w:tcPr>
          <w:p w14:paraId="7552DA33">
            <w:pPr>
              <w:widowControl/>
              <w:jc w:val="center"/>
              <w:rPr>
                <w:rFonts w:hint="eastAsia" w:ascii="宋体" w:hAnsi="宋体" w:eastAsia="宋体" w:cs="宋体"/>
                <w:color w:val="000000"/>
                <w:kern w:val="0"/>
                <w:sz w:val="22"/>
                <w:highlight w:val="none"/>
              </w:rPr>
            </w:pPr>
            <w:r>
              <w:rPr>
                <w:rFonts w:hint="eastAsia" w:ascii="宋体" w:hAnsi="宋体" w:eastAsia="宋体" w:cs="宋体"/>
                <w:color w:val="000000"/>
                <w:kern w:val="0"/>
                <w:sz w:val="22"/>
                <w:highlight w:val="none"/>
              </w:rPr>
              <w:t>新增中央护栏（白色）</w:t>
            </w:r>
          </w:p>
        </w:tc>
        <w:tc>
          <w:tcPr>
            <w:tcW w:w="4252" w:type="dxa"/>
            <w:tcBorders>
              <w:top w:val="nil"/>
              <w:left w:val="nil"/>
              <w:bottom w:val="single" w:color="auto" w:sz="4" w:space="0"/>
              <w:right w:val="single" w:color="auto" w:sz="4" w:space="0"/>
            </w:tcBorders>
            <w:noWrap w:val="0"/>
            <w:vAlign w:val="center"/>
          </w:tcPr>
          <w:p w14:paraId="12D3F406">
            <w:pPr>
              <w:widowControl/>
              <w:rPr>
                <w:rFonts w:hint="eastAsia" w:ascii="宋体" w:hAnsi="宋体" w:eastAsia="宋体" w:cs="宋体"/>
                <w:color w:val="000000"/>
                <w:kern w:val="0"/>
                <w:sz w:val="22"/>
                <w:highlight w:val="none"/>
              </w:rPr>
            </w:pPr>
            <w:r>
              <w:rPr>
                <w:rFonts w:hint="eastAsia" w:ascii="宋体" w:hAnsi="宋体" w:eastAsia="宋体" w:cs="宋体"/>
                <w:color w:val="000000"/>
                <w:kern w:val="0"/>
                <w:sz w:val="22"/>
                <w:highlight w:val="none"/>
              </w:rPr>
              <w:t>规格：竖杠30*30*1.5mm、上下横杠60*40*2mm抗压管、底座400*300*150mm（20kg）、H：1200mm；底座铸铁，整体热镀锌，表面氟碳喷涂</w:t>
            </w:r>
          </w:p>
        </w:tc>
        <w:tc>
          <w:tcPr>
            <w:tcW w:w="709" w:type="dxa"/>
            <w:tcBorders>
              <w:top w:val="nil"/>
              <w:left w:val="nil"/>
              <w:bottom w:val="single" w:color="auto" w:sz="4" w:space="0"/>
              <w:right w:val="single" w:color="auto" w:sz="4" w:space="0"/>
            </w:tcBorders>
            <w:noWrap w:val="0"/>
            <w:vAlign w:val="center"/>
          </w:tcPr>
          <w:p w14:paraId="2D99D7D5">
            <w:pPr>
              <w:widowControl/>
              <w:jc w:val="center"/>
              <w:rPr>
                <w:rFonts w:hint="eastAsia" w:ascii="宋体" w:hAnsi="宋体" w:eastAsia="宋体" w:cs="宋体"/>
                <w:color w:val="000000"/>
                <w:kern w:val="0"/>
                <w:sz w:val="22"/>
                <w:highlight w:val="none"/>
              </w:rPr>
            </w:pPr>
            <w:r>
              <w:rPr>
                <w:rFonts w:hint="eastAsia" w:ascii="宋体" w:hAnsi="宋体" w:eastAsia="宋体" w:cs="宋体"/>
                <w:color w:val="000000"/>
                <w:kern w:val="0"/>
                <w:sz w:val="22"/>
                <w:highlight w:val="none"/>
              </w:rPr>
              <w:t>642</w:t>
            </w:r>
          </w:p>
        </w:tc>
        <w:tc>
          <w:tcPr>
            <w:tcW w:w="709" w:type="dxa"/>
            <w:tcBorders>
              <w:top w:val="nil"/>
              <w:left w:val="nil"/>
              <w:bottom w:val="single" w:color="auto" w:sz="4" w:space="0"/>
              <w:right w:val="single" w:color="auto" w:sz="4" w:space="0"/>
            </w:tcBorders>
            <w:noWrap w:val="0"/>
            <w:vAlign w:val="center"/>
          </w:tcPr>
          <w:p w14:paraId="1DC0A3D7">
            <w:pPr>
              <w:widowControl/>
              <w:jc w:val="center"/>
              <w:rPr>
                <w:rFonts w:hint="eastAsia" w:ascii="宋体" w:hAnsi="宋体" w:eastAsia="宋体" w:cs="宋体"/>
                <w:color w:val="000000"/>
                <w:kern w:val="0"/>
                <w:sz w:val="22"/>
                <w:highlight w:val="none"/>
              </w:rPr>
            </w:pPr>
            <w:r>
              <w:rPr>
                <w:rFonts w:hint="eastAsia" w:ascii="宋体" w:hAnsi="宋体" w:eastAsia="宋体" w:cs="宋体"/>
                <w:color w:val="000000"/>
                <w:kern w:val="0"/>
                <w:sz w:val="22"/>
                <w:highlight w:val="none"/>
              </w:rPr>
              <w:t>m</w:t>
            </w:r>
          </w:p>
        </w:tc>
        <w:tc>
          <w:tcPr>
            <w:tcW w:w="708" w:type="dxa"/>
            <w:tcBorders>
              <w:top w:val="nil"/>
              <w:left w:val="nil"/>
              <w:bottom w:val="single" w:color="auto" w:sz="4" w:space="0"/>
              <w:right w:val="single" w:color="auto" w:sz="4" w:space="0"/>
            </w:tcBorders>
            <w:noWrap w:val="0"/>
            <w:vAlign w:val="center"/>
          </w:tcPr>
          <w:p w14:paraId="47EBB564">
            <w:pPr>
              <w:widowControl/>
              <w:jc w:val="center"/>
              <w:rPr>
                <w:rFonts w:hint="eastAsia" w:ascii="宋体" w:hAnsi="宋体" w:eastAsia="宋体" w:cs="宋体"/>
                <w:color w:val="000000"/>
                <w:kern w:val="0"/>
                <w:sz w:val="22"/>
                <w:highlight w:val="none"/>
              </w:rPr>
            </w:pPr>
            <w:r>
              <w:rPr>
                <w:rFonts w:hint="eastAsia" w:ascii="宋体" w:hAnsi="宋体" w:eastAsia="宋体" w:cs="宋体"/>
                <w:color w:val="000000"/>
                <w:kern w:val="0"/>
                <w:sz w:val="22"/>
                <w:highlight w:val="none"/>
              </w:rPr>
              <w:t>215</w:t>
            </w:r>
          </w:p>
        </w:tc>
        <w:tc>
          <w:tcPr>
            <w:tcW w:w="851" w:type="dxa"/>
            <w:tcBorders>
              <w:top w:val="nil"/>
              <w:left w:val="nil"/>
              <w:bottom w:val="single" w:color="auto" w:sz="4" w:space="0"/>
              <w:right w:val="single" w:color="auto" w:sz="4" w:space="0"/>
            </w:tcBorders>
            <w:noWrap w:val="0"/>
            <w:vAlign w:val="center"/>
          </w:tcPr>
          <w:p w14:paraId="3BEBD1DC">
            <w:pPr>
              <w:widowControl/>
              <w:jc w:val="center"/>
              <w:rPr>
                <w:rFonts w:hint="eastAsia" w:ascii="宋体" w:hAnsi="宋体" w:eastAsia="宋体" w:cs="宋体"/>
                <w:color w:val="000000"/>
                <w:kern w:val="0"/>
                <w:sz w:val="20"/>
                <w:highlight w:val="none"/>
              </w:rPr>
            </w:pPr>
            <w:r>
              <w:rPr>
                <w:rFonts w:hint="eastAsia" w:ascii="宋体" w:hAnsi="宋体" w:eastAsia="宋体" w:cs="宋体"/>
                <w:color w:val="000000"/>
                <w:kern w:val="0"/>
                <w:sz w:val="20"/>
                <w:highlight w:val="none"/>
              </w:rPr>
              <w:t xml:space="preserve">¥138,030.00 </w:t>
            </w:r>
          </w:p>
        </w:tc>
      </w:tr>
      <w:tr w14:paraId="63A90014">
        <w:tblPrEx>
          <w:tblCellMar>
            <w:top w:w="0" w:type="dxa"/>
            <w:left w:w="108" w:type="dxa"/>
            <w:bottom w:w="0" w:type="dxa"/>
            <w:right w:w="108" w:type="dxa"/>
          </w:tblCellMar>
        </w:tblPrEx>
        <w:trPr>
          <w:trHeight w:val="810" w:hRule="atLeast"/>
        </w:trPr>
        <w:tc>
          <w:tcPr>
            <w:tcW w:w="1134" w:type="dxa"/>
            <w:vMerge w:val="continue"/>
            <w:tcBorders>
              <w:top w:val="nil"/>
              <w:left w:val="single" w:color="auto" w:sz="4" w:space="0"/>
              <w:bottom w:val="single" w:color="auto" w:sz="4" w:space="0"/>
              <w:right w:val="single" w:color="auto" w:sz="4" w:space="0"/>
            </w:tcBorders>
            <w:noWrap w:val="0"/>
            <w:vAlign w:val="center"/>
          </w:tcPr>
          <w:p w14:paraId="2F2DC103">
            <w:pPr>
              <w:widowControl/>
              <w:jc w:val="left"/>
              <w:rPr>
                <w:rFonts w:ascii="宋体" w:hAnsi="宋体" w:eastAsia="宋体" w:cs="宋体"/>
                <w:color w:val="000000"/>
                <w:kern w:val="0"/>
                <w:sz w:val="22"/>
                <w:highlight w:val="none"/>
              </w:rPr>
            </w:pPr>
          </w:p>
        </w:tc>
        <w:tc>
          <w:tcPr>
            <w:tcW w:w="1560" w:type="dxa"/>
            <w:tcBorders>
              <w:top w:val="nil"/>
              <w:left w:val="nil"/>
              <w:bottom w:val="single" w:color="auto" w:sz="4" w:space="0"/>
              <w:right w:val="single" w:color="auto" w:sz="4" w:space="0"/>
            </w:tcBorders>
            <w:noWrap w:val="0"/>
            <w:vAlign w:val="center"/>
          </w:tcPr>
          <w:p w14:paraId="3244EC08">
            <w:pPr>
              <w:widowControl/>
              <w:jc w:val="center"/>
              <w:rPr>
                <w:rFonts w:ascii="宋体" w:hAnsi="宋体" w:eastAsia="宋体" w:cs="宋体"/>
                <w:color w:val="000000"/>
                <w:kern w:val="0"/>
                <w:sz w:val="22"/>
                <w:highlight w:val="none"/>
              </w:rPr>
            </w:pPr>
            <w:r>
              <w:rPr>
                <w:rFonts w:hint="eastAsia" w:ascii="宋体" w:hAnsi="宋体" w:eastAsia="宋体" w:cs="宋体"/>
                <w:color w:val="000000"/>
                <w:kern w:val="0"/>
                <w:sz w:val="22"/>
                <w:highlight w:val="none"/>
              </w:rPr>
              <w:t>拆除机非护栏（白色）</w:t>
            </w:r>
          </w:p>
        </w:tc>
        <w:tc>
          <w:tcPr>
            <w:tcW w:w="4252" w:type="dxa"/>
            <w:tcBorders>
              <w:top w:val="nil"/>
              <w:left w:val="nil"/>
              <w:bottom w:val="single" w:color="auto" w:sz="4" w:space="0"/>
              <w:right w:val="single" w:color="auto" w:sz="4" w:space="0"/>
            </w:tcBorders>
            <w:noWrap w:val="0"/>
            <w:vAlign w:val="center"/>
          </w:tcPr>
          <w:p w14:paraId="7BD58ECA">
            <w:pPr>
              <w:widowControl/>
              <w:rPr>
                <w:rFonts w:hint="eastAsia" w:ascii="宋体" w:hAnsi="宋体" w:eastAsia="宋体" w:cs="宋体"/>
                <w:color w:val="000000"/>
                <w:kern w:val="0"/>
                <w:sz w:val="22"/>
                <w:highlight w:val="none"/>
              </w:rPr>
            </w:pPr>
            <w:r>
              <w:rPr>
                <w:rFonts w:hint="eastAsia" w:ascii="宋体" w:hAnsi="宋体" w:eastAsia="宋体" w:cs="宋体"/>
                <w:color w:val="000000"/>
                <w:kern w:val="0"/>
                <w:sz w:val="22"/>
                <w:highlight w:val="none"/>
              </w:rPr>
              <w:t>拆除；规格：立柱100*100*2mm、竖杠</w:t>
            </w:r>
            <w:r>
              <w:rPr>
                <w:rFonts w:ascii="Cambria Math" w:hAnsi="Cambria Math" w:eastAsia="宋体" w:cs="Cambria Math"/>
                <w:color w:val="000000"/>
                <w:kern w:val="0"/>
                <w:sz w:val="22"/>
                <w:highlight w:val="none"/>
              </w:rPr>
              <w:t>∅</w:t>
            </w:r>
            <w:r>
              <w:rPr>
                <w:rFonts w:hint="eastAsia" w:ascii="宋体" w:hAnsi="宋体" w:eastAsia="宋体" w:cs="宋体"/>
                <w:color w:val="000000"/>
                <w:kern w:val="0"/>
                <w:sz w:val="22"/>
                <w:highlight w:val="none"/>
              </w:rPr>
              <w:t>25*2mm、下横杠63*40*1.5mm抗压管、底座400*300*150mm（20kg）、H：800mm（含拆除、运输）；底座铸铁，整体热镀锌，表面氟碳喷涂</w:t>
            </w:r>
          </w:p>
        </w:tc>
        <w:tc>
          <w:tcPr>
            <w:tcW w:w="709" w:type="dxa"/>
            <w:tcBorders>
              <w:top w:val="nil"/>
              <w:left w:val="nil"/>
              <w:bottom w:val="single" w:color="auto" w:sz="4" w:space="0"/>
              <w:right w:val="single" w:color="auto" w:sz="4" w:space="0"/>
            </w:tcBorders>
            <w:noWrap w:val="0"/>
            <w:vAlign w:val="center"/>
          </w:tcPr>
          <w:p w14:paraId="7A7C45B6">
            <w:pPr>
              <w:widowControl/>
              <w:jc w:val="center"/>
              <w:rPr>
                <w:rFonts w:hint="eastAsia" w:ascii="宋体" w:hAnsi="宋体" w:eastAsia="宋体" w:cs="宋体"/>
                <w:color w:val="000000"/>
                <w:kern w:val="0"/>
                <w:sz w:val="22"/>
                <w:highlight w:val="none"/>
              </w:rPr>
            </w:pPr>
            <w:r>
              <w:rPr>
                <w:rFonts w:hint="eastAsia" w:ascii="宋体" w:hAnsi="宋体" w:eastAsia="宋体" w:cs="宋体"/>
                <w:color w:val="000000"/>
                <w:kern w:val="0"/>
                <w:sz w:val="22"/>
                <w:highlight w:val="none"/>
              </w:rPr>
              <w:t>431</w:t>
            </w:r>
          </w:p>
        </w:tc>
        <w:tc>
          <w:tcPr>
            <w:tcW w:w="709" w:type="dxa"/>
            <w:tcBorders>
              <w:top w:val="nil"/>
              <w:left w:val="nil"/>
              <w:bottom w:val="single" w:color="auto" w:sz="4" w:space="0"/>
              <w:right w:val="single" w:color="auto" w:sz="4" w:space="0"/>
            </w:tcBorders>
            <w:noWrap w:val="0"/>
            <w:vAlign w:val="center"/>
          </w:tcPr>
          <w:p w14:paraId="5A2BF34E">
            <w:pPr>
              <w:widowControl/>
              <w:jc w:val="center"/>
              <w:rPr>
                <w:rFonts w:hint="eastAsia" w:ascii="宋体" w:hAnsi="宋体" w:eastAsia="宋体" w:cs="宋体"/>
                <w:color w:val="000000"/>
                <w:kern w:val="0"/>
                <w:sz w:val="22"/>
                <w:highlight w:val="none"/>
              </w:rPr>
            </w:pPr>
            <w:r>
              <w:rPr>
                <w:rFonts w:hint="eastAsia" w:ascii="宋体" w:hAnsi="宋体" w:eastAsia="宋体" w:cs="宋体"/>
                <w:color w:val="000000"/>
                <w:kern w:val="0"/>
                <w:sz w:val="22"/>
                <w:highlight w:val="none"/>
              </w:rPr>
              <w:t>m</w:t>
            </w:r>
          </w:p>
        </w:tc>
        <w:tc>
          <w:tcPr>
            <w:tcW w:w="708" w:type="dxa"/>
            <w:tcBorders>
              <w:top w:val="nil"/>
              <w:left w:val="nil"/>
              <w:bottom w:val="single" w:color="auto" w:sz="4" w:space="0"/>
              <w:right w:val="single" w:color="auto" w:sz="4" w:space="0"/>
            </w:tcBorders>
            <w:noWrap w:val="0"/>
            <w:vAlign w:val="center"/>
          </w:tcPr>
          <w:p w14:paraId="121B7ED1">
            <w:pPr>
              <w:widowControl/>
              <w:jc w:val="center"/>
              <w:rPr>
                <w:rFonts w:hint="eastAsia" w:ascii="宋体" w:hAnsi="宋体" w:eastAsia="宋体" w:cs="宋体"/>
                <w:color w:val="000000"/>
                <w:kern w:val="0"/>
                <w:sz w:val="22"/>
                <w:highlight w:val="none"/>
              </w:rPr>
            </w:pPr>
            <w:r>
              <w:rPr>
                <w:rFonts w:hint="eastAsia" w:ascii="宋体" w:hAnsi="宋体" w:eastAsia="宋体" w:cs="宋体"/>
                <w:color w:val="000000"/>
                <w:kern w:val="0"/>
                <w:sz w:val="22"/>
                <w:highlight w:val="none"/>
              </w:rPr>
              <w:t>15</w:t>
            </w:r>
          </w:p>
        </w:tc>
        <w:tc>
          <w:tcPr>
            <w:tcW w:w="851" w:type="dxa"/>
            <w:tcBorders>
              <w:top w:val="nil"/>
              <w:left w:val="nil"/>
              <w:bottom w:val="single" w:color="auto" w:sz="4" w:space="0"/>
              <w:right w:val="single" w:color="auto" w:sz="4" w:space="0"/>
            </w:tcBorders>
            <w:noWrap w:val="0"/>
            <w:vAlign w:val="center"/>
          </w:tcPr>
          <w:p w14:paraId="6465FF98">
            <w:pPr>
              <w:widowControl/>
              <w:jc w:val="center"/>
              <w:rPr>
                <w:rFonts w:hint="eastAsia" w:ascii="宋体" w:hAnsi="宋体" w:eastAsia="宋体" w:cs="宋体"/>
                <w:color w:val="000000"/>
                <w:kern w:val="0"/>
                <w:sz w:val="20"/>
                <w:highlight w:val="none"/>
              </w:rPr>
            </w:pPr>
            <w:r>
              <w:rPr>
                <w:rFonts w:hint="eastAsia" w:ascii="宋体" w:hAnsi="宋体" w:eastAsia="宋体" w:cs="宋体"/>
                <w:color w:val="000000"/>
                <w:kern w:val="0"/>
                <w:sz w:val="20"/>
                <w:highlight w:val="none"/>
              </w:rPr>
              <w:t xml:space="preserve">¥6,465.00 </w:t>
            </w:r>
          </w:p>
        </w:tc>
      </w:tr>
      <w:tr w14:paraId="766B5D9E">
        <w:tblPrEx>
          <w:tblCellMar>
            <w:top w:w="0" w:type="dxa"/>
            <w:left w:w="108" w:type="dxa"/>
            <w:bottom w:w="0" w:type="dxa"/>
            <w:right w:w="108" w:type="dxa"/>
          </w:tblCellMar>
        </w:tblPrEx>
        <w:trPr>
          <w:trHeight w:val="810" w:hRule="atLeast"/>
        </w:trPr>
        <w:tc>
          <w:tcPr>
            <w:tcW w:w="1134" w:type="dxa"/>
            <w:vMerge w:val="continue"/>
            <w:tcBorders>
              <w:top w:val="nil"/>
              <w:left w:val="single" w:color="auto" w:sz="4" w:space="0"/>
              <w:bottom w:val="single" w:color="auto" w:sz="4" w:space="0"/>
              <w:right w:val="single" w:color="auto" w:sz="4" w:space="0"/>
            </w:tcBorders>
            <w:noWrap w:val="0"/>
            <w:vAlign w:val="center"/>
          </w:tcPr>
          <w:p w14:paraId="5EAEF1AA">
            <w:pPr>
              <w:widowControl/>
              <w:jc w:val="left"/>
              <w:rPr>
                <w:rFonts w:ascii="宋体" w:hAnsi="宋体" w:eastAsia="宋体" w:cs="宋体"/>
                <w:color w:val="000000"/>
                <w:kern w:val="0"/>
                <w:sz w:val="22"/>
                <w:highlight w:val="none"/>
              </w:rPr>
            </w:pPr>
          </w:p>
        </w:tc>
        <w:tc>
          <w:tcPr>
            <w:tcW w:w="1560" w:type="dxa"/>
            <w:tcBorders>
              <w:top w:val="nil"/>
              <w:left w:val="nil"/>
              <w:bottom w:val="single" w:color="auto" w:sz="4" w:space="0"/>
              <w:right w:val="single" w:color="auto" w:sz="4" w:space="0"/>
            </w:tcBorders>
            <w:noWrap w:val="0"/>
            <w:vAlign w:val="center"/>
          </w:tcPr>
          <w:p w14:paraId="521434E4">
            <w:pPr>
              <w:widowControl/>
              <w:jc w:val="center"/>
              <w:rPr>
                <w:rFonts w:ascii="宋体" w:hAnsi="宋体" w:eastAsia="宋体" w:cs="宋体"/>
                <w:color w:val="000000"/>
                <w:kern w:val="0"/>
                <w:sz w:val="22"/>
                <w:highlight w:val="none"/>
              </w:rPr>
            </w:pPr>
            <w:r>
              <w:rPr>
                <w:rFonts w:hint="eastAsia" w:ascii="宋体" w:hAnsi="宋体" w:eastAsia="宋体" w:cs="宋体"/>
                <w:color w:val="000000"/>
                <w:kern w:val="0"/>
                <w:sz w:val="22"/>
                <w:highlight w:val="none"/>
              </w:rPr>
              <w:t>移动机非护栏（白色）</w:t>
            </w:r>
          </w:p>
        </w:tc>
        <w:tc>
          <w:tcPr>
            <w:tcW w:w="4252" w:type="dxa"/>
            <w:tcBorders>
              <w:top w:val="nil"/>
              <w:left w:val="nil"/>
              <w:bottom w:val="single" w:color="auto" w:sz="4" w:space="0"/>
              <w:right w:val="single" w:color="auto" w:sz="4" w:space="0"/>
            </w:tcBorders>
            <w:noWrap w:val="0"/>
            <w:vAlign w:val="center"/>
          </w:tcPr>
          <w:p w14:paraId="147233EB">
            <w:pPr>
              <w:widowControl/>
              <w:rPr>
                <w:rFonts w:hint="eastAsia" w:ascii="宋体" w:hAnsi="宋体" w:eastAsia="宋体" w:cs="宋体"/>
                <w:color w:val="000000"/>
                <w:kern w:val="0"/>
                <w:sz w:val="22"/>
                <w:highlight w:val="none"/>
              </w:rPr>
            </w:pPr>
            <w:r>
              <w:rPr>
                <w:rFonts w:hint="eastAsia" w:ascii="宋体" w:hAnsi="宋体" w:eastAsia="宋体" w:cs="宋体"/>
                <w:color w:val="000000"/>
                <w:kern w:val="0"/>
                <w:sz w:val="22"/>
                <w:highlight w:val="none"/>
              </w:rPr>
              <w:t>移动；规格：立柱100*100*2mm、竖杠</w:t>
            </w:r>
            <w:r>
              <w:rPr>
                <w:rFonts w:ascii="Cambria Math" w:hAnsi="Cambria Math" w:eastAsia="宋体" w:cs="Cambria Math"/>
                <w:color w:val="000000"/>
                <w:kern w:val="0"/>
                <w:sz w:val="22"/>
                <w:highlight w:val="none"/>
              </w:rPr>
              <w:t>∅</w:t>
            </w:r>
            <w:r>
              <w:rPr>
                <w:rFonts w:hint="eastAsia" w:ascii="宋体" w:hAnsi="宋体" w:eastAsia="宋体" w:cs="宋体"/>
                <w:color w:val="000000"/>
                <w:kern w:val="0"/>
                <w:sz w:val="22"/>
                <w:highlight w:val="none"/>
              </w:rPr>
              <w:t>25*2mm、下横杠63*40*1.5mm抗压管、底座400*300*150mm（20kg）、H：800mm（含拆除、运输、安装）；底座铸铁，整体热镀锌，表面氟碳喷涂</w:t>
            </w:r>
          </w:p>
        </w:tc>
        <w:tc>
          <w:tcPr>
            <w:tcW w:w="709" w:type="dxa"/>
            <w:tcBorders>
              <w:top w:val="nil"/>
              <w:left w:val="nil"/>
              <w:bottom w:val="single" w:color="auto" w:sz="4" w:space="0"/>
              <w:right w:val="single" w:color="auto" w:sz="4" w:space="0"/>
            </w:tcBorders>
            <w:noWrap w:val="0"/>
            <w:vAlign w:val="center"/>
          </w:tcPr>
          <w:p w14:paraId="2E617E31">
            <w:pPr>
              <w:widowControl/>
              <w:jc w:val="center"/>
              <w:rPr>
                <w:rFonts w:hint="eastAsia" w:ascii="宋体" w:hAnsi="宋体" w:eastAsia="宋体" w:cs="宋体"/>
                <w:color w:val="000000"/>
                <w:kern w:val="0"/>
                <w:sz w:val="22"/>
                <w:highlight w:val="none"/>
              </w:rPr>
            </w:pPr>
            <w:r>
              <w:rPr>
                <w:rFonts w:hint="eastAsia" w:ascii="宋体" w:hAnsi="宋体" w:eastAsia="宋体" w:cs="宋体"/>
                <w:color w:val="000000"/>
                <w:kern w:val="0"/>
                <w:sz w:val="22"/>
                <w:highlight w:val="none"/>
              </w:rPr>
              <w:t>70</w:t>
            </w:r>
          </w:p>
        </w:tc>
        <w:tc>
          <w:tcPr>
            <w:tcW w:w="709" w:type="dxa"/>
            <w:tcBorders>
              <w:top w:val="nil"/>
              <w:left w:val="nil"/>
              <w:bottom w:val="single" w:color="auto" w:sz="4" w:space="0"/>
              <w:right w:val="single" w:color="auto" w:sz="4" w:space="0"/>
            </w:tcBorders>
            <w:noWrap w:val="0"/>
            <w:vAlign w:val="center"/>
          </w:tcPr>
          <w:p w14:paraId="347154B3">
            <w:pPr>
              <w:widowControl/>
              <w:jc w:val="center"/>
              <w:rPr>
                <w:rFonts w:hint="eastAsia" w:ascii="宋体" w:hAnsi="宋体" w:eastAsia="宋体" w:cs="宋体"/>
                <w:color w:val="000000"/>
                <w:kern w:val="0"/>
                <w:sz w:val="22"/>
                <w:highlight w:val="none"/>
              </w:rPr>
            </w:pPr>
            <w:r>
              <w:rPr>
                <w:rFonts w:hint="eastAsia" w:ascii="宋体" w:hAnsi="宋体" w:eastAsia="宋体" w:cs="宋体"/>
                <w:color w:val="000000"/>
                <w:kern w:val="0"/>
                <w:sz w:val="22"/>
                <w:highlight w:val="none"/>
              </w:rPr>
              <w:t>m</w:t>
            </w:r>
          </w:p>
        </w:tc>
        <w:tc>
          <w:tcPr>
            <w:tcW w:w="708" w:type="dxa"/>
            <w:tcBorders>
              <w:top w:val="nil"/>
              <w:left w:val="nil"/>
              <w:bottom w:val="single" w:color="auto" w:sz="4" w:space="0"/>
              <w:right w:val="single" w:color="auto" w:sz="4" w:space="0"/>
            </w:tcBorders>
            <w:noWrap w:val="0"/>
            <w:vAlign w:val="center"/>
          </w:tcPr>
          <w:p w14:paraId="24BA4BB5">
            <w:pPr>
              <w:widowControl/>
              <w:jc w:val="center"/>
              <w:rPr>
                <w:rFonts w:hint="eastAsia" w:ascii="宋体" w:hAnsi="宋体" w:eastAsia="宋体" w:cs="宋体"/>
                <w:color w:val="000000"/>
                <w:kern w:val="0"/>
                <w:sz w:val="22"/>
                <w:highlight w:val="none"/>
              </w:rPr>
            </w:pPr>
            <w:r>
              <w:rPr>
                <w:rFonts w:hint="eastAsia" w:ascii="宋体" w:hAnsi="宋体" w:eastAsia="宋体" w:cs="宋体"/>
                <w:color w:val="000000"/>
                <w:kern w:val="0"/>
                <w:sz w:val="22"/>
                <w:highlight w:val="none"/>
              </w:rPr>
              <w:t>30</w:t>
            </w:r>
          </w:p>
        </w:tc>
        <w:tc>
          <w:tcPr>
            <w:tcW w:w="851" w:type="dxa"/>
            <w:tcBorders>
              <w:top w:val="nil"/>
              <w:left w:val="nil"/>
              <w:bottom w:val="single" w:color="auto" w:sz="4" w:space="0"/>
              <w:right w:val="single" w:color="auto" w:sz="4" w:space="0"/>
            </w:tcBorders>
            <w:noWrap w:val="0"/>
            <w:vAlign w:val="center"/>
          </w:tcPr>
          <w:p w14:paraId="354F6AC0">
            <w:pPr>
              <w:widowControl/>
              <w:jc w:val="center"/>
              <w:rPr>
                <w:rFonts w:hint="eastAsia" w:ascii="宋体" w:hAnsi="宋体" w:eastAsia="宋体" w:cs="宋体"/>
                <w:color w:val="000000"/>
                <w:kern w:val="0"/>
                <w:sz w:val="20"/>
                <w:highlight w:val="none"/>
              </w:rPr>
            </w:pPr>
            <w:r>
              <w:rPr>
                <w:rFonts w:hint="eastAsia" w:ascii="宋体" w:hAnsi="宋体" w:eastAsia="宋体" w:cs="宋体"/>
                <w:color w:val="000000"/>
                <w:kern w:val="0"/>
                <w:sz w:val="20"/>
                <w:highlight w:val="none"/>
              </w:rPr>
              <w:t xml:space="preserve">¥2,100.00 </w:t>
            </w:r>
          </w:p>
        </w:tc>
      </w:tr>
      <w:tr w14:paraId="0AD5538E">
        <w:tblPrEx>
          <w:tblCellMar>
            <w:top w:w="0" w:type="dxa"/>
            <w:left w:w="108" w:type="dxa"/>
            <w:bottom w:w="0" w:type="dxa"/>
            <w:right w:w="108" w:type="dxa"/>
          </w:tblCellMar>
        </w:tblPrEx>
        <w:trPr>
          <w:trHeight w:val="540" w:hRule="atLeast"/>
        </w:trPr>
        <w:tc>
          <w:tcPr>
            <w:tcW w:w="1134" w:type="dxa"/>
            <w:vMerge w:val="continue"/>
            <w:tcBorders>
              <w:top w:val="nil"/>
              <w:left w:val="single" w:color="auto" w:sz="4" w:space="0"/>
              <w:bottom w:val="single" w:color="auto" w:sz="4" w:space="0"/>
              <w:right w:val="single" w:color="auto" w:sz="4" w:space="0"/>
            </w:tcBorders>
            <w:noWrap w:val="0"/>
            <w:vAlign w:val="center"/>
          </w:tcPr>
          <w:p w14:paraId="466FBC06">
            <w:pPr>
              <w:widowControl/>
              <w:jc w:val="left"/>
              <w:rPr>
                <w:rFonts w:ascii="宋体" w:hAnsi="宋体" w:eastAsia="宋体" w:cs="宋体"/>
                <w:color w:val="000000"/>
                <w:kern w:val="0"/>
                <w:sz w:val="22"/>
                <w:highlight w:val="none"/>
              </w:rPr>
            </w:pPr>
          </w:p>
        </w:tc>
        <w:tc>
          <w:tcPr>
            <w:tcW w:w="1560" w:type="dxa"/>
            <w:tcBorders>
              <w:top w:val="nil"/>
              <w:left w:val="nil"/>
              <w:bottom w:val="single" w:color="auto" w:sz="4" w:space="0"/>
              <w:right w:val="single" w:color="auto" w:sz="4" w:space="0"/>
            </w:tcBorders>
            <w:noWrap w:val="0"/>
            <w:vAlign w:val="center"/>
          </w:tcPr>
          <w:p w14:paraId="2D53CDFF">
            <w:pPr>
              <w:widowControl/>
              <w:jc w:val="center"/>
              <w:rPr>
                <w:rFonts w:ascii="宋体" w:hAnsi="宋体" w:eastAsia="宋体" w:cs="宋体"/>
                <w:color w:val="000000"/>
                <w:kern w:val="0"/>
                <w:sz w:val="22"/>
                <w:highlight w:val="none"/>
              </w:rPr>
            </w:pPr>
            <w:r>
              <w:rPr>
                <w:rFonts w:hint="eastAsia" w:ascii="宋体" w:hAnsi="宋体" w:eastAsia="宋体" w:cs="宋体"/>
                <w:color w:val="000000"/>
                <w:kern w:val="0"/>
                <w:sz w:val="22"/>
                <w:highlight w:val="none"/>
              </w:rPr>
              <w:t>机非护栏端头反光警示柱</w:t>
            </w:r>
          </w:p>
        </w:tc>
        <w:tc>
          <w:tcPr>
            <w:tcW w:w="4252" w:type="dxa"/>
            <w:tcBorders>
              <w:top w:val="nil"/>
              <w:left w:val="nil"/>
              <w:bottom w:val="single" w:color="auto" w:sz="4" w:space="0"/>
              <w:right w:val="single" w:color="auto" w:sz="4" w:space="0"/>
            </w:tcBorders>
            <w:noWrap w:val="0"/>
            <w:vAlign w:val="center"/>
          </w:tcPr>
          <w:p w14:paraId="4E8142E1">
            <w:pPr>
              <w:widowControl/>
              <w:rPr>
                <w:rFonts w:hint="eastAsia" w:ascii="宋体" w:hAnsi="宋体" w:eastAsia="宋体" w:cs="宋体"/>
                <w:color w:val="000000"/>
                <w:kern w:val="0"/>
                <w:sz w:val="22"/>
                <w:highlight w:val="none"/>
              </w:rPr>
            </w:pPr>
            <w:r>
              <w:rPr>
                <w:rFonts w:hint="eastAsia" w:ascii="宋体" w:hAnsi="宋体" w:eastAsia="宋体" w:cs="宋体"/>
                <w:color w:val="000000"/>
                <w:kern w:val="0"/>
                <w:sz w:val="22"/>
                <w:highlight w:val="none"/>
              </w:rPr>
              <w:t>H800*3mm（含机械钻孔，注浆）</w:t>
            </w:r>
          </w:p>
        </w:tc>
        <w:tc>
          <w:tcPr>
            <w:tcW w:w="709" w:type="dxa"/>
            <w:tcBorders>
              <w:top w:val="nil"/>
              <w:left w:val="nil"/>
              <w:bottom w:val="single" w:color="auto" w:sz="4" w:space="0"/>
              <w:right w:val="single" w:color="auto" w:sz="4" w:space="0"/>
            </w:tcBorders>
            <w:noWrap w:val="0"/>
            <w:vAlign w:val="center"/>
          </w:tcPr>
          <w:p w14:paraId="1655A1FB">
            <w:pPr>
              <w:widowControl/>
              <w:jc w:val="center"/>
              <w:rPr>
                <w:rFonts w:hint="eastAsia" w:ascii="宋体" w:hAnsi="宋体" w:eastAsia="宋体" w:cs="宋体"/>
                <w:color w:val="000000"/>
                <w:kern w:val="0"/>
                <w:sz w:val="22"/>
                <w:highlight w:val="none"/>
              </w:rPr>
            </w:pPr>
            <w:r>
              <w:rPr>
                <w:rFonts w:hint="eastAsia" w:ascii="宋体" w:hAnsi="宋体" w:eastAsia="宋体" w:cs="宋体"/>
                <w:color w:val="000000"/>
                <w:kern w:val="0"/>
                <w:sz w:val="22"/>
                <w:highlight w:val="none"/>
              </w:rPr>
              <w:t>8</w:t>
            </w:r>
          </w:p>
        </w:tc>
        <w:tc>
          <w:tcPr>
            <w:tcW w:w="709" w:type="dxa"/>
            <w:tcBorders>
              <w:top w:val="nil"/>
              <w:left w:val="nil"/>
              <w:bottom w:val="single" w:color="auto" w:sz="4" w:space="0"/>
              <w:right w:val="single" w:color="auto" w:sz="4" w:space="0"/>
            </w:tcBorders>
            <w:noWrap w:val="0"/>
            <w:vAlign w:val="center"/>
          </w:tcPr>
          <w:p w14:paraId="55260098">
            <w:pPr>
              <w:widowControl/>
              <w:jc w:val="center"/>
              <w:rPr>
                <w:rFonts w:hint="eastAsia" w:ascii="宋体" w:hAnsi="宋体" w:eastAsia="宋体" w:cs="宋体"/>
                <w:color w:val="000000"/>
                <w:kern w:val="0"/>
                <w:sz w:val="22"/>
                <w:highlight w:val="none"/>
              </w:rPr>
            </w:pPr>
            <w:r>
              <w:rPr>
                <w:rFonts w:hint="eastAsia" w:ascii="宋体" w:hAnsi="宋体" w:eastAsia="宋体" w:cs="宋体"/>
                <w:color w:val="000000"/>
                <w:kern w:val="0"/>
                <w:sz w:val="22"/>
                <w:highlight w:val="none"/>
              </w:rPr>
              <w:t>根</w:t>
            </w:r>
          </w:p>
        </w:tc>
        <w:tc>
          <w:tcPr>
            <w:tcW w:w="708" w:type="dxa"/>
            <w:tcBorders>
              <w:top w:val="nil"/>
              <w:left w:val="nil"/>
              <w:bottom w:val="single" w:color="auto" w:sz="4" w:space="0"/>
              <w:right w:val="single" w:color="auto" w:sz="4" w:space="0"/>
            </w:tcBorders>
            <w:noWrap w:val="0"/>
            <w:vAlign w:val="center"/>
          </w:tcPr>
          <w:p w14:paraId="795DFA56">
            <w:pPr>
              <w:widowControl/>
              <w:jc w:val="center"/>
              <w:rPr>
                <w:rFonts w:hint="eastAsia" w:ascii="宋体" w:hAnsi="宋体" w:eastAsia="宋体" w:cs="宋体"/>
                <w:color w:val="000000"/>
                <w:kern w:val="0"/>
                <w:sz w:val="22"/>
                <w:highlight w:val="none"/>
              </w:rPr>
            </w:pPr>
            <w:r>
              <w:rPr>
                <w:rFonts w:hint="eastAsia" w:ascii="宋体" w:hAnsi="宋体" w:eastAsia="宋体" w:cs="宋体"/>
                <w:color w:val="000000"/>
                <w:kern w:val="0"/>
                <w:sz w:val="22"/>
                <w:highlight w:val="none"/>
              </w:rPr>
              <w:t>150</w:t>
            </w:r>
          </w:p>
        </w:tc>
        <w:tc>
          <w:tcPr>
            <w:tcW w:w="851" w:type="dxa"/>
            <w:tcBorders>
              <w:top w:val="nil"/>
              <w:left w:val="nil"/>
              <w:bottom w:val="single" w:color="auto" w:sz="4" w:space="0"/>
              <w:right w:val="single" w:color="auto" w:sz="4" w:space="0"/>
            </w:tcBorders>
            <w:noWrap w:val="0"/>
            <w:vAlign w:val="center"/>
          </w:tcPr>
          <w:p w14:paraId="22081640">
            <w:pPr>
              <w:widowControl/>
              <w:jc w:val="center"/>
              <w:rPr>
                <w:rFonts w:hint="eastAsia" w:ascii="宋体" w:hAnsi="宋体" w:eastAsia="宋体" w:cs="宋体"/>
                <w:color w:val="000000"/>
                <w:kern w:val="0"/>
                <w:sz w:val="20"/>
                <w:highlight w:val="none"/>
              </w:rPr>
            </w:pPr>
            <w:r>
              <w:rPr>
                <w:rFonts w:hint="eastAsia" w:ascii="宋体" w:hAnsi="宋体" w:eastAsia="宋体" w:cs="宋体"/>
                <w:color w:val="000000"/>
                <w:kern w:val="0"/>
                <w:sz w:val="20"/>
                <w:highlight w:val="none"/>
              </w:rPr>
              <w:t xml:space="preserve">¥1,200.00 </w:t>
            </w:r>
          </w:p>
        </w:tc>
      </w:tr>
      <w:tr w14:paraId="1906BA50">
        <w:tblPrEx>
          <w:tblCellMar>
            <w:top w:w="0" w:type="dxa"/>
            <w:left w:w="108" w:type="dxa"/>
            <w:bottom w:w="0" w:type="dxa"/>
            <w:right w:w="108" w:type="dxa"/>
          </w:tblCellMar>
        </w:tblPrEx>
        <w:trPr>
          <w:trHeight w:val="381" w:hRule="atLeast"/>
        </w:trPr>
        <w:tc>
          <w:tcPr>
            <w:tcW w:w="1134" w:type="dxa"/>
            <w:vMerge w:val="continue"/>
            <w:tcBorders>
              <w:top w:val="nil"/>
              <w:left w:val="single" w:color="auto" w:sz="4" w:space="0"/>
              <w:bottom w:val="single" w:color="auto" w:sz="4" w:space="0"/>
              <w:right w:val="single" w:color="auto" w:sz="4" w:space="0"/>
            </w:tcBorders>
            <w:noWrap w:val="0"/>
            <w:vAlign w:val="center"/>
          </w:tcPr>
          <w:p w14:paraId="5DAA13CC">
            <w:pPr>
              <w:widowControl/>
              <w:jc w:val="left"/>
              <w:rPr>
                <w:rFonts w:ascii="宋体" w:hAnsi="宋体" w:eastAsia="宋体" w:cs="宋体"/>
                <w:color w:val="000000"/>
                <w:kern w:val="0"/>
                <w:sz w:val="22"/>
                <w:highlight w:val="none"/>
              </w:rPr>
            </w:pPr>
          </w:p>
        </w:tc>
        <w:tc>
          <w:tcPr>
            <w:tcW w:w="1560" w:type="dxa"/>
            <w:tcBorders>
              <w:top w:val="nil"/>
              <w:left w:val="nil"/>
              <w:bottom w:val="single" w:color="auto" w:sz="4" w:space="0"/>
              <w:right w:val="single" w:color="auto" w:sz="4" w:space="0"/>
            </w:tcBorders>
            <w:noWrap w:val="0"/>
            <w:vAlign w:val="center"/>
          </w:tcPr>
          <w:p w14:paraId="1CE51943">
            <w:pPr>
              <w:widowControl/>
              <w:jc w:val="center"/>
              <w:rPr>
                <w:rFonts w:ascii="宋体" w:hAnsi="宋体" w:eastAsia="宋体" w:cs="宋体"/>
                <w:color w:val="000000"/>
                <w:kern w:val="0"/>
                <w:sz w:val="22"/>
                <w:highlight w:val="none"/>
              </w:rPr>
            </w:pPr>
            <w:r>
              <w:rPr>
                <w:rFonts w:hint="eastAsia" w:ascii="宋体" w:hAnsi="宋体" w:eastAsia="宋体" w:cs="宋体"/>
                <w:color w:val="000000"/>
                <w:kern w:val="0"/>
                <w:sz w:val="22"/>
                <w:highlight w:val="none"/>
              </w:rPr>
              <w:t>中央护栏端头</w:t>
            </w:r>
          </w:p>
        </w:tc>
        <w:tc>
          <w:tcPr>
            <w:tcW w:w="4252" w:type="dxa"/>
            <w:tcBorders>
              <w:top w:val="nil"/>
              <w:left w:val="nil"/>
              <w:bottom w:val="single" w:color="auto" w:sz="4" w:space="0"/>
              <w:right w:val="single" w:color="auto" w:sz="4" w:space="0"/>
            </w:tcBorders>
            <w:noWrap w:val="0"/>
            <w:vAlign w:val="center"/>
          </w:tcPr>
          <w:p w14:paraId="09F5C36C">
            <w:pPr>
              <w:widowControl/>
              <w:rPr>
                <w:rFonts w:hint="eastAsia" w:ascii="宋体" w:hAnsi="宋体" w:eastAsia="宋体" w:cs="宋体"/>
                <w:color w:val="000000"/>
                <w:kern w:val="0"/>
                <w:sz w:val="22"/>
                <w:highlight w:val="none"/>
              </w:rPr>
            </w:pPr>
            <w:r>
              <w:rPr>
                <w:rFonts w:hint="eastAsia" w:ascii="宋体" w:hAnsi="宋体" w:eastAsia="宋体" w:cs="宋体"/>
                <w:color w:val="000000"/>
                <w:kern w:val="0"/>
                <w:sz w:val="22"/>
                <w:highlight w:val="none"/>
              </w:rPr>
              <w:t>H2500mm，铁型材+高透光性聚碳酸酯 PC，含太阳能板及蓄电池</w:t>
            </w:r>
          </w:p>
        </w:tc>
        <w:tc>
          <w:tcPr>
            <w:tcW w:w="709" w:type="dxa"/>
            <w:tcBorders>
              <w:top w:val="nil"/>
              <w:left w:val="nil"/>
              <w:bottom w:val="single" w:color="auto" w:sz="4" w:space="0"/>
              <w:right w:val="single" w:color="auto" w:sz="4" w:space="0"/>
            </w:tcBorders>
            <w:noWrap w:val="0"/>
            <w:vAlign w:val="center"/>
          </w:tcPr>
          <w:p w14:paraId="7707AE92">
            <w:pPr>
              <w:widowControl/>
              <w:jc w:val="center"/>
              <w:rPr>
                <w:rFonts w:hint="eastAsia" w:ascii="宋体" w:hAnsi="宋体" w:eastAsia="宋体" w:cs="宋体"/>
                <w:color w:val="000000"/>
                <w:kern w:val="0"/>
                <w:sz w:val="22"/>
                <w:highlight w:val="none"/>
              </w:rPr>
            </w:pPr>
            <w:r>
              <w:rPr>
                <w:rFonts w:hint="eastAsia" w:ascii="宋体" w:hAnsi="宋体" w:eastAsia="宋体" w:cs="宋体"/>
                <w:color w:val="000000"/>
                <w:kern w:val="0"/>
                <w:sz w:val="22"/>
                <w:highlight w:val="none"/>
              </w:rPr>
              <w:t>44</w:t>
            </w:r>
          </w:p>
        </w:tc>
        <w:tc>
          <w:tcPr>
            <w:tcW w:w="709" w:type="dxa"/>
            <w:tcBorders>
              <w:top w:val="nil"/>
              <w:left w:val="nil"/>
              <w:bottom w:val="single" w:color="auto" w:sz="4" w:space="0"/>
              <w:right w:val="single" w:color="auto" w:sz="4" w:space="0"/>
            </w:tcBorders>
            <w:noWrap w:val="0"/>
            <w:vAlign w:val="center"/>
          </w:tcPr>
          <w:p w14:paraId="24886C5C">
            <w:pPr>
              <w:widowControl/>
              <w:jc w:val="center"/>
              <w:rPr>
                <w:rFonts w:hint="eastAsia" w:ascii="宋体" w:hAnsi="宋体" w:eastAsia="宋体" w:cs="宋体"/>
                <w:color w:val="000000"/>
                <w:kern w:val="0"/>
                <w:sz w:val="22"/>
                <w:highlight w:val="none"/>
              </w:rPr>
            </w:pPr>
            <w:r>
              <w:rPr>
                <w:rFonts w:hint="eastAsia" w:ascii="宋体" w:hAnsi="宋体" w:eastAsia="宋体" w:cs="宋体"/>
                <w:color w:val="000000"/>
                <w:kern w:val="0"/>
                <w:sz w:val="22"/>
                <w:highlight w:val="none"/>
              </w:rPr>
              <w:t>根</w:t>
            </w:r>
          </w:p>
        </w:tc>
        <w:tc>
          <w:tcPr>
            <w:tcW w:w="708" w:type="dxa"/>
            <w:tcBorders>
              <w:top w:val="nil"/>
              <w:left w:val="nil"/>
              <w:bottom w:val="single" w:color="auto" w:sz="4" w:space="0"/>
              <w:right w:val="single" w:color="auto" w:sz="4" w:space="0"/>
            </w:tcBorders>
            <w:noWrap w:val="0"/>
            <w:vAlign w:val="center"/>
          </w:tcPr>
          <w:p w14:paraId="28CD66B6">
            <w:pPr>
              <w:widowControl/>
              <w:jc w:val="center"/>
              <w:rPr>
                <w:rFonts w:hint="eastAsia" w:ascii="宋体" w:hAnsi="宋体" w:eastAsia="宋体" w:cs="宋体"/>
                <w:color w:val="000000"/>
                <w:kern w:val="0"/>
                <w:sz w:val="22"/>
                <w:highlight w:val="none"/>
              </w:rPr>
            </w:pPr>
            <w:r>
              <w:rPr>
                <w:rFonts w:hint="eastAsia" w:ascii="宋体" w:hAnsi="宋体" w:eastAsia="宋体" w:cs="宋体"/>
                <w:color w:val="000000"/>
                <w:kern w:val="0"/>
                <w:sz w:val="22"/>
                <w:highlight w:val="none"/>
              </w:rPr>
              <w:t>2000</w:t>
            </w:r>
          </w:p>
        </w:tc>
        <w:tc>
          <w:tcPr>
            <w:tcW w:w="851" w:type="dxa"/>
            <w:tcBorders>
              <w:top w:val="nil"/>
              <w:left w:val="nil"/>
              <w:bottom w:val="single" w:color="auto" w:sz="4" w:space="0"/>
              <w:right w:val="single" w:color="auto" w:sz="4" w:space="0"/>
            </w:tcBorders>
            <w:noWrap w:val="0"/>
            <w:vAlign w:val="center"/>
          </w:tcPr>
          <w:p w14:paraId="42BBA3A4">
            <w:pPr>
              <w:widowControl/>
              <w:jc w:val="center"/>
              <w:rPr>
                <w:rFonts w:hint="eastAsia" w:ascii="宋体" w:hAnsi="宋体" w:eastAsia="宋体" w:cs="宋体"/>
                <w:color w:val="000000"/>
                <w:kern w:val="0"/>
                <w:sz w:val="20"/>
                <w:highlight w:val="none"/>
              </w:rPr>
            </w:pPr>
            <w:r>
              <w:rPr>
                <w:rFonts w:hint="eastAsia" w:ascii="宋体" w:hAnsi="宋体" w:eastAsia="宋体" w:cs="宋体"/>
                <w:color w:val="000000"/>
                <w:kern w:val="0"/>
                <w:sz w:val="20"/>
                <w:highlight w:val="none"/>
              </w:rPr>
              <w:t xml:space="preserve">¥88,000.00 </w:t>
            </w:r>
          </w:p>
        </w:tc>
      </w:tr>
      <w:tr w14:paraId="0D592B42">
        <w:tblPrEx>
          <w:tblCellMar>
            <w:top w:w="0" w:type="dxa"/>
            <w:left w:w="108" w:type="dxa"/>
            <w:bottom w:w="0" w:type="dxa"/>
            <w:right w:w="108" w:type="dxa"/>
          </w:tblCellMar>
        </w:tblPrEx>
        <w:trPr>
          <w:trHeight w:val="381" w:hRule="atLeast"/>
        </w:trPr>
        <w:tc>
          <w:tcPr>
            <w:tcW w:w="9072" w:type="dxa"/>
            <w:gridSpan w:val="6"/>
            <w:tcBorders>
              <w:top w:val="nil"/>
              <w:left w:val="single" w:color="auto" w:sz="4" w:space="0"/>
              <w:bottom w:val="single" w:color="auto" w:sz="4" w:space="0"/>
              <w:right w:val="single" w:color="auto" w:sz="4" w:space="0"/>
            </w:tcBorders>
            <w:noWrap w:val="0"/>
            <w:vAlign w:val="center"/>
          </w:tcPr>
          <w:p w14:paraId="399CF118">
            <w:pPr>
              <w:widowControl/>
              <w:jc w:val="center"/>
              <w:rPr>
                <w:rFonts w:hint="eastAsia" w:ascii="宋体" w:hAnsi="宋体" w:eastAsia="宋体" w:cs="宋体"/>
                <w:color w:val="000000"/>
                <w:kern w:val="0"/>
                <w:sz w:val="22"/>
                <w:highlight w:val="none"/>
                <w:lang w:val="en-US" w:eastAsia="zh-CN"/>
              </w:rPr>
            </w:pPr>
            <w:r>
              <w:rPr>
                <w:rFonts w:hint="eastAsia" w:ascii="宋体" w:hAnsi="宋体" w:eastAsia="宋体" w:cs="宋体"/>
                <w:color w:val="000000"/>
                <w:kern w:val="0"/>
                <w:sz w:val="22"/>
                <w:highlight w:val="none"/>
                <w:lang w:val="en-US" w:eastAsia="zh-CN"/>
              </w:rPr>
              <w:t>合计</w:t>
            </w:r>
          </w:p>
        </w:tc>
        <w:tc>
          <w:tcPr>
            <w:tcW w:w="851" w:type="dxa"/>
            <w:tcBorders>
              <w:top w:val="nil"/>
              <w:left w:val="nil"/>
              <w:bottom w:val="single" w:color="auto" w:sz="4" w:space="0"/>
              <w:right w:val="single" w:color="auto" w:sz="4" w:space="0"/>
            </w:tcBorders>
            <w:noWrap w:val="0"/>
            <w:vAlign w:val="center"/>
          </w:tcPr>
          <w:p w14:paraId="228D9080">
            <w:pPr>
              <w:widowControl/>
              <w:jc w:val="center"/>
              <w:rPr>
                <w:rFonts w:hint="default" w:ascii="宋体" w:hAnsi="宋体" w:eastAsia="宋体" w:cs="宋体"/>
                <w:color w:val="000000"/>
                <w:kern w:val="0"/>
                <w:sz w:val="20"/>
                <w:highlight w:val="none"/>
                <w:lang w:val="en-US" w:eastAsia="zh-CN"/>
              </w:rPr>
            </w:pPr>
            <w:r>
              <w:rPr>
                <w:rFonts w:hint="eastAsia" w:ascii="宋体" w:hAnsi="宋体" w:eastAsia="宋体" w:cs="宋体"/>
                <w:color w:val="000000"/>
                <w:kern w:val="0"/>
                <w:sz w:val="20"/>
                <w:highlight w:val="none"/>
                <w:lang w:val="en-US" w:eastAsia="zh-CN"/>
              </w:rPr>
              <w:t>4226850.00</w:t>
            </w:r>
          </w:p>
        </w:tc>
      </w:tr>
    </w:tbl>
    <w:p w14:paraId="2C0E0972">
      <w:pPr>
        <w:spacing w:line="400" w:lineRule="exact"/>
        <w:rPr>
          <w:rFonts w:hint="eastAsia" w:ascii="宋体" w:hAnsi="宋体" w:eastAsia="宋体" w:cs="宋体"/>
          <w:b/>
          <w:bCs/>
          <w:color w:val="000000"/>
          <w:kern w:val="0"/>
          <w:sz w:val="28"/>
          <w:szCs w:val="28"/>
          <w:highlight w:val="none"/>
          <w:lang w:bidi="ar"/>
        </w:rPr>
      </w:pPr>
    </w:p>
    <w:p w14:paraId="6FC73FEF">
      <w:pPr>
        <w:spacing w:line="400" w:lineRule="exact"/>
        <w:rPr>
          <w:rFonts w:hint="eastAsia" w:ascii="宋体" w:hAnsi="宋体" w:eastAsia="宋体" w:cs="宋体"/>
          <w:b/>
          <w:bCs/>
          <w:color w:val="000000"/>
          <w:kern w:val="0"/>
          <w:sz w:val="22"/>
          <w:szCs w:val="22"/>
          <w:highlight w:val="none"/>
          <w:lang w:bidi="ar"/>
        </w:rPr>
      </w:pPr>
      <w:r>
        <w:rPr>
          <w:rFonts w:hint="eastAsia" w:ascii="宋体" w:hAnsi="宋体" w:eastAsia="宋体" w:cs="宋体"/>
          <w:b/>
          <w:bCs/>
          <w:color w:val="000000"/>
          <w:kern w:val="0"/>
          <w:sz w:val="22"/>
          <w:szCs w:val="22"/>
          <w:highlight w:val="none"/>
          <w:lang w:bidi="ar"/>
        </w:rPr>
        <w:t>二、技术要求</w:t>
      </w:r>
    </w:p>
    <w:p w14:paraId="1A8FACE4">
      <w:pPr>
        <w:spacing w:before="157" w:line="219" w:lineRule="auto"/>
        <w:ind w:left="25"/>
        <w:rPr>
          <w:rFonts w:hint="eastAsia" w:ascii="宋体" w:hAnsi="宋体" w:eastAsia="宋体" w:cs="宋体"/>
          <w:b/>
          <w:bCs/>
          <w:color w:val="000000"/>
          <w:kern w:val="0"/>
          <w:sz w:val="22"/>
          <w:szCs w:val="22"/>
          <w:highlight w:val="none"/>
        </w:rPr>
      </w:pPr>
      <w:r>
        <w:rPr>
          <w:rFonts w:hint="eastAsia" w:ascii="宋体" w:hAnsi="宋体" w:eastAsia="宋体" w:cs="宋体"/>
          <w:b/>
          <w:bCs/>
          <w:color w:val="000000"/>
          <w:spacing w:val="-4"/>
          <w:sz w:val="22"/>
          <w:szCs w:val="22"/>
          <w:highlight w:val="none"/>
        </w:rPr>
        <w:t>1</w:t>
      </w:r>
      <w:r>
        <w:rPr>
          <w:rFonts w:hint="eastAsia" w:ascii="宋体" w:hAnsi="宋体" w:eastAsia="宋体" w:cs="宋体"/>
          <w:b/>
          <w:bCs/>
          <w:color w:val="000000"/>
          <w:kern w:val="0"/>
          <w:sz w:val="22"/>
          <w:szCs w:val="22"/>
          <w:highlight w:val="none"/>
        </w:rPr>
        <w:t>、护栏静电喷涂技术要求：</w:t>
      </w:r>
    </w:p>
    <w:p w14:paraId="033E4CF0">
      <w:pPr>
        <w:spacing w:before="278" w:line="217" w:lineRule="auto"/>
        <w:rPr>
          <w:rFonts w:hint="eastAsia" w:ascii="宋体" w:hAnsi="宋体" w:eastAsia="宋体" w:cs="宋体"/>
          <w:color w:val="000000"/>
          <w:kern w:val="0"/>
          <w:sz w:val="22"/>
          <w:szCs w:val="22"/>
          <w:highlight w:val="none"/>
        </w:rPr>
      </w:pPr>
      <w:bookmarkStart w:id="2" w:name="OLE_LINK4"/>
      <w:r>
        <w:rPr>
          <w:rFonts w:hint="eastAsia" w:ascii="宋体" w:hAnsi="宋体" w:eastAsia="宋体" w:cs="宋体"/>
          <w:color w:val="000000"/>
          <w:kern w:val="0"/>
          <w:sz w:val="22"/>
          <w:szCs w:val="22"/>
          <w:highlight w:val="none"/>
        </w:rPr>
        <w:t>（1）</w:t>
      </w:r>
      <w:bookmarkEnd w:id="2"/>
      <w:r>
        <w:rPr>
          <w:rFonts w:hint="eastAsia" w:ascii="宋体" w:hAnsi="宋体" w:eastAsia="宋体" w:cs="宋体"/>
          <w:color w:val="000000"/>
          <w:kern w:val="0"/>
          <w:sz w:val="22"/>
          <w:szCs w:val="22"/>
          <w:highlight w:val="none"/>
        </w:rPr>
        <w:t>耐盐雾试验：参照国家标准GB/T 10125《人造气氛腐蚀试验 盐雾试验》：样板经实测≥360小时耐中性盐雾试验，涂层无起泡、锈蚀、开裂或剥落等现象。</w:t>
      </w:r>
    </w:p>
    <w:p w14:paraId="0FA84DA0">
      <w:pPr>
        <w:spacing w:before="278" w:line="217" w:lineRule="auto"/>
        <w:rPr>
          <w:rFonts w:hint="eastAsia" w:ascii="宋体" w:hAnsi="宋体" w:eastAsia="宋体" w:cs="宋体"/>
          <w:color w:val="000000"/>
          <w:kern w:val="0"/>
          <w:sz w:val="22"/>
          <w:szCs w:val="22"/>
          <w:highlight w:val="none"/>
        </w:rPr>
      </w:pPr>
      <w:r>
        <w:rPr>
          <w:rFonts w:hint="eastAsia" w:ascii="宋体" w:hAnsi="宋体" w:eastAsia="宋体" w:cs="宋体"/>
          <w:color w:val="000000"/>
          <w:kern w:val="0"/>
          <w:sz w:val="22"/>
          <w:szCs w:val="22"/>
          <w:highlight w:val="none"/>
        </w:rPr>
        <w:t>（2）耐人工气候老化试验：参照国家标准GB/T 1865-2009《色漆和清漆 人工气候老化和人工辐射曝露 滤过的氙弧辐射》：样板经实测≥1500小时耐人工气候老化试验，漆膜无变色，漆膜失光≤I级，涂层未出现粉化、起泡、开裂等现象。</w:t>
      </w:r>
    </w:p>
    <w:p w14:paraId="7C931A03">
      <w:pPr>
        <w:spacing w:before="278" w:line="217" w:lineRule="auto"/>
        <w:rPr>
          <w:rFonts w:hint="eastAsia" w:ascii="宋体" w:hAnsi="宋体" w:eastAsia="宋体" w:cs="宋体"/>
          <w:color w:val="000000"/>
          <w:kern w:val="0"/>
          <w:sz w:val="22"/>
          <w:szCs w:val="22"/>
          <w:highlight w:val="none"/>
        </w:rPr>
      </w:pPr>
      <w:r>
        <w:rPr>
          <w:rFonts w:hint="eastAsia" w:ascii="宋体" w:hAnsi="宋体" w:eastAsia="宋体" w:cs="宋体"/>
          <w:color w:val="000000"/>
          <w:kern w:val="0"/>
          <w:sz w:val="22"/>
          <w:szCs w:val="22"/>
          <w:highlight w:val="none"/>
        </w:rPr>
        <w:t>（3）耐湿热试验：参照国家标准GB/T 1740-2007《漆膜耐湿热测定法》：样板经实测≥480小时耐湿热试验,涂层无起泡、生锈等现象。</w:t>
      </w:r>
    </w:p>
    <w:p w14:paraId="74613141">
      <w:pPr>
        <w:spacing w:before="278" w:line="217" w:lineRule="auto"/>
        <w:rPr>
          <w:rFonts w:hint="eastAsia" w:ascii="宋体" w:hAnsi="宋体" w:eastAsia="宋体" w:cs="宋体"/>
          <w:color w:val="000000"/>
          <w:kern w:val="0"/>
          <w:sz w:val="22"/>
          <w:szCs w:val="22"/>
          <w:highlight w:val="none"/>
        </w:rPr>
      </w:pPr>
      <w:r>
        <w:rPr>
          <w:rFonts w:hint="eastAsia" w:ascii="宋体" w:hAnsi="宋体" w:eastAsia="宋体" w:cs="宋体"/>
          <w:color w:val="000000"/>
          <w:kern w:val="0"/>
          <w:sz w:val="22"/>
          <w:szCs w:val="22"/>
          <w:highlight w:val="none"/>
        </w:rPr>
        <w:t>（4）耐酸性试验：参照国家标准GB/T 10125-2021《人造气氛腐蚀试验 盐雾试验》：样板经实测≥300小时耐酸性试验，涂层无起泡、变色、剥落等现象。</w:t>
      </w:r>
    </w:p>
    <w:p w14:paraId="621A91EE">
      <w:pPr>
        <w:spacing w:before="278" w:line="217" w:lineRule="auto"/>
        <w:rPr>
          <w:rFonts w:hint="eastAsia" w:ascii="宋体" w:hAnsi="宋体" w:eastAsia="宋体" w:cs="宋体"/>
          <w:color w:val="000000"/>
          <w:kern w:val="0"/>
          <w:sz w:val="22"/>
          <w:szCs w:val="22"/>
          <w:highlight w:val="none"/>
        </w:rPr>
      </w:pPr>
      <w:r>
        <w:rPr>
          <w:rFonts w:hint="eastAsia" w:ascii="宋体" w:hAnsi="宋体" w:eastAsia="宋体" w:cs="宋体"/>
          <w:color w:val="000000"/>
          <w:kern w:val="0"/>
          <w:sz w:val="22"/>
          <w:szCs w:val="22"/>
          <w:highlight w:val="none"/>
        </w:rPr>
        <w:t>（5）耐碱性试验：参照国家标准GB/T 9265-2009《建筑涂料涂层耐碱性的测定》：样板经实测≥48小时耐碱性试验，涂层无起泡、变色、剥落等现象。</w:t>
      </w:r>
    </w:p>
    <w:p w14:paraId="2EACB2CF">
      <w:pPr>
        <w:numPr>
          <w:ilvl w:val="0"/>
          <w:numId w:val="2"/>
        </w:numPr>
        <w:spacing w:before="155" w:line="219" w:lineRule="auto"/>
        <w:ind w:left="360" w:hanging="360"/>
        <w:rPr>
          <w:rFonts w:hint="eastAsia" w:ascii="宋体" w:hAnsi="宋体" w:eastAsia="宋体" w:cs="宋体"/>
          <w:b/>
          <w:bCs/>
          <w:color w:val="000000"/>
          <w:kern w:val="0"/>
          <w:sz w:val="22"/>
          <w:szCs w:val="22"/>
          <w:highlight w:val="none"/>
        </w:rPr>
      </w:pPr>
      <w:r>
        <w:rPr>
          <w:rFonts w:hint="eastAsia" w:ascii="宋体" w:hAnsi="宋体" w:eastAsia="宋体" w:cs="宋体"/>
          <w:b/>
          <w:bCs/>
          <w:color w:val="000000"/>
          <w:kern w:val="0"/>
          <w:sz w:val="22"/>
          <w:szCs w:val="22"/>
          <w:highlight w:val="none"/>
        </w:rPr>
        <w:t>护栏原材料性能技术要求：</w:t>
      </w:r>
    </w:p>
    <w:p w14:paraId="7D172E9F">
      <w:pPr>
        <w:pStyle w:val="5"/>
        <w:spacing w:before="155" w:line="219" w:lineRule="auto"/>
        <w:ind w:firstLine="0" w:firstLineChars="0"/>
        <w:rPr>
          <w:rFonts w:hint="eastAsia" w:ascii="宋体" w:hAnsi="宋体" w:eastAsia="宋体" w:cs="宋体"/>
          <w:color w:val="000000"/>
          <w:kern w:val="0"/>
          <w:sz w:val="22"/>
          <w:szCs w:val="22"/>
          <w:highlight w:val="none"/>
          <w:lang w:val="en-US" w:eastAsia="zh-CN"/>
        </w:rPr>
      </w:pPr>
      <w:r>
        <w:rPr>
          <w:rFonts w:hint="eastAsia" w:ascii="宋体" w:hAnsi="宋体" w:eastAsia="宋体" w:cs="宋体"/>
          <w:color w:val="000000"/>
          <w:kern w:val="0"/>
          <w:sz w:val="22"/>
          <w:szCs w:val="22"/>
          <w:highlight w:val="none"/>
        </w:rPr>
        <w:t>（1）依据国家标准GB/T 700-2006《碳素结构钢》和GB/T 3274-2017《碳素结构钢和低合金结构钢热轧钢板和钢带》</w:t>
      </w:r>
      <w:r>
        <w:rPr>
          <w:rFonts w:hint="eastAsia" w:ascii="宋体" w:hAnsi="宋体" w:eastAsia="宋体" w:cs="宋体"/>
          <w:color w:val="000000"/>
          <w:kern w:val="0"/>
          <w:sz w:val="22"/>
          <w:szCs w:val="22"/>
          <w:highlight w:val="none"/>
          <w:lang w:eastAsia="zh-CN"/>
        </w:rPr>
        <w:t>，</w:t>
      </w:r>
      <w:r>
        <w:rPr>
          <w:rFonts w:hint="eastAsia" w:ascii="宋体" w:hAnsi="宋体" w:eastAsia="宋体" w:cs="宋体"/>
          <w:color w:val="000000"/>
          <w:kern w:val="0"/>
          <w:sz w:val="22"/>
          <w:szCs w:val="22"/>
          <w:highlight w:val="none"/>
          <w:lang w:val="en-US" w:eastAsia="zh-CN"/>
        </w:rPr>
        <w:t>满足以下要求：</w:t>
      </w:r>
    </w:p>
    <w:p w14:paraId="1DB91562">
      <w:pPr>
        <w:spacing w:before="146" w:line="233" w:lineRule="auto"/>
        <w:ind w:left="32"/>
        <w:rPr>
          <w:rFonts w:hint="eastAsia" w:ascii="宋体" w:hAnsi="宋体" w:eastAsia="宋体" w:cs="宋体"/>
          <w:color w:val="000000"/>
          <w:sz w:val="22"/>
          <w:szCs w:val="22"/>
          <w:highlight w:val="none"/>
        </w:rPr>
      </w:pPr>
      <w:r>
        <w:rPr>
          <w:rFonts w:hint="eastAsia" w:ascii="宋体" w:hAnsi="宋体" w:eastAsia="宋体" w:cs="宋体"/>
          <w:color w:val="000000"/>
          <w:spacing w:val="-2"/>
          <w:sz w:val="22"/>
          <w:szCs w:val="22"/>
          <w:highlight w:val="none"/>
        </w:rPr>
        <w:t>①下屈服强度 ReL</w:t>
      </w:r>
      <w:r>
        <w:rPr>
          <w:rFonts w:hint="eastAsia" w:ascii="宋体" w:hAnsi="宋体" w:eastAsia="宋体" w:cs="宋体"/>
          <w:color w:val="000000"/>
          <w:spacing w:val="-2"/>
          <w:sz w:val="22"/>
          <w:szCs w:val="22"/>
          <w:highlight w:val="none"/>
          <w:lang w:val="en-US" w:eastAsia="zh-CN"/>
        </w:rPr>
        <w:t>不低于</w:t>
      </w:r>
      <w:r>
        <w:rPr>
          <w:rFonts w:hint="eastAsia" w:ascii="宋体" w:hAnsi="宋体" w:eastAsia="宋体" w:cs="宋体"/>
          <w:color w:val="000000"/>
          <w:spacing w:val="-2"/>
          <w:sz w:val="22"/>
          <w:szCs w:val="22"/>
          <w:highlight w:val="none"/>
        </w:rPr>
        <w:t>235MPa</w:t>
      </w:r>
    </w:p>
    <w:p w14:paraId="1F7D59CB">
      <w:pPr>
        <w:spacing w:before="137" w:line="233" w:lineRule="auto"/>
        <w:ind w:left="32"/>
        <w:rPr>
          <w:rFonts w:hint="eastAsia" w:ascii="宋体" w:hAnsi="宋体" w:eastAsia="宋体" w:cs="宋体"/>
          <w:color w:val="000000"/>
          <w:spacing w:val="-2"/>
          <w:sz w:val="22"/>
          <w:szCs w:val="22"/>
          <w:highlight w:val="none"/>
        </w:rPr>
      </w:pPr>
      <w:r>
        <w:rPr>
          <w:rFonts w:hint="eastAsia" w:ascii="宋体" w:hAnsi="宋体" w:eastAsia="宋体" w:cs="宋体"/>
          <w:color w:val="000000"/>
          <w:spacing w:val="-2"/>
          <w:sz w:val="22"/>
          <w:szCs w:val="22"/>
          <w:highlight w:val="none"/>
        </w:rPr>
        <w:t>②抗拉强度 Rm</w:t>
      </w:r>
      <w:r>
        <w:rPr>
          <w:rFonts w:hint="eastAsia" w:ascii="宋体" w:hAnsi="宋体" w:eastAsia="宋体" w:cs="宋体"/>
          <w:color w:val="000000"/>
          <w:spacing w:val="-2"/>
          <w:sz w:val="22"/>
          <w:szCs w:val="22"/>
          <w:highlight w:val="none"/>
          <w:lang w:val="en-US" w:eastAsia="zh-CN"/>
        </w:rPr>
        <w:t>不低于</w:t>
      </w:r>
      <w:r>
        <w:rPr>
          <w:rFonts w:hint="eastAsia" w:ascii="宋体" w:hAnsi="宋体" w:eastAsia="宋体" w:cs="宋体"/>
          <w:color w:val="000000"/>
          <w:spacing w:val="-2"/>
          <w:sz w:val="22"/>
          <w:szCs w:val="22"/>
          <w:highlight w:val="none"/>
        </w:rPr>
        <w:t>375MPa</w:t>
      </w:r>
    </w:p>
    <w:p w14:paraId="38AC4DD2">
      <w:pPr>
        <w:spacing w:before="137" w:line="233" w:lineRule="auto"/>
        <w:rPr>
          <w:rFonts w:hint="eastAsia" w:ascii="宋体" w:hAnsi="宋体" w:eastAsia="宋体" w:cs="宋体"/>
          <w:color w:val="000000"/>
          <w:spacing w:val="3"/>
          <w:sz w:val="22"/>
          <w:szCs w:val="22"/>
          <w:highlight w:val="none"/>
        </w:rPr>
      </w:pPr>
      <w:r>
        <w:rPr>
          <w:rFonts w:hint="eastAsia" w:ascii="宋体" w:hAnsi="宋体" w:eastAsia="宋体" w:cs="宋体"/>
          <w:color w:val="000000"/>
          <w:spacing w:val="3"/>
          <w:sz w:val="22"/>
          <w:szCs w:val="22"/>
          <w:highlight w:val="none"/>
        </w:rPr>
        <w:t>③断后伸长率A</w:t>
      </w:r>
      <w:r>
        <w:rPr>
          <w:rFonts w:hint="eastAsia" w:ascii="宋体" w:hAnsi="宋体" w:eastAsia="宋体" w:cs="宋体"/>
          <w:color w:val="000000"/>
          <w:spacing w:val="-2"/>
          <w:sz w:val="22"/>
          <w:szCs w:val="22"/>
          <w:highlight w:val="none"/>
          <w:lang w:val="en-US" w:eastAsia="zh-CN"/>
        </w:rPr>
        <w:t>不低于</w:t>
      </w:r>
      <w:r>
        <w:rPr>
          <w:rFonts w:hint="eastAsia" w:ascii="宋体" w:hAnsi="宋体" w:eastAsia="宋体" w:cs="宋体"/>
          <w:color w:val="000000"/>
          <w:spacing w:val="3"/>
          <w:sz w:val="22"/>
          <w:szCs w:val="22"/>
          <w:highlight w:val="none"/>
        </w:rPr>
        <w:t>26%</w:t>
      </w:r>
    </w:p>
    <w:p w14:paraId="21893601">
      <w:pPr>
        <w:spacing w:before="137" w:line="233" w:lineRule="auto"/>
        <w:rPr>
          <w:rFonts w:hint="eastAsia" w:ascii="宋体" w:hAnsi="宋体" w:eastAsia="宋体" w:cs="宋体"/>
          <w:color w:val="000000"/>
          <w:kern w:val="0"/>
          <w:sz w:val="22"/>
          <w:szCs w:val="22"/>
          <w:highlight w:val="none"/>
        </w:rPr>
      </w:pPr>
      <w:r>
        <w:rPr>
          <w:rFonts w:hint="eastAsia" w:ascii="宋体" w:hAnsi="宋体" w:eastAsia="宋体" w:cs="宋体"/>
          <w:color w:val="000000"/>
          <w:kern w:val="0"/>
          <w:sz w:val="22"/>
          <w:szCs w:val="22"/>
          <w:highlight w:val="none"/>
        </w:rPr>
        <w:t>（2）依据国家标准GB/T 13912-2020《金属覆盖层 钢铁制件热浸镀锌层技术要求及试验方法》：</w:t>
      </w:r>
    </w:p>
    <w:p w14:paraId="12EC259D">
      <w:pPr>
        <w:numPr>
          <w:ilvl w:val="0"/>
          <w:numId w:val="3"/>
        </w:numPr>
        <w:spacing w:before="130" w:line="217" w:lineRule="auto"/>
        <w:ind w:left="381" w:hanging="360"/>
        <w:rPr>
          <w:rFonts w:hint="eastAsia" w:ascii="宋体" w:hAnsi="宋体" w:eastAsia="宋体" w:cs="宋体"/>
          <w:color w:val="000000"/>
          <w:kern w:val="0"/>
          <w:sz w:val="22"/>
          <w:szCs w:val="22"/>
          <w:highlight w:val="none"/>
        </w:rPr>
      </w:pPr>
      <w:r>
        <w:rPr>
          <w:rFonts w:hint="eastAsia" w:ascii="宋体" w:hAnsi="宋体" w:eastAsia="宋体" w:cs="宋体"/>
          <w:color w:val="000000"/>
          <w:kern w:val="0"/>
          <w:sz w:val="22"/>
          <w:szCs w:val="22"/>
          <w:highlight w:val="none"/>
        </w:rPr>
        <w:t>镀锌层厚度（平均厚度）</w:t>
      </w:r>
      <w:r>
        <w:rPr>
          <w:rFonts w:hint="eastAsia" w:ascii="宋体" w:hAnsi="宋体" w:eastAsia="宋体" w:cs="宋体"/>
          <w:color w:val="000000"/>
          <w:spacing w:val="-2"/>
          <w:sz w:val="22"/>
          <w:szCs w:val="22"/>
          <w:highlight w:val="none"/>
          <w:lang w:val="en-US" w:eastAsia="zh-CN"/>
        </w:rPr>
        <w:t>不低于</w:t>
      </w:r>
      <w:r>
        <w:rPr>
          <w:rFonts w:hint="eastAsia" w:ascii="宋体" w:hAnsi="宋体" w:eastAsia="宋体" w:cs="宋体"/>
          <w:color w:val="000000"/>
          <w:kern w:val="0"/>
          <w:sz w:val="22"/>
          <w:szCs w:val="22"/>
          <w:highlight w:val="none"/>
        </w:rPr>
        <w:t xml:space="preserve"> 55μm</w:t>
      </w:r>
    </w:p>
    <w:p w14:paraId="51B1466D">
      <w:pPr>
        <w:numPr>
          <w:ilvl w:val="0"/>
          <w:numId w:val="2"/>
        </w:numPr>
        <w:spacing w:before="157" w:line="219" w:lineRule="auto"/>
        <w:ind w:left="360" w:hanging="360"/>
        <w:rPr>
          <w:rFonts w:hint="eastAsia" w:ascii="宋体" w:hAnsi="宋体" w:eastAsia="宋体" w:cs="宋体"/>
          <w:b/>
          <w:bCs/>
          <w:color w:val="000000"/>
          <w:kern w:val="0"/>
          <w:sz w:val="22"/>
          <w:szCs w:val="22"/>
          <w:highlight w:val="none"/>
        </w:rPr>
      </w:pPr>
      <w:r>
        <w:rPr>
          <w:rFonts w:hint="eastAsia" w:ascii="宋体" w:hAnsi="宋体" w:eastAsia="宋体" w:cs="宋体"/>
          <w:b/>
          <w:bCs/>
          <w:color w:val="000000"/>
          <w:kern w:val="0"/>
          <w:sz w:val="22"/>
          <w:szCs w:val="22"/>
          <w:highlight w:val="none"/>
        </w:rPr>
        <w:t>交通护栏Ⅳ类反光膜技术要求：</w:t>
      </w:r>
    </w:p>
    <w:p w14:paraId="0291A49F">
      <w:pPr>
        <w:spacing w:before="157" w:line="219" w:lineRule="auto"/>
        <w:rPr>
          <w:rFonts w:hint="eastAsia" w:ascii="宋体" w:hAnsi="宋体" w:eastAsia="宋体" w:cs="宋体"/>
          <w:color w:val="000000"/>
          <w:kern w:val="0"/>
          <w:sz w:val="22"/>
          <w:szCs w:val="22"/>
          <w:highlight w:val="none"/>
        </w:rPr>
      </w:pPr>
      <w:r>
        <w:rPr>
          <w:rFonts w:hint="eastAsia" w:ascii="宋体" w:hAnsi="宋体" w:eastAsia="宋体" w:cs="宋体"/>
          <w:color w:val="000000"/>
          <w:kern w:val="0"/>
          <w:sz w:val="22"/>
          <w:szCs w:val="22"/>
          <w:highlight w:val="none"/>
        </w:rPr>
        <w:t>（1）参照国家标准‌GB/T 18833-2012《道路交通反光膜》：</w:t>
      </w:r>
    </w:p>
    <w:p w14:paraId="4F407A59">
      <w:pPr>
        <w:widowControl w:val="0"/>
        <w:numPr>
          <w:ilvl w:val="0"/>
          <w:numId w:val="0"/>
        </w:numPr>
        <w:spacing w:before="1" w:line="400" w:lineRule="exact"/>
        <w:jc w:val="both"/>
        <w:rPr>
          <w:rFonts w:hint="eastAsia" w:ascii="宋体" w:hAnsi="宋体" w:eastAsia="宋体" w:cs="宋体"/>
          <w:color w:val="000000"/>
          <w:spacing w:val="-6"/>
          <w:kern w:val="2"/>
          <w:sz w:val="22"/>
          <w:szCs w:val="22"/>
          <w:highlight w:val="none"/>
          <w:lang w:val="en-US" w:eastAsia="zh-CN" w:bidi="ar-SA"/>
        </w:rPr>
      </w:pPr>
      <w:r>
        <w:rPr>
          <w:rFonts w:hint="eastAsia" w:ascii="宋体" w:hAnsi="宋体" w:eastAsia="宋体" w:cs="宋体"/>
          <w:color w:val="000000"/>
          <w:spacing w:val="-2"/>
          <w:sz w:val="22"/>
          <w:szCs w:val="22"/>
          <w:highlight w:val="none"/>
        </w:rPr>
        <w:t>①</w:t>
      </w:r>
      <w:r>
        <w:rPr>
          <w:rFonts w:hint="eastAsia" w:ascii="宋体" w:hAnsi="宋体" w:eastAsia="宋体" w:cs="宋体"/>
          <w:color w:val="000000"/>
          <w:spacing w:val="-6"/>
          <w:kern w:val="2"/>
          <w:sz w:val="22"/>
          <w:szCs w:val="22"/>
          <w:highlight w:val="none"/>
          <w:lang w:val="en-US" w:eastAsia="zh-CN" w:bidi="ar-SA"/>
        </w:rPr>
        <w:t>观测角 0.2°</w:t>
      </w:r>
      <w:r>
        <w:rPr>
          <w:rFonts w:hint="eastAsia" w:ascii="宋体" w:hAnsi="宋体" w:eastAsia="宋体" w:cs="宋体"/>
          <w:color w:val="000000"/>
          <w:spacing w:val="-89"/>
          <w:kern w:val="2"/>
          <w:sz w:val="22"/>
          <w:szCs w:val="22"/>
          <w:highlight w:val="none"/>
          <w:lang w:val="en-US" w:eastAsia="zh-CN" w:bidi="ar-SA"/>
        </w:rPr>
        <w:t xml:space="preserve"> </w:t>
      </w:r>
      <w:r>
        <w:rPr>
          <w:rFonts w:hint="eastAsia" w:ascii="宋体" w:hAnsi="宋体" w:eastAsia="宋体" w:cs="宋体"/>
          <w:color w:val="000000"/>
          <w:spacing w:val="-6"/>
          <w:kern w:val="2"/>
          <w:sz w:val="22"/>
          <w:szCs w:val="22"/>
          <w:highlight w:val="none"/>
          <w:lang w:val="en-US" w:eastAsia="zh-CN" w:bidi="ar-SA"/>
        </w:rPr>
        <w:t>:</w:t>
      </w:r>
    </w:p>
    <w:p w14:paraId="7E0F73EE">
      <w:pPr>
        <w:widowControl w:val="0"/>
        <w:spacing w:before="1" w:line="400" w:lineRule="exact"/>
        <w:jc w:val="both"/>
        <w:rPr>
          <w:rFonts w:hint="eastAsia" w:ascii="宋体" w:hAnsi="宋体" w:eastAsia="宋体" w:cs="宋体"/>
          <w:color w:val="000000"/>
          <w:kern w:val="2"/>
          <w:sz w:val="22"/>
          <w:szCs w:val="22"/>
          <w:highlight w:val="none"/>
          <w:lang w:val="en-US" w:eastAsia="zh-CN" w:bidi="ar-SA"/>
        </w:rPr>
      </w:pPr>
      <w:r>
        <w:rPr>
          <w:rFonts w:hint="eastAsia" w:ascii="宋体" w:hAnsi="宋体" w:eastAsia="宋体" w:cs="宋体"/>
          <w:color w:val="000000"/>
          <w:spacing w:val="-14"/>
          <w:kern w:val="2"/>
          <w:sz w:val="22"/>
          <w:szCs w:val="22"/>
          <w:highlight w:val="none"/>
          <w:lang w:val="en-US" w:eastAsia="zh-CN" w:bidi="ar-SA"/>
        </w:rPr>
        <w:t>当入射角为-4°时，白色逆反射系数值</w:t>
      </w:r>
      <w:r>
        <w:rPr>
          <w:rFonts w:hint="eastAsia" w:ascii="宋体" w:hAnsi="宋体" w:eastAsia="宋体" w:cs="宋体"/>
          <w:color w:val="000000"/>
          <w:spacing w:val="-2"/>
          <w:sz w:val="22"/>
          <w:szCs w:val="22"/>
          <w:highlight w:val="none"/>
          <w:lang w:val="en-US" w:eastAsia="zh-CN"/>
        </w:rPr>
        <w:t>不低于</w:t>
      </w:r>
      <w:r>
        <w:rPr>
          <w:rFonts w:hint="eastAsia" w:ascii="宋体" w:hAnsi="宋体" w:eastAsia="宋体" w:cs="宋体"/>
          <w:color w:val="000000"/>
          <w:spacing w:val="-15"/>
          <w:kern w:val="2"/>
          <w:sz w:val="22"/>
          <w:szCs w:val="22"/>
          <w:highlight w:val="none"/>
          <w:lang w:val="en-US" w:eastAsia="zh-CN" w:bidi="ar-SA"/>
        </w:rPr>
        <w:t>360cd</w:t>
      </w:r>
      <w:r>
        <w:rPr>
          <w:rFonts w:hint="eastAsia" w:ascii="宋体" w:hAnsi="宋体" w:eastAsia="宋体" w:cs="宋体"/>
          <w:color w:val="000000"/>
          <w:spacing w:val="-14"/>
          <w:kern w:val="2"/>
          <w:sz w:val="22"/>
          <w:szCs w:val="22"/>
          <w:highlight w:val="none"/>
          <w:lang w:val="en-US" w:eastAsia="zh-CN" w:bidi="ar-SA"/>
        </w:rPr>
        <w:t xml:space="preserve"> </w:t>
      </w:r>
      <w:r>
        <w:rPr>
          <w:rFonts w:hint="eastAsia" w:ascii="宋体" w:hAnsi="宋体" w:eastAsia="宋体" w:cs="宋体"/>
          <w:color w:val="000000"/>
          <w:spacing w:val="-15"/>
          <w:kern w:val="2"/>
          <w:sz w:val="22"/>
          <w:szCs w:val="22"/>
          <w:highlight w:val="none"/>
          <w:lang w:val="en-US" w:eastAsia="zh-CN" w:bidi="ar-SA"/>
        </w:rPr>
        <w:t>·</w:t>
      </w:r>
      <w:r>
        <w:rPr>
          <w:rFonts w:hint="eastAsia" w:ascii="宋体" w:hAnsi="宋体" w:eastAsia="宋体" w:cs="宋体"/>
          <w:color w:val="000000"/>
          <w:spacing w:val="-97"/>
          <w:kern w:val="2"/>
          <w:sz w:val="22"/>
          <w:szCs w:val="22"/>
          <w:highlight w:val="none"/>
          <w:lang w:val="en-US" w:eastAsia="zh-CN" w:bidi="ar-SA"/>
        </w:rPr>
        <w:t xml:space="preserve"> </w:t>
      </w:r>
      <w:r>
        <w:rPr>
          <w:rFonts w:hint="eastAsia" w:ascii="宋体" w:hAnsi="宋体" w:eastAsia="宋体" w:cs="宋体"/>
          <w:color w:val="000000"/>
          <w:spacing w:val="-15"/>
          <w:kern w:val="2"/>
          <w:sz w:val="22"/>
          <w:szCs w:val="22"/>
          <w:highlight w:val="none"/>
          <w:lang w:val="en-US" w:eastAsia="zh-CN" w:bidi="ar-SA"/>
        </w:rPr>
        <w:t>lx-1</w:t>
      </w:r>
      <w:r>
        <w:rPr>
          <w:rFonts w:hint="eastAsia" w:ascii="宋体" w:hAnsi="宋体" w:eastAsia="宋体" w:cs="宋体"/>
          <w:color w:val="000000"/>
          <w:spacing w:val="-28"/>
          <w:kern w:val="2"/>
          <w:sz w:val="22"/>
          <w:szCs w:val="22"/>
          <w:highlight w:val="none"/>
          <w:lang w:val="en-US" w:eastAsia="zh-CN" w:bidi="ar-SA"/>
        </w:rPr>
        <w:t xml:space="preserve"> </w:t>
      </w:r>
      <w:r>
        <w:rPr>
          <w:rFonts w:hint="eastAsia" w:ascii="宋体" w:hAnsi="宋体" w:eastAsia="宋体" w:cs="宋体"/>
          <w:color w:val="000000"/>
          <w:spacing w:val="-15"/>
          <w:kern w:val="2"/>
          <w:sz w:val="22"/>
          <w:szCs w:val="22"/>
          <w:highlight w:val="none"/>
          <w:lang w:val="en-US" w:eastAsia="zh-CN" w:bidi="ar-SA"/>
        </w:rPr>
        <w:t>·m-2；</w:t>
      </w:r>
    </w:p>
    <w:p w14:paraId="72ED13DC">
      <w:pPr>
        <w:widowControl w:val="0"/>
        <w:spacing w:before="1" w:line="400" w:lineRule="exact"/>
        <w:jc w:val="both"/>
        <w:rPr>
          <w:rFonts w:hint="eastAsia" w:ascii="宋体" w:hAnsi="宋体" w:eastAsia="宋体" w:cs="宋体"/>
          <w:color w:val="000000"/>
          <w:spacing w:val="-14"/>
          <w:kern w:val="2"/>
          <w:sz w:val="22"/>
          <w:szCs w:val="22"/>
          <w:highlight w:val="none"/>
          <w:lang w:val="en-US" w:eastAsia="zh-CN" w:bidi="ar-SA"/>
        </w:rPr>
      </w:pPr>
      <w:r>
        <w:rPr>
          <w:rFonts w:hint="eastAsia" w:ascii="宋体" w:hAnsi="宋体" w:eastAsia="宋体" w:cs="宋体"/>
          <w:color w:val="000000"/>
          <w:spacing w:val="-14"/>
          <w:kern w:val="2"/>
          <w:sz w:val="22"/>
          <w:szCs w:val="22"/>
          <w:highlight w:val="none"/>
          <w:lang w:val="en-US" w:eastAsia="zh-CN" w:bidi="ar-SA"/>
        </w:rPr>
        <w:t>当入射角为</w:t>
      </w:r>
      <w:r>
        <w:rPr>
          <w:rFonts w:hint="eastAsia" w:ascii="宋体" w:hAnsi="宋体" w:eastAsia="宋体" w:cs="宋体"/>
          <w:color w:val="000000"/>
          <w:spacing w:val="-19"/>
          <w:kern w:val="2"/>
          <w:sz w:val="22"/>
          <w:szCs w:val="22"/>
          <w:highlight w:val="none"/>
          <w:lang w:val="en-US" w:eastAsia="zh-CN" w:bidi="ar-SA"/>
        </w:rPr>
        <w:t xml:space="preserve"> </w:t>
      </w:r>
      <w:r>
        <w:rPr>
          <w:rFonts w:hint="eastAsia" w:ascii="宋体" w:hAnsi="宋体" w:eastAsia="宋体" w:cs="宋体"/>
          <w:color w:val="000000"/>
          <w:spacing w:val="-14"/>
          <w:kern w:val="2"/>
          <w:sz w:val="22"/>
          <w:szCs w:val="22"/>
          <w:highlight w:val="none"/>
          <w:lang w:val="en-US" w:eastAsia="zh-CN" w:bidi="ar-SA"/>
        </w:rPr>
        <w:t>15</w:t>
      </w:r>
      <w:r>
        <w:rPr>
          <w:rFonts w:hint="eastAsia" w:ascii="宋体" w:hAnsi="宋体" w:eastAsia="宋体" w:cs="宋体"/>
          <w:color w:val="000000"/>
          <w:spacing w:val="-89"/>
          <w:kern w:val="2"/>
          <w:sz w:val="22"/>
          <w:szCs w:val="22"/>
          <w:highlight w:val="none"/>
          <w:lang w:val="en-US" w:eastAsia="zh-CN" w:bidi="ar-SA"/>
        </w:rPr>
        <w:t xml:space="preserve"> </w:t>
      </w:r>
      <w:r>
        <w:rPr>
          <w:rFonts w:hint="eastAsia" w:ascii="宋体" w:hAnsi="宋体" w:eastAsia="宋体" w:cs="宋体"/>
          <w:color w:val="000000"/>
          <w:spacing w:val="-14"/>
          <w:kern w:val="2"/>
          <w:sz w:val="22"/>
          <w:szCs w:val="22"/>
          <w:highlight w:val="none"/>
          <w:lang w:val="en-US" w:eastAsia="zh-CN" w:bidi="ar-SA"/>
        </w:rPr>
        <w:t>°时，白色逆反射系数值</w:t>
      </w:r>
      <w:r>
        <w:rPr>
          <w:rFonts w:hint="eastAsia" w:ascii="宋体" w:hAnsi="宋体" w:eastAsia="宋体" w:cs="宋体"/>
          <w:color w:val="000000"/>
          <w:spacing w:val="-2"/>
          <w:sz w:val="22"/>
          <w:szCs w:val="22"/>
          <w:highlight w:val="none"/>
          <w:lang w:val="en-US" w:eastAsia="zh-CN"/>
        </w:rPr>
        <w:t>不低于</w:t>
      </w:r>
      <w:r>
        <w:rPr>
          <w:rFonts w:hint="eastAsia" w:ascii="宋体" w:hAnsi="宋体" w:eastAsia="宋体" w:cs="宋体"/>
          <w:color w:val="000000"/>
          <w:spacing w:val="-15"/>
          <w:kern w:val="2"/>
          <w:sz w:val="22"/>
          <w:szCs w:val="22"/>
          <w:highlight w:val="none"/>
          <w:lang w:val="en-US" w:eastAsia="zh-CN" w:bidi="ar-SA"/>
        </w:rPr>
        <w:t xml:space="preserve">265cd </w:t>
      </w:r>
      <w:r>
        <w:rPr>
          <w:rFonts w:hint="eastAsia" w:ascii="宋体" w:hAnsi="宋体" w:eastAsia="宋体" w:cs="宋体"/>
          <w:color w:val="000000"/>
          <w:spacing w:val="-14"/>
          <w:kern w:val="2"/>
          <w:sz w:val="22"/>
          <w:szCs w:val="22"/>
          <w:highlight w:val="none"/>
          <w:lang w:val="en-US" w:eastAsia="zh-CN" w:bidi="ar-SA"/>
        </w:rPr>
        <w:t>·</w:t>
      </w:r>
      <w:r>
        <w:rPr>
          <w:rFonts w:hint="eastAsia" w:ascii="宋体" w:hAnsi="宋体" w:eastAsia="宋体" w:cs="宋体"/>
          <w:color w:val="000000"/>
          <w:spacing w:val="-96"/>
          <w:kern w:val="2"/>
          <w:sz w:val="22"/>
          <w:szCs w:val="22"/>
          <w:highlight w:val="none"/>
          <w:lang w:val="en-US" w:eastAsia="zh-CN" w:bidi="ar-SA"/>
        </w:rPr>
        <w:t xml:space="preserve"> </w:t>
      </w:r>
      <w:r>
        <w:rPr>
          <w:rFonts w:hint="eastAsia" w:ascii="宋体" w:hAnsi="宋体" w:eastAsia="宋体" w:cs="宋体"/>
          <w:color w:val="000000"/>
          <w:spacing w:val="-14"/>
          <w:kern w:val="2"/>
          <w:sz w:val="22"/>
          <w:szCs w:val="22"/>
          <w:highlight w:val="none"/>
          <w:lang w:val="en-US" w:eastAsia="zh-CN" w:bidi="ar-SA"/>
        </w:rPr>
        <w:t>lx-1</w:t>
      </w:r>
      <w:r>
        <w:rPr>
          <w:rFonts w:hint="eastAsia" w:ascii="宋体" w:hAnsi="宋体" w:eastAsia="宋体" w:cs="宋体"/>
          <w:color w:val="000000"/>
          <w:spacing w:val="-28"/>
          <w:kern w:val="2"/>
          <w:sz w:val="22"/>
          <w:szCs w:val="22"/>
          <w:highlight w:val="none"/>
          <w:lang w:val="en-US" w:eastAsia="zh-CN" w:bidi="ar-SA"/>
        </w:rPr>
        <w:t xml:space="preserve"> </w:t>
      </w:r>
      <w:r>
        <w:rPr>
          <w:rFonts w:hint="eastAsia" w:ascii="宋体" w:hAnsi="宋体" w:eastAsia="宋体" w:cs="宋体"/>
          <w:color w:val="000000"/>
          <w:spacing w:val="-14"/>
          <w:kern w:val="2"/>
          <w:sz w:val="22"/>
          <w:szCs w:val="22"/>
          <w:highlight w:val="none"/>
          <w:lang w:val="en-US" w:eastAsia="zh-CN" w:bidi="ar-SA"/>
        </w:rPr>
        <w:t>·m-2；</w:t>
      </w:r>
    </w:p>
    <w:p w14:paraId="4FD2FE4F">
      <w:pPr>
        <w:widowControl w:val="0"/>
        <w:spacing w:before="1" w:line="400" w:lineRule="exact"/>
        <w:jc w:val="both"/>
        <w:rPr>
          <w:rFonts w:hint="eastAsia" w:ascii="宋体" w:hAnsi="宋体" w:eastAsia="宋体" w:cs="宋体"/>
          <w:color w:val="000000"/>
          <w:spacing w:val="-2"/>
          <w:sz w:val="22"/>
          <w:szCs w:val="22"/>
          <w:highlight w:val="none"/>
          <w:lang w:val="en-US" w:eastAsia="zh-CN"/>
        </w:rPr>
      </w:pPr>
      <w:r>
        <w:rPr>
          <w:rFonts w:hint="eastAsia" w:ascii="宋体" w:hAnsi="宋体" w:eastAsia="宋体" w:cs="宋体"/>
          <w:color w:val="000000"/>
          <w:spacing w:val="-14"/>
          <w:kern w:val="2"/>
          <w:sz w:val="22"/>
          <w:szCs w:val="22"/>
          <w:highlight w:val="none"/>
          <w:lang w:val="en-US" w:eastAsia="zh-CN" w:bidi="ar-SA"/>
        </w:rPr>
        <w:t>当入射角为</w:t>
      </w:r>
      <w:r>
        <w:rPr>
          <w:rFonts w:hint="eastAsia" w:ascii="宋体" w:hAnsi="宋体" w:eastAsia="宋体" w:cs="宋体"/>
          <w:color w:val="000000"/>
          <w:spacing w:val="-19"/>
          <w:kern w:val="2"/>
          <w:sz w:val="22"/>
          <w:szCs w:val="22"/>
          <w:highlight w:val="none"/>
          <w:lang w:val="en-US" w:eastAsia="zh-CN" w:bidi="ar-SA"/>
        </w:rPr>
        <w:t xml:space="preserve"> </w:t>
      </w:r>
      <w:r>
        <w:rPr>
          <w:rFonts w:hint="eastAsia" w:ascii="宋体" w:hAnsi="宋体" w:eastAsia="宋体" w:cs="宋体"/>
          <w:color w:val="000000"/>
          <w:spacing w:val="-14"/>
          <w:kern w:val="2"/>
          <w:sz w:val="22"/>
          <w:szCs w:val="22"/>
          <w:highlight w:val="none"/>
          <w:lang w:val="en-US" w:eastAsia="zh-CN" w:bidi="ar-SA"/>
        </w:rPr>
        <w:t>30</w:t>
      </w:r>
      <w:r>
        <w:rPr>
          <w:rFonts w:hint="eastAsia" w:ascii="宋体" w:hAnsi="宋体" w:eastAsia="宋体" w:cs="宋体"/>
          <w:color w:val="000000"/>
          <w:spacing w:val="-89"/>
          <w:kern w:val="2"/>
          <w:sz w:val="22"/>
          <w:szCs w:val="22"/>
          <w:highlight w:val="none"/>
          <w:lang w:val="en-US" w:eastAsia="zh-CN" w:bidi="ar-SA"/>
        </w:rPr>
        <w:t xml:space="preserve"> </w:t>
      </w:r>
      <w:r>
        <w:rPr>
          <w:rFonts w:hint="eastAsia" w:ascii="宋体" w:hAnsi="宋体" w:eastAsia="宋体" w:cs="宋体"/>
          <w:color w:val="000000"/>
          <w:spacing w:val="-14"/>
          <w:kern w:val="2"/>
          <w:sz w:val="22"/>
          <w:szCs w:val="22"/>
          <w:highlight w:val="none"/>
          <w:lang w:val="en-US" w:eastAsia="zh-CN" w:bidi="ar-SA"/>
        </w:rPr>
        <w:t>°时，白色逆反射系数值</w:t>
      </w:r>
      <w:r>
        <w:rPr>
          <w:rFonts w:hint="eastAsia" w:ascii="宋体" w:hAnsi="宋体" w:eastAsia="宋体" w:cs="宋体"/>
          <w:color w:val="000000"/>
          <w:spacing w:val="-2"/>
          <w:sz w:val="22"/>
          <w:szCs w:val="22"/>
          <w:highlight w:val="none"/>
          <w:lang w:val="en-US" w:eastAsia="zh-CN"/>
        </w:rPr>
        <w:t>不低于</w:t>
      </w:r>
      <w:r>
        <w:rPr>
          <w:rFonts w:hint="eastAsia" w:ascii="宋体" w:hAnsi="宋体" w:eastAsia="宋体" w:cs="宋体"/>
          <w:color w:val="000000"/>
          <w:spacing w:val="-15"/>
          <w:kern w:val="2"/>
          <w:sz w:val="22"/>
          <w:szCs w:val="22"/>
          <w:highlight w:val="none"/>
          <w:lang w:val="en-US" w:eastAsia="zh-CN" w:bidi="ar-SA"/>
        </w:rPr>
        <w:t>170cd</w:t>
      </w:r>
      <w:r>
        <w:rPr>
          <w:rFonts w:hint="eastAsia" w:ascii="宋体" w:hAnsi="宋体" w:eastAsia="宋体" w:cs="宋体"/>
          <w:color w:val="000000"/>
          <w:spacing w:val="-6"/>
          <w:kern w:val="2"/>
          <w:sz w:val="22"/>
          <w:szCs w:val="22"/>
          <w:highlight w:val="none"/>
          <w:lang w:val="en-US" w:eastAsia="zh-CN" w:bidi="ar-SA"/>
        </w:rPr>
        <w:t xml:space="preserve"> </w:t>
      </w:r>
      <w:r>
        <w:rPr>
          <w:rFonts w:hint="eastAsia" w:ascii="宋体" w:hAnsi="宋体" w:eastAsia="宋体" w:cs="宋体"/>
          <w:color w:val="000000"/>
          <w:spacing w:val="-14"/>
          <w:kern w:val="2"/>
          <w:sz w:val="22"/>
          <w:szCs w:val="22"/>
          <w:highlight w:val="none"/>
          <w:lang w:val="en-US" w:eastAsia="zh-CN" w:bidi="ar-SA"/>
        </w:rPr>
        <w:t>·</w:t>
      </w:r>
      <w:r>
        <w:rPr>
          <w:rFonts w:hint="eastAsia" w:ascii="宋体" w:hAnsi="宋体" w:eastAsia="宋体" w:cs="宋体"/>
          <w:color w:val="000000"/>
          <w:spacing w:val="-96"/>
          <w:kern w:val="2"/>
          <w:sz w:val="22"/>
          <w:szCs w:val="22"/>
          <w:highlight w:val="none"/>
          <w:lang w:val="en-US" w:eastAsia="zh-CN" w:bidi="ar-SA"/>
        </w:rPr>
        <w:t xml:space="preserve"> </w:t>
      </w:r>
      <w:r>
        <w:rPr>
          <w:rFonts w:hint="eastAsia" w:ascii="宋体" w:hAnsi="宋体" w:eastAsia="宋体" w:cs="宋体"/>
          <w:color w:val="000000"/>
          <w:spacing w:val="-14"/>
          <w:kern w:val="2"/>
          <w:sz w:val="22"/>
          <w:szCs w:val="22"/>
          <w:highlight w:val="none"/>
          <w:lang w:val="en-US" w:eastAsia="zh-CN" w:bidi="ar-SA"/>
        </w:rPr>
        <w:t>lx-1</w:t>
      </w:r>
      <w:r>
        <w:rPr>
          <w:rFonts w:hint="eastAsia" w:ascii="宋体" w:hAnsi="宋体" w:eastAsia="宋体" w:cs="宋体"/>
          <w:color w:val="000000"/>
          <w:spacing w:val="-28"/>
          <w:kern w:val="2"/>
          <w:sz w:val="22"/>
          <w:szCs w:val="22"/>
          <w:highlight w:val="none"/>
          <w:lang w:val="en-US" w:eastAsia="zh-CN" w:bidi="ar-SA"/>
        </w:rPr>
        <w:t xml:space="preserve"> </w:t>
      </w:r>
      <w:r>
        <w:rPr>
          <w:rFonts w:hint="eastAsia" w:ascii="宋体" w:hAnsi="宋体" w:eastAsia="宋体" w:cs="宋体"/>
          <w:color w:val="000000"/>
          <w:spacing w:val="-14"/>
          <w:kern w:val="2"/>
          <w:sz w:val="22"/>
          <w:szCs w:val="22"/>
          <w:highlight w:val="none"/>
          <w:lang w:val="en-US" w:eastAsia="zh-CN" w:bidi="ar-SA"/>
        </w:rPr>
        <w:t>·m-2。</w:t>
      </w:r>
    </w:p>
    <w:p w14:paraId="2B6FCDC7">
      <w:pPr>
        <w:spacing w:before="146" w:line="233" w:lineRule="auto"/>
        <w:ind w:left="32"/>
        <w:rPr>
          <w:rFonts w:hint="eastAsia" w:ascii="宋体" w:hAnsi="宋体" w:eastAsia="宋体" w:cs="宋体"/>
          <w:color w:val="000000"/>
          <w:spacing w:val="-2"/>
          <w:sz w:val="22"/>
          <w:szCs w:val="22"/>
          <w:highlight w:val="none"/>
        </w:rPr>
      </w:pPr>
      <w:r>
        <w:rPr>
          <w:rFonts w:hint="eastAsia" w:ascii="宋体" w:hAnsi="宋体" w:eastAsia="宋体" w:cs="宋体"/>
          <w:color w:val="000000"/>
          <w:spacing w:val="-2"/>
          <w:sz w:val="22"/>
          <w:szCs w:val="22"/>
          <w:highlight w:val="none"/>
        </w:rPr>
        <w:t>②观测角 0.2° :</w:t>
      </w:r>
    </w:p>
    <w:p w14:paraId="2F272014">
      <w:pPr>
        <w:spacing w:before="146" w:line="233" w:lineRule="auto"/>
        <w:ind w:left="32"/>
        <w:rPr>
          <w:rFonts w:hint="eastAsia" w:ascii="宋体" w:hAnsi="宋体" w:eastAsia="宋体" w:cs="宋体"/>
          <w:color w:val="000000"/>
          <w:spacing w:val="-2"/>
          <w:sz w:val="22"/>
          <w:szCs w:val="22"/>
          <w:highlight w:val="none"/>
        </w:rPr>
      </w:pPr>
      <w:r>
        <w:rPr>
          <w:rFonts w:hint="eastAsia" w:ascii="宋体" w:hAnsi="宋体" w:eastAsia="宋体" w:cs="宋体"/>
          <w:color w:val="000000"/>
          <w:spacing w:val="-2"/>
          <w:sz w:val="22"/>
          <w:szCs w:val="22"/>
          <w:highlight w:val="none"/>
        </w:rPr>
        <w:t>当入射角为-4°时，黄色逆反射系数值</w:t>
      </w:r>
      <w:r>
        <w:rPr>
          <w:rFonts w:hint="eastAsia" w:ascii="宋体" w:hAnsi="宋体" w:eastAsia="宋体" w:cs="宋体"/>
          <w:color w:val="000000"/>
          <w:spacing w:val="-2"/>
          <w:sz w:val="22"/>
          <w:szCs w:val="22"/>
          <w:highlight w:val="none"/>
          <w:lang w:val="en-US" w:eastAsia="zh-CN"/>
        </w:rPr>
        <w:t>不低于</w:t>
      </w:r>
      <w:r>
        <w:rPr>
          <w:rFonts w:hint="eastAsia" w:ascii="宋体" w:hAnsi="宋体" w:eastAsia="宋体" w:cs="宋体"/>
          <w:color w:val="000000"/>
          <w:spacing w:val="-2"/>
          <w:sz w:val="22"/>
          <w:szCs w:val="22"/>
          <w:highlight w:val="none"/>
        </w:rPr>
        <w:t>270cd · lx-1 ·m-2；</w:t>
      </w:r>
    </w:p>
    <w:p w14:paraId="3D189844">
      <w:pPr>
        <w:spacing w:before="146" w:line="233" w:lineRule="auto"/>
        <w:ind w:left="32"/>
        <w:rPr>
          <w:rFonts w:hint="eastAsia" w:ascii="宋体" w:hAnsi="宋体" w:eastAsia="宋体" w:cs="宋体"/>
          <w:color w:val="000000"/>
          <w:spacing w:val="-2"/>
          <w:sz w:val="22"/>
          <w:szCs w:val="22"/>
          <w:highlight w:val="none"/>
        </w:rPr>
      </w:pPr>
      <w:r>
        <w:rPr>
          <w:rFonts w:hint="eastAsia" w:ascii="宋体" w:hAnsi="宋体" w:eastAsia="宋体" w:cs="宋体"/>
          <w:color w:val="000000"/>
          <w:spacing w:val="-2"/>
          <w:sz w:val="22"/>
          <w:szCs w:val="22"/>
          <w:highlight w:val="none"/>
        </w:rPr>
        <w:t>当入射角为 15 °时，黄色逆反射系数值</w:t>
      </w:r>
      <w:r>
        <w:rPr>
          <w:rFonts w:hint="eastAsia" w:ascii="宋体" w:hAnsi="宋体" w:eastAsia="宋体" w:cs="宋体"/>
          <w:color w:val="000000"/>
          <w:spacing w:val="-2"/>
          <w:sz w:val="22"/>
          <w:szCs w:val="22"/>
          <w:highlight w:val="none"/>
          <w:lang w:val="en-US" w:eastAsia="zh-CN"/>
        </w:rPr>
        <w:t>不低于</w:t>
      </w:r>
      <w:r>
        <w:rPr>
          <w:rFonts w:hint="eastAsia" w:ascii="宋体" w:hAnsi="宋体" w:eastAsia="宋体" w:cs="宋体"/>
          <w:color w:val="000000"/>
          <w:spacing w:val="-2"/>
          <w:sz w:val="22"/>
          <w:szCs w:val="22"/>
          <w:highlight w:val="none"/>
        </w:rPr>
        <w:t>202cd · lx-1 ·m-2；</w:t>
      </w:r>
    </w:p>
    <w:p w14:paraId="5BED4157">
      <w:pPr>
        <w:spacing w:before="146" w:line="233" w:lineRule="auto"/>
        <w:ind w:left="32"/>
        <w:rPr>
          <w:rFonts w:hint="eastAsia" w:ascii="宋体" w:hAnsi="宋体" w:eastAsia="宋体" w:cs="宋体"/>
          <w:color w:val="000000"/>
          <w:spacing w:val="-2"/>
          <w:sz w:val="22"/>
          <w:szCs w:val="22"/>
          <w:highlight w:val="none"/>
        </w:rPr>
      </w:pPr>
      <w:r>
        <w:rPr>
          <w:rFonts w:hint="eastAsia" w:ascii="宋体" w:hAnsi="宋体" w:eastAsia="宋体" w:cs="宋体"/>
          <w:color w:val="000000"/>
          <w:spacing w:val="-2"/>
          <w:sz w:val="22"/>
          <w:szCs w:val="22"/>
          <w:highlight w:val="none"/>
        </w:rPr>
        <w:t>当入射角为 30 °时，黄色逆反射系数值</w:t>
      </w:r>
      <w:r>
        <w:rPr>
          <w:rFonts w:hint="eastAsia" w:ascii="宋体" w:hAnsi="宋体" w:eastAsia="宋体" w:cs="宋体"/>
          <w:color w:val="000000"/>
          <w:spacing w:val="-2"/>
          <w:sz w:val="22"/>
          <w:szCs w:val="22"/>
          <w:highlight w:val="none"/>
          <w:lang w:val="en-US" w:eastAsia="zh-CN"/>
        </w:rPr>
        <w:t>不低于</w:t>
      </w:r>
      <w:r>
        <w:rPr>
          <w:rFonts w:hint="eastAsia" w:ascii="宋体" w:hAnsi="宋体" w:eastAsia="宋体" w:cs="宋体"/>
          <w:color w:val="000000"/>
          <w:spacing w:val="-2"/>
          <w:sz w:val="22"/>
          <w:szCs w:val="22"/>
          <w:highlight w:val="none"/>
        </w:rPr>
        <w:t>135cd · lx-1 ·m-2。</w:t>
      </w:r>
    </w:p>
    <w:p w14:paraId="4BB14D0F">
      <w:pPr>
        <w:spacing w:before="146" w:line="233" w:lineRule="auto"/>
        <w:ind w:left="32"/>
        <w:rPr>
          <w:rFonts w:hint="eastAsia" w:ascii="宋体" w:hAnsi="宋体" w:eastAsia="宋体" w:cs="宋体"/>
          <w:color w:val="000000"/>
          <w:spacing w:val="-2"/>
          <w:sz w:val="22"/>
          <w:szCs w:val="22"/>
          <w:highlight w:val="none"/>
        </w:rPr>
      </w:pPr>
      <w:r>
        <w:rPr>
          <w:rFonts w:hint="eastAsia" w:ascii="宋体" w:hAnsi="宋体" w:eastAsia="宋体" w:cs="宋体"/>
          <w:color w:val="000000"/>
          <w:spacing w:val="-2"/>
          <w:sz w:val="22"/>
          <w:szCs w:val="22"/>
          <w:highlight w:val="none"/>
        </w:rPr>
        <w:t>③观测角 0.2° :</w:t>
      </w:r>
    </w:p>
    <w:p w14:paraId="69413BB9">
      <w:pPr>
        <w:spacing w:before="146" w:line="233" w:lineRule="auto"/>
        <w:ind w:left="32"/>
        <w:rPr>
          <w:rFonts w:hint="eastAsia" w:ascii="宋体" w:hAnsi="宋体" w:eastAsia="宋体" w:cs="宋体"/>
          <w:color w:val="000000"/>
          <w:spacing w:val="-2"/>
          <w:sz w:val="22"/>
          <w:szCs w:val="22"/>
          <w:highlight w:val="none"/>
        </w:rPr>
      </w:pPr>
      <w:r>
        <w:rPr>
          <w:rFonts w:hint="eastAsia" w:ascii="宋体" w:hAnsi="宋体" w:eastAsia="宋体" w:cs="宋体"/>
          <w:color w:val="000000"/>
          <w:spacing w:val="-2"/>
          <w:sz w:val="22"/>
          <w:szCs w:val="22"/>
          <w:highlight w:val="none"/>
        </w:rPr>
        <w:t>当入射角为-4°时，红色逆反射系数值</w:t>
      </w:r>
      <w:r>
        <w:rPr>
          <w:rFonts w:hint="eastAsia" w:ascii="宋体" w:hAnsi="宋体" w:eastAsia="宋体" w:cs="宋体"/>
          <w:color w:val="000000"/>
          <w:spacing w:val="-2"/>
          <w:sz w:val="22"/>
          <w:szCs w:val="22"/>
          <w:highlight w:val="none"/>
          <w:lang w:val="en-US" w:eastAsia="zh-CN"/>
        </w:rPr>
        <w:t>不低于</w:t>
      </w:r>
      <w:r>
        <w:rPr>
          <w:rFonts w:hint="eastAsia" w:ascii="宋体" w:hAnsi="宋体" w:eastAsia="宋体" w:cs="宋体"/>
          <w:color w:val="000000"/>
          <w:spacing w:val="-2"/>
          <w:sz w:val="22"/>
          <w:szCs w:val="22"/>
          <w:highlight w:val="none"/>
        </w:rPr>
        <w:t>65cd · lx-1 ·m-2；</w:t>
      </w:r>
    </w:p>
    <w:p w14:paraId="014A74DE">
      <w:pPr>
        <w:spacing w:before="146" w:line="233" w:lineRule="auto"/>
        <w:ind w:left="32"/>
        <w:rPr>
          <w:rFonts w:hint="eastAsia" w:ascii="宋体" w:hAnsi="宋体" w:eastAsia="宋体" w:cs="宋体"/>
          <w:color w:val="000000"/>
          <w:spacing w:val="-2"/>
          <w:sz w:val="22"/>
          <w:szCs w:val="22"/>
          <w:highlight w:val="none"/>
        </w:rPr>
      </w:pPr>
      <w:r>
        <w:rPr>
          <w:rFonts w:hint="eastAsia" w:ascii="宋体" w:hAnsi="宋体" w:eastAsia="宋体" w:cs="宋体"/>
          <w:color w:val="000000"/>
          <w:spacing w:val="-2"/>
          <w:sz w:val="22"/>
          <w:szCs w:val="22"/>
          <w:highlight w:val="none"/>
        </w:rPr>
        <w:t>当入射角为 15 °时，红色逆反射系数值</w:t>
      </w:r>
      <w:r>
        <w:rPr>
          <w:rFonts w:hint="eastAsia" w:ascii="宋体" w:hAnsi="宋体" w:eastAsia="宋体" w:cs="宋体"/>
          <w:color w:val="000000"/>
          <w:spacing w:val="-2"/>
          <w:sz w:val="22"/>
          <w:szCs w:val="22"/>
          <w:highlight w:val="none"/>
          <w:lang w:val="en-US" w:eastAsia="zh-CN"/>
        </w:rPr>
        <w:t>不低于</w:t>
      </w:r>
      <w:r>
        <w:rPr>
          <w:rFonts w:hint="eastAsia" w:ascii="宋体" w:hAnsi="宋体" w:eastAsia="宋体" w:cs="宋体"/>
          <w:color w:val="000000"/>
          <w:spacing w:val="-2"/>
          <w:sz w:val="22"/>
          <w:szCs w:val="22"/>
          <w:highlight w:val="none"/>
        </w:rPr>
        <w:t>48cd · lx-1 ·m-2；</w:t>
      </w:r>
    </w:p>
    <w:p w14:paraId="123EFA11">
      <w:pPr>
        <w:spacing w:before="146" w:line="233" w:lineRule="auto"/>
        <w:ind w:left="32"/>
        <w:rPr>
          <w:rFonts w:hint="eastAsia" w:ascii="宋体" w:hAnsi="宋体" w:eastAsia="宋体" w:cs="宋体"/>
          <w:color w:val="000000"/>
          <w:spacing w:val="-2"/>
          <w:sz w:val="22"/>
          <w:szCs w:val="22"/>
          <w:highlight w:val="none"/>
        </w:rPr>
      </w:pPr>
      <w:r>
        <w:rPr>
          <w:rFonts w:hint="eastAsia" w:ascii="宋体" w:hAnsi="宋体" w:eastAsia="宋体" w:cs="宋体"/>
          <w:color w:val="000000"/>
          <w:spacing w:val="-2"/>
          <w:sz w:val="22"/>
          <w:szCs w:val="22"/>
          <w:highlight w:val="none"/>
        </w:rPr>
        <w:t>当入射角为 30 °时，红色逆反射系数值</w:t>
      </w:r>
      <w:r>
        <w:rPr>
          <w:rFonts w:hint="eastAsia" w:ascii="宋体" w:hAnsi="宋体" w:eastAsia="宋体" w:cs="宋体"/>
          <w:color w:val="000000"/>
          <w:spacing w:val="-2"/>
          <w:sz w:val="22"/>
          <w:szCs w:val="22"/>
          <w:highlight w:val="none"/>
          <w:lang w:val="en-US" w:eastAsia="zh-CN"/>
        </w:rPr>
        <w:t>不低于</w:t>
      </w:r>
      <w:r>
        <w:rPr>
          <w:rFonts w:hint="eastAsia" w:ascii="宋体" w:hAnsi="宋体" w:eastAsia="宋体" w:cs="宋体"/>
          <w:color w:val="000000"/>
          <w:spacing w:val="-2"/>
          <w:sz w:val="22"/>
          <w:szCs w:val="22"/>
          <w:highlight w:val="none"/>
        </w:rPr>
        <w:t>30cd · lx-1 ·m-2。</w:t>
      </w:r>
    </w:p>
    <w:p w14:paraId="3ACE89DF">
      <w:pPr>
        <w:spacing w:before="146" w:line="233" w:lineRule="auto"/>
        <w:ind w:left="32"/>
        <w:rPr>
          <w:rFonts w:hint="eastAsia" w:ascii="宋体" w:hAnsi="宋体" w:eastAsia="宋体" w:cs="宋体"/>
          <w:color w:val="000000"/>
          <w:spacing w:val="-2"/>
          <w:sz w:val="22"/>
          <w:szCs w:val="22"/>
          <w:highlight w:val="none"/>
        </w:rPr>
      </w:pPr>
      <w:r>
        <w:rPr>
          <w:rFonts w:hint="eastAsia" w:ascii="宋体" w:hAnsi="宋体" w:eastAsia="宋体" w:cs="宋体"/>
          <w:color w:val="000000"/>
          <w:spacing w:val="-2"/>
          <w:sz w:val="22"/>
          <w:szCs w:val="22"/>
          <w:highlight w:val="none"/>
        </w:rPr>
        <w:t>④观测角 0.2° :</w:t>
      </w:r>
    </w:p>
    <w:p w14:paraId="2466F34D">
      <w:pPr>
        <w:spacing w:before="146" w:line="233" w:lineRule="auto"/>
        <w:ind w:left="32"/>
        <w:rPr>
          <w:rFonts w:hint="eastAsia" w:ascii="宋体" w:hAnsi="宋体" w:eastAsia="宋体" w:cs="宋体"/>
          <w:color w:val="000000"/>
          <w:spacing w:val="-2"/>
          <w:sz w:val="22"/>
          <w:szCs w:val="22"/>
          <w:highlight w:val="none"/>
        </w:rPr>
      </w:pPr>
      <w:r>
        <w:rPr>
          <w:rFonts w:hint="eastAsia" w:ascii="宋体" w:hAnsi="宋体" w:eastAsia="宋体" w:cs="宋体"/>
          <w:color w:val="000000"/>
          <w:spacing w:val="-2"/>
          <w:sz w:val="22"/>
          <w:szCs w:val="22"/>
          <w:highlight w:val="none"/>
        </w:rPr>
        <w:t>当入射角为-4°时，蓝色逆反射系数值</w:t>
      </w:r>
      <w:r>
        <w:rPr>
          <w:rFonts w:hint="eastAsia" w:ascii="宋体" w:hAnsi="宋体" w:eastAsia="宋体" w:cs="宋体"/>
          <w:color w:val="000000"/>
          <w:spacing w:val="-2"/>
          <w:sz w:val="22"/>
          <w:szCs w:val="22"/>
          <w:highlight w:val="none"/>
          <w:lang w:val="en-US" w:eastAsia="zh-CN"/>
        </w:rPr>
        <w:t>不低于</w:t>
      </w:r>
      <w:r>
        <w:rPr>
          <w:rFonts w:hint="eastAsia" w:ascii="宋体" w:hAnsi="宋体" w:eastAsia="宋体" w:cs="宋体"/>
          <w:color w:val="000000"/>
          <w:spacing w:val="-2"/>
          <w:sz w:val="22"/>
          <w:szCs w:val="22"/>
          <w:highlight w:val="none"/>
        </w:rPr>
        <w:t>30cd · lx-1 ·m-2；</w:t>
      </w:r>
    </w:p>
    <w:p w14:paraId="101E9C59">
      <w:pPr>
        <w:spacing w:before="146" w:line="233" w:lineRule="auto"/>
        <w:ind w:left="32"/>
        <w:rPr>
          <w:rFonts w:hint="eastAsia" w:ascii="宋体" w:hAnsi="宋体" w:eastAsia="宋体" w:cs="宋体"/>
          <w:color w:val="000000"/>
          <w:spacing w:val="-2"/>
          <w:sz w:val="22"/>
          <w:szCs w:val="22"/>
          <w:highlight w:val="none"/>
        </w:rPr>
      </w:pPr>
      <w:r>
        <w:rPr>
          <w:rFonts w:hint="eastAsia" w:ascii="宋体" w:hAnsi="宋体" w:eastAsia="宋体" w:cs="宋体"/>
          <w:color w:val="000000"/>
          <w:spacing w:val="-2"/>
          <w:sz w:val="22"/>
          <w:szCs w:val="22"/>
          <w:highlight w:val="none"/>
        </w:rPr>
        <w:t>当入射角为 15 °时，蓝色逆反射系数值</w:t>
      </w:r>
      <w:r>
        <w:rPr>
          <w:rFonts w:hint="eastAsia" w:ascii="宋体" w:hAnsi="宋体" w:eastAsia="宋体" w:cs="宋体"/>
          <w:color w:val="000000"/>
          <w:spacing w:val="-2"/>
          <w:sz w:val="22"/>
          <w:szCs w:val="22"/>
          <w:highlight w:val="none"/>
          <w:lang w:val="en-US" w:eastAsia="zh-CN"/>
        </w:rPr>
        <w:t>不低于</w:t>
      </w:r>
      <w:r>
        <w:rPr>
          <w:rFonts w:hint="eastAsia" w:ascii="宋体" w:hAnsi="宋体" w:eastAsia="宋体" w:cs="宋体"/>
          <w:color w:val="000000"/>
          <w:spacing w:val="-2"/>
          <w:sz w:val="22"/>
          <w:szCs w:val="22"/>
          <w:highlight w:val="none"/>
        </w:rPr>
        <w:t>22cd · lx-1 ·m-2；</w:t>
      </w:r>
    </w:p>
    <w:p w14:paraId="41DB99E4">
      <w:pPr>
        <w:spacing w:before="146" w:line="233" w:lineRule="auto"/>
        <w:ind w:left="32"/>
        <w:rPr>
          <w:rFonts w:hint="eastAsia" w:ascii="宋体" w:hAnsi="宋体" w:eastAsia="宋体" w:cs="宋体"/>
          <w:color w:val="000000"/>
          <w:spacing w:val="-2"/>
          <w:sz w:val="22"/>
          <w:szCs w:val="22"/>
          <w:highlight w:val="none"/>
        </w:rPr>
      </w:pPr>
      <w:r>
        <w:rPr>
          <w:rFonts w:hint="eastAsia" w:ascii="宋体" w:hAnsi="宋体" w:eastAsia="宋体" w:cs="宋体"/>
          <w:color w:val="000000"/>
          <w:spacing w:val="-2"/>
          <w:sz w:val="22"/>
          <w:szCs w:val="22"/>
          <w:highlight w:val="none"/>
        </w:rPr>
        <w:t>当入射角为 30 °时，蓝色逆反射系数值</w:t>
      </w:r>
      <w:r>
        <w:rPr>
          <w:rFonts w:hint="eastAsia" w:ascii="宋体" w:hAnsi="宋体" w:eastAsia="宋体" w:cs="宋体"/>
          <w:color w:val="000000"/>
          <w:spacing w:val="-2"/>
          <w:sz w:val="22"/>
          <w:szCs w:val="22"/>
          <w:highlight w:val="none"/>
          <w:lang w:val="en-US" w:eastAsia="zh-CN"/>
        </w:rPr>
        <w:t>不低于</w:t>
      </w:r>
      <w:r>
        <w:rPr>
          <w:rFonts w:hint="eastAsia" w:ascii="宋体" w:hAnsi="宋体" w:eastAsia="宋体" w:cs="宋体"/>
          <w:color w:val="000000"/>
          <w:spacing w:val="-2"/>
          <w:sz w:val="22"/>
          <w:szCs w:val="22"/>
          <w:highlight w:val="none"/>
        </w:rPr>
        <w:t>14cd · lx-1 ·m-2。</w:t>
      </w:r>
    </w:p>
    <w:p w14:paraId="3B0D9AFC">
      <w:pPr>
        <w:spacing w:before="157" w:line="219" w:lineRule="auto"/>
        <w:rPr>
          <w:rFonts w:hint="eastAsia" w:ascii="宋体" w:hAnsi="宋体" w:eastAsia="宋体" w:cs="宋体"/>
          <w:b/>
          <w:bCs/>
          <w:color w:val="000000"/>
          <w:spacing w:val="-4"/>
          <w:sz w:val="22"/>
          <w:szCs w:val="22"/>
          <w:highlight w:val="none"/>
        </w:rPr>
      </w:pPr>
      <w:r>
        <w:rPr>
          <w:rFonts w:hint="eastAsia" w:ascii="宋体" w:hAnsi="宋体" w:eastAsia="宋体" w:cs="宋体"/>
          <w:b/>
          <w:bCs/>
          <w:color w:val="000000"/>
          <w:spacing w:val="-4"/>
          <w:sz w:val="22"/>
          <w:szCs w:val="22"/>
          <w:highlight w:val="none"/>
        </w:rPr>
        <w:t>4、新增</w:t>
      </w:r>
      <w:r>
        <w:rPr>
          <w:rFonts w:hint="eastAsia" w:ascii="宋体" w:hAnsi="宋体" w:eastAsia="宋体" w:cs="宋体"/>
          <w:b/>
          <w:bCs/>
          <w:color w:val="000000"/>
          <w:kern w:val="0"/>
          <w:sz w:val="22"/>
          <w:szCs w:val="22"/>
          <w:highlight w:val="none"/>
        </w:rPr>
        <w:t>中央护栏（白色）</w:t>
      </w:r>
    </w:p>
    <w:p w14:paraId="00A9BD64">
      <w:pPr>
        <w:spacing w:before="157" w:line="219" w:lineRule="auto"/>
        <w:rPr>
          <w:rFonts w:hint="eastAsia" w:ascii="宋体" w:hAnsi="宋体" w:eastAsia="宋体" w:cs="宋体"/>
          <w:color w:val="000000"/>
          <w:spacing w:val="-4"/>
          <w:sz w:val="22"/>
          <w:szCs w:val="22"/>
          <w:highlight w:val="none"/>
        </w:rPr>
      </w:pPr>
      <w:bookmarkStart w:id="3" w:name="OLE_LINK5"/>
      <w:r>
        <w:rPr>
          <w:rFonts w:hint="eastAsia" w:ascii="宋体" w:hAnsi="宋体" w:eastAsia="宋体" w:cs="宋体"/>
          <w:color w:val="000000"/>
          <w:spacing w:val="-11"/>
          <w:sz w:val="22"/>
          <w:szCs w:val="22"/>
          <w:highlight w:val="none"/>
        </w:rPr>
        <w:t>（1）</w:t>
      </w:r>
      <w:bookmarkEnd w:id="3"/>
      <w:r>
        <w:rPr>
          <w:rFonts w:hint="eastAsia" w:ascii="宋体" w:hAnsi="宋体" w:eastAsia="宋体" w:cs="宋体"/>
          <w:color w:val="000000"/>
          <w:spacing w:val="-11"/>
          <w:sz w:val="22"/>
          <w:szCs w:val="22"/>
          <w:highlight w:val="none"/>
        </w:rPr>
        <w:t>外观： 护栏构件防腐处理层应均匀，无疤斑、流滴等， 表面缺陷不得有剥落、气泡、裂纹、</w:t>
      </w:r>
      <w:r>
        <w:rPr>
          <w:rFonts w:hint="eastAsia" w:ascii="宋体" w:hAnsi="宋体" w:eastAsia="宋体" w:cs="宋体"/>
          <w:color w:val="000000"/>
          <w:spacing w:val="-2"/>
          <w:sz w:val="22"/>
          <w:szCs w:val="22"/>
          <w:highlight w:val="none"/>
        </w:rPr>
        <w:t>擦伤等，表面护栏整件结构无焊接点，必须采用异形连接件连接，喷涂表面无熔渣；</w:t>
      </w:r>
    </w:p>
    <w:p w14:paraId="31DCDEB1">
      <w:pPr>
        <w:spacing w:before="185"/>
        <w:ind w:left="40" w:right="459"/>
        <w:rPr>
          <w:rFonts w:hint="eastAsia" w:ascii="宋体" w:hAnsi="宋体" w:eastAsia="宋体" w:cs="宋体"/>
          <w:color w:val="000000"/>
          <w:sz w:val="22"/>
          <w:szCs w:val="22"/>
          <w:highlight w:val="none"/>
        </w:rPr>
      </w:pPr>
      <w:r>
        <w:rPr>
          <w:rFonts w:hint="eastAsia" w:ascii="宋体" w:hAnsi="宋体" w:eastAsia="宋体" w:cs="宋体"/>
          <w:color w:val="000000"/>
          <w:spacing w:val="-11"/>
          <w:sz w:val="22"/>
          <w:szCs w:val="22"/>
          <w:highlight w:val="none"/>
        </w:rPr>
        <w:t>（2）</w:t>
      </w:r>
      <w:r>
        <w:rPr>
          <w:rFonts w:hint="eastAsia" w:ascii="宋体" w:hAnsi="宋体" w:eastAsia="宋体" w:cs="宋体"/>
          <w:color w:val="000000"/>
          <w:spacing w:val="-1"/>
          <w:sz w:val="22"/>
          <w:szCs w:val="22"/>
          <w:highlight w:val="none"/>
        </w:rPr>
        <w:t>材质及防腐处理：整体采用优质管材</w:t>
      </w:r>
      <w:r>
        <w:rPr>
          <w:rFonts w:hint="eastAsia" w:ascii="宋体" w:hAnsi="宋体" w:eastAsia="宋体" w:cs="宋体"/>
          <w:color w:val="000000"/>
          <w:spacing w:val="-2"/>
          <w:sz w:val="22"/>
          <w:szCs w:val="22"/>
          <w:highlight w:val="none"/>
        </w:rPr>
        <w:t>，整体热镀锌。焊接应打磨光滑，无毛刺、进行酸洗、碱化、磷化、水洗后烘干、进行彩色氟碳喷涂；</w:t>
      </w:r>
    </w:p>
    <w:p w14:paraId="215A7F92">
      <w:pPr>
        <w:spacing w:before="180"/>
        <w:ind w:left="43" w:right="471"/>
        <w:rPr>
          <w:rFonts w:hint="eastAsia" w:ascii="宋体" w:hAnsi="宋体" w:eastAsia="宋体" w:cs="宋体"/>
          <w:color w:val="000000"/>
          <w:sz w:val="22"/>
          <w:szCs w:val="22"/>
          <w:highlight w:val="none"/>
        </w:rPr>
      </w:pPr>
      <w:r>
        <w:rPr>
          <w:rFonts w:hint="eastAsia" w:ascii="宋体" w:hAnsi="宋体" w:eastAsia="宋体" w:cs="宋体"/>
          <w:color w:val="000000"/>
          <w:spacing w:val="-11"/>
          <w:sz w:val="22"/>
          <w:szCs w:val="22"/>
          <w:highlight w:val="none"/>
        </w:rPr>
        <w:t>（3）</w:t>
      </w:r>
      <w:r>
        <w:rPr>
          <w:rFonts w:hint="eastAsia" w:ascii="宋体" w:hAnsi="宋体" w:eastAsia="宋体" w:cs="宋体"/>
          <w:color w:val="000000"/>
          <w:spacing w:val="-10"/>
          <w:sz w:val="22"/>
          <w:szCs w:val="22"/>
          <w:highlight w:val="none"/>
        </w:rPr>
        <w:t>护栏片与立柱采用连接件连接，安装方便快捷。上下</w:t>
      </w:r>
      <w:r>
        <w:rPr>
          <w:rFonts w:hint="eastAsia" w:ascii="宋体" w:hAnsi="宋体" w:eastAsia="宋体" w:cs="宋体"/>
          <w:color w:val="000000"/>
          <w:spacing w:val="-11"/>
          <w:sz w:val="22"/>
          <w:szCs w:val="22"/>
          <w:highlight w:val="none"/>
        </w:rPr>
        <w:t>横杆与竖杆焊接成形，不得出现型材</w:t>
      </w:r>
      <w:r>
        <w:rPr>
          <w:rFonts w:hint="eastAsia" w:ascii="宋体" w:hAnsi="宋体" w:eastAsia="宋体" w:cs="宋体"/>
          <w:color w:val="000000"/>
          <w:spacing w:val="-3"/>
          <w:sz w:val="22"/>
          <w:szCs w:val="22"/>
          <w:highlight w:val="none"/>
        </w:rPr>
        <w:t>弯曲、扭曲、宽窄不一致等现象，保持护栏整体一致性、均匀性；</w:t>
      </w:r>
    </w:p>
    <w:p w14:paraId="09812DB3">
      <w:pPr>
        <w:spacing w:before="183"/>
        <w:ind w:left="39"/>
        <w:rPr>
          <w:rFonts w:hint="eastAsia" w:ascii="宋体" w:hAnsi="宋体" w:eastAsia="宋体" w:cs="宋体"/>
          <w:color w:val="000000"/>
          <w:spacing w:val="-2"/>
          <w:sz w:val="22"/>
          <w:szCs w:val="22"/>
          <w:highlight w:val="none"/>
        </w:rPr>
      </w:pPr>
      <w:r>
        <w:rPr>
          <w:rFonts w:hint="eastAsia" w:ascii="宋体" w:hAnsi="宋体" w:eastAsia="宋体" w:cs="宋体"/>
          <w:color w:val="000000"/>
          <w:spacing w:val="-11"/>
          <w:sz w:val="22"/>
          <w:szCs w:val="22"/>
          <w:highlight w:val="none"/>
        </w:rPr>
        <w:t>（4）</w:t>
      </w:r>
      <w:r>
        <w:rPr>
          <w:rFonts w:hint="eastAsia" w:ascii="宋体" w:hAnsi="宋体" w:eastAsia="宋体" w:cs="宋体"/>
          <w:color w:val="000000"/>
          <w:spacing w:val="-2"/>
          <w:sz w:val="22"/>
          <w:szCs w:val="22"/>
          <w:highlight w:val="none"/>
        </w:rPr>
        <w:t>护栏表面进行氟碳喷涂处理。焊接处无夹渣、气孔、脱焊、虚焊、焊穿等现象；</w:t>
      </w:r>
    </w:p>
    <w:p w14:paraId="064214F6">
      <w:pPr>
        <w:spacing w:before="183"/>
        <w:ind w:left="39"/>
        <w:rPr>
          <w:rFonts w:hint="eastAsia" w:ascii="宋体" w:hAnsi="宋体" w:eastAsia="宋体" w:cs="宋体"/>
          <w:color w:val="000000"/>
          <w:spacing w:val="-2"/>
          <w:sz w:val="22"/>
          <w:szCs w:val="22"/>
          <w:highlight w:val="none"/>
        </w:rPr>
      </w:pPr>
      <w:r>
        <w:rPr>
          <w:rFonts w:hint="eastAsia" w:ascii="宋体" w:hAnsi="宋体" w:eastAsia="宋体" w:cs="宋体"/>
          <w:color w:val="000000"/>
          <w:spacing w:val="-11"/>
          <w:sz w:val="22"/>
          <w:szCs w:val="22"/>
          <w:highlight w:val="none"/>
        </w:rPr>
        <w:t>（5）</w:t>
      </w:r>
      <w:r>
        <w:rPr>
          <w:rFonts w:hint="eastAsia" w:ascii="宋体" w:hAnsi="宋体" w:eastAsia="宋体" w:cs="宋体"/>
          <w:color w:val="000000"/>
          <w:spacing w:val="-2"/>
          <w:sz w:val="22"/>
          <w:szCs w:val="22"/>
          <w:highlight w:val="none"/>
        </w:rPr>
        <w:t>护栏底座进行道钉加固，确保牢固性。</w:t>
      </w:r>
    </w:p>
    <w:p w14:paraId="77C19D89">
      <w:pPr>
        <w:spacing w:before="183"/>
        <w:ind w:left="39"/>
        <w:rPr>
          <w:rFonts w:hint="eastAsia" w:ascii="宋体" w:hAnsi="宋体" w:eastAsia="宋体" w:cs="宋体"/>
          <w:color w:val="000000"/>
          <w:spacing w:val="-3"/>
          <w:sz w:val="22"/>
          <w:szCs w:val="22"/>
          <w:highlight w:val="none"/>
          <w:lang w:eastAsia="zh-CN"/>
        </w:rPr>
      </w:pPr>
      <w:r>
        <w:rPr>
          <w:rFonts w:hint="eastAsia" w:ascii="宋体" w:hAnsi="宋体" w:eastAsia="宋体" w:cs="宋体"/>
          <w:color w:val="000000"/>
          <w:spacing w:val="-11"/>
          <w:sz w:val="22"/>
          <w:szCs w:val="22"/>
          <w:highlight w:val="none"/>
        </w:rPr>
        <w:t>（6）</w:t>
      </w:r>
      <w:r>
        <w:rPr>
          <w:rFonts w:hint="eastAsia" w:ascii="宋体" w:hAnsi="宋体" w:eastAsia="宋体" w:cs="宋体"/>
          <w:color w:val="000000"/>
          <w:spacing w:val="-2"/>
          <w:sz w:val="22"/>
          <w:szCs w:val="22"/>
          <w:highlight w:val="none"/>
        </w:rPr>
        <w:t>规格：</w:t>
      </w:r>
      <w:r>
        <w:rPr>
          <w:rFonts w:hint="eastAsia" w:ascii="宋体" w:hAnsi="宋体" w:eastAsia="宋体" w:cs="宋体"/>
          <w:color w:val="000000"/>
          <w:kern w:val="0"/>
          <w:sz w:val="22"/>
          <w:szCs w:val="22"/>
          <w:highlight w:val="none"/>
        </w:rPr>
        <w:t>竖杠30*30*1.5mm，上下横杠60*40*2mm抗压管，</w:t>
      </w:r>
      <w:r>
        <w:rPr>
          <w:rFonts w:hint="eastAsia" w:ascii="宋体" w:hAnsi="宋体" w:eastAsia="宋体" w:cs="宋体"/>
          <w:color w:val="000000"/>
          <w:kern w:val="0"/>
          <w:sz w:val="22"/>
          <w:szCs w:val="22"/>
          <w:highlight w:val="none"/>
          <w:lang w:val="en-US" w:eastAsia="zh-CN"/>
        </w:rPr>
        <w:t>立柱</w:t>
      </w:r>
      <w:r>
        <w:rPr>
          <w:rFonts w:hint="eastAsia" w:ascii="宋体" w:hAnsi="宋体" w:eastAsia="宋体" w:cs="宋体"/>
          <w:color w:val="000000"/>
          <w:spacing w:val="-11"/>
          <w:sz w:val="22"/>
          <w:szCs w:val="22"/>
          <w:highlight w:val="none"/>
        </w:rPr>
        <w:t>粘贴黄色Ⅳ类反光膜，</w:t>
      </w:r>
      <w:r>
        <w:rPr>
          <w:rFonts w:hint="eastAsia" w:ascii="宋体" w:hAnsi="宋体" w:eastAsia="宋体" w:cs="宋体"/>
          <w:color w:val="000000"/>
          <w:spacing w:val="-2"/>
          <w:sz w:val="22"/>
          <w:szCs w:val="22"/>
          <w:highlight w:val="none"/>
        </w:rPr>
        <w:t>底座400*300*150mm，重量为20kg</w:t>
      </w:r>
      <w:r>
        <w:rPr>
          <w:rFonts w:hint="eastAsia" w:ascii="宋体" w:hAnsi="宋体" w:eastAsia="宋体" w:cs="宋体"/>
          <w:color w:val="000000"/>
          <w:spacing w:val="-3"/>
          <w:sz w:val="22"/>
          <w:szCs w:val="22"/>
          <w:highlight w:val="none"/>
        </w:rPr>
        <w:t>，</w:t>
      </w:r>
      <w:r>
        <w:rPr>
          <w:rFonts w:hint="eastAsia" w:ascii="宋体" w:hAnsi="宋体" w:eastAsia="宋体" w:cs="宋体"/>
          <w:color w:val="000000"/>
          <w:spacing w:val="-2"/>
          <w:sz w:val="22"/>
          <w:szCs w:val="22"/>
          <w:highlight w:val="none"/>
        </w:rPr>
        <w:t>采用铸铁底座，</w:t>
      </w:r>
      <w:r>
        <w:rPr>
          <w:rFonts w:hint="eastAsia" w:ascii="宋体" w:hAnsi="宋体" w:eastAsia="宋体" w:cs="宋体"/>
          <w:color w:val="000000"/>
          <w:spacing w:val="-3"/>
          <w:sz w:val="22"/>
          <w:szCs w:val="22"/>
          <w:highlight w:val="none"/>
        </w:rPr>
        <w:t>总高度 1200mm</w:t>
      </w:r>
      <w:r>
        <w:rPr>
          <w:rFonts w:hint="eastAsia" w:ascii="宋体" w:hAnsi="宋体" w:eastAsia="宋体" w:cs="宋体"/>
          <w:color w:val="000000"/>
          <w:spacing w:val="-3"/>
          <w:sz w:val="22"/>
          <w:szCs w:val="22"/>
          <w:highlight w:val="none"/>
          <w:lang w:eastAsia="zh-CN"/>
        </w:rPr>
        <w:t>。</w:t>
      </w:r>
    </w:p>
    <w:p w14:paraId="1AC57048">
      <w:pPr>
        <w:spacing w:before="157" w:line="219" w:lineRule="auto"/>
        <w:rPr>
          <w:rFonts w:hint="eastAsia" w:ascii="宋体" w:hAnsi="宋体" w:eastAsia="宋体" w:cs="宋体"/>
          <w:b/>
          <w:bCs/>
          <w:color w:val="000000"/>
          <w:spacing w:val="-4"/>
          <w:sz w:val="22"/>
          <w:szCs w:val="22"/>
          <w:highlight w:val="none"/>
        </w:rPr>
      </w:pPr>
      <w:r>
        <w:rPr>
          <w:rFonts w:hint="eastAsia" w:ascii="宋体" w:hAnsi="宋体" w:eastAsia="宋体" w:cs="宋体"/>
          <w:b/>
          <w:bCs/>
          <w:color w:val="000000"/>
          <w:spacing w:val="-4"/>
          <w:sz w:val="22"/>
          <w:szCs w:val="22"/>
          <w:highlight w:val="none"/>
        </w:rPr>
        <w:t>5、新增</w:t>
      </w:r>
      <w:r>
        <w:rPr>
          <w:rFonts w:hint="eastAsia" w:ascii="宋体" w:hAnsi="宋体" w:eastAsia="宋体" w:cs="宋体"/>
          <w:b/>
          <w:bCs/>
          <w:color w:val="000000"/>
          <w:kern w:val="0"/>
          <w:sz w:val="22"/>
          <w:szCs w:val="22"/>
          <w:highlight w:val="none"/>
        </w:rPr>
        <w:t>中央护栏（灰色）</w:t>
      </w:r>
    </w:p>
    <w:p w14:paraId="365742E6">
      <w:pPr>
        <w:spacing w:before="157" w:line="219" w:lineRule="auto"/>
        <w:rPr>
          <w:rFonts w:hint="eastAsia" w:ascii="宋体" w:hAnsi="宋体" w:eastAsia="宋体" w:cs="宋体"/>
          <w:color w:val="000000"/>
          <w:spacing w:val="-11"/>
          <w:sz w:val="22"/>
          <w:szCs w:val="22"/>
          <w:highlight w:val="none"/>
        </w:rPr>
      </w:pPr>
      <w:r>
        <w:rPr>
          <w:rFonts w:hint="eastAsia" w:ascii="宋体" w:hAnsi="宋体" w:eastAsia="宋体" w:cs="宋体"/>
          <w:color w:val="000000"/>
          <w:spacing w:val="-11"/>
          <w:sz w:val="22"/>
          <w:szCs w:val="22"/>
          <w:highlight w:val="none"/>
        </w:rPr>
        <w:t>（1）外观： 护栏构件防腐处理层应均匀，无疤斑、流滴等， 表面缺陷不得有剥落、气泡、裂纹、擦伤等，表面护栏整件结构无焊接点，必须采用异形连接件连接，喷涂表面无熔渣；</w:t>
      </w:r>
    </w:p>
    <w:p w14:paraId="6F34AE6E">
      <w:pPr>
        <w:spacing w:before="157" w:line="219" w:lineRule="auto"/>
        <w:rPr>
          <w:rFonts w:hint="eastAsia" w:ascii="宋体" w:hAnsi="宋体" w:eastAsia="宋体" w:cs="宋体"/>
          <w:color w:val="000000"/>
          <w:spacing w:val="-11"/>
          <w:sz w:val="22"/>
          <w:szCs w:val="22"/>
          <w:highlight w:val="none"/>
        </w:rPr>
      </w:pPr>
      <w:r>
        <w:rPr>
          <w:rFonts w:hint="eastAsia" w:ascii="宋体" w:hAnsi="宋体" w:eastAsia="宋体" w:cs="宋体"/>
          <w:color w:val="000000"/>
          <w:spacing w:val="-11"/>
          <w:sz w:val="22"/>
          <w:szCs w:val="22"/>
          <w:highlight w:val="none"/>
        </w:rPr>
        <w:t>（2）材质及防腐处理：整体采用优质管材，整体热镀锌。焊接应打磨光滑，无毛刺、进行酸洗、碱化、磷化、水洗后烘干、进行彩色氟碳喷涂；</w:t>
      </w:r>
    </w:p>
    <w:p w14:paraId="1DC3C681">
      <w:pPr>
        <w:spacing w:before="157" w:line="219" w:lineRule="auto"/>
        <w:rPr>
          <w:rFonts w:hint="eastAsia" w:ascii="宋体" w:hAnsi="宋体" w:eastAsia="宋体" w:cs="宋体"/>
          <w:color w:val="000000"/>
          <w:spacing w:val="-11"/>
          <w:sz w:val="22"/>
          <w:szCs w:val="22"/>
          <w:highlight w:val="none"/>
        </w:rPr>
      </w:pPr>
      <w:r>
        <w:rPr>
          <w:rFonts w:hint="eastAsia" w:ascii="宋体" w:hAnsi="宋体" w:eastAsia="宋体" w:cs="宋体"/>
          <w:color w:val="000000"/>
          <w:spacing w:val="-11"/>
          <w:sz w:val="22"/>
          <w:szCs w:val="22"/>
          <w:highlight w:val="none"/>
        </w:rPr>
        <w:t>（3）护栏装饰钢板采用激光切割雕刻成型，焊接固定于护栏片上；护栏圆管采用激光切弧口、无缝隙相交后进行焊接，焊接应打磨光滑，无毛刺；</w:t>
      </w:r>
    </w:p>
    <w:p w14:paraId="0199461E">
      <w:pPr>
        <w:spacing w:before="157" w:line="219" w:lineRule="auto"/>
        <w:rPr>
          <w:rFonts w:hint="eastAsia" w:ascii="宋体" w:hAnsi="宋体" w:eastAsia="宋体" w:cs="宋体"/>
          <w:color w:val="000000"/>
          <w:spacing w:val="-11"/>
          <w:sz w:val="22"/>
          <w:szCs w:val="22"/>
          <w:highlight w:val="none"/>
        </w:rPr>
      </w:pPr>
      <w:r>
        <w:rPr>
          <w:rFonts w:hint="eastAsia" w:ascii="宋体" w:hAnsi="宋体" w:eastAsia="宋体" w:cs="宋体"/>
          <w:color w:val="000000"/>
          <w:spacing w:val="-11"/>
          <w:sz w:val="22"/>
          <w:szCs w:val="22"/>
          <w:highlight w:val="none"/>
        </w:rPr>
        <w:t>（4）护栏片与立柱采用连接件连接，安装方便快捷。上下横杆与竖杆焊接成形，不得出现型材弯曲、扭曲、宽窄不一致等现象，保持护栏整体一致性、均匀性；</w:t>
      </w:r>
    </w:p>
    <w:p w14:paraId="16BFA52F">
      <w:pPr>
        <w:spacing w:before="157" w:line="219" w:lineRule="auto"/>
        <w:rPr>
          <w:rFonts w:hint="eastAsia" w:ascii="宋体" w:hAnsi="宋体" w:eastAsia="宋体" w:cs="宋体"/>
          <w:color w:val="000000"/>
          <w:spacing w:val="-11"/>
          <w:sz w:val="22"/>
          <w:szCs w:val="22"/>
          <w:highlight w:val="none"/>
        </w:rPr>
      </w:pPr>
      <w:r>
        <w:rPr>
          <w:rFonts w:hint="eastAsia" w:ascii="宋体" w:hAnsi="宋体" w:eastAsia="宋体" w:cs="宋体"/>
          <w:color w:val="000000"/>
          <w:spacing w:val="-11"/>
          <w:sz w:val="22"/>
          <w:szCs w:val="22"/>
          <w:highlight w:val="none"/>
        </w:rPr>
        <w:t>（5）护栏表面进行氟碳喷涂处理。焊接处无夹渣、气孔、脱焊、虚焊、焊穿等现象；</w:t>
      </w:r>
    </w:p>
    <w:p w14:paraId="1E738964">
      <w:pPr>
        <w:spacing w:before="157" w:line="219" w:lineRule="auto"/>
        <w:rPr>
          <w:rFonts w:hint="eastAsia" w:ascii="宋体" w:hAnsi="宋体" w:eastAsia="宋体" w:cs="宋体"/>
          <w:color w:val="000000"/>
          <w:spacing w:val="-11"/>
          <w:sz w:val="22"/>
          <w:szCs w:val="22"/>
          <w:highlight w:val="none"/>
        </w:rPr>
      </w:pPr>
      <w:r>
        <w:rPr>
          <w:rFonts w:hint="eastAsia" w:ascii="宋体" w:hAnsi="宋体" w:eastAsia="宋体" w:cs="宋体"/>
          <w:color w:val="000000"/>
          <w:spacing w:val="-11"/>
          <w:sz w:val="22"/>
          <w:szCs w:val="22"/>
          <w:highlight w:val="none"/>
        </w:rPr>
        <w:t>（6）护栏底座进行道钉加固，确保牢固性。</w:t>
      </w:r>
    </w:p>
    <w:p w14:paraId="417AA235">
      <w:pPr>
        <w:spacing w:before="157" w:line="219" w:lineRule="auto"/>
        <w:rPr>
          <w:rFonts w:hint="eastAsia" w:ascii="宋体" w:hAnsi="宋体" w:eastAsia="宋体" w:cs="宋体"/>
          <w:color w:val="000000"/>
          <w:spacing w:val="-11"/>
          <w:sz w:val="22"/>
          <w:szCs w:val="22"/>
          <w:highlight w:val="none"/>
          <w:lang w:eastAsia="zh-CN"/>
        </w:rPr>
      </w:pPr>
      <w:r>
        <w:rPr>
          <w:rFonts w:hint="eastAsia" w:ascii="宋体" w:hAnsi="宋体" w:eastAsia="宋体" w:cs="宋体"/>
          <w:color w:val="000000"/>
          <w:spacing w:val="-11"/>
          <w:sz w:val="22"/>
          <w:szCs w:val="22"/>
          <w:highlight w:val="none"/>
        </w:rPr>
        <w:t>（7）规格：立柱150*150*2.0mm（八角管），上下横杠∅76*1.5mm，立柱粘贴黄色Ⅳ类反光膜，底座400*300*150mm（八角孔），重量为20kg，采用铸铁底座，</w:t>
      </w:r>
      <w:r>
        <w:rPr>
          <w:rFonts w:hint="eastAsia" w:ascii="宋体" w:hAnsi="宋体" w:eastAsia="宋体" w:cs="宋体"/>
          <w:color w:val="000000"/>
          <w:spacing w:val="-3"/>
          <w:sz w:val="22"/>
          <w:szCs w:val="22"/>
          <w:highlight w:val="none"/>
        </w:rPr>
        <w:t>总高度 1200mm</w:t>
      </w:r>
      <w:r>
        <w:rPr>
          <w:rFonts w:hint="eastAsia" w:ascii="宋体" w:hAnsi="宋体" w:eastAsia="宋体" w:cs="宋体"/>
          <w:color w:val="000000"/>
          <w:spacing w:val="-11"/>
          <w:sz w:val="22"/>
          <w:szCs w:val="22"/>
          <w:highlight w:val="none"/>
          <w:lang w:eastAsia="zh-CN"/>
        </w:rPr>
        <w:t>。</w:t>
      </w:r>
    </w:p>
    <w:p w14:paraId="65843928">
      <w:pPr>
        <w:spacing w:before="157" w:line="219" w:lineRule="auto"/>
        <w:rPr>
          <w:rFonts w:hint="eastAsia" w:ascii="宋体" w:hAnsi="宋体" w:eastAsia="宋体" w:cs="宋体"/>
          <w:b/>
          <w:bCs/>
          <w:color w:val="000000"/>
          <w:spacing w:val="-4"/>
          <w:sz w:val="22"/>
          <w:szCs w:val="22"/>
          <w:highlight w:val="none"/>
          <w:lang w:val="en-US" w:eastAsia="zh-CN"/>
        </w:rPr>
      </w:pPr>
      <w:r>
        <w:rPr>
          <w:rFonts w:hint="eastAsia" w:ascii="宋体" w:hAnsi="宋体" w:eastAsia="宋体" w:cs="宋体"/>
          <w:b/>
          <w:bCs/>
          <w:color w:val="000000"/>
          <w:spacing w:val="-4"/>
          <w:sz w:val="22"/>
          <w:szCs w:val="22"/>
          <w:highlight w:val="none"/>
          <w:lang w:val="en-US" w:eastAsia="zh-CN"/>
        </w:rPr>
        <w:t>6、</w:t>
      </w:r>
      <w:r>
        <w:rPr>
          <w:rFonts w:hint="eastAsia" w:ascii="宋体" w:hAnsi="宋体" w:eastAsia="宋体" w:cs="宋体"/>
          <w:b/>
          <w:bCs/>
          <w:color w:val="000000"/>
          <w:spacing w:val="-4"/>
          <w:sz w:val="22"/>
          <w:szCs w:val="22"/>
          <w:highlight w:val="none"/>
        </w:rPr>
        <w:t>机非护栏</w:t>
      </w:r>
    </w:p>
    <w:p w14:paraId="6E23EEA2">
      <w:pPr>
        <w:spacing w:before="157" w:line="219" w:lineRule="auto"/>
        <w:rPr>
          <w:rFonts w:hint="eastAsia" w:ascii="宋体" w:hAnsi="宋体" w:eastAsia="宋体" w:cs="宋体"/>
          <w:color w:val="000000"/>
          <w:spacing w:val="-4"/>
          <w:sz w:val="22"/>
          <w:szCs w:val="22"/>
          <w:highlight w:val="none"/>
        </w:rPr>
      </w:pPr>
      <w:r>
        <w:rPr>
          <w:rFonts w:hint="eastAsia" w:ascii="宋体" w:hAnsi="宋体" w:eastAsia="宋体" w:cs="宋体"/>
          <w:color w:val="000000"/>
          <w:spacing w:val="-11"/>
          <w:sz w:val="22"/>
          <w:szCs w:val="22"/>
          <w:highlight w:val="none"/>
        </w:rPr>
        <w:t>（1）外观： 护栏构件防腐处理层应均匀，无疤斑、流滴等， 表面缺陷不得有剥落、气泡、裂纹、</w:t>
      </w:r>
      <w:r>
        <w:rPr>
          <w:rFonts w:hint="eastAsia" w:ascii="宋体" w:hAnsi="宋体" w:eastAsia="宋体" w:cs="宋体"/>
          <w:color w:val="000000"/>
          <w:spacing w:val="-2"/>
          <w:sz w:val="22"/>
          <w:szCs w:val="22"/>
          <w:highlight w:val="none"/>
        </w:rPr>
        <w:t>擦伤等，表面护栏整件结构无焊接点，必须采用异形连接件连接，喷涂表面无熔渣；</w:t>
      </w:r>
    </w:p>
    <w:p w14:paraId="35389B4E">
      <w:pPr>
        <w:spacing w:before="185"/>
        <w:ind w:left="40" w:right="459"/>
        <w:rPr>
          <w:rFonts w:hint="eastAsia" w:ascii="宋体" w:hAnsi="宋体" w:eastAsia="宋体" w:cs="宋体"/>
          <w:color w:val="000000"/>
          <w:sz w:val="22"/>
          <w:szCs w:val="22"/>
          <w:highlight w:val="none"/>
        </w:rPr>
      </w:pPr>
      <w:r>
        <w:rPr>
          <w:rFonts w:hint="eastAsia" w:ascii="宋体" w:hAnsi="宋体" w:eastAsia="宋体" w:cs="宋体"/>
          <w:color w:val="000000"/>
          <w:spacing w:val="-11"/>
          <w:sz w:val="22"/>
          <w:szCs w:val="22"/>
          <w:highlight w:val="none"/>
        </w:rPr>
        <w:t>（2）</w:t>
      </w:r>
      <w:r>
        <w:rPr>
          <w:rFonts w:hint="eastAsia" w:ascii="宋体" w:hAnsi="宋体" w:eastAsia="宋体" w:cs="宋体"/>
          <w:color w:val="000000"/>
          <w:spacing w:val="-1"/>
          <w:sz w:val="22"/>
          <w:szCs w:val="22"/>
          <w:highlight w:val="none"/>
        </w:rPr>
        <w:t>材质及防腐处理：整体采用优质管材</w:t>
      </w:r>
      <w:r>
        <w:rPr>
          <w:rFonts w:hint="eastAsia" w:ascii="宋体" w:hAnsi="宋体" w:eastAsia="宋体" w:cs="宋体"/>
          <w:color w:val="000000"/>
          <w:spacing w:val="-2"/>
          <w:sz w:val="22"/>
          <w:szCs w:val="22"/>
          <w:highlight w:val="none"/>
        </w:rPr>
        <w:t>，整体热镀锌。焊接应打磨光滑，无毛刺、进行酸洗、碱化、磷化、水洗后烘干、进行彩色氟碳喷涂；</w:t>
      </w:r>
    </w:p>
    <w:p w14:paraId="17E3D34D">
      <w:pPr>
        <w:spacing w:before="180"/>
        <w:ind w:left="43" w:right="471"/>
        <w:rPr>
          <w:rFonts w:hint="eastAsia" w:ascii="宋体" w:hAnsi="宋体" w:eastAsia="宋体" w:cs="宋体"/>
          <w:color w:val="000000"/>
          <w:sz w:val="22"/>
          <w:szCs w:val="22"/>
          <w:highlight w:val="none"/>
        </w:rPr>
      </w:pPr>
      <w:r>
        <w:rPr>
          <w:rFonts w:hint="eastAsia" w:ascii="宋体" w:hAnsi="宋体" w:eastAsia="宋体" w:cs="宋体"/>
          <w:color w:val="000000"/>
          <w:spacing w:val="-11"/>
          <w:sz w:val="22"/>
          <w:szCs w:val="22"/>
          <w:highlight w:val="none"/>
        </w:rPr>
        <w:t>（3）</w:t>
      </w:r>
      <w:r>
        <w:rPr>
          <w:rFonts w:hint="eastAsia" w:ascii="宋体" w:hAnsi="宋体" w:eastAsia="宋体" w:cs="宋体"/>
          <w:color w:val="000000"/>
          <w:spacing w:val="-10"/>
          <w:sz w:val="22"/>
          <w:szCs w:val="22"/>
          <w:highlight w:val="none"/>
        </w:rPr>
        <w:t>护栏片与立柱采用连接件连接，安装方便快捷。上下</w:t>
      </w:r>
      <w:r>
        <w:rPr>
          <w:rFonts w:hint="eastAsia" w:ascii="宋体" w:hAnsi="宋体" w:eastAsia="宋体" w:cs="宋体"/>
          <w:color w:val="000000"/>
          <w:spacing w:val="-11"/>
          <w:sz w:val="22"/>
          <w:szCs w:val="22"/>
          <w:highlight w:val="none"/>
        </w:rPr>
        <w:t>横杆与竖杆焊接成形，不得出现型材</w:t>
      </w:r>
      <w:r>
        <w:rPr>
          <w:rFonts w:hint="eastAsia" w:ascii="宋体" w:hAnsi="宋体" w:eastAsia="宋体" w:cs="宋体"/>
          <w:color w:val="000000"/>
          <w:spacing w:val="-3"/>
          <w:sz w:val="22"/>
          <w:szCs w:val="22"/>
          <w:highlight w:val="none"/>
        </w:rPr>
        <w:t>弯曲、扭曲、宽窄不一致等现象，保持护栏整体一致性、均匀性；</w:t>
      </w:r>
    </w:p>
    <w:p w14:paraId="5260939D">
      <w:pPr>
        <w:spacing w:before="183"/>
        <w:ind w:left="39"/>
        <w:rPr>
          <w:rFonts w:hint="eastAsia" w:ascii="宋体" w:hAnsi="宋体" w:eastAsia="宋体" w:cs="宋体"/>
          <w:color w:val="000000"/>
          <w:spacing w:val="-2"/>
          <w:sz w:val="22"/>
          <w:szCs w:val="22"/>
          <w:highlight w:val="none"/>
        </w:rPr>
      </w:pPr>
      <w:r>
        <w:rPr>
          <w:rFonts w:hint="eastAsia" w:ascii="宋体" w:hAnsi="宋体" w:eastAsia="宋体" w:cs="宋体"/>
          <w:color w:val="000000"/>
          <w:spacing w:val="-11"/>
          <w:sz w:val="22"/>
          <w:szCs w:val="22"/>
          <w:highlight w:val="none"/>
        </w:rPr>
        <w:t>（4）</w:t>
      </w:r>
      <w:r>
        <w:rPr>
          <w:rFonts w:hint="eastAsia" w:ascii="宋体" w:hAnsi="宋体" w:eastAsia="宋体" w:cs="宋体"/>
          <w:color w:val="000000"/>
          <w:spacing w:val="-2"/>
          <w:sz w:val="22"/>
          <w:szCs w:val="22"/>
          <w:highlight w:val="none"/>
        </w:rPr>
        <w:t>护栏表面进行氟碳喷涂处理。焊接处无夹渣、气孔、脱焊、虚焊、焊穿等现象；</w:t>
      </w:r>
    </w:p>
    <w:p w14:paraId="09083E3F">
      <w:pPr>
        <w:spacing w:before="183"/>
        <w:ind w:left="39"/>
        <w:rPr>
          <w:rFonts w:hint="eastAsia" w:ascii="宋体" w:hAnsi="宋体" w:eastAsia="宋体" w:cs="宋体"/>
          <w:color w:val="000000"/>
          <w:spacing w:val="-2"/>
          <w:sz w:val="22"/>
          <w:szCs w:val="22"/>
          <w:highlight w:val="none"/>
        </w:rPr>
      </w:pPr>
      <w:r>
        <w:rPr>
          <w:rFonts w:hint="eastAsia" w:ascii="宋体" w:hAnsi="宋体" w:eastAsia="宋体" w:cs="宋体"/>
          <w:color w:val="000000"/>
          <w:spacing w:val="-11"/>
          <w:sz w:val="22"/>
          <w:szCs w:val="22"/>
          <w:highlight w:val="none"/>
        </w:rPr>
        <w:t>（5）</w:t>
      </w:r>
      <w:r>
        <w:rPr>
          <w:rFonts w:hint="eastAsia" w:ascii="宋体" w:hAnsi="宋体" w:eastAsia="宋体" w:cs="宋体"/>
          <w:color w:val="000000"/>
          <w:spacing w:val="-2"/>
          <w:sz w:val="22"/>
          <w:szCs w:val="22"/>
          <w:highlight w:val="none"/>
        </w:rPr>
        <w:t>护栏底座进行道钉加固，确保牢固性。</w:t>
      </w:r>
    </w:p>
    <w:p w14:paraId="203D9D7C">
      <w:pPr>
        <w:spacing w:before="183"/>
        <w:ind w:left="39"/>
        <w:rPr>
          <w:rFonts w:hint="eastAsia" w:ascii="宋体" w:hAnsi="宋体" w:eastAsia="宋体" w:cs="宋体"/>
          <w:color w:val="000000"/>
          <w:kern w:val="0"/>
          <w:sz w:val="22"/>
          <w:szCs w:val="22"/>
          <w:highlight w:val="none"/>
          <w:lang w:eastAsia="zh-CN"/>
        </w:rPr>
      </w:pPr>
      <w:r>
        <w:rPr>
          <w:rFonts w:hint="eastAsia" w:ascii="宋体" w:hAnsi="宋体" w:eastAsia="宋体" w:cs="宋体"/>
          <w:color w:val="000000"/>
          <w:spacing w:val="-11"/>
          <w:sz w:val="22"/>
          <w:szCs w:val="22"/>
          <w:highlight w:val="none"/>
        </w:rPr>
        <w:t>（6）</w:t>
      </w:r>
      <w:r>
        <w:rPr>
          <w:rFonts w:hint="eastAsia" w:ascii="宋体" w:hAnsi="宋体" w:eastAsia="宋体" w:cs="宋体"/>
          <w:color w:val="000000"/>
          <w:kern w:val="0"/>
          <w:sz w:val="22"/>
          <w:szCs w:val="22"/>
          <w:highlight w:val="none"/>
        </w:rPr>
        <w:t>规格：立柱100*100*2mm</w:t>
      </w:r>
      <w:r>
        <w:rPr>
          <w:rFonts w:hint="eastAsia" w:ascii="宋体" w:hAnsi="宋体" w:eastAsia="宋体" w:cs="宋体"/>
          <w:color w:val="000000"/>
          <w:kern w:val="0"/>
          <w:sz w:val="22"/>
          <w:szCs w:val="22"/>
          <w:highlight w:val="none"/>
          <w:lang w:eastAsia="zh-CN"/>
        </w:rPr>
        <w:t>，</w:t>
      </w:r>
      <w:r>
        <w:rPr>
          <w:rFonts w:hint="eastAsia" w:ascii="宋体" w:hAnsi="宋体" w:eastAsia="宋体" w:cs="宋体"/>
          <w:color w:val="000000"/>
          <w:kern w:val="0"/>
          <w:sz w:val="22"/>
          <w:szCs w:val="22"/>
          <w:highlight w:val="none"/>
        </w:rPr>
        <w:t>竖杠∅25*2mm</w:t>
      </w:r>
      <w:r>
        <w:rPr>
          <w:rFonts w:hint="eastAsia" w:ascii="宋体" w:hAnsi="宋体" w:eastAsia="宋体" w:cs="宋体"/>
          <w:color w:val="000000"/>
          <w:kern w:val="0"/>
          <w:sz w:val="22"/>
          <w:szCs w:val="22"/>
          <w:highlight w:val="none"/>
          <w:lang w:eastAsia="zh-CN"/>
        </w:rPr>
        <w:t>，</w:t>
      </w:r>
      <w:r>
        <w:rPr>
          <w:rFonts w:hint="eastAsia" w:ascii="宋体" w:hAnsi="宋体" w:eastAsia="宋体" w:cs="宋体"/>
          <w:color w:val="000000"/>
          <w:kern w:val="0"/>
          <w:sz w:val="22"/>
          <w:szCs w:val="22"/>
          <w:highlight w:val="none"/>
        </w:rPr>
        <w:t>下横杠63*40*1.5mm抗压管</w:t>
      </w:r>
      <w:r>
        <w:rPr>
          <w:rFonts w:hint="eastAsia" w:ascii="宋体" w:hAnsi="宋体" w:eastAsia="宋体" w:cs="宋体"/>
          <w:color w:val="000000"/>
          <w:kern w:val="0"/>
          <w:sz w:val="22"/>
          <w:szCs w:val="22"/>
          <w:highlight w:val="none"/>
          <w:lang w:eastAsia="zh-CN"/>
        </w:rPr>
        <w:t>，</w:t>
      </w:r>
      <w:r>
        <w:rPr>
          <w:rFonts w:hint="eastAsia" w:ascii="宋体" w:hAnsi="宋体" w:eastAsia="宋体" w:cs="宋体"/>
          <w:color w:val="000000"/>
          <w:spacing w:val="-11"/>
          <w:sz w:val="22"/>
          <w:szCs w:val="22"/>
          <w:highlight w:val="none"/>
        </w:rPr>
        <w:t>立柱粘贴黄色Ⅳ类反光膜，</w:t>
      </w:r>
      <w:r>
        <w:rPr>
          <w:rFonts w:hint="eastAsia" w:ascii="宋体" w:hAnsi="宋体" w:eastAsia="宋体" w:cs="宋体"/>
          <w:color w:val="000000"/>
          <w:kern w:val="0"/>
          <w:sz w:val="22"/>
          <w:szCs w:val="22"/>
          <w:highlight w:val="none"/>
        </w:rPr>
        <w:t>底座400*300*150mm</w:t>
      </w:r>
      <w:r>
        <w:rPr>
          <w:rFonts w:hint="eastAsia" w:ascii="宋体" w:hAnsi="宋体" w:eastAsia="宋体" w:cs="宋体"/>
          <w:color w:val="000000"/>
          <w:spacing w:val="-11"/>
          <w:sz w:val="22"/>
          <w:szCs w:val="22"/>
          <w:highlight w:val="none"/>
        </w:rPr>
        <w:t>，重量为20kg，采用铸铁底座，</w:t>
      </w:r>
      <w:r>
        <w:rPr>
          <w:rFonts w:hint="eastAsia" w:ascii="宋体" w:hAnsi="宋体" w:eastAsia="宋体" w:cs="宋体"/>
          <w:color w:val="000000"/>
          <w:spacing w:val="-3"/>
          <w:sz w:val="22"/>
          <w:szCs w:val="22"/>
          <w:highlight w:val="none"/>
        </w:rPr>
        <w:t>总高度</w:t>
      </w:r>
      <w:r>
        <w:rPr>
          <w:rFonts w:hint="eastAsia" w:ascii="宋体" w:hAnsi="宋体" w:eastAsia="宋体" w:cs="宋体"/>
          <w:color w:val="000000"/>
          <w:kern w:val="0"/>
          <w:sz w:val="22"/>
          <w:szCs w:val="22"/>
          <w:highlight w:val="none"/>
        </w:rPr>
        <w:t>800mm</w:t>
      </w:r>
      <w:r>
        <w:rPr>
          <w:rFonts w:hint="eastAsia" w:ascii="宋体" w:hAnsi="宋体" w:eastAsia="宋体" w:cs="宋体"/>
          <w:color w:val="000000"/>
          <w:kern w:val="0"/>
          <w:sz w:val="22"/>
          <w:szCs w:val="22"/>
          <w:highlight w:val="none"/>
          <w:lang w:eastAsia="zh-CN"/>
        </w:rPr>
        <w:t>。</w:t>
      </w:r>
    </w:p>
    <w:p w14:paraId="119322ED">
      <w:pPr>
        <w:spacing w:before="157" w:line="219" w:lineRule="auto"/>
        <w:rPr>
          <w:rFonts w:hint="eastAsia" w:ascii="宋体" w:hAnsi="宋体" w:eastAsia="宋体" w:cs="宋体"/>
          <w:b/>
          <w:bCs/>
          <w:color w:val="000000"/>
          <w:spacing w:val="-4"/>
          <w:sz w:val="22"/>
          <w:szCs w:val="22"/>
          <w:highlight w:val="none"/>
        </w:rPr>
      </w:pPr>
      <w:r>
        <w:rPr>
          <w:rFonts w:hint="eastAsia" w:ascii="宋体" w:hAnsi="宋体" w:eastAsia="宋体" w:cs="宋体"/>
          <w:b/>
          <w:bCs/>
          <w:color w:val="000000"/>
          <w:spacing w:val="-4"/>
          <w:sz w:val="22"/>
          <w:szCs w:val="22"/>
          <w:highlight w:val="none"/>
          <w:lang w:val="en-US" w:eastAsia="zh-CN"/>
        </w:rPr>
        <w:t>7</w:t>
      </w:r>
      <w:r>
        <w:rPr>
          <w:rFonts w:hint="eastAsia" w:ascii="宋体" w:hAnsi="宋体" w:eastAsia="宋体" w:cs="宋体"/>
          <w:b/>
          <w:bCs/>
          <w:color w:val="000000"/>
          <w:spacing w:val="-4"/>
          <w:sz w:val="22"/>
          <w:szCs w:val="22"/>
          <w:highlight w:val="none"/>
        </w:rPr>
        <w:t>、机非护栏端头反光警示柱</w:t>
      </w:r>
    </w:p>
    <w:p w14:paraId="273B22F3">
      <w:pPr>
        <w:spacing w:before="157" w:line="219" w:lineRule="auto"/>
        <w:rPr>
          <w:rFonts w:hint="eastAsia" w:ascii="宋体" w:hAnsi="宋体" w:eastAsia="宋体" w:cs="宋体"/>
          <w:color w:val="000000"/>
          <w:spacing w:val="-11"/>
          <w:sz w:val="22"/>
          <w:szCs w:val="22"/>
          <w:highlight w:val="none"/>
        </w:rPr>
      </w:pPr>
      <w:r>
        <w:rPr>
          <w:rFonts w:hint="eastAsia" w:ascii="宋体" w:hAnsi="宋体" w:eastAsia="宋体" w:cs="宋体"/>
          <w:color w:val="000000"/>
          <w:spacing w:val="-11"/>
          <w:sz w:val="22"/>
          <w:szCs w:val="22"/>
          <w:highlight w:val="none"/>
        </w:rPr>
        <w:t xml:space="preserve">（1）外观： </w:t>
      </w:r>
      <w:r>
        <w:rPr>
          <w:rFonts w:hint="eastAsia" w:ascii="宋体" w:hAnsi="宋体" w:eastAsia="宋体" w:cs="宋体"/>
          <w:color w:val="000000"/>
          <w:spacing w:val="-11"/>
          <w:sz w:val="22"/>
          <w:szCs w:val="22"/>
          <w:highlight w:val="none"/>
          <w:lang w:val="en-US" w:eastAsia="zh-CN"/>
        </w:rPr>
        <w:t>采用反光警示柱，</w:t>
      </w:r>
      <w:r>
        <w:rPr>
          <w:rFonts w:hint="eastAsia" w:ascii="宋体" w:hAnsi="宋体" w:eastAsia="宋体" w:cs="宋体"/>
          <w:color w:val="000000"/>
          <w:spacing w:val="-11"/>
          <w:sz w:val="22"/>
          <w:szCs w:val="22"/>
          <w:highlight w:val="none"/>
        </w:rPr>
        <w:t>构件防腐处理层应均匀，无疤斑、流滴等， 表面缺陷不得有剥落、气泡、裂纹、擦伤等，喷涂表面无熔渣；</w:t>
      </w:r>
    </w:p>
    <w:p w14:paraId="2BA7E840">
      <w:pPr>
        <w:spacing w:before="157" w:line="219" w:lineRule="auto"/>
        <w:rPr>
          <w:rFonts w:hint="eastAsia" w:ascii="宋体" w:hAnsi="宋体" w:eastAsia="宋体" w:cs="宋体"/>
          <w:color w:val="000000"/>
          <w:spacing w:val="-11"/>
          <w:sz w:val="22"/>
          <w:szCs w:val="22"/>
          <w:highlight w:val="none"/>
        </w:rPr>
      </w:pPr>
      <w:r>
        <w:rPr>
          <w:rFonts w:hint="eastAsia" w:ascii="宋体" w:hAnsi="宋体" w:eastAsia="宋体" w:cs="宋体"/>
          <w:color w:val="000000"/>
          <w:spacing w:val="-11"/>
          <w:sz w:val="22"/>
          <w:szCs w:val="22"/>
          <w:highlight w:val="none"/>
        </w:rPr>
        <w:t>（2）材质及防腐处理：整体采用优质管材，整体热镀锌。焊接应打磨光滑，无毛刺、进行酸洗、碱化、磷化、水洗后烘干、进行彩色氟碳喷涂；</w:t>
      </w:r>
    </w:p>
    <w:p w14:paraId="6DEF9460">
      <w:pPr>
        <w:spacing w:before="157" w:line="219" w:lineRule="auto"/>
        <w:rPr>
          <w:rFonts w:hint="eastAsia" w:ascii="宋体" w:hAnsi="宋体" w:eastAsia="宋体" w:cs="宋体"/>
          <w:color w:val="000000"/>
          <w:spacing w:val="-11"/>
          <w:sz w:val="22"/>
          <w:szCs w:val="22"/>
          <w:highlight w:val="none"/>
        </w:rPr>
      </w:pPr>
      <w:r>
        <w:rPr>
          <w:rFonts w:hint="eastAsia" w:ascii="宋体" w:hAnsi="宋体" w:eastAsia="宋体" w:cs="宋体"/>
          <w:color w:val="000000"/>
          <w:spacing w:val="-11"/>
          <w:sz w:val="22"/>
          <w:szCs w:val="22"/>
          <w:highlight w:val="none"/>
        </w:rPr>
        <w:t>（3）警示柱顶端进行焊接封口处理，焊接应打磨光滑，无毛刺；</w:t>
      </w:r>
    </w:p>
    <w:p w14:paraId="7EC27AAB">
      <w:pPr>
        <w:spacing w:before="157" w:line="219" w:lineRule="auto"/>
        <w:rPr>
          <w:rFonts w:hint="eastAsia" w:ascii="宋体" w:hAnsi="宋体" w:eastAsia="宋体" w:cs="宋体"/>
          <w:color w:val="000000"/>
          <w:spacing w:val="-11"/>
          <w:sz w:val="22"/>
          <w:szCs w:val="22"/>
          <w:highlight w:val="none"/>
        </w:rPr>
      </w:pPr>
      <w:r>
        <w:rPr>
          <w:rFonts w:hint="eastAsia" w:ascii="宋体" w:hAnsi="宋体" w:eastAsia="宋体" w:cs="宋体"/>
          <w:color w:val="000000"/>
          <w:spacing w:val="-11"/>
          <w:sz w:val="22"/>
          <w:szCs w:val="22"/>
          <w:highlight w:val="none"/>
        </w:rPr>
        <w:t>（4）反光膜：</w:t>
      </w:r>
      <w:r>
        <w:rPr>
          <w:rFonts w:hint="eastAsia" w:ascii="宋体" w:hAnsi="宋体" w:eastAsia="宋体" w:cs="宋体"/>
          <w:color w:val="000000"/>
          <w:spacing w:val="-11"/>
          <w:sz w:val="22"/>
          <w:szCs w:val="22"/>
          <w:highlight w:val="none"/>
          <w:lang w:val="en-US" w:eastAsia="zh-CN"/>
        </w:rPr>
        <w:t>整体粘贴红白</w:t>
      </w:r>
      <w:r>
        <w:rPr>
          <w:rFonts w:hint="eastAsia" w:ascii="宋体" w:hAnsi="宋体" w:eastAsia="宋体" w:cs="宋体"/>
          <w:color w:val="000000"/>
          <w:spacing w:val="-11"/>
          <w:sz w:val="22"/>
          <w:szCs w:val="22"/>
          <w:highlight w:val="none"/>
        </w:rPr>
        <w:t>Ⅳ类反光膜；</w:t>
      </w:r>
    </w:p>
    <w:p w14:paraId="527FB1E8">
      <w:pPr>
        <w:spacing w:before="157" w:line="219" w:lineRule="auto"/>
        <w:rPr>
          <w:rFonts w:hint="eastAsia" w:ascii="宋体" w:hAnsi="宋体" w:eastAsia="宋体" w:cs="宋体"/>
          <w:color w:val="000000"/>
          <w:spacing w:val="-11"/>
          <w:sz w:val="22"/>
          <w:szCs w:val="22"/>
          <w:highlight w:val="none"/>
        </w:rPr>
      </w:pPr>
      <w:r>
        <w:rPr>
          <w:rFonts w:hint="eastAsia" w:ascii="宋体" w:hAnsi="宋体" w:eastAsia="宋体" w:cs="宋体"/>
          <w:color w:val="000000"/>
          <w:spacing w:val="-11"/>
          <w:sz w:val="22"/>
          <w:szCs w:val="22"/>
          <w:highlight w:val="none"/>
        </w:rPr>
        <w:t>（5）采用钻孔、注浆方式固定，确保牢固；</w:t>
      </w:r>
    </w:p>
    <w:p w14:paraId="7590F3ED">
      <w:pPr>
        <w:spacing w:before="157" w:line="219" w:lineRule="auto"/>
        <w:rPr>
          <w:rFonts w:hint="eastAsia" w:ascii="宋体" w:hAnsi="宋体" w:eastAsia="宋体" w:cs="宋体"/>
          <w:color w:val="000000"/>
          <w:spacing w:val="-11"/>
          <w:sz w:val="22"/>
          <w:szCs w:val="22"/>
          <w:highlight w:val="none"/>
        </w:rPr>
      </w:pPr>
      <w:r>
        <w:rPr>
          <w:rFonts w:hint="eastAsia" w:ascii="宋体" w:hAnsi="宋体" w:eastAsia="宋体" w:cs="宋体"/>
          <w:color w:val="000000"/>
          <w:spacing w:val="-11"/>
          <w:sz w:val="22"/>
          <w:szCs w:val="22"/>
          <w:highlight w:val="none"/>
        </w:rPr>
        <w:t>（6）规格：高度 800mm。</w:t>
      </w:r>
    </w:p>
    <w:p w14:paraId="03C34C24">
      <w:pPr>
        <w:spacing w:before="183"/>
        <w:ind w:left="42"/>
        <w:rPr>
          <w:rFonts w:hint="eastAsia" w:ascii="宋体" w:hAnsi="宋体" w:eastAsia="宋体" w:cs="宋体"/>
          <w:b/>
          <w:bCs/>
          <w:color w:val="000000"/>
          <w:spacing w:val="-3"/>
          <w:sz w:val="22"/>
          <w:szCs w:val="22"/>
          <w:highlight w:val="none"/>
        </w:rPr>
      </w:pPr>
      <w:r>
        <w:rPr>
          <w:rFonts w:hint="eastAsia" w:ascii="宋体" w:hAnsi="宋体" w:eastAsia="宋体" w:cs="宋体"/>
          <w:b/>
          <w:bCs/>
          <w:color w:val="000000"/>
          <w:spacing w:val="-3"/>
          <w:sz w:val="22"/>
          <w:szCs w:val="22"/>
          <w:highlight w:val="none"/>
          <w:lang w:val="en-US" w:eastAsia="zh-CN"/>
        </w:rPr>
        <w:t>8</w:t>
      </w:r>
      <w:r>
        <w:rPr>
          <w:rFonts w:hint="eastAsia" w:ascii="宋体" w:hAnsi="宋体" w:eastAsia="宋体" w:cs="宋体"/>
          <w:b/>
          <w:bCs/>
          <w:color w:val="000000"/>
          <w:spacing w:val="-3"/>
          <w:sz w:val="22"/>
          <w:szCs w:val="22"/>
          <w:highlight w:val="none"/>
        </w:rPr>
        <w:t>、中央护栏端头</w:t>
      </w:r>
    </w:p>
    <w:p w14:paraId="6C9002D4">
      <w:pPr>
        <w:spacing w:before="157" w:line="219" w:lineRule="auto"/>
        <w:rPr>
          <w:rFonts w:hint="eastAsia" w:ascii="宋体" w:hAnsi="宋体" w:eastAsia="宋体" w:cs="宋体"/>
          <w:color w:val="000000"/>
          <w:spacing w:val="-11"/>
          <w:sz w:val="22"/>
          <w:szCs w:val="22"/>
          <w:highlight w:val="none"/>
        </w:rPr>
      </w:pPr>
      <w:r>
        <w:rPr>
          <w:rFonts w:hint="eastAsia" w:ascii="宋体" w:hAnsi="宋体" w:eastAsia="宋体" w:cs="宋体"/>
          <w:color w:val="000000"/>
          <w:spacing w:val="-11"/>
          <w:sz w:val="22"/>
          <w:szCs w:val="22"/>
          <w:highlight w:val="none"/>
        </w:rPr>
        <w:t>（1）外观：采用</w:t>
      </w:r>
      <w:r>
        <w:rPr>
          <w:rFonts w:hint="eastAsia" w:ascii="宋体" w:hAnsi="宋体" w:eastAsia="宋体" w:cs="宋体"/>
          <w:color w:val="000000"/>
          <w:spacing w:val="-11"/>
          <w:sz w:val="22"/>
          <w:szCs w:val="22"/>
          <w:highlight w:val="none"/>
          <w:lang w:val="en-US" w:eastAsia="zh-CN"/>
        </w:rPr>
        <w:t>太阳能匝道警示柱，</w:t>
      </w:r>
      <w:r>
        <w:rPr>
          <w:rFonts w:hint="eastAsia" w:ascii="宋体" w:hAnsi="宋体" w:eastAsia="宋体" w:cs="宋体"/>
          <w:color w:val="000000"/>
          <w:spacing w:val="-11"/>
          <w:sz w:val="22"/>
          <w:szCs w:val="22"/>
          <w:highlight w:val="none"/>
        </w:rPr>
        <w:t>铁构件+高透光性聚碳酸酯 PC组合而成，铁构件应做预防腐处理、表面无缺陷，PC聚碳酸酯构件无龟裂；</w:t>
      </w:r>
    </w:p>
    <w:p w14:paraId="45167C9D">
      <w:pPr>
        <w:spacing w:before="157" w:line="219" w:lineRule="auto"/>
        <w:rPr>
          <w:rFonts w:hint="eastAsia" w:ascii="宋体" w:hAnsi="宋体" w:eastAsia="宋体" w:cs="宋体"/>
          <w:color w:val="000000"/>
          <w:spacing w:val="-11"/>
          <w:sz w:val="22"/>
          <w:szCs w:val="22"/>
          <w:highlight w:val="none"/>
        </w:rPr>
      </w:pPr>
      <w:r>
        <w:rPr>
          <w:rFonts w:hint="eastAsia" w:ascii="宋体" w:hAnsi="宋体" w:eastAsia="宋体" w:cs="宋体"/>
          <w:color w:val="000000"/>
          <w:spacing w:val="-11"/>
          <w:sz w:val="22"/>
          <w:szCs w:val="22"/>
          <w:highlight w:val="none"/>
        </w:rPr>
        <w:t>（2）太阳能供电系统：采用太阳能电池板（转换效率≥15%）和蓄电池（寿命5年以上），阴雨天可持续工作；</w:t>
      </w:r>
    </w:p>
    <w:p w14:paraId="035B2EBB">
      <w:pPr>
        <w:spacing w:before="157" w:line="219" w:lineRule="auto"/>
        <w:rPr>
          <w:rFonts w:hint="eastAsia" w:ascii="宋体" w:hAnsi="宋体" w:eastAsia="宋体" w:cs="宋体"/>
          <w:color w:val="000000"/>
          <w:spacing w:val="-11"/>
          <w:sz w:val="22"/>
          <w:szCs w:val="22"/>
          <w:highlight w:val="none"/>
        </w:rPr>
      </w:pPr>
      <w:r>
        <w:rPr>
          <w:rFonts w:hint="eastAsia" w:ascii="宋体" w:hAnsi="宋体" w:eastAsia="宋体" w:cs="宋体"/>
          <w:color w:val="000000"/>
          <w:spacing w:val="-11"/>
          <w:sz w:val="22"/>
          <w:szCs w:val="22"/>
          <w:highlight w:val="none"/>
        </w:rPr>
        <w:t>（3）光源与警示‌：使用超高亮度LED，支持常亮等模式，可视距离超过500米；</w:t>
      </w:r>
    </w:p>
    <w:p w14:paraId="19EA97D5">
      <w:pPr>
        <w:spacing w:before="157" w:line="219" w:lineRule="auto"/>
        <w:rPr>
          <w:rFonts w:hint="eastAsia" w:ascii="宋体" w:hAnsi="宋体" w:eastAsia="宋体" w:cs="宋体"/>
          <w:color w:val="000000"/>
          <w:spacing w:val="-11"/>
          <w:sz w:val="22"/>
          <w:szCs w:val="22"/>
          <w:highlight w:val="none"/>
        </w:rPr>
      </w:pPr>
      <w:r>
        <w:rPr>
          <w:rFonts w:hint="eastAsia" w:ascii="宋体" w:hAnsi="宋体" w:eastAsia="宋体" w:cs="宋体"/>
          <w:color w:val="000000"/>
          <w:spacing w:val="-11"/>
          <w:sz w:val="22"/>
          <w:szCs w:val="22"/>
          <w:highlight w:val="none"/>
        </w:rPr>
        <w:t>（4）安装与运行‌，需光敏自动启闭系统，安装时太阳能板朝向优化，符合国家交通安全标准；</w:t>
      </w:r>
    </w:p>
    <w:p w14:paraId="5D4B6BBB">
      <w:pPr>
        <w:spacing w:before="157" w:line="219" w:lineRule="auto"/>
        <w:rPr>
          <w:rFonts w:hint="eastAsia" w:ascii="宋体" w:hAnsi="宋体" w:eastAsia="宋体" w:cs="宋体"/>
          <w:color w:val="000000"/>
          <w:spacing w:val="-11"/>
          <w:sz w:val="22"/>
          <w:szCs w:val="22"/>
          <w:highlight w:val="none"/>
        </w:rPr>
      </w:pPr>
      <w:r>
        <w:rPr>
          <w:rFonts w:hint="eastAsia" w:ascii="宋体" w:hAnsi="宋体" w:eastAsia="宋体" w:cs="宋体"/>
          <w:color w:val="000000"/>
          <w:spacing w:val="-11"/>
          <w:sz w:val="22"/>
          <w:szCs w:val="22"/>
          <w:highlight w:val="none"/>
        </w:rPr>
        <w:t>（5）反光膜：</w:t>
      </w:r>
      <w:r>
        <w:rPr>
          <w:rFonts w:hint="eastAsia" w:ascii="宋体" w:hAnsi="宋体" w:eastAsia="宋体" w:cs="宋体"/>
          <w:color w:val="000000"/>
          <w:spacing w:val="-11"/>
          <w:sz w:val="22"/>
          <w:szCs w:val="22"/>
          <w:highlight w:val="none"/>
          <w:lang w:val="en-US" w:eastAsia="zh-CN"/>
        </w:rPr>
        <w:t>上部粘贴蓝白</w:t>
      </w:r>
      <w:r>
        <w:rPr>
          <w:rFonts w:hint="eastAsia" w:ascii="宋体" w:hAnsi="宋体" w:eastAsia="宋体" w:cs="宋体"/>
          <w:color w:val="000000"/>
          <w:spacing w:val="-11"/>
          <w:sz w:val="22"/>
          <w:szCs w:val="22"/>
          <w:highlight w:val="none"/>
        </w:rPr>
        <w:t>Ⅳ类反光膜</w:t>
      </w:r>
      <w:r>
        <w:rPr>
          <w:rFonts w:hint="eastAsia" w:ascii="宋体" w:hAnsi="宋体" w:eastAsia="宋体" w:cs="宋体"/>
          <w:color w:val="000000"/>
          <w:spacing w:val="-11"/>
          <w:sz w:val="22"/>
          <w:szCs w:val="22"/>
          <w:highlight w:val="none"/>
          <w:lang w:eastAsia="zh-CN"/>
        </w:rPr>
        <w:t>，</w:t>
      </w:r>
      <w:r>
        <w:rPr>
          <w:rFonts w:hint="eastAsia" w:ascii="宋体" w:hAnsi="宋体" w:eastAsia="宋体" w:cs="宋体"/>
          <w:color w:val="000000"/>
          <w:spacing w:val="-11"/>
          <w:sz w:val="22"/>
          <w:szCs w:val="22"/>
          <w:highlight w:val="none"/>
          <w:lang w:val="en-US" w:eastAsia="zh-CN"/>
        </w:rPr>
        <w:t>LED指示灯，下部粘贴红白</w:t>
      </w:r>
      <w:r>
        <w:rPr>
          <w:rFonts w:hint="eastAsia" w:ascii="宋体" w:hAnsi="宋体" w:eastAsia="宋体" w:cs="宋体"/>
          <w:color w:val="000000"/>
          <w:spacing w:val="-11"/>
          <w:sz w:val="22"/>
          <w:szCs w:val="22"/>
          <w:highlight w:val="none"/>
        </w:rPr>
        <w:t>Ⅳ类</w:t>
      </w:r>
      <w:r>
        <w:rPr>
          <w:rFonts w:hint="eastAsia" w:ascii="宋体" w:hAnsi="宋体" w:eastAsia="宋体" w:cs="宋体"/>
          <w:color w:val="000000"/>
          <w:spacing w:val="-11"/>
          <w:sz w:val="22"/>
          <w:szCs w:val="22"/>
          <w:highlight w:val="none"/>
          <w:lang w:val="en-US" w:eastAsia="zh-CN"/>
        </w:rPr>
        <w:t>反光膜，LED指示灯</w:t>
      </w:r>
      <w:r>
        <w:rPr>
          <w:rFonts w:hint="eastAsia" w:ascii="宋体" w:hAnsi="宋体" w:eastAsia="宋体" w:cs="宋体"/>
          <w:color w:val="000000"/>
          <w:spacing w:val="-11"/>
          <w:sz w:val="22"/>
          <w:szCs w:val="22"/>
          <w:highlight w:val="none"/>
        </w:rPr>
        <w:t>；</w:t>
      </w:r>
    </w:p>
    <w:p w14:paraId="6DF9A8C1">
      <w:pPr>
        <w:spacing w:before="157" w:line="219" w:lineRule="auto"/>
        <w:rPr>
          <w:rFonts w:hint="eastAsia" w:ascii="宋体" w:hAnsi="宋体" w:eastAsia="宋体" w:cs="宋体"/>
          <w:color w:val="000000"/>
          <w:spacing w:val="-11"/>
          <w:sz w:val="22"/>
          <w:szCs w:val="22"/>
          <w:highlight w:val="none"/>
        </w:rPr>
      </w:pPr>
      <w:r>
        <w:rPr>
          <w:rFonts w:hint="eastAsia" w:ascii="宋体" w:hAnsi="宋体" w:eastAsia="宋体" w:cs="宋体"/>
          <w:color w:val="000000"/>
          <w:spacing w:val="-11"/>
          <w:sz w:val="22"/>
          <w:szCs w:val="22"/>
          <w:highlight w:val="none"/>
        </w:rPr>
        <w:t>（6）规格：高度2500mm 。</w:t>
      </w:r>
    </w:p>
    <w:p w14:paraId="6056C3E7">
      <w:pPr>
        <w:spacing w:line="400" w:lineRule="exact"/>
        <w:rPr>
          <w:rFonts w:hint="eastAsia" w:ascii="宋体" w:hAnsi="宋体" w:eastAsia="宋体" w:cs="宋体"/>
          <w:b/>
          <w:bCs/>
          <w:color w:val="000000"/>
          <w:kern w:val="0"/>
          <w:sz w:val="22"/>
          <w:szCs w:val="22"/>
          <w:highlight w:val="none"/>
          <w:lang w:bidi="ar"/>
        </w:rPr>
      </w:pPr>
      <w:r>
        <w:rPr>
          <w:rFonts w:hint="eastAsia" w:ascii="宋体" w:hAnsi="宋体" w:eastAsia="宋体" w:cs="宋体"/>
          <w:color w:val="000000"/>
          <w:sz w:val="22"/>
          <w:szCs w:val="22"/>
          <w:highlight w:val="none"/>
          <w:shd w:val="clear" w:color="auto" w:fill="FFFFFF"/>
        </w:rPr>
        <w:t>‌</w:t>
      </w:r>
      <w:r>
        <w:rPr>
          <w:rFonts w:hint="eastAsia" w:ascii="宋体" w:hAnsi="宋体" w:eastAsia="宋体" w:cs="宋体"/>
          <w:b/>
          <w:bCs/>
          <w:color w:val="000000"/>
          <w:kern w:val="0"/>
          <w:sz w:val="22"/>
          <w:szCs w:val="22"/>
          <w:highlight w:val="none"/>
          <w:lang w:bidi="ar"/>
        </w:rPr>
        <w:t>三、施工要求</w:t>
      </w:r>
    </w:p>
    <w:p w14:paraId="5CFBE224">
      <w:pPr>
        <w:spacing w:line="400" w:lineRule="exact"/>
        <w:rPr>
          <w:rFonts w:hint="eastAsia" w:ascii="宋体" w:hAnsi="宋体" w:eastAsia="宋体" w:cs="宋体"/>
          <w:color w:val="000000"/>
          <w:spacing w:val="-3"/>
          <w:sz w:val="22"/>
          <w:szCs w:val="22"/>
          <w:highlight w:val="none"/>
        </w:rPr>
      </w:pPr>
      <w:r>
        <w:rPr>
          <w:rFonts w:hint="eastAsia" w:ascii="宋体" w:hAnsi="宋体" w:eastAsia="宋体" w:cs="宋体"/>
          <w:color w:val="000000"/>
          <w:spacing w:val="-3"/>
          <w:sz w:val="22"/>
          <w:szCs w:val="22"/>
          <w:highlight w:val="none"/>
        </w:rPr>
        <w:t>1、准备阶段</w:t>
      </w:r>
    </w:p>
    <w:p w14:paraId="7FE27669">
      <w:pPr>
        <w:spacing w:before="183"/>
        <w:ind w:left="42"/>
        <w:rPr>
          <w:rFonts w:hint="eastAsia" w:ascii="宋体" w:hAnsi="宋体" w:eastAsia="宋体" w:cs="宋体"/>
          <w:color w:val="000000"/>
          <w:spacing w:val="-3"/>
          <w:sz w:val="22"/>
          <w:szCs w:val="22"/>
          <w:highlight w:val="none"/>
        </w:rPr>
      </w:pPr>
      <w:r>
        <w:rPr>
          <w:rFonts w:hint="eastAsia" w:ascii="宋体" w:hAnsi="宋体" w:eastAsia="宋体" w:cs="宋体"/>
          <w:color w:val="000000"/>
          <w:spacing w:val="-3"/>
          <w:sz w:val="22"/>
          <w:szCs w:val="22"/>
          <w:highlight w:val="none"/>
        </w:rPr>
        <w:t>（1）组织技术人员根据设计图纸及周边环境，确认待拆除移动护栏位置、类型及安装新护栏的要求；规划拆除的护栏堆放点及新增护栏存放区。</w:t>
      </w:r>
    </w:p>
    <w:p w14:paraId="1A30DE6F">
      <w:pPr>
        <w:spacing w:before="183"/>
        <w:ind w:left="42"/>
        <w:rPr>
          <w:rFonts w:hint="eastAsia" w:ascii="宋体" w:hAnsi="宋体" w:eastAsia="宋体" w:cs="宋体"/>
          <w:color w:val="000000"/>
          <w:spacing w:val="-3"/>
          <w:sz w:val="22"/>
          <w:szCs w:val="22"/>
          <w:highlight w:val="none"/>
        </w:rPr>
      </w:pPr>
      <w:r>
        <w:rPr>
          <w:rFonts w:hint="eastAsia" w:ascii="宋体" w:hAnsi="宋体" w:eastAsia="宋体" w:cs="宋体"/>
          <w:color w:val="000000"/>
          <w:spacing w:val="-3"/>
          <w:sz w:val="22"/>
          <w:szCs w:val="22"/>
          <w:highlight w:val="none"/>
        </w:rPr>
        <w:t>（2）设置围挡、警示标志，确保施工区域的安全性。</w:t>
      </w:r>
    </w:p>
    <w:p w14:paraId="571B2539">
      <w:pPr>
        <w:spacing w:before="183"/>
        <w:ind w:left="42"/>
        <w:rPr>
          <w:rFonts w:hint="eastAsia" w:ascii="宋体" w:hAnsi="宋体" w:eastAsia="宋体" w:cs="宋体"/>
          <w:color w:val="000000"/>
          <w:spacing w:val="-3"/>
          <w:sz w:val="22"/>
          <w:szCs w:val="22"/>
          <w:highlight w:val="none"/>
        </w:rPr>
      </w:pPr>
      <w:r>
        <w:rPr>
          <w:rFonts w:hint="eastAsia" w:ascii="宋体" w:hAnsi="宋体" w:eastAsia="宋体" w:cs="宋体"/>
          <w:color w:val="000000"/>
          <w:spacing w:val="-3"/>
          <w:sz w:val="22"/>
          <w:szCs w:val="22"/>
          <w:highlight w:val="none"/>
        </w:rPr>
        <w:t>（3）根据现场实际情况对施工人员进行安全规范培训和技术交底，强调道路作业、操作规范。准备至少2辆货车用于流转运输车辆，检查其安全性确保项目顺利实施。</w:t>
      </w:r>
    </w:p>
    <w:p w14:paraId="53CB3A79">
      <w:pPr>
        <w:spacing w:before="183"/>
        <w:ind w:left="42"/>
        <w:rPr>
          <w:rFonts w:hint="eastAsia" w:ascii="宋体" w:hAnsi="宋体" w:eastAsia="宋体" w:cs="宋体"/>
          <w:color w:val="000000"/>
          <w:spacing w:val="-3"/>
          <w:sz w:val="22"/>
          <w:szCs w:val="22"/>
          <w:highlight w:val="none"/>
        </w:rPr>
      </w:pPr>
      <w:r>
        <w:rPr>
          <w:rFonts w:hint="eastAsia" w:ascii="宋体" w:hAnsi="宋体" w:eastAsia="宋体" w:cs="宋体"/>
          <w:color w:val="000000"/>
          <w:spacing w:val="-3"/>
          <w:sz w:val="22"/>
          <w:szCs w:val="22"/>
          <w:highlight w:val="none"/>
        </w:rPr>
        <w:t>2、拆除、改色等施工</w:t>
      </w:r>
    </w:p>
    <w:p w14:paraId="1E4290B7">
      <w:pPr>
        <w:spacing w:before="183"/>
        <w:ind w:left="42"/>
        <w:rPr>
          <w:rFonts w:hint="eastAsia" w:ascii="宋体" w:hAnsi="宋体" w:eastAsia="宋体" w:cs="宋体"/>
          <w:color w:val="000000"/>
          <w:spacing w:val="-3"/>
          <w:sz w:val="22"/>
          <w:szCs w:val="22"/>
          <w:highlight w:val="none"/>
        </w:rPr>
      </w:pPr>
      <w:r>
        <w:rPr>
          <w:rFonts w:hint="eastAsia" w:ascii="宋体" w:hAnsi="宋体" w:eastAsia="宋体" w:cs="宋体"/>
          <w:color w:val="000000"/>
          <w:spacing w:val="-3"/>
          <w:sz w:val="22"/>
          <w:szCs w:val="22"/>
          <w:highlight w:val="none"/>
        </w:rPr>
        <w:t>（1）‌拆除‌：对于陈旧护栏进行拆除、整理、运送至存放区；拆除时同步清理碎渣，防止遗留残渣。</w:t>
      </w:r>
    </w:p>
    <w:p w14:paraId="7CB0840F">
      <w:pPr>
        <w:spacing w:before="183"/>
        <w:ind w:left="42"/>
        <w:rPr>
          <w:rFonts w:hint="eastAsia" w:ascii="宋体" w:hAnsi="宋体" w:eastAsia="宋体" w:cs="宋体"/>
          <w:color w:val="000000"/>
          <w:spacing w:val="-3"/>
          <w:sz w:val="22"/>
          <w:szCs w:val="22"/>
          <w:highlight w:val="none"/>
        </w:rPr>
      </w:pPr>
      <w:r>
        <w:rPr>
          <w:rFonts w:hint="eastAsia" w:ascii="宋体" w:hAnsi="宋体" w:eastAsia="宋体" w:cs="宋体"/>
          <w:color w:val="000000"/>
          <w:spacing w:val="-3"/>
          <w:sz w:val="22"/>
          <w:szCs w:val="22"/>
          <w:highlight w:val="none"/>
        </w:rPr>
        <w:t>（2）‌除锈‌：需清理表面锈痕。</w:t>
      </w:r>
    </w:p>
    <w:p w14:paraId="375E89E8">
      <w:pPr>
        <w:spacing w:before="183"/>
        <w:ind w:left="42"/>
        <w:rPr>
          <w:rFonts w:hint="eastAsia" w:ascii="宋体" w:hAnsi="宋体" w:eastAsia="宋体" w:cs="宋体"/>
          <w:color w:val="000000"/>
          <w:spacing w:val="-3"/>
          <w:sz w:val="22"/>
          <w:szCs w:val="22"/>
          <w:highlight w:val="none"/>
        </w:rPr>
      </w:pPr>
      <w:r>
        <w:rPr>
          <w:rFonts w:hint="eastAsia" w:ascii="宋体" w:hAnsi="宋体" w:eastAsia="宋体" w:cs="宋体"/>
          <w:color w:val="000000"/>
          <w:spacing w:val="-3"/>
          <w:sz w:val="22"/>
          <w:szCs w:val="22"/>
          <w:highlight w:val="none"/>
        </w:rPr>
        <w:t>（3）‌焊接、修复‌：松动处、断裂处焊接并打磨；需改色的护栏进行统一加固修复。</w:t>
      </w:r>
    </w:p>
    <w:p w14:paraId="1A99077F">
      <w:pPr>
        <w:spacing w:before="183"/>
        <w:ind w:left="42"/>
        <w:rPr>
          <w:rFonts w:hint="eastAsia" w:ascii="宋体" w:hAnsi="宋体" w:eastAsia="宋体" w:cs="宋体"/>
          <w:color w:val="000000"/>
          <w:spacing w:val="-3"/>
          <w:sz w:val="22"/>
          <w:szCs w:val="22"/>
          <w:highlight w:val="none"/>
        </w:rPr>
      </w:pPr>
      <w:r>
        <w:rPr>
          <w:rFonts w:hint="eastAsia" w:ascii="宋体" w:hAnsi="宋体" w:eastAsia="宋体" w:cs="宋体"/>
          <w:color w:val="000000"/>
          <w:spacing w:val="-3"/>
          <w:sz w:val="22"/>
          <w:szCs w:val="22"/>
          <w:highlight w:val="none"/>
        </w:rPr>
        <w:t>（4）‌‌‌‌喷漆‌：防锈底漆、护栏面漆（面漆颜色按照设计图纸要求）。</w:t>
      </w:r>
    </w:p>
    <w:p w14:paraId="0B8E8864">
      <w:pPr>
        <w:spacing w:before="183"/>
        <w:ind w:left="42"/>
        <w:rPr>
          <w:rFonts w:hint="eastAsia" w:ascii="宋体" w:hAnsi="宋体" w:eastAsia="宋体" w:cs="宋体"/>
          <w:color w:val="000000"/>
          <w:spacing w:val="-3"/>
          <w:sz w:val="22"/>
          <w:szCs w:val="22"/>
          <w:highlight w:val="none"/>
        </w:rPr>
      </w:pPr>
      <w:r>
        <w:rPr>
          <w:rFonts w:hint="eastAsia" w:ascii="宋体" w:hAnsi="宋体" w:eastAsia="宋体" w:cs="宋体"/>
          <w:color w:val="000000"/>
          <w:spacing w:val="-3"/>
          <w:sz w:val="22"/>
          <w:szCs w:val="22"/>
          <w:highlight w:val="none"/>
        </w:rPr>
        <w:t>3、安装施工</w:t>
      </w:r>
    </w:p>
    <w:p w14:paraId="0AA2A7FA">
      <w:pPr>
        <w:spacing w:before="183"/>
        <w:ind w:left="42"/>
        <w:rPr>
          <w:rFonts w:hint="eastAsia" w:ascii="宋体" w:hAnsi="宋体" w:eastAsia="宋体" w:cs="宋体"/>
          <w:color w:val="000000"/>
          <w:spacing w:val="-3"/>
          <w:sz w:val="22"/>
          <w:szCs w:val="22"/>
          <w:highlight w:val="none"/>
        </w:rPr>
      </w:pPr>
      <w:r>
        <w:rPr>
          <w:rFonts w:hint="eastAsia" w:ascii="宋体" w:hAnsi="宋体" w:eastAsia="宋体" w:cs="宋体"/>
          <w:color w:val="000000"/>
          <w:spacing w:val="-3"/>
          <w:sz w:val="22"/>
          <w:szCs w:val="22"/>
          <w:highlight w:val="none"/>
        </w:rPr>
        <w:t>（1）‌立柱‌：放样定位起始柱结合道路标线设置标准点，调整间距以符合现场实际情况；固定安装立柱，确保垂直度、牢固度。</w:t>
      </w:r>
    </w:p>
    <w:p w14:paraId="44F325CF">
      <w:pPr>
        <w:spacing w:before="183"/>
        <w:ind w:left="42"/>
        <w:rPr>
          <w:rFonts w:hint="eastAsia" w:ascii="宋体" w:hAnsi="宋体" w:eastAsia="宋体" w:cs="宋体"/>
          <w:color w:val="000000"/>
          <w:spacing w:val="-3"/>
          <w:sz w:val="22"/>
          <w:szCs w:val="22"/>
          <w:highlight w:val="none"/>
        </w:rPr>
      </w:pPr>
      <w:r>
        <w:rPr>
          <w:rFonts w:hint="eastAsia" w:ascii="宋体" w:hAnsi="宋体" w:eastAsia="宋体" w:cs="宋体"/>
          <w:color w:val="000000"/>
          <w:spacing w:val="-3"/>
          <w:sz w:val="22"/>
          <w:szCs w:val="22"/>
          <w:highlight w:val="none"/>
        </w:rPr>
        <w:t>（2）‌护栏片：连接护栏片与立柱，螺栓紧固，线形顺直无扭曲。</w:t>
      </w:r>
    </w:p>
    <w:p w14:paraId="6278E6B0">
      <w:pPr>
        <w:spacing w:before="183"/>
        <w:ind w:left="42"/>
        <w:rPr>
          <w:rFonts w:hint="eastAsia" w:ascii="宋体" w:hAnsi="宋体" w:eastAsia="宋体" w:cs="宋体"/>
          <w:color w:val="000000"/>
          <w:spacing w:val="-3"/>
          <w:sz w:val="22"/>
          <w:szCs w:val="22"/>
          <w:highlight w:val="none"/>
        </w:rPr>
      </w:pPr>
      <w:r>
        <w:rPr>
          <w:rFonts w:hint="eastAsia" w:ascii="宋体" w:hAnsi="宋体" w:eastAsia="宋体" w:cs="宋体"/>
          <w:color w:val="000000"/>
          <w:spacing w:val="-3"/>
          <w:sz w:val="22"/>
          <w:szCs w:val="22"/>
          <w:highlight w:val="none"/>
        </w:rPr>
        <w:t>4、质量与安全控制</w:t>
      </w:r>
    </w:p>
    <w:p w14:paraId="1C92BFB8">
      <w:pPr>
        <w:spacing w:before="183"/>
        <w:ind w:left="42"/>
        <w:rPr>
          <w:rFonts w:hint="eastAsia" w:ascii="宋体" w:hAnsi="宋体" w:eastAsia="宋体" w:cs="宋体"/>
          <w:color w:val="000000"/>
          <w:spacing w:val="-3"/>
          <w:sz w:val="22"/>
          <w:szCs w:val="22"/>
          <w:highlight w:val="none"/>
        </w:rPr>
      </w:pPr>
      <w:r>
        <w:rPr>
          <w:rFonts w:hint="eastAsia" w:ascii="宋体" w:hAnsi="宋体" w:eastAsia="宋体" w:cs="宋体"/>
          <w:color w:val="000000"/>
          <w:spacing w:val="-3"/>
          <w:sz w:val="22"/>
          <w:szCs w:val="22"/>
          <w:highlight w:val="none"/>
        </w:rPr>
        <w:t>（1）‌质量检查‌：全程监控立柱垂直度、护栏平整度，每道工序验收合格后推进；确保线形流畅，符合设计规范；检查护栏整体强度、外观，性能。</w:t>
      </w:r>
    </w:p>
    <w:p w14:paraId="70B2F818">
      <w:pPr>
        <w:spacing w:before="183"/>
        <w:ind w:left="42"/>
        <w:rPr>
          <w:rFonts w:hint="eastAsia" w:ascii="宋体" w:hAnsi="宋体" w:eastAsia="宋体" w:cs="宋体"/>
          <w:color w:val="000000"/>
          <w:spacing w:val="-3"/>
          <w:sz w:val="22"/>
          <w:szCs w:val="22"/>
          <w:highlight w:val="none"/>
        </w:rPr>
      </w:pPr>
      <w:r>
        <w:rPr>
          <w:rFonts w:hint="eastAsia" w:ascii="宋体" w:hAnsi="宋体" w:eastAsia="宋体" w:cs="宋体"/>
          <w:color w:val="000000"/>
          <w:spacing w:val="-3"/>
          <w:sz w:val="22"/>
          <w:szCs w:val="22"/>
          <w:highlight w:val="none"/>
        </w:rPr>
        <w:t>（2）‌安全措施‌：作业人员穿戴反光衣，机械操作设隔离区，夜间施工加强照明。项目施工完成后，撤除围挡、警示标识，清理工具，恢复交通标志，移交道路使用。</w:t>
      </w:r>
    </w:p>
    <w:p w14:paraId="08C8B5AA">
      <w:pPr>
        <w:spacing w:before="131" w:line="400" w:lineRule="exact"/>
        <w:ind w:right="80"/>
        <w:rPr>
          <w:rFonts w:hint="eastAsia" w:ascii="宋体" w:hAnsi="宋体" w:eastAsia="宋体" w:cs="宋体"/>
          <w:b/>
          <w:bCs/>
          <w:color w:val="000000"/>
          <w:sz w:val="22"/>
          <w:szCs w:val="22"/>
          <w:highlight w:val="none"/>
        </w:rPr>
      </w:pPr>
      <w:r>
        <w:rPr>
          <w:rFonts w:hint="eastAsia" w:ascii="宋体" w:hAnsi="宋体" w:eastAsia="宋体" w:cs="宋体"/>
          <w:b/>
          <w:bCs/>
          <w:color w:val="000000"/>
          <w:kern w:val="0"/>
          <w:sz w:val="22"/>
          <w:szCs w:val="22"/>
          <w:highlight w:val="none"/>
          <w:lang w:bidi="ar"/>
        </w:rPr>
        <w:t>三</w:t>
      </w:r>
      <w:r>
        <w:rPr>
          <w:rFonts w:hint="eastAsia" w:ascii="宋体" w:hAnsi="宋体" w:eastAsia="宋体" w:cs="宋体"/>
          <w:b/>
          <w:bCs/>
          <w:color w:val="000000"/>
          <w:sz w:val="22"/>
          <w:szCs w:val="22"/>
          <w:highlight w:val="none"/>
        </w:rPr>
        <w:t>、其他要求</w:t>
      </w:r>
    </w:p>
    <w:p w14:paraId="2ADF5A31">
      <w:pPr>
        <w:spacing w:before="131" w:line="400" w:lineRule="exact"/>
        <w:ind w:right="80" w:firstLine="483"/>
        <w:rPr>
          <w:rFonts w:hint="eastAsia" w:ascii="宋体" w:hAnsi="宋体" w:eastAsia="宋体" w:cs="宋体"/>
          <w:b/>
          <w:bCs/>
          <w:snapToGrid w:val="0"/>
          <w:color w:val="000000"/>
          <w:kern w:val="0"/>
          <w:sz w:val="22"/>
          <w:szCs w:val="22"/>
          <w:highlight w:val="none"/>
          <w:lang w:eastAsia="en-US"/>
        </w:rPr>
      </w:pPr>
      <w:r>
        <w:rPr>
          <w:rFonts w:hint="eastAsia" w:ascii="宋体" w:hAnsi="宋体" w:eastAsia="宋体" w:cs="宋体"/>
          <w:color w:val="000000"/>
          <w:spacing w:val="-3"/>
          <w:sz w:val="22"/>
          <w:szCs w:val="22"/>
          <w:highlight w:val="none"/>
        </w:rPr>
        <w:t>因本项目为交钥匙项目。为充分了解项目环境和特点，投标人可自行对项目现场和周围环境进行勘察以获取有关编制投标文件所需的所有资料，勘察现场所发生的费用及安全等问题由投标人自行承担。</w:t>
      </w:r>
    </w:p>
    <w:p w14:paraId="3C16E331">
      <w:pPr>
        <w:pageBreakBefore w:val="0"/>
        <w:widowControl w:val="0"/>
        <w:numPr>
          <w:ilvl w:val="0"/>
          <w:numId w:val="0"/>
        </w:numPr>
        <w:kinsoku w:val="0"/>
        <w:wordWrap/>
        <w:overflowPunct/>
        <w:topLinePunct w:val="0"/>
        <w:autoSpaceDE w:val="0"/>
        <w:autoSpaceDN w:val="0"/>
        <w:bidi w:val="0"/>
        <w:adjustRightInd w:val="0"/>
        <w:snapToGrid w:val="0"/>
        <w:spacing w:line="360" w:lineRule="auto"/>
        <w:ind w:leftChars="0"/>
        <w:jc w:val="left"/>
        <w:textAlignment w:val="baseline"/>
        <w:rPr>
          <w:rFonts w:ascii="宋体" w:hAnsi="宋体" w:eastAsia="宋体" w:cs="宋体"/>
          <w:b/>
          <w:color w:val="000000"/>
          <w:sz w:val="30"/>
          <w:szCs w:val="30"/>
          <w:highlight w:val="none"/>
        </w:rPr>
      </w:pPr>
      <w:r>
        <w:rPr>
          <w:rFonts w:hint="eastAsia" w:ascii="宋体" w:hAnsi="宋体" w:eastAsia="宋体" w:cs="宋体"/>
          <w:b/>
          <w:bCs/>
          <w:snapToGrid w:val="0"/>
          <w:color w:val="000000"/>
          <w:kern w:val="0"/>
          <w:sz w:val="22"/>
          <w:szCs w:val="22"/>
          <w:highlight w:val="none"/>
          <w:lang w:eastAsia="en-US"/>
        </w:rPr>
        <w:t>注：以上所有采购清单及技术要求</w:t>
      </w:r>
      <w:r>
        <w:rPr>
          <w:rFonts w:hint="eastAsia" w:ascii="宋体" w:hAnsi="宋体" w:eastAsia="宋体" w:cs="宋体"/>
          <w:b/>
          <w:bCs/>
          <w:snapToGrid w:val="0"/>
          <w:color w:val="000000"/>
          <w:kern w:val="0"/>
          <w:sz w:val="22"/>
          <w:szCs w:val="22"/>
          <w:highlight w:val="none"/>
          <w:lang w:val="en-US" w:eastAsia="zh-CN"/>
        </w:rPr>
        <w:t>内容</w:t>
      </w:r>
      <w:r>
        <w:rPr>
          <w:rFonts w:hint="eastAsia" w:ascii="宋体" w:hAnsi="宋体" w:eastAsia="宋体" w:cs="宋体"/>
          <w:b/>
          <w:bCs/>
          <w:snapToGrid w:val="0"/>
          <w:color w:val="000000"/>
          <w:kern w:val="0"/>
          <w:sz w:val="22"/>
          <w:szCs w:val="22"/>
          <w:highlight w:val="none"/>
          <w:lang w:eastAsia="en-US"/>
        </w:rPr>
        <w:t>，</w:t>
      </w:r>
      <w:r>
        <w:rPr>
          <w:rFonts w:hint="eastAsia" w:ascii="宋体" w:hAnsi="宋体" w:eastAsia="宋体" w:cs="宋体"/>
          <w:b/>
          <w:bCs/>
          <w:snapToGrid w:val="0"/>
          <w:color w:val="000000"/>
          <w:kern w:val="0"/>
          <w:sz w:val="22"/>
          <w:szCs w:val="22"/>
          <w:highlight w:val="none"/>
          <w:lang w:val="en-US" w:eastAsia="zh-CN"/>
        </w:rPr>
        <w:t>投标人</w:t>
      </w:r>
      <w:r>
        <w:rPr>
          <w:rFonts w:hint="eastAsia" w:ascii="宋体" w:hAnsi="宋体" w:eastAsia="宋体" w:cs="宋体"/>
          <w:b/>
          <w:bCs/>
          <w:snapToGrid w:val="0"/>
          <w:color w:val="000000"/>
          <w:kern w:val="0"/>
          <w:sz w:val="22"/>
          <w:szCs w:val="22"/>
          <w:highlight w:val="none"/>
          <w:lang w:eastAsia="en-US"/>
        </w:rPr>
        <w:t>须全部响应或优于，否则为无效响应。</w:t>
      </w:r>
    </w:p>
    <w:p w14:paraId="2C980B50">
      <w:bookmarkStart w:id="4" w:name="_GoBack"/>
      <w:bookmarkEnd w:id="4"/>
    </w:p>
    <w:sectPr>
      <w:pgSz w:w="11906" w:h="16838"/>
      <w:pgMar w:top="1134" w:right="1134" w:bottom="1134" w:left="1134"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mbria Math">
    <w:panose1 w:val="02040503050406030204"/>
    <w:charset w:val="00"/>
    <w:family w:val="roman"/>
    <w:pitch w:val="default"/>
    <w:sig w:usb0="E00006FF" w:usb1="420024FF" w:usb2="02000000" w:usb3="00000000" w:csb0="2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343E669B"/>
    <w:multiLevelType w:val="multilevel"/>
    <w:tmpl w:val="343E669B"/>
    <w:lvl w:ilvl="0" w:tentative="0">
      <w:start w:val="1"/>
      <w:numFmt w:val="decimalEnclosedCircle"/>
      <w:lvlText w:val="%1"/>
      <w:lvlJc w:val="left"/>
      <w:pPr>
        <w:ind w:left="381" w:hanging="360"/>
      </w:pPr>
      <w:rPr>
        <w:rFonts w:hint="default"/>
      </w:rPr>
    </w:lvl>
    <w:lvl w:ilvl="1" w:tentative="0">
      <w:start w:val="1"/>
      <w:numFmt w:val="lowerLetter"/>
      <w:lvlText w:val="%2)"/>
      <w:lvlJc w:val="left"/>
      <w:pPr>
        <w:ind w:left="901" w:hanging="440"/>
      </w:pPr>
    </w:lvl>
    <w:lvl w:ilvl="2" w:tentative="0">
      <w:start w:val="1"/>
      <w:numFmt w:val="lowerRoman"/>
      <w:lvlText w:val="%3."/>
      <w:lvlJc w:val="right"/>
      <w:pPr>
        <w:ind w:left="1341" w:hanging="440"/>
      </w:pPr>
    </w:lvl>
    <w:lvl w:ilvl="3" w:tentative="0">
      <w:start w:val="1"/>
      <w:numFmt w:val="decimal"/>
      <w:lvlText w:val="%4."/>
      <w:lvlJc w:val="left"/>
      <w:pPr>
        <w:ind w:left="1781" w:hanging="440"/>
      </w:pPr>
    </w:lvl>
    <w:lvl w:ilvl="4" w:tentative="0">
      <w:start w:val="1"/>
      <w:numFmt w:val="lowerLetter"/>
      <w:lvlText w:val="%5)"/>
      <w:lvlJc w:val="left"/>
      <w:pPr>
        <w:ind w:left="2221" w:hanging="440"/>
      </w:pPr>
    </w:lvl>
    <w:lvl w:ilvl="5" w:tentative="0">
      <w:start w:val="1"/>
      <w:numFmt w:val="lowerRoman"/>
      <w:lvlText w:val="%6."/>
      <w:lvlJc w:val="right"/>
      <w:pPr>
        <w:ind w:left="2661" w:hanging="440"/>
      </w:pPr>
    </w:lvl>
    <w:lvl w:ilvl="6" w:tentative="0">
      <w:start w:val="1"/>
      <w:numFmt w:val="decimal"/>
      <w:lvlText w:val="%7."/>
      <w:lvlJc w:val="left"/>
      <w:pPr>
        <w:ind w:left="3101" w:hanging="440"/>
      </w:pPr>
    </w:lvl>
    <w:lvl w:ilvl="7" w:tentative="0">
      <w:start w:val="1"/>
      <w:numFmt w:val="lowerLetter"/>
      <w:lvlText w:val="%8)"/>
      <w:lvlJc w:val="left"/>
      <w:pPr>
        <w:ind w:left="3541" w:hanging="440"/>
      </w:pPr>
    </w:lvl>
    <w:lvl w:ilvl="8" w:tentative="0">
      <w:start w:val="1"/>
      <w:numFmt w:val="lowerRoman"/>
      <w:lvlText w:val="%9."/>
      <w:lvlJc w:val="right"/>
      <w:pPr>
        <w:ind w:left="3981" w:hanging="440"/>
      </w:pPr>
    </w:lvl>
  </w:abstractNum>
  <w:abstractNum w:abstractNumId="1">
    <w:nsid w:val="5D6DF467"/>
    <w:multiLevelType w:val="singleLevel"/>
    <w:tmpl w:val="5D6DF467"/>
    <w:lvl w:ilvl="0" w:tentative="0">
      <w:start w:val="1"/>
      <w:numFmt w:val="chineseCounting"/>
      <w:suff w:val="space"/>
      <w:lvlText w:val="第%1部分"/>
      <w:lvlJc w:val="left"/>
      <w:rPr>
        <w:rFonts w:hint="eastAsia"/>
      </w:rPr>
    </w:lvl>
  </w:abstractNum>
  <w:abstractNum w:abstractNumId="2">
    <w:nsid w:val="6B6A16D2"/>
    <w:multiLevelType w:val="multilevel"/>
    <w:tmpl w:val="6B6A16D2"/>
    <w:lvl w:ilvl="0" w:tentative="0">
      <w:start w:val="2"/>
      <w:numFmt w:val="decimal"/>
      <w:lvlText w:val="%1、"/>
      <w:lvlJc w:val="left"/>
      <w:pPr>
        <w:ind w:left="360" w:hanging="360"/>
      </w:pPr>
      <w:rPr>
        <w:rFonts w:hint="default"/>
      </w:rPr>
    </w:lvl>
    <w:lvl w:ilvl="1" w:tentative="0">
      <w:start w:val="1"/>
      <w:numFmt w:val="lowerLetter"/>
      <w:lvlText w:val="%2)"/>
      <w:lvlJc w:val="left"/>
      <w:pPr>
        <w:ind w:left="880" w:hanging="440"/>
      </w:pPr>
    </w:lvl>
    <w:lvl w:ilvl="2" w:tentative="0">
      <w:start w:val="1"/>
      <w:numFmt w:val="lowerRoman"/>
      <w:lvlText w:val="%3."/>
      <w:lvlJc w:val="right"/>
      <w:pPr>
        <w:ind w:left="1320" w:hanging="440"/>
      </w:pPr>
    </w:lvl>
    <w:lvl w:ilvl="3" w:tentative="0">
      <w:start w:val="1"/>
      <w:numFmt w:val="decimal"/>
      <w:lvlText w:val="%4."/>
      <w:lvlJc w:val="left"/>
      <w:pPr>
        <w:ind w:left="1760" w:hanging="440"/>
      </w:pPr>
    </w:lvl>
    <w:lvl w:ilvl="4" w:tentative="0">
      <w:start w:val="1"/>
      <w:numFmt w:val="lowerLetter"/>
      <w:lvlText w:val="%5)"/>
      <w:lvlJc w:val="left"/>
      <w:pPr>
        <w:ind w:left="2200" w:hanging="440"/>
      </w:pPr>
    </w:lvl>
    <w:lvl w:ilvl="5" w:tentative="0">
      <w:start w:val="1"/>
      <w:numFmt w:val="lowerRoman"/>
      <w:lvlText w:val="%6."/>
      <w:lvlJc w:val="right"/>
      <w:pPr>
        <w:ind w:left="2640" w:hanging="440"/>
      </w:pPr>
    </w:lvl>
    <w:lvl w:ilvl="6" w:tentative="0">
      <w:start w:val="1"/>
      <w:numFmt w:val="decimal"/>
      <w:lvlText w:val="%7."/>
      <w:lvlJc w:val="left"/>
      <w:pPr>
        <w:ind w:left="3080" w:hanging="440"/>
      </w:pPr>
    </w:lvl>
    <w:lvl w:ilvl="7" w:tentative="0">
      <w:start w:val="1"/>
      <w:numFmt w:val="lowerLetter"/>
      <w:lvlText w:val="%8)"/>
      <w:lvlJc w:val="left"/>
      <w:pPr>
        <w:ind w:left="3520" w:hanging="440"/>
      </w:pPr>
    </w:lvl>
    <w:lvl w:ilvl="8" w:tentative="0">
      <w:start w:val="1"/>
      <w:numFmt w:val="lowerRoman"/>
      <w:lvlText w:val="%9."/>
      <w:lvlJc w:val="right"/>
      <w:pPr>
        <w:ind w:left="3960" w:hanging="440"/>
      </w:pPr>
    </w:lvl>
  </w:abstractNum>
  <w:num w:numId="1">
    <w:abstractNumId w:val="1"/>
  </w:num>
  <w:num w:numId="2">
    <w:abstractNumId w:val="2"/>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365563C6"/>
    <w:rsid w:val="764C11EF"/>
  </w:rsids>
  <m:mathPr>
    <m:mathFont m:val="Cambria Math"/>
    <m:brkBin m:val="before"/>
    <m:brkBinSub m:val="--"/>
    <m:smallFrac m:val="0"/>
    <m:dispDef/>
    <m:lMargin m:val="0"/>
    <m:rMargin m:val="0"/>
    <m:defJc m:val="centerGroup"/>
    <m:wrapIndent m:val="1440"/>
    <m:intLim m:val="subSup"/>
    <m:naryLim m:val="undOvr"/>
  </m:mathPr>
  <w:doNotAutoCompressPictures/>
  <w:themeFontLang w:val="en-US" w:eastAsia="zh-CN"/>
  <w:clrSchemeMapping w:bg1="light1" w:t1="dark1" w:bg2="light2" w:t2="dark2" w:accent1="accent1" w:accent2="accent2" w:accent3="accent3" w:accent4="accent4" w:accent5="accent5" w:accent6="accent6" w:hyperlink="hyperlink" w:followedHyperlink="followedHyperlink"/>
  <w:doNotIncludeSubdocsInStats/>
  <w14:defaultImageDpi w14:val="32767"/>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next w:val="1"/>
    <w:qFormat/>
    <w:uiPriority w:val="9"/>
    <w:pPr>
      <w:keepNext/>
      <w:keepLines/>
      <w:widowControl w:val="0"/>
      <w:spacing w:before="340" w:beforeLines="0" w:after="330" w:afterLines="0" w:line="578" w:lineRule="auto"/>
      <w:jc w:val="both"/>
      <w:outlineLvl w:val="0"/>
    </w:pPr>
    <w:rPr>
      <w:rFonts w:ascii="Times New Roman" w:hAnsi="Times New Roman" w:eastAsia="宋体" w:cs="Times New Roman"/>
      <w:b/>
      <w:bCs/>
      <w:kern w:val="44"/>
      <w:sz w:val="30"/>
      <w:szCs w:val="44"/>
      <w:lang w:val="en-US" w:eastAsia="zh-CN" w:bidi="ar-SA"/>
    </w:rPr>
  </w:style>
  <w:style w:type="character" w:default="1" w:styleId="4">
    <w:name w:val="Default Paragraph Font"/>
    <w:semiHidden/>
    <w:uiPriority w:val="0"/>
  </w:style>
  <w:style w:type="table" w:default="1" w:styleId="3">
    <w:name w:val="Normal Table"/>
    <w:semiHidden/>
    <w:qFormat/>
    <w:uiPriority w:val="0"/>
    <w:tblPr>
      <w:tblCellMar>
        <w:top w:w="0" w:type="dxa"/>
        <w:left w:w="108" w:type="dxa"/>
        <w:bottom w:w="0" w:type="dxa"/>
        <w:right w:w="108" w:type="dxa"/>
      </w:tblCellMar>
    </w:tblPr>
  </w:style>
  <w:style w:type="paragraph" w:styleId="5">
    <w:name w:val="List Paragraph"/>
    <w:qFormat/>
    <w:uiPriority w:val="99"/>
    <w:pPr>
      <w:widowControl w:val="0"/>
      <w:ind w:firstLine="420" w:firstLineChars="200"/>
      <w:jc w:val="both"/>
    </w:pPr>
    <w:rPr>
      <w:rFonts w:ascii="Times New Roman" w:hAnsi="Times New Roman" w:eastAsia="宋体" w:cs="Times New Roman"/>
      <w:kern w:val="2"/>
      <w:sz w:val="21"/>
      <w:lang w:val="en-US" w:eastAsia="zh-CN" w:bidi="ar-SA"/>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7</Pages>
  <Words>0</Words>
  <Characters>0</Characters>
  <Lines>0</Lines>
  <Paragraphs>0</Paragraphs>
  <TotalTime>0</TotalTime>
  <ScaleCrop>false</ScaleCrop>
  <LinksUpToDate>false</LinksUpToDate>
  <CharactersWithSpaces>0</CharactersWithSpaces>
  <Application>WPS Office_12.1.0.26375_F1E327BC-269C-435d-A152-05C5408002CA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2025-12-12T00:40:00Z</dcterms:created>
  <dc:creator>Administrator</dc:creator>
  <cp:lastModifiedBy>AAA</cp:lastModifiedBy>
  <dcterms:modified xsi:type="dcterms:W3CDTF">2026-05-25T08:09:26Z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2052-12.1.0.26375</vt:lpwstr>
  </property>
  <property fmtid="{D5CDD505-2E9C-101B-9397-08002B2CF9AE}" pid="3" name="ICV">
    <vt:lpwstr>B59CEEB2504146BABCBFE17FF431DE9E_12</vt:lpwstr>
  </property>
  <property fmtid="{D5CDD505-2E9C-101B-9397-08002B2CF9AE}" pid="4" name="KSOTemplateDocerSaveRecord">
    <vt:lpwstr>eyJoZGlkIjoiZmZhMzM4OGU2NWU4ZGE1YWRkMjA5N2NiMzBjNmUyM2UiLCJ1c2VySWQiOiI2OTcxMTAxNTgifQ==</vt:lpwstr>
  </property>
</Properties>
</file>