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3FEF5A">
      <w:pPr>
        <w:jc w:val="center"/>
        <w:rPr>
          <w:rFonts w:hint="eastAsia"/>
          <w:b/>
          <w:bCs/>
          <w:sz w:val="48"/>
          <w:szCs w:val="48"/>
          <w:lang w:val="en-US" w:eastAsia="zh-CN"/>
        </w:rPr>
      </w:pPr>
      <w:bookmarkStart w:id="7" w:name="_GoBack"/>
      <w:bookmarkEnd w:id="7"/>
      <w:r>
        <w:rPr>
          <w:rFonts w:hint="eastAsia"/>
          <w:b/>
          <w:bCs/>
          <w:sz w:val="48"/>
          <w:szCs w:val="48"/>
          <w:lang w:val="en-US" w:eastAsia="zh-CN"/>
        </w:rPr>
        <w:t>赣州不见面询标系统-投标人端</w:t>
      </w:r>
    </w:p>
    <w:p w14:paraId="707A9953">
      <w:pPr>
        <w:jc w:val="center"/>
        <w:rPr>
          <w:rFonts w:hint="eastAsia"/>
          <w:b/>
          <w:bCs/>
          <w:sz w:val="48"/>
          <w:szCs w:val="48"/>
          <w:lang w:val="en-US" w:eastAsia="zh-CN"/>
        </w:rPr>
      </w:pPr>
      <w:r>
        <w:rPr>
          <w:rFonts w:hint="eastAsia"/>
          <w:b/>
          <w:bCs/>
          <w:sz w:val="48"/>
          <w:szCs w:val="48"/>
          <w:lang w:val="en-US" w:eastAsia="zh-CN"/>
        </w:rPr>
        <w:t>操作手册</w:t>
      </w:r>
    </w:p>
    <w:p w14:paraId="2338AF27">
      <w:pPr>
        <w:pStyle w:val="2"/>
        <w:rPr>
          <w:rFonts w:hint="eastAsia"/>
          <w:b/>
          <w:bCs/>
          <w:sz w:val="48"/>
          <w:szCs w:val="48"/>
          <w:lang w:val="en-US" w:eastAsia="zh-CN"/>
        </w:rPr>
      </w:pPr>
    </w:p>
    <w:p w14:paraId="7703F79F">
      <w:pPr>
        <w:pStyle w:val="2"/>
        <w:ind w:left="0" w:leftChars="0" w:firstLine="0" w:firstLineChars="0"/>
        <w:rPr>
          <w:rFonts w:hint="eastAsia"/>
          <w:b/>
          <w:bCs/>
          <w:sz w:val="48"/>
          <w:szCs w:val="48"/>
          <w:lang w:val="en-US" w:eastAsia="zh-CN"/>
        </w:rPr>
      </w:pPr>
    </w:p>
    <w:sdt>
      <w:sdtPr>
        <w:rPr>
          <w:rFonts w:ascii="宋体" w:hAnsi="宋体" w:eastAsia="宋体" w:cstheme="minorBidi"/>
          <w:b/>
          <w:bCs/>
          <w:kern w:val="2"/>
          <w:sz w:val="21"/>
          <w:szCs w:val="22"/>
          <w:lang w:val="en-US" w:eastAsia="zh-CN" w:bidi="ar-SA"/>
        </w:rPr>
        <w:id w:val="147465889"/>
        <w15:color w:val="DBDBDB"/>
        <w:docPartObj>
          <w:docPartGallery w:val="Table of Contents"/>
          <w:docPartUnique/>
        </w:docPartObj>
      </w:sdtPr>
      <w:sdtEndPr>
        <w:rPr>
          <w:rFonts w:hint="eastAsia" w:ascii="Calibri" w:hAnsi="Calibri" w:cs="宋体" w:eastAsiaTheme="minorEastAsia"/>
          <w:b/>
          <w:bCs/>
          <w:color w:val="000000"/>
          <w:kern w:val="2"/>
          <w:sz w:val="21"/>
          <w:szCs w:val="48"/>
          <w:lang w:val="en-US" w:eastAsia="zh-CN" w:bidi="ar-SA"/>
        </w:rPr>
      </w:sdtEndPr>
      <w:sdtContent>
        <w:p w14:paraId="1136A431">
          <w:pPr>
            <w:spacing w:before="0" w:beforeLines="0" w:after="0" w:afterLines="0" w:line="240" w:lineRule="auto"/>
            <w:ind w:left="0" w:leftChars="0" w:right="0" w:rightChars="0" w:firstLine="0" w:firstLineChars="0"/>
            <w:jc w:val="center"/>
            <w:rPr>
              <w:rFonts w:eastAsia="华文仿宋"/>
              <w:b/>
              <w:bCs/>
            </w:rPr>
          </w:pPr>
          <w:r>
            <w:rPr>
              <w:rFonts w:ascii="宋体" w:hAnsi="宋体" w:eastAsia="华文仿宋"/>
              <w:b/>
              <w:bCs/>
              <w:sz w:val="21"/>
            </w:rPr>
            <w:t>目</w:t>
          </w:r>
          <w:r>
            <w:rPr>
              <w:rFonts w:hint="eastAsia" w:ascii="宋体" w:hAnsi="宋体" w:eastAsia="华文仿宋"/>
              <w:b/>
              <w:bCs/>
              <w:sz w:val="21"/>
              <w:lang w:val="en-US" w:eastAsia="zh-CN"/>
            </w:rPr>
            <w:t xml:space="preserve">  </w:t>
          </w:r>
          <w:r>
            <w:rPr>
              <w:rFonts w:ascii="宋体" w:hAnsi="宋体" w:eastAsia="华文仿宋"/>
              <w:b/>
              <w:bCs/>
              <w:sz w:val="21"/>
            </w:rPr>
            <w:t>录</w:t>
          </w:r>
        </w:p>
        <w:p w14:paraId="191AAFC8">
          <w:pPr>
            <w:pStyle w:val="6"/>
            <w:tabs>
              <w:tab w:val="right" w:leader="dot" w:pos="8306"/>
            </w:tabs>
          </w:pPr>
          <w:r>
            <w:rPr>
              <w:rFonts w:hint="eastAsia" w:eastAsia="华文仿宋"/>
              <w:b/>
              <w:bCs/>
              <w:sz w:val="48"/>
              <w:szCs w:val="48"/>
              <w:lang w:val="en-US" w:eastAsia="zh-CN"/>
            </w:rPr>
            <w:fldChar w:fldCharType="begin"/>
          </w:r>
          <w:r>
            <w:rPr>
              <w:rFonts w:hint="eastAsia" w:eastAsia="华文仿宋"/>
              <w:b/>
              <w:bCs/>
              <w:sz w:val="48"/>
              <w:szCs w:val="48"/>
              <w:lang w:val="en-US" w:eastAsia="zh-CN"/>
            </w:rPr>
            <w:instrText xml:space="preserve">TOC \o "1-2" \h \u </w:instrText>
          </w:r>
          <w:r>
            <w:rPr>
              <w:rFonts w:hint="eastAsia" w:eastAsia="华文仿宋"/>
              <w:b/>
              <w:bCs/>
              <w:sz w:val="48"/>
              <w:szCs w:val="48"/>
              <w:lang w:val="en-US" w:eastAsia="zh-CN"/>
            </w:rPr>
            <w:fldChar w:fldCharType="separate"/>
          </w:r>
          <w:r>
            <w:rPr>
              <w:rFonts w:hint="eastAsia" w:eastAsia="华文仿宋"/>
              <w:bCs/>
              <w:szCs w:val="48"/>
              <w:lang w:val="en-US" w:eastAsia="zh-CN"/>
            </w:rPr>
            <w:fldChar w:fldCharType="begin"/>
          </w:r>
          <w:r>
            <w:rPr>
              <w:rFonts w:hint="eastAsia" w:eastAsia="华文仿宋"/>
              <w:bCs/>
              <w:szCs w:val="48"/>
              <w:lang w:val="en-US" w:eastAsia="zh-CN"/>
            </w:rPr>
            <w:instrText xml:space="preserve"> HYPERLINK \l _Toc416 </w:instrText>
          </w:r>
          <w:r>
            <w:rPr>
              <w:rFonts w:hint="eastAsia" w:eastAsia="华文仿宋"/>
              <w:bCs/>
              <w:szCs w:val="48"/>
              <w:lang w:val="en-US" w:eastAsia="zh-CN"/>
            </w:rPr>
            <w:fldChar w:fldCharType="separate"/>
          </w:r>
          <w:r>
            <w:rPr>
              <w:rFonts w:hint="eastAsia"/>
              <w:lang w:val="en-US" w:eastAsia="zh-CN"/>
            </w:rPr>
            <w:t>一、不见面询标系统</w:t>
          </w:r>
          <w:r>
            <w:tab/>
          </w:r>
          <w:r>
            <w:fldChar w:fldCharType="begin"/>
          </w:r>
          <w:r>
            <w:instrText xml:space="preserve"> PAGEREF _Toc416 \h </w:instrText>
          </w:r>
          <w:r>
            <w:fldChar w:fldCharType="separate"/>
          </w:r>
          <w:r>
            <w:t>2</w:t>
          </w:r>
          <w:r>
            <w:fldChar w:fldCharType="end"/>
          </w:r>
          <w:r>
            <w:rPr>
              <w:rFonts w:hint="eastAsia" w:eastAsia="华文仿宋"/>
              <w:bCs/>
              <w:szCs w:val="48"/>
              <w:lang w:val="en-US" w:eastAsia="zh-CN"/>
            </w:rPr>
            <w:fldChar w:fldCharType="end"/>
          </w:r>
        </w:p>
        <w:p w14:paraId="54FBCA8F">
          <w:pPr>
            <w:pStyle w:val="7"/>
            <w:tabs>
              <w:tab w:val="right" w:leader="dot" w:pos="8306"/>
            </w:tabs>
          </w:pPr>
          <w:r>
            <w:rPr>
              <w:rFonts w:hint="eastAsia" w:eastAsia="华文仿宋"/>
              <w:bCs/>
              <w:szCs w:val="48"/>
              <w:lang w:val="en-US" w:eastAsia="zh-CN"/>
            </w:rPr>
            <w:fldChar w:fldCharType="begin"/>
          </w:r>
          <w:r>
            <w:rPr>
              <w:rFonts w:hint="eastAsia" w:eastAsia="华文仿宋"/>
              <w:bCs/>
              <w:szCs w:val="48"/>
              <w:lang w:val="en-US" w:eastAsia="zh-CN"/>
            </w:rPr>
            <w:instrText xml:space="preserve"> HYPERLINK \l _Toc6955 </w:instrText>
          </w:r>
          <w:r>
            <w:rPr>
              <w:rFonts w:hint="eastAsia" w:eastAsia="华文仿宋"/>
              <w:bCs/>
              <w:szCs w:val="48"/>
              <w:lang w:val="en-US" w:eastAsia="zh-CN"/>
            </w:rPr>
            <w:fldChar w:fldCharType="separate"/>
          </w:r>
          <w:r>
            <w:rPr>
              <w:rFonts w:hint="eastAsia" w:ascii="Times New Roman" w:hAnsi="Times New Roman" w:cs="Cambria"/>
              <w:bCs/>
            </w:rPr>
            <w:t xml:space="preserve">1.1、 </w:t>
          </w:r>
          <w:r>
            <w:rPr>
              <w:rFonts w:hint="eastAsia"/>
            </w:rPr>
            <w:t>登录</w:t>
          </w:r>
          <w:r>
            <w:tab/>
          </w:r>
          <w:r>
            <w:fldChar w:fldCharType="begin"/>
          </w:r>
          <w:r>
            <w:instrText xml:space="preserve"> PAGEREF _Toc6955 \h </w:instrText>
          </w:r>
          <w:r>
            <w:fldChar w:fldCharType="separate"/>
          </w:r>
          <w:r>
            <w:t>2</w:t>
          </w:r>
          <w:r>
            <w:fldChar w:fldCharType="end"/>
          </w:r>
          <w:r>
            <w:rPr>
              <w:rFonts w:hint="eastAsia" w:eastAsia="华文仿宋"/>
              <w:bCs/>
              <w:szCs w:val="48"/>
              <w:lang w:val="en-US" w:eastAsia="zh-CN"/>
            </w:rPr>
            <w:fldChar w:fldCharType="end"/>
          </w:r>
        </w:p>
        <w:p w14:paraId="737EB8B8">
          <w:pPr>
            <w:pStyle w:val="7"/>
            <w:tabs>
              <w:tab w:val="right" w:leader="dot" w:pos="8306"/>
            </w:tabs>
          </w:pPr>
          <w:r>
            <w:rPr>
              <w:rFonts w:hint="eastAsia" w:eastAsia="华文仿宋"/>
              <w:bCs/>
              <w:szCs w:val="48"/>
              <w:lang w:val="en-US" w:eastAsia="zh-CN"/>
            </w:rPr>
            <w:fldChar w:fldCharType="begin"/>
          </w:r>
          <w:r>
            <w:rPr>
              <w:rFonts w:hint="eastAsia" w:eastAsia="华文仿宋"/>
              <w:bCs/>
              <w:szCs w:val="48"/>
              <w:lang w:val="en-US" w:eastAsia="zh-CN"/>
            </w:rPr>
            <w:instrText xml:space="preserve"> HYPERLINK \l _Toc18788 </w:instrText>
          </w:r>
          <w:r>
            <w:rPr>
              <w:rFonts w:hint="eastAsia" w:eastAsia="华文仿宋"/>
              <w:bCs/>
              <w:szCs w:val="48"/>
              <w:lang w:val="en-US" w:eastAsia="zh-CN"/>
            </w:rPr>
            <w:fldChar w:fldCharType="separate"/>
          </w:r>
          <w:r>
            <w:rPr>
              <w:rFonts w:hint="eastAsia" w:ascii="Times New Roman" w:hAnsi="Times New Roman" w:cs="Cambria"/>
              <w:bCs/>
            </w:rPr>
            <w:t xml:space="preserve">1.2、 </w:t>
          </w:r>
          <w:r>
            <w:rPr>
              <w:rFonts w:hint="eastAsia"/>
              <w:bCs/>
              <w:lang w:val="en-US" w:eastAsia="zh-CN"/>
            </w:rPr>
            <w:t>项目列表</w:t>
          </w:r>
          <w:r>
            <w:tab/>
          </w:r>
          <w:r>
            <w:fldChar w:fldCharType="begin"/>
          </w:r>
          <w:r>
            <w:instrText xml:space="preserve"> PAGEREF _Toc18788 \h </w:instrText>
          </w:r>
          <w:r>
            <w:fldChar w:fldCharType="separate"/>
          </w:r>
          <w:r>
            <w:t>3</w:t>
          </w:r>
          <w:r>
            <w:fldChar w:fldCharType="end"/>
          </w:r>
          <w:r>
            <w:rPr>
              <w:rFonts w:hint="eastAsia" w:eastAsia="华文仿宋"/>
              <w:bCs/>
              <w:szCs w:val="48"/>
              <w:lang w:val="en-US" w:eastAsia="zh-CN"/>
            </w:rPr>
            <w:fldChar w:fldCharType="end"/>
          </w:r>
        </w:p>
        <w:p w14:paraId="5DF18D6A">
          <w:pPr>
            <w:pStyle w:val="7"/>
            <w:tabs>
              <w:tab w:val="right" w:leader="dot" w:pos="8306"/>
            </w:tabs>
          </w:pPr>
          <w:r>
            <w:rPr>
              <w:rFonts w:hint="eastAsia" w:eastAsia="华文仿宋"/>
              <w:bCs/>
              <w:szCs w:val="48"/>
              <w:lang w:val="en-US" w:eastAsia="zh-CN"/>
            </w:rPr>
            <w:fldChar w:fldCharType="begin"/>
          </w:r>
          <w:r>
            <w:rPr>
              <w:rFonts w:hint="eastAsia" w:eastAsia="华文仿宋"/>
              <w:bCs/>
              <w:szCs w:val="48"/>
              <w:lang w:val="en-US" w:eastAsia="zh-CN"/>
            </w:rPr>
            <w:instrText xml:space="preserve"> HYPERLINK \l _Toc18525 </w:instrText>
          </w:r>
          <w:r>
            <w:rPr>
              <w:rFonts w:hint="eastAsia" w:eastAsia="华文仿宋"/>
              <w:bCs/>
              <w:szCs w:val="48"/>
              <w:lang w:val="en-US" w:eastAsia="zh-CN"/>
            </w:rPr>
            <w:fldChar w:fldCharType="separate"/>
          </w:r>
          <w:r>
            <w:rPr>
              <w:rFonts w:hint="eastAsia" w:ascii="Times New Roman" w:hAnsi="Times New Roman" w:cs="Cambria"/>
              <w:bCs/>
            </w:rPr>
            <w:t xml:space="preserve">1.3、 </w:t>
          </w:r>
          <w:r>
            <w:rPr>
              <w:rFonts w:hint="eastAsia"/>
              <w:bCs/>
              <w:lang w:val="en-US" w:eastAsia="zh-CN"/>
            </w:rPr>
            <w:t>文字询标</w:t>
          </w:r>
          <w:r>
            <w:tab/>
          </w:r>
          <w:r>
            <w:fldChar w:fldCharType="begin"/>
          </w:r>
          <w:r>
            <w:instrText xml:space="preserve"> PAGEREF _Toc18525 \h </w:instrText>
          </w:r>
          <w:r>
            <w:fldChar w:fldCharType="separate"/>
          </w:r>
          <w:r>
            <w:t>4</w:t>
          </w:r>
          <w:r>
            <w:fldChar w:fldCharType="end"/>
          </w:r>
          <w:r>
            <w:rPr>
              <w:rFonts w:hint="eastAsia" w:eastAsia="华文仿宋"/>
              <w:bCs/>
              <w:szCs w:val="48"/>
              <w:lang w:val="en-US" w:eastAsia="zh-CN"/>
            </w:rPr>
            <w:fldChar w:fldCharType="end"/>
          </w:r>
        </w:p>
        <w:p w14:paraId="4B508DC4">
          <w:pPr>
            <w:pStyle w:val="7"/>
            <w:tabs>
              <w:tab w:val="right" w:leader="dot" w:pos="8306"/>
            </w:tabs>
          </w:pPr>
          <w:r>
            <w:rPr>
              <w:rFonts w:hint="eastAsia" w:eastAsia="华文仿宋"/>
              <w:bCs/>
              <w:szCs w:val="48"/>
              <w:lang w:val="en-US" w:eastAsia="zh-CN"/>
            </w:rPr>
            <w:fldChar w:fldCharType="begin"/>
          </w:r>
          <w:r>
            <w:rPr>
              <w:rFonts w:hint="eastAsia" w:eastAsia="华文仿宋"/>
              <w:bCs/>
              <w:szCs w:val="48"/>
              <w:lang w:val="en-US" w:eastAsia="zh-CN"/>
            </w:rPr>
            <w:instrText xml:space="preserve"> HYPERLINK \l _Toc32754 </w:instrText>
          </w:r>
          <w:r>
            <w:rPr>
              <w:rFonts w:hint="eastAsia" w:eastAsia="华文仿宋"/>
              <w:bCs/>
              <w:szCs w:val="48"/>
              <w:lang w:val="en-US" w:eastAsia="zh-CN"/>
            </w:rPr>
            <w:fldChar w:fldCharType="separate"/>
          </w:r>
          <w:r>
            <w:rPr>
              <w:rFonts w:hint="eastAsia" w:ascii="Times New Roman" w:hAnsi="Times New Roman" w:cs="Cambria"/>
              <w:bCs/>
            </w:rPr>
            <w:t xml:space="preserve">1.4、 </w:t>
          </w:r>
          <w:r>
            <w:rPr>
              <w:rFonts w:hint="eastAsia"/>
              <w:bCs/>
              <w:lang w:val="en-US" w:eastAsia="zh-CN"/>
            </w:rPr>
            <w:t>桌面分享</w:t>
          </w:r>
          <w:r>
            <w:tab/>
          </w:r>
          <w:r>
            <w:fldChar w:fldCharType="begin"/>
          </w:r>
          <w:r>
            <w:instrText xml:space="preserve"> PAGEREF _Toc32754 \h </w:instrText>
          </w:r>
          <w:r>
            <w:fldChar w:fldCharType="separate"/>
          </w:r>
          <w:r>
            <w:t>7</w:t>
          </w:r>
          <w:r>
            <w:fldChar w:fldCharType="end"/>
          </w:r>
          <w:r>
            <w:rPr>
              <w:rFonts w:hint="eastAsia" w:eastAsia="华文仿宋"/>
              <w:bCs/>
              <w:szCs w:val="48"/>
              <w:lang w:val="en-US" w:eastAsia="zh-CN"/>
            </w:rPr>
            <w:fldChar w:fldCharType="end"/>
          </w:r>
        </w:p>
        <w:p w14:paraId="35EDE36E">
          <w:pPr>
            <w:pStyle w:val="2"/>
            <w:rPr>
              <w:rFonts w:hint="eastAsia"/>
              <w:b/>
              <w:bCs/>
              <w:sz w:val="48"/>
              <w:szCs w:val="48"/>
              <w:lang w:val="en-US" w:eastAsia="zh-CN"/>
            </w:rPr>
          </w:pPr>
          <w:r>
            <w:rPr>
              <w:rFonts w:hint="eastAsia" w:eastAsia="华文仿宋"/>
              <w:bCs/>
              <w:szCs w:val="48"/>
              <w:lang w:val="en-US" w:eastAsia="zh-CN"/>
            </w:rPr>
            <w:fldChar w:fldCharType="end"/>
          </w:r>
        </w:p>
      </w:sdtContent>
    </w:sdt>
    <w:p w14:paraId="78DF2795">
      <w:pPr>
        <w:pStyle w:val="2"/>
        <w:rPr>
          <w:rFonts w:hint="eastAsia"/>
          <w:b/>
          <w:bCs/>
          <w:sz w:val="48"/>
          <w:szCs w:val="48"/>
          <w:lang w:val="en-US" w:eastAsia="zh-CN"/>
        </w:rPr>
      </w:pPr>
    </w:p>
    <w:p w14:paraId="502FF7C5">
      <w:pPr>
        <w:pStyle w:val="2"/>
        <w:rPr>
          <w:rFonts w:hint="eastAsia"/>
          <w:b/>
          <w:bCs/>
          <w:sz w:val="48"/>
          <w:szCs w:val="48"/>
          <w:lang w:val="en-US" w:eastAsia="zh-CN"/>
        </w:rPr>
      </w:pPr>
    </w:p>
    <w:p w14:paraId="7E6CD3D1">
      <w:pPr>
        <w:pStyle w:val="2"/>
        <w:rPr>
          <w:rFonts w:hint="default"/>
          <w:b/>
          <w:bCs/>
          <w:sz w:val="48"/>
          <w:szCs w:val="48"/>
          <w:lang w:val="en-US" w:eastAsia="zh-CN"/>
        </w:rPr>
      </w:pPr>
    </w:p>
    <w:p w14:paraId="07CA3576">
      <w:pPr>
        <w:pStyle w:val="2"/>
        <w:rPr>
          <w:rFonts w:hint="default"/>
          <w:b/>
          <w:bCs/>
          <w:sz w:val="48"/>
          <w:szCs w:val="48"/>
          <w:lang w:val="en-US" w:eastAsia="zh-CN"/>
        </w:rPr>
      </w:pPr>
    </w:p>
    <w:p w14:paraId="6A9AEC42">
      <w:pPr>
        <w:pStyle w:val="2"/>
        <w:rPr>
          <w:rFonts w:hint="default"/>
          <w:b/>
          <w:bCs/>
          <w:sz w:val="48"/>
          <w:szCs w:val="48"/>
          <w:lang w:val="en-US" w:eastAsia="zh-CN"/>
        </w:rPr>
      </w:pPr>
    </w:p>
    <w:p w14:paraId="797F1E93">
      <w:pPr>
        <w:pStyle w:val="3"/>
        <w:numPr>
          <w:ilvl w:val="0"/>
          <w:numId w:val="0"/>
        </w:numPr>
        <w:bidi w:val="0"/>
        <w:rPr>
          <w:rFonts w:hint="eastAsia"/>
          <w:lang w:val="en-US" w:eastAsia="zh-CN"/>
        </w:rPr>
      </w:pPr>
      <w:bookmarkStart w:id="0" w:name="_Toc416"/>
      <w:r>
        <w:rPr>
          <w:rFonts w:hint="eastAsia"/>
          <w:lang w:val="en-US" w:eastAsia="zh-CN"/>
        </w:rPr>
        <w:t>一、不见面询标系统</w:t>
      </w:r>
      <w:bookmarkEnd w:id="0"/>
    </w:p>
    <w:p w14:paraId="3F20C65A">
      <w:pPr>
        <w:numPr>
          <w:ilvl w:val="0"/>
          <w:numId w:val="0"/>
        </w:numPr>
        <w:rPr>
          <w:rFonts w:hint="eastAsia"/>
          <w:color w:val="FF0000"/>
          <w:sz w:val="30"/>
          <w:szCs w:val="30"/>
          <w:lang w:val="en-US" w:eastAsia="zh-CN"/>
        </w:rPr>
      </w:pPr>
      <w:r>
        <w:rPr>
          <w:rFonts w:hint="eastAsia"/>
          <w:color w:val="FF0000"/>
          <w:sz w:val="30"/>
          <w:szCs w:val="30"/>
          <w:lang w:val="en-US" w:eastAsia="zh-CN"/>
        </w:rPr>
        <w:t>注意事项：</w:t>
      </w:r>
    </w:p>
    <w:p w14:paraId="52428F02">
      <w:pPr>
        <w:numPr>
          <w:ilvl w:val="0"/>
          <w:numId w:val="0"/>
        </w:numPr>
        <w:rPr>
          <w:rFonts w:hint="eastAsia"/>
          <w:color w:val="FF0000"/>
          <w:sz w:val="30"/>
          <w:szCs w:val="30"/>
          <w:lang w:val="en-US" w:eastAsia="zh-CN"/>
        </w:rPr>
      </w:pPr>
      <w:r>
        <w:rPr>
          <w:rFonts w:hint="eastAsia"/>
          <w:color w:val="FF0000"/>
          <w:sz w:val="30"/>
          <w:szCs w:val="30"/>
          <w:lang w:val="en-US" w:eastAsia="zh-CN"/>
        </w:rPr>
        <w:t>1.请使用有耳机、麦克风、摄像头的电脑作为询标终端，电脑最好插网线（网络稳定）。</w:t>
      </w:r>
    </w:p>
    <w:p w14:paraId="09EEC68F">
      <w:pPr>
        <w:numPr>
          <w:ilvl w:val="0"/>
          <w:numId w:val="0"/>
        </w:numPr>
        <w:rPr>
          <w:rFonts w:hint="eastAsia"/>
          <w:color w:val="FF0000"/>
          <w:sz w:val="30"/>
          <w:szCs w:val="30"/>
          <w:lang w:val="en-US" w:eastAsia="zh-CN"/>
        </w:rPr>
      </w:pPr>
      <w:r>
        <w:rPr>
          <w:rFonts w:hint="eastAsia"/>
          <w:color w:val="FF0000"/>
          <w:sz w:val="30"/>
          <w:szCs w:val="30"/>
          <w:lang w:val="en-US" w:eastAsia="zh-CN"/>
        </w:rPr>
        <w:t>2.安装好对应直播驱动和江西版5.0驱动（不见面开标过程所需）。</w:t>
      </w:r>
    </w:p>
    <w:p w14:paraId="272959D8">
      <w:pPr>
        <w:numPr>
          <w:ilvl w:val="0"/>
          <w:numId w:val="0"/>
        </w:numPr>
        <w:rPr>
          <w:color w:val="FF0000"/>
          <w:sz w:val="30"/>
          <w:szCs w:val="30"/>
        </w:rPr>
      </w:pPr>
      <w:r>
        <w:rPr>
          <w:rFonts w:hint="eastAsia"/>
          <w:color w:val="FF0000"/>
          <w:sz w:val="30"/>
          <w:szCs w:val="30"/>
          <w:lang w:val="en-US" w:eastAsia="zh-CN"/>
        </w:rPr>
        <w:t>3.不见面询标过程将使用谷歌浏览器，需事先下载好谷歌浏览器。</w:t>
      </w:r>
    </w:p>
    <w:p w14:paraId="61711445">
      <w:pPr>
        <w:pStyle w:val="4"/>
        <w:bidi w:val="0"/>
        <w:rPr>
          <w:b/>
          <w:bCs/>
        </w:rPr>
      </w:pPr>
      <w:bookmarkStart w:id="1" w:name="_Toc10948"/>
      <w:bookmarkStart w:id="2" w:name="_Toc29921"/>
      <w:bookmarkStart w:id="3" w:name="_Toc6955"/>
      <w:r>
        <w:rPr>
          <w:rFonts w:hint="eastAsia"/>
        </w:rPr>
        <w:t>登录</w:t>
      </w:r>
      <w:bookmarkEnd w:id="1"/>
      <w:bookmarkEnd w:id="2"/>
      <w:bookmarkEnd w:id="3"/>
    </w:p>
    <w:p w14:paraId="58E19136">
      <w:pPr>
        <w:bidi w:val="0"/>
      </w:pPr>
      <w:r>
        <w:rPr>
          <w:b/>
          <w:bCs/>
        </w:rPr>
        <w:t>功能说明：</w:t>
      </w:r>
      <w:r>
        <w:rPr>
          <w:rFonts w:hint="eastAsia"/>
          <w:lang w:val="en-US" w:eastAsia="zh-CN"/>
        </w:rPr>
        <w:t>投标人响应评委询标</w:t>
      </w:r>
      <w:r>
        <w:t>。</w:t>
      </w:r>
    </w:p>
    <w:p w14:paraId="75594F91">
      <w:pPr>
        <w:bidi w:val="0"/>
      </w:pPr>
      <w:r>
        <w:rPr>
          <w:b/>
          <w:bCs/>
        </w:rPr>
        <w:t>前置条件：</w:t>
      </w:r>
      <w:r>
        <w:rPr>
          <w:rFonts w:hint="eastAsia"/>
          <w:lang w:val="en-US" w:eastAsia="zh-CN"/>
        </w:rPr>
        <w:t>评委已针对本单位发起了询标。</w:t>
      </w:r>
    </w:p>
    <w:p w14:paraId="2D09F63E">
      <w:pPr>
        <w:rPr>
          <w:b/>
          <w:bCs/>
        </w:rPr>
      </w:pPr>
      <w:r>
        <w:rPr>
          <w:b/>
          <w:bCs/>
        </w:rPr>
        <w:t>操作步骤：</w:t>
      </w:r>
    </w:p>
    <w:p w14:paraId="499A7F4C">
      <w:pPr>
        <w:pStyle w:val="2"/>
        <w:numPr>
          <w:ilvl w:val="0"/>
          <w:numId w:val="2"/>
        </w:numPr>
        <w:ind w:left="0" w:leftChars="0" w:firstLine="0" w:firstLineChars="0"/>
        <w:rPr>
          <w:rFonts w:hint="default"/>
          <w:color w:val="FF0000"/>
          <w:lang w:val="en-US" w:eastAsia="zh-CN"/>
        </w:rPr>
      </w:pPr>
      <w:r>
        <w:rPr>
          <w:rFonts w:hint="eastAsia"/>
          <w:lang w:val="en-US" w:eastAsia="zh-CN"/>
        </w:rPr>
        <w:t>专家发起询标之后，投标人在不见面开标大厅系统接收到询标指令。点击“操作提示”框的“确定”按钮，再点击有红点闪烁的“质询处理（Chrome）”按钮，再点击“询标环境操作提示框”的“确定”按钮，跳转至询标系统。</w:t>
      </w:r>
      <w:r>
        <w:rPr>
          <w:rFonts w:hint="eastAsia"/>
          <w:color w:val="FF0000"/>
          <w:lang w:val="en-US" w:eastAsia="zh-CN"/>
        </w:rPr>
        <w:t>（注：提前安装好谷歌浏览器才能跳转至询标系统，没有提前安装将影响询标。）</w:t>
      </w:r>
    </w:p>
    <w:p w14:paraId="6D7A11B8">
      <w:pPr>
        <w:pStyle w:val="2"/>
        <w:numPr>
          <w:ilvl w:val="0"/>
          <w:numId w:val="0"/>
        </w:numPr>
        <w:ind w:leftChars="0"/>
        <w:jc w:val="center"/>
      </w:pPr>
      <w:r>
        <w:drawing>
          <wp:inline distT="0" distB="0" distL="114300" distR="114300">
            <wp:extent cx="5264785" cy="2431415"/>
            <wp:effectExtent l="0" t="0" r="8255" b="6985"/>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4"/>
                    <a:stretch>
                      <a:fillRect/>
                    </a:stretch>
                  </pic:blipFill>
                  <pic:spPr>
                    <a:xfrm>
                      <a:off x="0" y="0"/>
                      <a:ext cx="5264785" cy="2431415"/>
                    </a:xfrm>
                    <a:prstGeom prst="rect">
                      <a:avLst/>
                    </a:prstGeom>
                    <a:noFill/>
                    <a:ln>
                      <a:noFill/>
                    </a:ln>
                  </pic:spPr>
                </pic:pic>
              </a:graphicData>
            </a:graphic>
          </wp:inline>
        </w:drawing>
      </w:r>
    </w:p>
    <w:p w14:paraId="561AAD93">
      <w:pPr>
        <w:pStyle w:val="2"/>
        <w:ind w:left="0" w:leftChars="0" w:firstLine="0" w:firstLineChars="0"/>
        <w:rPr>
          <w:rFonts w:hint="eastAsia"/>
          <w:lang w:val="en-US" w:eastAsia="zh-CN"/>
        </w:rPr>
      </w:pPr>
    </w:p>
    <w:p w14:paraId="65631449">
      <w:pPr>
        <w:numPr>
          <w:ilvl w:val="0"/>
          <w:numId w:val="0"/>
        </w:numPr>
      </w:pPr>
      <w:r>
        <w:drawing>
          <wp:inline distT="0" distB="0" distL="114300" distR="114300">
            <wp:extent cx="5268595" cy="2391410"/>
            <wp:effectExtent l="0" t="0" r="4445" b="1270"/>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5"/>
                    <a:stretch>
                      <a:fillRect/>
                    </a:stretch>
                  </pic:blipFill>
                  <pic:spPr>
                    <a:xfrm>
                      <a:off x="0" y="0"/>
                      <a:ext cx="5268595" cy="2391410"/>
                    </a:xfrm>
                    <a:prstGeom prst="rect">
                      <a:avLst/>
                    </a:prstGeom>
                    <a:noFill/>
                    <a:ln>
                      <a:noFill/>
                    </a:ln>
                  </pic:spPr>
                </pic:pic>
              </a:graphicData>
            </a:graphic>
          </wp:inline>
        </w:drawing>
      </w:r>
    </w:p>
    <w:p w14:paraId="76269AA2">
      <w:pPr>
        <w:pStyle w:val="2"/>
        <w:rPr>
          <w:rFonts w:hint="default" w:eastAsiaTheme="minorEastAsia"/>
          <w:color w:val="FF0000"/>
          <w:lang w:val="en-US" w:eastAsia="zh-CN"/>
        </w:rPr>
      </w:pPr>
      <w:r>
        <w:rPr>
          <w:rFonts w:hint="eastAsia"/>
          <w:color w:val="FF0000"/>
          <w:lang w:val="en-US" w:eastAsia="zh-CN"/>
        </w:rPr>
        <w:t>注：请及时响应询标，如长时间未响应，将影响您的评标。</w:t>
      </w:r>
    </w:p>
    <w:p w14:paraId="429CCEDD">
      <w:pPr>
        <w:pStyle w:val="2"/>
        <w:rPr>
          <w:rFonts w:hint="default"/>
          <w:lang w:val="en-US" w:eastAsia="zh-CN"/>
        </w:rPr>
      </w:pPr>
    </w:p>
    <w:p w14:paraId="1F573D82">
      <w:pPr>
        <w:pStyle w:val="4"/>
        <w:bidi w:val="0"/>
        <w:rPr>
          <w:b/>
          <w:bCs/>
        </w:rPr>
      </w:pPr>
      <w:bookmarkStart w:id="4" w:name="_Toc18788"/>
      <w:r>
        <w:rPr>
          <w:rFonts w:hint="eastAsia"/>
          <w:b/>
          <w:bCs/>
          <w:lang w:val="en-US" w:eastAsia="zh-CN"/>
        </w:rPr>
        <w:t>项目列表</w:t>
      </w:r>
      <w:bookmarkEnd w:id="4"/>
    </w:p>
    <w:p w14:paraId="1840C706">
      <w:pPr>
        <w:bidi w:val="0"/>
      </w:pPr>
      <w:r>
        <w:rPr>
          <w:b/>
          <w:bCs/>
        </w:rPr>
        <w:t>功能说明：</w:t>
      </w:r>
      <w:r>
        <w:rPr>
          <w:rFonts w:hint="eastAsia"/>
          <w:lang w:val="en-US" w:eastAsia="zh-CN"/>
        </w:rPr>
        <w:t>展示本单位已投标的项目</w:t>
      </w:r>
      <w:r>
        <w:t>。</w:t>
      </w:r>
    </w:p>
    <w:p w14:paraId="5BBB0604">
      <w:pPr>
        <w:bidi w:val="0"/>
      </w:pPr>
      <w:r>
        <w:rPr>
          <w:b/>
          <w:bCs/>
        </w:rPr>
        <w:t>前置条件：</w:t>
      </w:r>
      <w:r>
        <w:rPr>
          <w:rFonts w:hint="eastAsia"/>
          <w:lang w:val="en-US" w:eastAsia="zh-CN"/>
        </w:rPr>
        <w:t>针对列表中的项目已进行有效投标。</w:t>
      </w:r>
    </w:p>
    <w:p w14:paraId="3ED993DE">
      <w:pPr>
        <w:rPr>
          <w:rFonts w:hint="eastAsia"/>
          <w:lang w:val="en-US" w:eastAsia="zh-CN"/>
        </w:rPr>
      </w:pPr>
      <w:r>
        <w:rPr>
          <w:b/>
          <w:bCs/>
        </w:rPr>
        <w:t>操作步骤：</w:t>
      </w:r>
    </w:p>
    <w:p w14:paraId="5F90D394">
      <w:pPr>
        <w:numPr>
          <w:ilvl w:val="0"/>
          <w:numId w:val="3"/>
        </w:numPr>
        <w:rPr>
          <w:rFonts w:hint="eastAsia"/>
          <w:lang w:val="en-US" w:eastAsia="zh-CN"/>
        </w:rPr>
      </w:pPr>
      <w:r>
        <w:rPr>
          <w:rFonts w:hint="eastAsia"/>
          <w:lang w:val="en-US" w:eastAsia="zh-CN"/>
        </w:rPr>
        <w:t>点击质询处理，跳转至询标系统，展示项目列表，投标人选择相应项目进入，接受询标，如下图：</w:t>
      </w:r>
    </w:p>
    <w:p w14:paraId="2FA69AB4">
      <w:pPr>
        <w:pStyle w:val="2"/>
        <w:numPr>
          <w:ilvl w:val="0"/>
          <w:numId w:val="0"/>
        </w:numPr>
        <w:rPr>
          <w:rFonts w:hint="eastAsia"/>
          <w:lang w:val="en-US" w:eastAsia="zh-CN"/>
        </w:rPr>
      </w:pPr>
    </w:p>
    <w:p w14:paraId="0B5F17BC">
      <w:r>
        <w:drawing>
          <wp:inline distT="0" distB="0" distL="114300" distR="114300">
            <wp:extent cx="6726555" cy="2644140"/>
            <wp:effectExtent l="0" t="0" r="17145" b="381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6"/>
                    <a:stretch>
                      <a:fillRect/>
                    </a:stretch>
                  </pic:blipFill>
                  <pic:spPr>
                    <a:xfrm>
                      <a:off x="0" y="0"/>
                      <a:ext cx="6726555" cy="2644140"/>
                    </a:xfrm>
                    <a:prstGeom prst="rect">
                      <a:avLst/>
                    </a:prstGeom>
                    <a:noFill/>
                    <a:ln>
                      <a:noFill/>
                    </a:ln>
                  </pic:spPr>
                </pic:pic>
              </a:graphicData>
            </a:graphic>
          </wp:inline>
        </w:drawing>
      </w:r>
    </w:p>
    <w:p w14:paraId="625A2C20">
      <w:pPr>
        <w:pStyle w:val="2"/>
      </w:pPr>
    </w:p>
    <w:p w14:paraId="6F9CEFB8">
      <w:pPr>
        <w:rPr>
          <w:rFonts w:hint="default"/>
          <w:lang w:val="en-US" w:eastAsia="zh-CN"/>
        </w:rPr>
      </w:pPr>
      <w:r>
        <w:rPr>
          <w:rFonts w:hint="eastAsia"/>
          <w:lang w:val="en-US" w:eastAsia="zh-CN"/>
        </w:rPr>
        <w:t>2、弹出提示，是否接收询标，点击“接收”，如下图：</w:t>
      </w:r>
    </w:p>
    <w:p w14:paraId="6A853325">
      <w:pPr>
        <w:pStyle w:val="2"/>
        <w:ind w:left="0" w:leftChars="0" w:firstLine="0" w:firstLineChars="0"/>
      </w:pPr>
    </w:p>
    <w:p w14:paraId="13FB466F">
      <w:r>
        <w:drawing>
          <wp:inline distT="0" distB="0" distL="114300" distR="114300">
            <wp:extent cx="4822190" cy="2280920"/>
            <wp:effectExtent l="0" t="0" r="8890" b="5080"/>
            <wp:docPr id="1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
                    <pic:cNvPicPr>
                      <a:picLocks noChangeAspect="1"/>
                    </pic:cNvPicPr>
                  </pic:nvPicPr>
                  <pic:blipFill>
                    <a:blip r:embed="rId7"/>
                    <a:stretch>
                      <a:fillRect/>
                    </a:stretch>
                  </pic:blipFill>
                  <pic:spPr>
                    <a:xfrm>
                      <a:off x="0" y="0"/>
                      <a:ext cx="4822190" cy="2280920"/>
                    </a:xfrm>
                    <a:prstGeom prst="rect">
                      <a:avLst/>
                    </a:prstGeom>
                  </pic:spPr>
                </pic:pic>
              </a:graphicData>
            </a:graphic>
          </wp:inline>
        </w:drawing>
      </w:r>
    </w:p>
    <w:p w14:paraId="656B3297"/>
    <w:p w14:paraId="0D7E13EA"/>
    <w:p w14:paraId="44331547">
      <w:pPr>
        <w:pStyle w:val="2"/>
      </w:pPr>
    </w:p>
    <w:p w14:paraId="5A4771D9">
      <w:pPr>
        <w:pStyle w:val="2"/>
      </w:pPr>
    </w:p>
    <w:p w14:paraId="445EA86E">
      <w:pPr>
        <w:numPr>
          <w:ilvl w:val="0"/>
          <w:numId w:val="0"/>
        </w:numPr>
        <w:ind w:leftChars="0"/>
        <w:rPr>
          <w:rFonts w:hint="default"/>
          <w:lang w:val="en-US" w:eastAsia="zh-CN"/>
        </w:rPr>
      </w:pPr>
      <w:r>
        <w:rPr>
          <w:rFonts w:hint="eastAsia"/>
          <w:lang w:val="en-US" w:eastAsia="zh-CN"/>
        </w:rPr>
        <w:t>3、选择项目进入询标系统之后，投标人具有以下功能按钮：静音（选择静音，则对方无法接收己方的音频）、屏幕分享（点击屏幕分享，可将桌面内容共享给评委观看）、文字询标（响应评委发起的文字询标）、交流（右下角交流区可进行文字交流）。如下图:</w:t>
      </w:r>
    </w:p>
    <w:p w14:paraId="0A367D8C">
      <w:r>
        <w:drawing>
          <wp:inline distT="0" distB="0" distL="114300" distR="114300">
            <wp:extent cx="5265420" cy="2696845"/>
            <wp:effectExtent l="0" t="0" r="7620" b="635"/>
            <wp:docPr id="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
                    <pic:cNvPicPr>
                      <a:picLocks noChangeAspect="1"/>
                    </pic:cNvPicPr>
                  </pic:nvPicPr>
                  <pic:blipFill>
                    <a:blip r:embed="rId8"/>
                    <a:stretch>
                      <a:fillRect/>
                    </a:stretch>
                  </pic:blipFill>
                  <pic:spPr>
                    <a:xfrm>
                      <a:off x="0" y="0"/>
                      <a:ext cx="5265420" cy="2696845"/>
                    </a:xfrm>
                    <a:prstGeom prst="rect">
                      <a:avLst/>
                    </a:prstGeom>
                    <a:noFill/>
                    <a:ln>
                      <a:noFill/>
                    </a:ln>
                  </pic:spPr>
                </pic:pic>
              </a:graphicData>
            </a:graphic>
          </wp:inline>
        </w:drawing>
      </w:r>
    </w:p>
    <w:p w14:paraId="6E755BA7">
      <w:pPr>
        <w:pStyle w:val="4"/>
        <w:bidi w:val="0"/>
        <w:rPr>
          <w:b/>
          <w:bCs/>
        </w:rPr>
      </w:pPr>
      <w:bookmarkStart w:id="5" w:name="_Toc18525"/>
      <w:r>
        <w:rPr>
          <w:rFonts w:hint="eastAsia"/>
          <w:b/>
          <w:bCs/>
          <w:lang w:val="en-US" w:eastAsia="zh-CN"/>
        </w:rPr>
        <w:t>文字询标</w:t>
      </w:r>
      <w:bookmarkEnd w:id="5"/>
    </w:p>
    <w:p w14:paraId="256E150F">
      <w:pPr>
        <w:bidi w:val="0"/>
      </w:pPr>
      <w:r>
        <w:rPr>
          <w:b/>
          <w:bCs/>
        </w:rPr>
        <w:t>功能说明：</w:t>
      </w:r>
      <w:r>
        <w:rPr>
          <w:rFonts w:hint="eastAsia"/>
          <w:lang w:val="en-US" w:eastAsia="zh-CN"/>
        </w:rPr>
        <w:t>对评委发起的文字询标进行响应</w:t>
      </w:r>
      <w:r>
        <w:t>。</w:t>
      </w:r>
    </w:p>
    <w:p w14:paraId="0CA9856E">
      <w:pPr>
        <w:bidi w:val="0"/>
      </w:pPr>
      <w:r>
        <w:rPr>
          <w:b/>
          <w:bCs/>
        </w:rPr>
        <w:t>前置条件：</w:t>
      </w:r>
      <w:r>
        <w:rPr>
          <w:rFonts w:hint="eastAsia"/>
          <w:lang w:val="en-US" w:eastAsia="zh-CN"/>
        </w:rPr>
        <w:t>评委针对本单位发起了询标操作。</w:t>
      </w:r>
    </w:p>
    <w:p w14:paraId="7E3CDA15">
      <w:pPr>
        <w:rPr>
          <w:rFonts w:hint="eastAsia"/>
          <w:lang w:val="en-US" w:eastAsia="zh-CN"/>
        </w:rPr>
      </w:pPr>
      <w:r>
        <w:rPr>
          <w:b/>
          <w:bCs/>
        </w:rPr>
        <w:t>操作步骤：</w:t>
      </w:r>
    </w:p>
    <w:p w14:paraId="6D4A2881">
      <w:pPr>
        <w:rPr>
          <w:rFonts w:hint="default" w:eastAsiaTheme="minorEastAsia"/>
          <w:lang w:val="en-US" w:eastAsia="zh-CN"/>
        </w:rPr>
      </w:pPr>
      <w:r>
        <w:rPr>
          <w:rFonts w:hint="eastAsia"/>
          <w:lang w:val="en-US" w:eastAsia="zh-CN"/>
        </w:rPr>
        <w:t>1、当专家发起询标时，弹出消息提示，点击确认，进入到文字询标页面，如下图：</w:t>
      </w:r>
    </w:p>
    <w:p w14:paraId="1A2E4F5F"/>
    <w:p w14:paraId="0509B8BB">
      <w:r>
        <w:drawing>
          <wp:inline distT="0" distB="0" distL="114300" distR="114300">
            <wp:extent cx="4797425" cy="2292985"/>
            <wp:effectExtent l="0" t="0" r="3175" b="8255"/>
            <wp:docPr id="15"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3"/>
                    <pic:cNvPicPr>
                      <a:picLocks noChangeAspect="1"/>
                    </pic:cNvPicPr>
                  </pic:nvPicPr>
                  <pic:blipFill>
                    <a:blip r:embed="rId9"/>
                    <a:stretch>
                      <a:fillRect/>
                    </a:stretch>
                  </pic:blipFill>
                  <pic:spPr>
                    <a:xfrm>
                      <a:off x="0" y="0"/>
                      <a:ext cx="4797425" cy="2292985"/>
                    </a:xfrm>
                    <a:prstGeom prst="rect">
                      <a:avLst/>
                    </a:prstGeom>
                  </pic:spPr>
                </pic:pic>
              </a:graphicData>
            </a:graphic>
          </wp:inline>
        </w:drawing>
      </w:r>
    </w:p>
    <w:p w14:paraId="57EFD150">
      <w:pPr>
        <w:rPr>
          <w:rFonts w:hint="eastAsia"/>
          <w:lang w:val="en-US" w:eastAsia="zh-CN"/>
        </w:rPr>
      </w:pPr>
    </w:p>
    <w:p w14:paraId="006907DE">
      <w:pPr>
        <w:rPr>
          <w:rFonts w:hint="eastAsia"/>
          <w:lang w:val="en-US" w:eastAsia="zh-CN"/>
        </w:rPr>
      </w:pPr>
    </w:p>
    <w:p w14:paraId="3E2A2586">
      <w:pPr>
        <w:rPr>
          <w:rFonts w:hint="eastAsia"/>
          <w:lang w:val="en-US" w:eastAsia="zh-CN"/>
        </w:rPr>
      </w:pPr>
    </w:p>
    <w:p w14:paraId="09115383">
      <w:pPr>
        <w:rPr>
          <w:rFonts w:hint="eastAsia"/>
          <w:lang w:val="en-US" w:eastAsia="zh-CN"/>
        </w:rPr>
      </w:pPr>
    </w:p>
    <w:p w14:paraId="402C7735">
      <w:pPr>
        <w:rPr>
          <w:rFonts w:hint="eastAsia"/>
          <w:lang w:val="en-US" w:eastAsia="zh-CN"/>
        </w:rPr>
      </w:pPr>
    </w:p>
    <w:p w14:paraId="53AEB086">
      <w:pPr>
        <w:rPr>
          <w:rFonts w:hint="eastAsia"/>
          <w:lang w:val="en-US" w:eastAsia="zh-CN"/>
        </w:rPr>
      </w:pPr>
    </w:p>
    <w:p w14:paraId="5126040B">
      <w:pPr>
        <w:rPr>
          <w:rFonts w:hint="eastAsia"/>
          <w:lang w:val="en-US" w:eastAsia="zh-CN"/>
        </w:rPr>
      </w:pPr>
    </w:p>
    <w:p w14:paraId="11DA05FE">
      <w:pPr>
        <w:rPr>
          <w:rFonts w:hint="eastAsia"/>
          <w:lang w:val="en-US" w:eastAsia="zh-CN"/>
        </w:rPr>
      </w:pPr>
    </w:p>
    <w:p w14:paraId="1F04FA3C">
      <w:pPr>
        <w:numPr>
          <w:ilvl w:val="0"/>
          <w:numId w:val="3"/>
        </w:numPr>
        <w:ind w:left="0" w:leftChars="0" w:firstLine="0" w:firstLineChars="0"/>
        <w:rPr>
          <w:rFonts w:hint="eastAsia"/>
          <w:lang w:val="en-US" w:eastAsia="zh-CN"/>
        </w:rPr>
      </w:pPr>
      <w:r>
        <w:rPr>
          <w:rFonts w:hint="eastAsia"/>
          <w:lang w:val="en-US" w:eastAsia="zh-CN"/>
        </w:rPr>
        <w:t>点击“查看/回复”进行回复，如下图：</w:t>
      </w:r>
    </w:p>
    <w:p w14:paraId="48F9CE52">
      <w:pPr>
        <w:pStyle w:val="2"/>
        <w:numPr>
          <w:ilvl w:val="0"/>
          <w:numId w:val="0"/>
        </w:numPr>
        <w:ind w:leftChars="0"/>
        <w:rPr>
          <w:rFonts w:hint="default"/>
          <w:lang w:val="en-US"/>
        </w:rPr>
      </w:pPr>
    </w:p>
    <w:p w14:paraId="440B797D">
      <w:r>
        <w:drawing>
          <wp:inline distT="0" distB="0" distL="114300" distR="114300">
            <wp:extent cx="4815840" cy="2007870"/>
            <wp:effectExtent l="0" t="0" r="0" b="3810"/>
            <wp:docPr id="21"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3"/>
                    <pic:cNvPicPr>
                      <a:picLocks noChangeAspect="1"/>
                    </pic:cNvPicPr>
                  </pic:nvPicPr>
                  <pic:blipFill>
                    <a:blip r:embed="rId10"/>
                    <a:stretch>
                      <a:fillRect/>
                    </a:stretch>
                  </pic:blipFill>
                  <pic:spPr>
                    <a:xfrm>
                      <a:off x="0" y="0"/>
                      <a:ext cx="4815840" cy="2007870"/>
                    </a:xfrm>
                    <a:prstGeom prst="rect">
                      <a:avLst/>
                    </a:prstGeom>
                  </pic:spPr>
                </pic:pic>
              </a:graphicData>
            </a:graphic>
          </wp:inline>
        </w:drawing>
      </w:r>
    </w:p>
    <w:p w14:paraId="5E984457">
      <w:pPr>
        <w:pStyle w:val="2"/>
      </w:pPr>
    </w:p>
    <w:p w14:paraId="1023B0BC">
      <w:pPr>
        <w:numPr>
          <w:ilvl w:val="0"/>
          <w:numId w:val="3"/>
        </w:numPr>
        <w:ind w:left="0" w:leftChars="0" w:firstLine="0" w:firstLineChars="0"/>
        <w:rPr>
          <w:rFonts w:hint="default" w:eastAsiaTheme="minorEastAsia"/>
          <w:lang w:val="en-US" w:eastAsia="zh-CN"/>
        </w:rPr>
      </w:pPr>
      <w:r>
        <w:rPr>
          <w:rFonts w:hint="eastAsia"/>
          <w:lang w:val="en-US" w:eastAsia="zh-CN"/>
        </w:rPr>
        <w:t>针对“02 文字询标内容”中评委提出的问题，投标人填写回复内容，点击“预览”按钮，可预览已回复的内容。如是政府采购竞争性谈判、竞争性磋商项目，供应商需将评委提问内容与供应商自己回复的内容制作出询标记录的word，打印出来线下完成签字或盖章后，在“03 相关电子件”上传相应盖章版或签字版附件，确认无误之后点击提交，完成文字询标相应操作；如非政府采购竞争性谈判、竞争性磋商项目，投标人亦可在附件中上传其他文件供专家下载。如下图：</w:t>
      </w:r>
    </w:p>
    <w:p w14:paraId="581C52E9">
      <w:r>
        <w:drawing>
          <wp:inline distT="0" distB="0" distL="114300" distR="114300">
            <wp:extent cx="5277485" cy="2555240"/>
            <wp:effectExtent l="0" t="0" r="10795" b="5080"/>
            <wp:docPr id="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5"/>
                    <pic:cNvPicPr>
                      <a:picLocks noChangeAspect="1"/>
                    </pic:cNvPicPr>
                  </pic:nvPicPr>
                  <pic:blipFill>
                    <a:blip r:embed="rId11"/>
                    <a:stretch>
                      <a:fillRect/>
                    </a:stretch>
                  </pic:blipFill>
                  <pic:spPr>
                    <a:xfrm>
                      <a:off x="0" y="0"/>
                      <a:ext cx="5277485" cy="2555240"/>
                    </a:xfrm>
                    <a:prstGeom prst="rect">
                      <a:avLst/>
                    </a:prstGeom>
                    <a:noFill/>
                    <a:ln>
                      <a:noFill/>
                    </a:ln>
                  </pic:spPr>
                </pic:pic>
              </a:graphicData>
            </a:graphic>
          </wp:inline>
        </w:drawing>
      </w:r>
    </w:p>
    <w:p w14:paraId="01E7D57D">
      <w:pPr>
        <w:jc w:val="center"/>
      </w:pPr>
      <w:r>
        <w:drawing>
          <wp:inline distT="0" distB="0" distL="114300" distR="114300">
            <wp:extent cx="5267960" cy="2607310"/>
            <wp:effectExtent l="0" t="0" r="5080" b="13970"/>
            <wp:docPr id="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pic:cNvPicPr>
                      <a:picLocks noChangeAspect="1"/>
                    </pic:cNvPicPr>
                  </pic:nvPicPr>
                  <pic:blipFill>
                    <a:blip r:embed="rId12"/>
                    <a:stretch>
                      <a:fillRect/>
                    </a:stretch>
                  </pic:blipFill>
                  <pic:spPr>
                    <a:xfrm>
                      <a:off x="0" y="0"/>
                      <a:ext cx="5267960" cy="2607310"/>
                    </a:xfrm>
                    <a:prstGeom prst="rect">
                      <a:avLst/>
                    </a:prstGeom>
                    <a:noFill/>
                    <a:ln>
                      <a:noFill/>
                    </a:ln>
                  </pic:spPr>
                </pic:pic>
              </a:graphicData>
            </a:graphic>
          </wp:inline>
        </w:drawing>
      </w:r>
    </w:p>
    <w:p w14:paraId="343BA194">
      <w:pPr>
        <w:pStyle w:val="4"/>
        <w:bidi w:val="0"/>
        <w:rPr>
          <w:b/>
          <w:bCs/>
        </w:rPr>
      </w:pPr>
      <w:bookmarkStart w:id="6" w:name="_Toc32754"/>
      <w:r>
        <w:rPr>
          <w:rFonts w:hint="eastAsia"/>
          <w:b/>
          <w:bCs/>
          <w:lang w:val="en-US" w:eastAsia="zh-CN"/>
        </w:rPr>
        <w:t>桌面分享</w:t>
      </w:r>
      <w:bookmarkEnd w:id="6"/>
    </w:p>
    <w:p w14:paraId="6953F1ED">
      <w:pPr>
        <w:bidi w:val="0"/>
      </w:pPr>
      <w:r>
        <w:rPr>
          <w:b/>
          <w:bCs/>
        </w:rPr>
        <w:t>功能说明：</w:t>
      </w:r>
      <w:r>
        <w:rPr>
          <w:rFonts w:hint="eastAsia"/>
          <w:lang w:val="en-US" w:eastAsia="zh-CN"/>
        </w:rPr>
        <w:t>对评委发起的文字询标进行响应</w:t>
      </w:r>
      <w:r>
        <w:t>。</w:t>
      </w:r>
    </w:p>
    <w:p w14:paraId="7027E78D">
      <w:pPr>
        <w:bidi w:val="0"/>
      </w:pPr>
      <w:r>
        <w:rPr>
          <w:b/>
          <w:bCs/>
        </w:rPr>
        <w:t>前置条件：</w:t>
      </w:r>
      <w:r>
        <w:rPr>
          <w:rFonts w:hint="eastAsia"/>
          <w:lang w:val="en-US" w:eastAsia="zh-CN"/>
        </w:rPr>
        <w:t>评委针对本单位发起了询标操作。</w:t>
      </w:r>
    </w:p>
    <w:p w14:paraId="0BFBAE5A">
      <w:pPr>
        <w:rPr>
          <w:rFonts w:hint="eastAsia"/>
          <w:lang w:val="en-US" w:eastAsia="zh-CN"/>
        </w:rPr>
      </w:pPr>
      <w:r>
        <w:rPr>
          <w:b/>
          <w:bCs/>
        </w:rPr>
        <w:t>操作步骤：</w:t>
      </w:r>
    </w:p>
    <w:p w14:paraId="6F1698AF">
      <w:pPr>
        <w:rPr>
          <w:rFonts w:hint="eastAsia"/>
          <w:lang w:val="en-US" w:eastAsia="zh-CN"/>
        </w:rPr>
      </w:pPr>
      <w:r>
        <w:rPr>
          <w:rFonts w:hint="eastAsia"/>
          <w:lang w:val="en-US" w:eastAsia="zh-CN"/>
        </w:rPr>
        <w:t>1、点击屏幕分享，投标人可将本地电脑屏幕展示给评委，点击停止共享，则取消分享，如下图：</w:t>
      </w:r>
    </w:p>
    <w:p w14:paraId="51AA8869"/>
    <w:p w14:paraId="422DDA27">
      <w:r>
        <w:drawing>
          <wp:inline distT="0" distB="0" distL="114300" distR="114300">
            <wp:extent cx="5268595" cy="2823845"/>
            <wp:effectExtent l="0" t="0" r="4445" b="10795"/>
            <wp:docPr id="3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2"/>
                    <pic:cNvPicPr>
                      <a:picLocks noChangeAspect="1"/>
                    </pic:cNvPicPr>
                  </pic:nvPicPr>
                  <pic:blipFill>
                    <a:blip r:embed="rId13"/>
                    <a:stretch>
                      <a:fillRect/>
                    </a:stretch>
                  </pic:blipFill>
                  <pic:spPr>
                    <a:xfrm>
                      <a:off x="0" y="0"/>
                      <a:ext cx="5268595" cy="2823845"/>
                    </a:xfrm>
                    <a:prstGeom prst="rect">
                      <a:avLst/>
                    </a:prstGeom>
                    <a:noFill/>
                    <a:ln>
                      <a:noFill/>
                    </a:ln>
                  </pic:spPr>
                </pic:pic>
              </a:graphicData>
            </a:graphic>
          </wp:inline>
        </w:drawing>
      </w:r>
    </w:p>
    <w:p w14:paraId="49187EDA"/>
    <w:p w14:paraId="3DE3A1C3">
      <w:pPr>
        <w:pStyle w:val="2"/>
        <w:ind w:left="0" w:leftChars="0" w:firstLine="0" w:firstLineChars="0"/>
      </w:pPr>
    </w:p>
    <w:p w14:paraId="6BACEDC2">
      <w:pPr>
        <w:numPr>
          <w:ilvl w:val="0"/>
          <w:numId w:val="0"/>
        </w:numPr>
        <w:ind w:leftChars="0"/>
        <w:rPr>
          <w:rFonts w:hint="default"/>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AFF" w:usb1="C0007841"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华文仿宋">
    <w:altName w:val="仿宋"/>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353CA8A"/>
    <w:multiLevelType w:val="multilevel"/>
    <w:tmpl w:val="0353CA8A"/>
    <w:lvl w:ilvl="0" w:tentative="0">
      <w:start w:val="1"/>
      <w:numFmt w:val="chineseCountingThousand"/>
      <w:suff w:val="nothing"/>
      <w:lvlText w:val="%1、"/>
      <w:lvlJc w:val="left"/>
      <w:pPr>
        <w:ind w:left="425" w:hanging="425"/>
      </w:pPr>
      <w:rPr>
        <w:rFonts w:hint="eastAsia"/>
      </w:rPr>
    </w:lvl>
    <w:lvl w:ilvl="1" w:tentative="0">
      <w:start w:val="1"/>
      <w:numFmt w:val="decimal"/>
      <w:pStyle w:val="4"/>
      <w:isLgl/>
      <w:suff w:val="nothing"/>
      <w:lvlText w:val="%1.%2、"/>
      <w:lvlJc w:val="left"/>
      <w:pPr>
        <w:ind w:left="567" w:hanging="567"/>
      </w:pPr>
      <w:rPr>
        <w:rFonts w:hint="eastAsia" w:ascii="Times New Roman" w:hAnsi="Times New Roman" w:cs="Cambria"/>
      </w:rPr>
    </w:lvl>
    <w:lvl w:ilvl="2" w:tentative="0">
      <w:start w:val="1"/>
      <w:numFmt w:val="decimal"/>
      <w:isLgl/>
      <w:suff w:val="nothing"/>
      <w:lvlText w:val="%1.%2.%3、"/>
      <w:lvlJc w:val="left"/>
      <w:pPr>
        <w:tabs>
          <w:tab w:val="left" w:pos="0"/>
        </w:tabs>
        <w:ind w:left="1211" w:hanging="1069"/>
      </w:pPr>
      <w:rPr>
        <w:rFonts w:hint="eastAsia" w:ascii="Times New Roman" w:hAnsi="Times New Roman" w:cs="Cambria"/>
        <w:b/>
        <w:bCs w:val="0"/>
        <w:i w:val="0"/>
        <w:iCs w:val="0"/>
        <w:caps w:val="0"/>
        <w:smallCaps w:val="0"/>
        <w:strike w:val="0"/>
        <w:dstrike w:val="0"/>
        <w:vanish w:val="0"/>
        <w:spacing w:val="0"/>
        <w:position w:val="0"/>
        <w:sz w:val="28"/>
        <w:u w:val="none"/>
        <w:vertAlign w:val="baseline"/>
      </w:rPr>
    </w:lvl>
    <w:lvl w:ilvl="3" w:tentative="0">
      <w:start w:val="1"/>
      <w:numFmt w:val="decimal"/>
      <w:isLgl/>
      <w:suff w:val="nothing"/>
      <w:lvlText w:val="%1.%2.%3.%4、"/>
      <w:lvlJc w:val="left"/>
      <w:pPr>
        <w:ind w:left="4111" w:hanging="851"/>
      </w:pPr>
      <w:rPr>
        <w:rFonts w:hint="eastAsia" w:ascii="Times New Roman" w:hAnsi="Times New Roman" w:eastAsia="宋体" w:cs="Cambria"/>
        <w:sz w:val="24"/>
        <w:szCs w:val="24"/>
      </w:rPr>
    </w:lvl>
    <w:lvl w:ilvl="4" w:tentative="0">
      <w:start w:val="1"/>
      <w:numFmt w:val="decimal"/>
      <w:isLgl/>
      <w:suff w:val="nothing"/>
      <w:lvlText w:val="%1.%2.%3.%4.%5、"/>
      <w:lvlJc w:val="left"/>
      <w:pPr>
        <w:ind w:left="992" w:hanging="992"/>
      </w:pPr>
      <w:rPr>
        <w:rFonts w:hint="eastAsia"/>
      </w:rPr>
    </w:lvl>
    <w:lvl w:ilvl="5" w:tentative="0">
      <w:start w:val="1"/>
      <w:numFmt w:val="decimal"/>
      <w:isLgl/>
      <w:suff w:val="nothing"/>
      <w:lvlText w:val="%1.%2.%3.%4.%5.%6、"/>
      <w:lvlJc w:val="left"/>
      <w:pPr>
        <w:ind w:left="1134" w:hanging="1134"/>
      </w:pPr>
      <w:rPr>
        <w:rFonts w:hint="eastAsia" w:ascii="Times New Roman" w:hAnsi="Times New Roman" w:cs="Cambria"/>
      </w:rPr>
    </w:lvl>
    <w:lvl w:ilvl="6" w:tentative="0">
      <w:start w:val="1"/>
      <w:numFmt w:val="decimal"/>
      <w:isLgl/>
      <w:lvlText w:val="%1.%2.%3.%4.%5.%6.%7"/>
      <w:lvlJc w:val="left"/>
      <w:pPr>
        <w:tabs>
          <w:tab w:val="left" w:pos="1800"/>
        </w:tabs>
        <w:ind w:left="1276" w:hanging="1276"/>
      </w:pPr>
      <w:rPr>
        <w:rFonts w:hint="eastAsia"/>
      </w:rPr>
    </w:lvl>
    <w:lvl w:ilvl="7" w:tentative="0">
      <w:start w:val="1"/>
      <w:numFmt w:val="decimal"/>
      <w:isLgl/>
      <w:lvlText w:val="%1.%2.%3.%4.%5.%6.%7.%8"/>
      <w:lvlJc w:val="left"/>
      <w:pPr>
        <w:tabs>
          <w:tab w:val="left" w:pos="1800"/>
        </w:tabs>
        <w:ind w:left="1418" w:hanging="1418"/>
      </w:pPr>
      <w:rPr>
        <w:rFonts w:hint="eastAsia"/>
      </w:rPr>
    </w:lvl>
    <w:lvl w:ilvl="8" w:tentative="0">
      <w:start w:val="1"/>
      <w:numFmt w:val="decimal"/>
      <w:isLgl/>
      <w:lvlText w:val="%1.%2.%3.%4.%5.%6.%7.%8.%9"/>
      <w:lvlJc w:val="left"/>
      <w:pPr>
        <w:tabs>
          <w:tab w:val="left" w:pos="2160"/>
        </w:tabs>
        <w:ind w:left="1559" w:hanging="1559"/>
      </w:pPr>
      <w:rPr>
        <w:rFonts w:hint="eastAsia"/>
      </w:rPr>
    </w:lvl>
  </w:abstractNum>
  <w:abstractNum w:abstractNumId="1">
    <w:nsid w:val="1E3839FA"/>
    <w:multiLevelType w:val="singleLevel"/>
    <w:tmpl w:val="1E3839FA"/>
    <w:lvl w:ilvl="0" w:tentative="0">
      <w:start w:val="1"/>
      <w:numFmt w:val="decimal"/>
      <w:suff w:val="nothing"/>
      <w:lvlText w:val="%1、"/>
      <w:lvlJc w:val="left"/>
    </w:lvl>
  </w:abstractNum>
  <w:abstractNum w:abstractNumId="2">
    <w:nsid w:val="5BB3F270"/>
    <w:multiLevelType w:val="singleLevel"/>
    <w:tmpl w:val="5BB3F270"/>
    <w:lvl w:ilvl="0" w:tentative="0">
      <w:start w:val="1"/>
      <w:numFmt w:val="decimal"/>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web"/>
  <w:zoom w:percent="87"/>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Q3MDUyZmY2MGRjZjY4Zjk0MmRiMDQ1ZTU2MTE4NGUifQ=="/>
  </w:docVars>
  <w:rsids>
    <w:rsidRoot w:val="007B03F1"/>
    <w:rsid w:val="00000DE0"/>
    <w:rsid w:val="00102615"/>
    <w:rsid w:val="00133422"/>
    <w:rsid w:val="0029126C"/>
    <w:rsid w:val="00375780"/>
    <w:rsid w:val="003A4DB8"/>
    <w:rsid w:val="005B30DB"/>
    <w:rsid w:val="006C18A9"/>
    <w:rsid w:val="007B03F1"/>
    <w:rsid w:val="00866065"/>
    <w:rsid w:val="00E47868"/>
    <w:rsid w:val="00EB4172"/>
    <w:rsid w:val="00F613F4"/>
    <w:rsid w:val="015D590C"/>
    <w:rsid w:val="016C0FA1"/>
    <w:rsid w:val="02A918DE"/>
    <w:rsid w:val="032840C0"/>
    <w:rsid w:val="034076C4"/>
    <w:rsid w:val="04DD7872"/>
    <w:rsid w:val="0530042D"/>
    <w:rsid w:val="05A60145"/>
    <w:rsid w:val="05DD6106"/>
    <w:rsid w:val="06AE4B88"/>
    <w:rsid w:val="070752C8"/>
    <w:rsid w:val="07AB0349"/>
    <w:rsid w:val="084763B4"/>
    <w:rsid w:val="0D814996"/>
    <w:rsid w:val="0D9D443F"/>
    <w:rsid w:val="0E973B3E"/>
    <w:rsid w:val="0EC514D3"/>
    <w:rsid w:val="0F124079"/>
    <w:rsid w:val="112862BC"/>
    <w:rsid w:val="11B87CB6"/>
    <w:rsid w:val="13D46F36"/>
    <w:rsid w:val="143918B6"/>
    <w:rsid w:val="14E25067"/>
    <w:rsid w:val="16C2115E"/>
    <w:rsid w:val="1A860301"/>
    <w:rsid w:val="1ABB268D"/>
    <w:rsid w:val="1B6D0476"/>
    <w:rsid w:val="1C7149AA"/>
    <w:rsid w:val="1D392227"/>
    <w:rsid w:val="1D9D4975"/>
    <w:rsid w:val="1DE31336"/>
    <w:rsid w:val="1FE20C5D"/>
    <w:rsid w:val="20712357"/>
    <w:rsid w:val="20717B6A"/>
    <w:rsid w:val="24736D00"/>
    <w:rsid w:val="24FA2E14"/>
    <w:rsid w:val="29177410"/>
    <w:rsid w:val="29673C78"/>
    <w:rsid w:val="2970538A"/>
    <w:rsid w:val="2A2F359C"/>
    <w:rsid w:val="2C0160A5"/>
    <w:rsid w:val="2C35005E"/>
    <w:rsid w:val="2CEE5473"/>
    <w:rsid w:val="2F660502"/>
    <w:rsid w:val="2FA86065"/>
    <w:rsid w:val="31807FCD"/>
    <w:rsid w:val="31E43B4F"/>
    <w:rsid w:val="32607AFF"/>
    <w:rsid w:val="32D83E39"/>
    <w:rsid w:val="33391983"/>
    <w:rsid w:val="343A29F4"/>
    <w:rsid w:val="35505F08"/>
    <w:rsid w:val="357134CA"/>
    <w:rsid w:val="367926B6"/>
    <w:rsid w:val="37282883"/>
    <w:rsid w:val="39F71B89"/>
    <w:rsid w:val="3A355B46"/>
    <w:rsid w:val="3A377C51"/>
    <w:rsid w:val="3A5170CB"/>
    <w:rsid w:val="3C7D20E9"/>
    <w:rsid w:val="3DA14FFE"/>
    <w:rsid w:val="3EDF11F2"/>
    <w:rsid w:val="3F012022"/>
    <w:rsid w:val="3F09360C"/>
    <w:rsid w:val="40DE086C"/>
    <w:rsid w:val="430A1E0F"/>
    <w:rsid w:val="43417816"/>
    <w:rsid w:val="453018B3"/>
    <w:rsid w:val="453F22FB"/>
    <w:rsid w:val="45586109"/>
    <w:rsid w:val="45880741"/>
    <w:rsid w:val="45CA3F25"/>
    <w:rsid w:val="464A2500"/>
    <w:rsid w:val="467F154A"/>
    <w:rsid w:val="4881532E"/>
    <w:rsid w:val="48FA03A1"/>
    <w:rsid w:val="49517AAE"/>
    <w:rsid w:val="49CB372B"/>
    <w:rsid w:val="4A3B6F05"/>
    <w:rsid w:val="4AA04445"/>
    <w:rsid w:val="4AB34B18"/>
    <w:rsid w:val="4C8447B9"/>
    <w:rsid w:val="4C8C5620"/>
    <w:rsid w:val="4E726A98"/>
    <w:rsid w:val="507D3DFD"/>
    <w:rsid w:val="510672E4"/>
    <w:rsid w:val="521A6BBB"/>
    <w:rsid w:val="53401B81"/>
    <w:rsid w:val="540E09F0"/>
    <w:rsid w:val="55172D83"/>
    <w:rsid w:val="55CC1F15"/>
    <w:rsid w:val="561E4C80"/>
    <w:rsid w:val="571F49E7"/>
    <w:rsid w:val="57692EE1"/>
    <w:rsid w:val="57923BF9"/>
    <w:rsid w:val="57AF3476"/>
    <w:rsid w:val="586D631F"/>
    <w:rsid w:val="59D0538F"/>
    <w:rsid w:val="59E636A5"/>
    <w:rsid w:val="5A963A3B"/>
    <w:rsid w:val="5AB140D9"/>
    <w:rsid w:val="5CEB6393"/>
    <w:rsid w:val="5FC37153"/>
    <w:rsid w:val="5FDE3F8D"/>
    <w:rsid w:val="621D2404"/>
    <w:rsid w:val="641F13B8"/>
    <w:rsid w:val="6656323B"/>
    <w:rsid w:val="669A7550"/>
    <w:rsid w:val="66D9118B"/>
    <w:rsid w:val="67D56729"/>
    <w:rsid w:val="6952493A"/>
    <w:rsid w:val="6A4E4D4C"/>
    <w:rsid w:val="6AF54090"/>
    <w:rsid w:val="722C7B8B"/>
    <w:rsid w:val="73D633B1"/>
    <w:rsid w:val="74837BCC"/>
    <w:rsid w:val="74C55A4E"/>
    <w:rsid w:val="75D533AD"/>
    <w:rsid w:val="75E7616C"/>
    <w:rsid w:val="76E40398"/>
    <w:rsid w:val="7848156B"/>
    <w:rsid w:val="78DD2DB3"/>
    <w:rsid w:val="7A0C718E"/>
    <w:rsid w:val="7ADC45FF"/>
    <w:rsid w:val="7C404E67"/>
    <w:rsid w:val="7D4E1740"/>
    <w:rsid w:val="7EBF0D4C"/>
    <w:rsid w:val="7F9D0F6D"/>
    <w:rsid w:val="7FA71D3F"/>
    <w:rsid w:val="7FDB3B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name="toc 1"/>
    <w:lsdException w:qFormat="1"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qFormat/>
    <w:uiPriority w:val="9"/>
    <w:pPr>
      <w:keepNext/>
      <w:keepLines/>
      <w:spacing w:before="340" w:beforeLines="0" w:beforeAutospacing="0" w:after="330" w:afterLines="0" w:afterAutospacing="0" w:line="576" w:lineRule="auto"/>
      <w:outlineLvl w:val="0"/>
    </w:pPr>
    <w:rPr>
      <w:b/>
      <w:kern w:val="44"/>
      <w:sz w:val="44"/>
    </w:rPr>
  </w:style>
  <w:style w:type="paragraph" w:styleId="4">
    <w:name w:val="heading 2"/>
    <w:basedOn w:val="1"/>
    <w:next w:val="1"/>
    <w:qFormat/>
    <w:uiPriority w:val="99"/>
    <w:pPr>
      <w:keepNext/>
      <w:keepLines/>
      <w:numPr>
        <w:ilvl w:val="1"/>
        <w:numId w:val="1"/>
      </w:numPr>
      <w:spacing w:before="120" w:after="120"/>
      <w:ind w:left="0" w:firstLine="0" w:firstLineChars="0"/>
      <w:jc w:val="both"/>
      <w:outlineLvl w:val="1"/>
    </w:pPr>
    <w:rPr>
      <w:b/>
      <w:bCs/>
      <w:sz w:val="30"/>
      <w:szCs w:val="30"/>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customStyle="1" w:styleId="2">
    <w:name w:val="样式 首行缩进:  2 字符"/>
    <w:basedOn w:val="1"/>
    <w:qFormat/>
    <w:uiPriority w:val="0"/>
    <w:pPr>
      <w:ind w:firstLine="480" w:firstLineChars="200"/>
    </w:pPr>
    <w:rPr>
      <w:rFonts w:ascii="Calibri" w:hAnsi="Calibri" w:cs="宋体"/>
      <w:color w:val="000000"/>
      <w:szCs w:val="20"/>
    </w:rPr>
  </w:style>
  <w:style w:type="paragraph" w:styleId="5">
    <w:name w:val="Balloon Text"/>
    <w:basedOn w:val="1"/>
    <w:link w:val="11"/>
    <w:semiHidden/>
    <w:unhideWhenUsed/>
    <w:qFormat/>
    <w:uiPriority w:val="99"/>
    <w:rPr>
      <w:sz w:val="18"/>
      <w:szCs w:val="18"/>
    </w:rPr>
  </w:style>
  <w:style w:type="paragraph" w:styleId="6">
    <w:name w:val="toc 1"/>
    <w:basedOn w:val="1"/>
    <w:next w:val="1"/>
    <w:semiHidden/>
    <w:unhideWhenUsed/>
    <w:qFormat/>
    <w:uiPriority w:val="39"/>
  </w:style>
  <w:style w:type="paragraph" w:styleId="7">
    <w:name w:val="toc 2"/>
    <w:basedOn w:val="1"/>
    <w:next w:val="1"/>
    <w:semiHidden/>
    <w:unhideWhenUsed/>
    <w:qFormat/>
    <w:uiPriority w:val="39"/>
    <w:pPr>
      <w:ind w:left="420" w:leftChars="200"/>
    </w:pPr>
  </w:style>
  <w:style w:type="character" w:styleId="10">
    <w:name w:val="Hyperlink"/>
    <w:basedOn w:val="9"/>
    <w:semiHidden/>
    <w:unhideWhenUsed/>
    <w:qFormat/>
    <w:uiPriority w:val="99"/>
    <w:rPr>
      <w:color w:val="0000FF"/>
      <w:u w:val="single"/>
    </w:rPr>
  </w:style>
  <w:style w:type="character" w:customStyle="1" w:styleId="11">
    <w:name w:val="批注框文本 Char"/>
    <w:basedOn w:val="9"/>
    <w:link w:val="5"/>
    <w:semiHidden/>
    <w:qFormat/>
    <w:uiPriority w:val="99"/>
    <w:rPr>
      <w:sz w:val="18"/>
      <w:szCs w:val="18"/>
    </w:rPr>
  </w:style>
  <w:style w:type="paragraph" w:customStyle="1" w:styleId="12">
    <w:name w:val="WPSOffice手动目录 1"/>
    <w:qFormat/>
    <w:uiPriority w:val="0"/>
    <w:pPr>
      <w:ind w:leftChars="0"/>
    </w:pPr>
    <w:rPr>
      <w:rFonts w:asciiTheme="minorHAnsi" w:hAnsiTheme="minorHAnsi" w:eastAsiaTheme="minorEastAsia" w:cstheme="minorBidi"/>
      <w:sz w:val="20"/>
      <w:szCs w:val="20"/>
    </w:rPr>
  </w:style>
  <w:style w:type="paragraph" w:customStyle="1" w:styleId="13">
    <w:name w:val="WPSOffice手动目录 2"/>
    <w:qFormat/>
    <w:uiPriority w:val="0"/>
    <w:pPr>
      <w:ind w:leftChars="200"/>
    </w:pPr>
    <w:rPr>
      <w:rFonts w:asciiTheme="minorHAnsi" w:hAnsiTheme="minorHAnsi" w:eastAsiaTheme="minorEastAsia" w:cstheme="minorBidi"/>
      <w:sz w:val="20"/>
      <w:szCs w:val="20"/>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numbering" Target="numbering.xml"/><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微软公司</Company>
  <Pages>3</Pages>
  <Words>1001</Words>
  <Characters>1024</Characters>
  <Lines>1</Lines>
  <Paragraphs>1</Paragraphs>
  <TotalTime>20</TotalTime>
  <ScaleCrop>false</ScaleCrop>
  <LinksUpToDate>false</LinksUpToDate>
  <CharactersWithSpaces>1037</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2022-08-23T18:11:00Z</dcterms:created>
  <dc:creator>微软用户</dc:creator>
  <cp:lastModifiedBy>章林</cp:lastModifiedBy>
  <cp:lastPrinted>2023-03-28T09:23:00Z</cp:lastPrinted>
  <dcterms:modified xsi:type="dcterms:W3CDTF">2026-01-15T03:43:28Z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CFF736C679494F6CA59E871B8BDF5529_13</vt:lpwstr>
  </property>
</Properties>
</file>