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975A1B">
      <w:pPr>
        <w:widowControl w:val="0"/>
        <w:spacing w:before="47" w:line="219" w:lineRule="auto"/>
        <w:ind w:left="3805"/>
        <w:outlineLvl w:val="1"/>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14:textOutline w14:w="4356" w14:cap="sq" w14:cmpd="sng" w14:algn="ctr">
            <w14:solidFill>
              <w14:srgbClr w14:val="000000"/>
            </w14:solidFill>
            <w14:prstDash w14:val="solid"/>
            <w14:bevel/>
          </w14:textOutline>
        </w:rPr>
        <w:t>二、采购需求</w:t>
      </w:r>
    </w:p>
    <w:p w14:paraId="5A6E9DB1">
      <w:pPr>
        <w:keepNext w:val="0"/>
        <w:keepLines w:val="0"/>
        <w:pageBreakBefore w:val="0"/>
        <w:widowControl/>
        <w:kinsoku/>
        <w:wordWrap/>
        <w:overflowPunct/>
        <w:topLinePunct w:val="0"/>
        <w:autoSpaceDE/>
        <w:autoSpaceDN/>
        <w:bidi w:val="0"/>
        <w:adjustRightInd/>
        <w:snapToGrid/>
        <w:spacing w:after="0" w:line="460" w:lineRule="exact"/>
        <w:textAlignment w:val="baseline"/>
        <w:outlineLvl w:val="2"/>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（一） 技术需求</w:t>
      </w:r>
    </w:p>
    <w:p w14:paraId="7ED0B477">
      <w:pPr>
        <w:pStyle w:val="33"/>
        <w:spacing w:line="400" w:lineRule="exact"/>
        <w:ind w:firstLine="562" w:firstLineChars="200"/>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1.1 项目概况</w:t>
      </w:r>
    </w:p>
    <w:p w14:paraId="7BF4015A">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（1）项目名称</w:t>
      </w:r>
    </w:p>
    <w:p w14:paraId="3468F12F">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省电子政务外网2024年升级改造项目。</w:t>
      </w:r>
    </w:p>
    <w:p w14:paraId="073696B1">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（2）建设背景</w:t>
      </w:r>
    </w:p>
    <w:p w14:paraId="637EB596">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政策与数字政府驱动：响应国家《“十四五”数字经济发展规划》及江西省《数字政府建设总体方案》等文件，数字政府建设需高可靠、高扩展、高安全的网络底座，当前省政务外网在支撑、安全、移动接入、IPv6部署等方面存在短板，升级改造刻不容缓。</w:t>
      </w:r>
    </w:p>
    <w:p w14:paraId="4D9CD882">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业务承载压力激增：全省政务外网已贯通省市县乡四级，接入18000余家政务部门、30万余台终端、90余万名移动用户，承载3200余个业务应用，随着视频监控、数据共享等大流量业务增长和移动办公、物联终端等接入需求凸显，现有网络资源存在不足。</w:t>
      </w:r>
    </w:p>
    <w:p w14:paraId="29781938">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技术迭代要求：IPv6、5G技术快速发展，国家及省要求推进IPv6规模部署，需升级网络以适配新技术，提升新技术应用和泛在接入能力。</w:t>
      </w:r>
    </w:p>
    <w:p w14:paraId="51177BD9">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安全形势严峻：随着政务数据集中共享和业务云化部署，电子政务外网已成为攻击者的重点目标。近年来，安全漏洞、数据泄露、勒索病毒等威胁频发，政务外网中以终端为跳板的木马渗透、违规外联、挖矿、恶意钓鱼等网络安全事件不断涌现，给政务外网安全带来严峻挑战，现有安全设备不足、终端管控缺失，需同步强化防护。</w:t>
      </w:r>
    </w:p>
    <w:p w14:paraId="745F5036">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（3）建设目标</w:t>
      </w:r>
    </w:p>
    <w:p w14:paraId="3403BBE8">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贯彻落实《江西省2023年数字政府建设工作要点》、《江西省数字政府建设总体方案》、《江西省数字化项目建设管理办法》等文件要求，升级改造省电子政务外网，提升骨干网络性能和稳定性、提供安全便捷的移动接入方式、完善网络安全防护短板和构建云管端IPv6改造支撑系统等，解决当前存在的设备老旧、网络承载能力不足、网络边界和终端安全防护缺失、移动泛在接入能力不足等问题，构建“高速泛在、承载充足、技术先进、安全可靠”的全省电子政务外网，发挥信息技术迭代升级优势，适应业务创新发展新需求，支撑部门专网平滑迁移，满足新阶段数字政府建设对网络基座提出的更高要求，保障数字政府业务安全、稳定、高效应用，助力“数字政府”建设。</w:t>
      </w:r>
    </w:p>
    <w:p w14:paraId="3C1AB35E">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（4）建设地点</w:t>
      </w:r>
    </w:p>
    <w:p w14:paraId="7CDA84E1">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建设地点位于省、11个设区市及赣江新区、125个县（市、区、功能区）和1602个乡镇，项目采购的设备主要部署于省会议中心数据中心机房、各设区市、县（市、区）政务外网机房、乡镇政务外网机房以及运营商机房。</w:t>
      </w:r>
    </w:p>
    <w:p w14:paraId="74E6B0DB">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2" w:firstLineChars="200"/>
        <w:jc w:val="both"/>
        <w:textAlignment w:val="auto"/>
        <w:rPr>
          <w:rFonts w:hint="eastAsia" w:ascii="宋体" w:hAnsi="宋体" w:eastAsia="宋体" w:cs="宋体"/>
          <w:b/>
          <w:bCs/>
          <w:snapToGrid/>
          <w:color w:val="auto"/>
          <w:kern w:val="2"/>
          <w:sz w:val="28"/>
          <w:szCs w:val="28"/>
          <w:highlight w:val="none"/>
          <w:lang w:val="en-US" w:eastAsia="zh-CN"/>
        </w:rPr>
      </w:pPr>
      <w:r>
        <w:rPr>
          <w:rFonts w:hint="eastAsia" w:ascii="宋体" w:hAnsi="宋体" w:eastAsia="宋体" w:cs="宋体"/>
          <w:b/>
          <w:bCs/>
          <w:snapToGrid/>
          <w:color w:val="auto"/>
          <w:kern w:val="2"/>
          <w:sz w:val="28"/>
          <w:szCs w:val="28"/>
          <w:highlight w:val="none"/>
          <w:lang w:val="en-US" w:eastAsia="zh-CN"/>
        </w:rPr>
        <w:t>1.2 建设内容</w:t>
      </w:r>
    </w:p>
    <w:p w14:paraId="459F28EB">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（1）升级扩容省级传输环网。</w:t>
      </w:r>
    </w:p>
    <w:p w14:paraId="182955E8">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采购5台传输设备，其中，4台用于对在网运行近10年的岔道口、行政中心、一纬路和高新联通节点一级核心传输设备替换升级和资源扩容；1台用于在数据中心主2，构建数据中心本地网，提升传输环网承载能力，支撑网络节点和数据中心高可靠高带宽低成本互联互通。5台设备分别部署于省会议中心传输机房、岔道口联通机房、一纬路联通机房、火炬广场联通机房、赣鄱数据湖机房。</w:t>
      </w:r>
    </w:p>
    <w:p w14:paraId="4F57F236">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（2）升级改造乡镇网络。</w:t>
      </w:r>
    </w:p>
    <w:p w14:paraId="2683EABC">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采购1602台乡镇核心交换机和204台县级汇聚交换机，对运行超10年的乡镇网络老旧设备进行替换升级，提升乡镇网络可靠性和业务支撑能力。县级汇聚交换机部署于区县政务外网机房，乡镇核心交换机部署于乡镇政务外网设备机柜。</w:t>
      </w:r>
    </w:p>
    <w:p w14:paraId="7D978013">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（3）升级改造园区网。</w:t>
      </w:r>
    </w:p>
    <w:p w14:paraId="31CA076E">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采购2台园区网防火墙、4台园区网核心交换机、20台园区网汇聚交换机和180台园区网接入交换机，用于园区网老旧设备替换升级，提升园区网安全防护能力和业务支撑能力。设备部署于省会议中心机房和湖滨东路园区机房。</w:t>
      </w:r>
    </w:p>
    <w:p w14:paraId="100A5B41">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（4）加固广域网边界安全。</w:t>
      </w:r>
    </w:p>
    <w:p w14:paraId="51ECACA9">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贯彻落实《中华人民共和国网络安全法》和等保2.0三级等要求，采购261台防火墙，在11个省到市主用广域网边界和250个市到县广域网边界各串接部署1台，提升广域网边界安全防护能力。省到市设备部署于11个设区市政务外网机房，市到县主用设备部署于区县政务外网机房、备用设备部署于区县运营商机房。</w:t>
      </w:r>
    </w:p>
    <w:p w14:paraId="7161CB78">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（5）建设网络安全接入区。</w:t>
      </w:r>
    </w:p>
    <w:p w14:paraId="726A4E50">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采购276台防火墙、276台交换机和11台市级日志审计，在省、11个设区市及赣江新区和125个县（市、区、功能区）分别建设网络安全接入区，满足部门专网迁移中VPDN线路联网单位、APN线路联网单位、横向小型城域网和非硬隔离视频传输专线终端等安全接入政务外网需求，贯彻落实《中华人民共和国网络安全法》和等保2.0三级等要求，有效筑牢高风险单位联网接入边界安全。省级设备部署于省会议中心核心机房，市级设备部署于市政务外网机房，县级设备部署于区县政务外网机房。</w:t>
      </w:r>
    </w:p>
    <w:p w14:paraId="6F9F56CE">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（6）扩容省级终端安全管控平台。</w:t>
      </w:r>
    </w:p>
    <w:p w14:paraId="554E61DF">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采购4台终端管控代理网关、2台终端管控控制中心、1台终端管控分析中心、1套终端隔离模块和1台违规外联监测设备，按照国家电子政务外网标准《政务外网终端一机两用安全管控技术指南》要求和国家信息中心工作部署，在试点平台基础上，进一步扩容省级终端安全管控平台，实现终端安全管控范围省级全覆盖，强化省级政务外网联网终端安全防护和管理。设备部署于省会议中心核心机房。</w:t>
      </w:r>
    </w:p>
    <w:p w14:paraId="70D9E200">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（7）改造升级安全接入平台。</w:t>
      </w:r>
    </w:p>
    <w:p w14:paraId="21F81CE8">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采购20台零信任安全接入专用承载硬件，9套零信任安全接入代理网关、9套零信任安全接入控制中心、1套零信任安全接入分析中心、1套外置存储系统、9套银河麒麟内核代码授权和2台核心交换机。基于零信任和商用密码等技术，改造升级省电子政务外网安全接入平台，大幅提升安全接入平台承载能力，解决当前平台性能、适配能力和扩展能力不足等问题，实现与升级后64位赣政通平台安全适配对接，满足200万以上用户接入和80万用户并发访问需求。设备部署于省会议中心核心机房。</w:t>
      </w:r>
    </w:p>
    <w:p w14:paraId="682544CC">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（8）新建5G专用网络安全接入区。</w:t>
      </w:r>
    </w:p>
    <w:p w14:paraId="6BEB53B3">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采购2台路由器、2台防火墙、1套身份认证和访问控制系统、1台日志审计，以国家电子政务外网标准《5G专用网络接入规范与安全要求》为指导，基于运营商5G网络基础设施，构建省电子政务外网5G专用网络，提升政务外网泛在接入能力和移动接入能力，延伸政务外网覆盖范围，满足移动执法、应急通信、偏远接入、物联感知等场景下的便捷网络接入需求。设备部署于省会议中心核心机房。</w:t>
      </w:r>
    </w:p>
    <w:p w14:paraId="3645D978">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（9）部署IPv6改造支撑系统。</w:t>
      </w:r>
    </w:p>
    <w:p w14:paraId="6F13B8D1">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在省级部署2台IPv6DNS设备、8台IPv6DHCP设备、2台IP地址管理设备、4台IPv6流量采集设备和1套IPv6发展监测平台，支撑省政务外网承载业务和联网终端IPv6部署应用，监测整网IPv6改造部署情况，高效直观管理IPv6地址使用情况，促进省电子政务外网IPv6规模部署和持续演进。IPv6发展监测平台与省委网信办监测平台对接，实现数据共享。设备部署于省会议中心核心机房、岔道口联通机房、一纬路联通机房、火炬广场联通机房。</w:t>
      </w:r>
    </w:p>
    <w:p w14:paraId="70ECEC33">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（10）新建网网对接平台。</w:t>
      </w:r>
    </w:p>
    <w:p w14:paraId="61E39780">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采购4台接入交换机、2台防火墙、2台网闸、2台前（后）置服务器和2台日志审计设备，双设备冗余架构建立政务外网安全外联通道，联通需迁移的教育专网、财政专网等，保障专网迁移平滑稳定，对接公安专网、税务专网和银行专网等，支撑业务跨网协同和数据跨网交互。设备部署于省会议中心核心机房。</w:t>
      </w:r>
    </w:p>
    <w:p w14:paraId="0853362C">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（11）新建跨域互通通道。</w:t>
      </w:r>
    </w:p>
    <w:p w14:paraId="6A1F426A">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采用双机主备模式部署2台防火墙，建立政务外网安全内通通道，按需安全可控连通不同MPLS逻辑专网，以及MPLS逻辑专网与互联互通区域，支撑业务跨域协同和数据跨域交互。设备部署于省会议中心核心机房。</w:t>
      </w:r>
    </w:p>
    <w:p w14:paraId="3EBA25BA">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（12）密码应用与评估。</w:t>
      </w:r>
    </w:p>
    <w:p w14:paraId="2CB5E84D">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遵循国家密码管理政策与标准，集成应用密码技术，完成网管平台密码应用改造，调用密码平台算法对网管平台数据进行加密传输与存储，对互联网通信链路实施SSL VPN加密保护，并规范数字证书应用。同步配合开展密码应用安全性评估，确保密码技术应用的合规性、正确性与有效性，全面提升政务外网的整体安全防护能力。</w:t>
      </w:r>
    </w:p>
    <w:p w14:paraId="2EC692FE">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2" w:firstLineChars="200"/>
        <w:jc w:val="both"/>
        <w:textAlignment w:val="auto"/>
        <w:rPr>
          <w:rFonts w:hint="eastAsia" w:ascii="宋体" w:hAnsi="宋体" w:eastAsia="宋体" w:cs="宋体"/>
          <w:b/>
          <w:bCs/>
          <w:snapToGrid/>
          <w:color w:val="auto"/>
          <w:kern w:val="2"/>
          <w:sz w:val="28"/>
          <w:szCs w:val="28"/>
          <w:lang w:val="en-US" w:eastAsia="zh-CN"/>
        </w:rPr>
      </w:pPr>
      <w:r>
        <w:rPr>
          <w:rFonts w:hint="eastAsia" w:ascii="宋体" w:hAnsi="宋体" w:eastAsia="宋体" w:cs="宋体"/>
          <w:b/>
          <w:bCs/>
          <w:snapToGrid/>
          <w:color w:val="auto"/>
          <w:kern w:val="2"/>
          <w:sz w:val="28"/>
          <w:szCs w:val="28"/>
          <w:lang w:val="en-US" w:eastAsia="zh-CN"/>
        </w:rPr>
        <w:t>1.3 软硬件配置方案</w:t>
      </w:r>
    </w:p>
    <w:p w14:paraId="717857F5">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（1）关键设备配置策略</w:t>
      </w:r>
    </w:p>
    <w:p w14:paraId="7C8BABAF">
      <w:pPr>
        <w:keepNext w:val="0"/>
        <w:keepLines w:val="0"/>
        <w:pageBreakBefore w:val="0"/>
        <w:widowControl w:val="0"/>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为确保整体网络安全架构的健壮性与可靠性，本项目关键设备（包括防火墙与交换机）均应采用多品牌异构方式部署。该策略可有效规避单一品牌技术绑定及供应链风险，防止因特定漏洞或新型威胁导致整网扩散。同时，异构环境能够形成层次化、差异化的防护体系，提升整体网络安全韧性，遏制同质化防护弱点，增强网络应对未知威胁的能力。</w:t>
      </w:r>
    </w:p>
    <w:p w14:paraId="02B86B0A">
      <w:pPr>
        <w:keepNext w:val="0"/>
        <w:keepLines w:val="0"/>
        <w:pageBreakBefore w:val="0"/>
        <w:widowControl w:val="0"/>
        <w:numPr>
          <w:ilvl w:val="0"/>
          <w:numId w:val="0"/>
        </w:numPr>
        <w:kinsoku/>
        <w:wordWrap/>
        <w:overflowPunct/>
        <w:topLinePunct w:val="0"/>
        <w:autoSpaceDE/>
        <w:autoSpaceDN/>
        <w:bidi w:val="0"/>
        <w:adjustRightInd/>
        <w:snapToGrid/>
        <w:spacing w:before="66" w:beforeLines="20" w:after="66" w:afterLines="20" w:line="360" w:lineRule="exact"/>
        <w:ind w:firstLine="560" w:firstLineChars="200"/>
        <w:jc w:val="both"/>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bidi="ar-SA"/>
        </w:rPr>
        <w:t>（2）</w:t>
      </w:r>
      <w:r>
        <w:rPr>
          <w:rFonts w:hint="eastAsia" w:ascii="宋体" w:hAnsi="宋体" w:eastAsia="宋体" w:cs="宋体"/>
          <w:snapToGrid/>
          <w:color w:val="auto"/>
          <w:kern w:val="2"/>
          <w:sz w:val="28"/>
          <w:szCs w:val="28"/>
          <w:lang w:val="en-US" w:eastAsia="zh-CN"/>
        </w:rPr>
        <w:t>软硬件配置清单</w:t>
      </w:r>
    </w:p>
    <w:p w14:paraId="76975FEC">
      <w:pPr>
        <w:keepNext w:val="0"/>
        <w:keepLines w:val="0"/>
        <w:pageBreakBefore w:val="0"/>
        <w:widowControl w:val="0"/>
        <w:numPr>
          <w:ilvl w:val="0"/>
          <w:numId w:val="0"/>
        </w:numPr>
        <w:kinsoku/>
        <w:wordWrap/>
        <w:overflowPunct/>
        <w:topLinePunct w:val="0"/>
        <w:autoSpaceDE/>
        <w:autoSpaceDN/>
        <w:bidi w:val="0"/>
        <w:adjustRightInd/>
        <w:snapToGrid/>
        <w:spacing w:before="66" w:beforeLines="20" w:after="66" w:afterLines="20" w:line="360" w:lineRule="exact"/>
        <w:jc w:val="center"/>
        <w:textAlignment w:val="auto"/>
        <w:rPr>
          <w:rFonts w:hint="eastAsia" w:ascii="宋体" w:hAnsi="宋体" w:eastAsia="宋体" w:cs="宋体"/>
          <w:snapToGrid/>
          <w:color w:val="auto"/>
          <w:kern w:val="2"/>
          <w:sz w:val="28"/>
          <w:szCs w:val="28"/>
          <w:lang w:val="en-US" w:eastAsia="zh-CN"/>
        </w:rPr>
      </w:pPr>
      <w:r>
        <w:rPr>
          <w:rFonts w:hint="eastAsia" w:ascii="宋体" w:hAnsi="宋体" w:eastAsia="宋体" w:cs="宋体"/>
          <w:snapToGrid/>
          <w:color w:val="auto"/>
          <w:kern w:val="2"/>
          <w:sz w:val="28"/>
          <w:szCs w:val="28"/>
          <w:lang w:val="en-US" w:eastAsia="zh-CN"/>
        </w:rPr>
        <w:t>表1 硬件配置清单</w:t>
      </w:r>
    </w:p>
    <w:tbl>
      <w:tblPr>
        <w:tblStyle w:val="24"/>
        <w:tblW w:w="4997" w:type="pct"/>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474"/>
        <w:gridCol w:w="656"/>
        <w:gridCol w:w="656"/>
        <w:gridCol w:w="656"/>
        <w:gridCol w:w="6076"/>
        <w:gridCol w:w="436"/>
        <w:gridCol w:w="546"/>
      </w:tblGrid>
      <w:tr w14:paraId="5F9F2CA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291" w:type="pct"/>
            <w:shd w:val="clear" w:color="auto" w:fill="auto"/>
            <w:vAlign w:val="center"/>
          </w:tcPr>
          <w:p w14:paraId="6C81F9A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序号</w:t>
            </w:r>
          </w:p>
        </w:tc>
        <w:tc>
          <w:tcPr>
            <w:tcW w:w="345" w:type="pct"/>
            <w:shd w:val="clear" w:color="auto" w:fill="auto"/>
            <w:vAlign w:val="center"/>
          </w:tcPr>
          <w:p w14:paraId="7375542B">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建设内容</w:t>
            </w:r>
          </w:p>
        </w:tc>
        <w:tc>
          <w:tcPr>
            <w:tcW w:w="645" w:type="pct"/>
            <w:gridSpan w:val="2"/>
            <w:shd w:val="clear" w:color="auto" w:fill="auto"/>
            <w:vAlign w:val="center"/>
          </w:tcPr>
          <w:p w14:paraId="730F6E31">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设备名称</w:t>
            </w:r>
          </w:p>
        </w:tc>
        <w:tc>
          <w:tcPr>
            <w:tcW w:w="3239" w:type="pct"/>
            <w:shd w:val="clear" w:color="auto" w:fill="auto"/>
            <w:vAlign w:val="center"/>
          </w:tcPr>
          <w:p w14:paraId="304E4F4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主要配置</w:t>
            </w:r>
          </w:p>
        </w:tc>
        <w:tc>
          <w:tcPr>
            <w:tcW w:w="184" w:type="pct"/>
            <w:shd w:val="clear" w:color="auto" w:fill="auto"/>
            <w:vAlign w:val="center"/>
          </w:tcPr>
          <w:p w14:paraId="189BF97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单位</w:t>
            </w:r>
          </w:p>
        </w:tc>
        <w:tc>
          <w:tcPr>
            <w:tcW w:w="295" w:type="pct"/>
            <w:shd w:val="clear" w:color="auto" w:fill="auto"/>
            <w:vAlign w:val="center"/>
          </w:tcPr>
          <w:p w14:paraId="111C0F9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数量</w:t>
            </w:r>
          </w:p>
        </w:tc>
      </w:tr>
      <w:tr w14:paraId="2A2FBAD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restart"/>
            <w:shd w:val="clear" w:color="auto" w:fill="auto"/>
            <w:vAlign w:val="center"/>
          </w:tcPr>
          <w:p w14:paraId="656CAA3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1</w:t>
            </w:r>
          </w:p>
        </w:tc>
        <w:tc>
          <w:tcPr>
            <w:tcW w:w="345" w:type="pct"/>
            <w:vMerge w:val="restart"/>
            <w:shd w:val="clear" w:color="auto" w:fill="auto"/>
            <w:vAlign w:val="center"/>
          </w:tcPr>
          <w:p w14:paraId="65D9720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升级扩容省级传输环网</w:t>
            </w:r>
          </w:p>
        </w:tc>
        <w:tc>
          <w:tcPr>
            <w:tcW w:w="313" w:type="pct"/>
            <w:vMerge w:val="restart"/>
            <w:shd w:val="clear" w:color="auto" w:fill="auto"/>
            <w:vAlign w:val="center"/>
          </w:tcPr>
          <w:p w14:paraId="09B1D684">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rPr>
              <w:t>岔道口</w:t>
            </w:r>
            <w:r>
              <w:rPr>
                <w:rFonts w:hint="eastAsia" w:ascii="宋体" w:hAnsi="宋体" w:eastAsia="宋体" w:cs="宋体"/>
                <w:color w:val="auto"/>
                <w:sz w:val="22"/>
                <w:szCs w:val="22"/>
                <w:highlight w:val="none"/>
                <w:lang w:val="en-US" w:eastAsia="zh-CN"/>
              </w:rPr>
              <w:t>传输设备</w:t>
            </w:r>
          </w:p>
        </w:tc>
        <w:tc>
          <w:tcPr>
            <w:tcW w:w="332" w:type="pct"/>
            <w:shd w:val="clear" w:color="auto" w:fill="auto"/>
            <w:vAlign w:val="center"/>
          </w:tcPr>
          <w:p w14:paraId="2E34DE6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子架1（电层）</w:t>
            </w:r>
          </w:p>
        </w:tc>
        <w:tc>
          <w:tcPr>
            <w:tcW w:w="3239" w:type="pct"/>
            <w:shd w:val="clear" w:color="auto" w:fill="auto"/>
            <w:vAlign w:val="center"/>
          </w:tcPr>
          <w:p w14:paraId="5E41F001">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8、本次配置4路10G统一线路业务处理板3块（每块单板含4个10G光模块），10路任意速率业务支路处理板3块（每块单板含4个10G多模光模块、6个GE多模光模块）。</w:t>
            </w:r>
          </w:p>
        </w:tc>
        <w:tc>
          <w:tcPr>
            <w:tcW w:w="184" w:type="pct"/>
            <w:shd w:val="clear" w:color="auto" w:fill="auto"/>
            <w:vAlign w:val="center"/>
          </w:tcPr>
          <w:p w14:paraId="25C2A26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57552D2D">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09A4E51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continue"/>
            <w:shd w:val="clear" w:color="auto" w:fill="auto"/>
            <w:vAlign w:val="center"/>
          </w:tcPr>
          <w:p w14:paraId="479A4B7C">
            <w:pPr>
              <w:pStyle w:val="44"/>
              <w:rPr>
                <w:rFonts w:hint="eastAsia" w:ascii="宋体" w:hAnsi="宋体" w:eastAsia="宋体" w:cs="宋体"/>
                <w:color w:val="auto"/>
                <w:sz w:val="22"/>
                <w:szCs w:val="22"/>
                <w:highlight w:val="none"/>
                <w:lang w:eastAsia="zh-CN"/>
              </w:rPr>
            </w:pPr>
          </w:p>
        </w:tc>
        <w:tc>
          <w:tcPr>
            <w:tcW w:w="345" w:type="pct"/>
            <w:vMerge w:val="continue"/>
            <w:vAlign w:val="center"/>
          </w:tcPr>
          <w:p w14:paraId="011C7833">
            <w:pPr>
              <w:pStyle w:val="44"/>
              <w:rPr>
                <w:rFonts w:hint="eastAsia" w:ascii="宋体" w:hAnsi="宋体" w:eastAsia="宋体" w:cs="宋体"/>
                <w:color w:val="auto"/>
                <w:sz w:val="22"/>
                <w:szCs w:val="22"/>
                <w:highlight w:val="none"/>
              </w:rPr>
            </w:pPr>
          </w:p>
        </w:tc>
        <w:tc>
          <w:tcPr>
            <w:tcW w:w="313" w:type="pct"/>
            <w:vMerge w:val="continue"/>
            <w:shd w:val="clear" w:color="auto" w:fill="auto"/>
            <w:vAlign w:val="center"/>
          </w:tcPr>
          <w:p w14:paraId="7209D25F">
            <w:pPr>
              <w:pStyle w:val="44"/>
              <w:rPr>
                <w:rFonts w:hint="eastAsia" w:ascii="宋体" w:hAnsi="宋体" w:eastAsia="宋体" w:cs="宋体"/>
                <w:color w:val="auto"/>
                <w:sz w:val="22"/>
                <w:szCs w:val="22"/>
                <w:highlight w:val="none"/>
              </w:rPr>
            </w:pPr>
          </w:p>
        </w:tc>
        <w:tc>
          <w:tcPr>
            <w:tcW w:w="332" w:type="pct"/>
            <w:shd w:val="clear" w:color="auto" w:fill="auto"/>
            <w:vAlign w:val="center"/>
          </w:tcPr>
          <w:p w14:paraId="79E31E5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子架2（岔道口至省行政中心光层）</w:t>
            </w:r>
          </w:p>
        </w:tc>
        <w:tc>
          <w:tcPr>
            <w:tcW w:w="3239" w:type="pct"/>
            <w:shd w:val="clear" w:color="auto" w:fill="auto"/>
            <w:vAlign w:val="center"/>
          </w:tcPr>
          <w:p w14:paraId="58826D5E">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8、本次配置增强型48路合/分波板2块，支持同步信息传送的光线路接口板1块，光放大单板1块。</w:t>
            </w:r>
          </w:p>
        </w:tc>
        <w:tc>
          <w:tcPr>
            <w:tcW w:w="184" w:type="pct"/>
            <w:shd w:val="clear" w:color="auto" w:fill="auto"/>
            <w:vAlign w:val="center"/>
          </w:tcPr>
          <w:p w14:paraId="4A40164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2473B059">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2353CCE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continue"/>
            <w:shd w:val="clear" w:color="auto" w:fill="auto"/>
            <w:vAlign w:val="center"/>
          </w:tcPr>
          <w:p w14:paraId="5893E38B">
            <w:pPr>
              <w:pStyle w:val="44"/>
              <w:rPr>
                <w:rFonts w:hint="eastAsia" w:ascii="宋体" w:hAnsi="宋体" w:eastAsia="宋体" w:cs="宋体"/>
                <w:color w:val="auto"/>
                <w:sz w:val="22"/>
                <w:szCs w:val="22"/>
                <w:highlight w:val="none"/>
              </w:rPr>
            </w:pPr>
          </w:p>
        </w:tc>
        <w:tc>
          <w:tcPr>
            <w:tcW w:w="345" w:type="pct"/>
            <w:vMerge w:val="continue"/>
            <w:vAlign w:val="center"/>
          </w:tcPr>
          <w:p w14:paraId="565FA4CE">
            <w:pPr>
              <w:pStyle w:val="44"/>
              <w:rPr>
                <w:rFonts w:hint="eastAsia" w:ascii="宋体" w:hAnsi="宋体" w:eastAsia="宋体" w:cs="宋体"/>
                <w:color w:val="auto"/>
                <w:sz w:val="22"/>
                <w:szCs w:val="22"/>
                <w:highlight w:val="none"/>
              </w:rPr>
            </w:pPr>
          </w:p>
        </w:tc>
        <w:tc>
          <w:tcPr>
            <w:tcW w:w="313" w:type="pct"/>
            <w:vMerge w:val="continue"/>
            <w:shd w:val="clear" w:color="auto" w:fill="auto"/>
            <w:vAlign w:val="center"/>
          </w:tcPr>
          <w:p w14:paraId="339FD0EC">
            <w:pPr>
              <w:pStyle w:val="44"/>
              <w:rPr>
                <w:rFonts w:hint="eastAsia" w:ascii="宋体" w:hAnsi="宋体" w:eastAsia="宋体" w:cs="宋体"/>
                <w:color w:val="auto"/>
                <w:sz w:val="22"/>
                <w:szCs w:val="22"/>
                <w:highlight w:val="none"/>
              </w:rPr>
            </w:pPr>
          </w:p>
        </w:tc>
        <w:tc>
          <w:tcPr>
            <w:tcW w:w="332" w:type="pct"/>
            <w:shd w:val="clear" w:color="auto" w:fill="auto"/>
            <w:vAlign w:val="center"/>
          </w:tcPr>
          <w:p w14:paraId="669A63FC">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子架3（岔道口至高新联通光层）</w:t>
            </w:r>
          </w:p>
        </w:tc>
        <w:tc>
          <w:tcPr>
            <w:tcW w:w="3239" w:type="pct"/>
            <w:shd w:val="clear" w:color="auto" w:fill="auto"/>
            <w:vAlign w:val="center"/>
          </w:tcPr>
          <w:p w14:paraId="1617FEAA">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8、本次配置增强型48路合/分波板2块，支持同步信息传送的光线路接口板1块，光放大单板1块。</w:t>
            </w:r>
          </w:p>
        </w:tc>
        <w:tc>
          <w:tcPr>
            <w:tcW w:w="184" w:type="pct"/>
            <w:shd w:val="clear" w:color="auto" w:fill="auto"/>
            <w:vAlign w:val="center"/>
          </w:tcPr>
          <w:p w14:paraId="19551C8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2B5BE65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0C76103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continue"/>
            <w:shd w:val="clear" w:color="auto" w:fill="auto"/>
            <w:vAlign w:val="center"/>
          </w:tcPr>
          <w:p w14:paraId="0F89735B">
            <w:pPr>
              <w:pStyle w:val="44"/>
              <w:rPr>
                <w:rFonts w:hint="eastAsia" w:ascii="宋体" w:hAnsi="宋体" w:eastAsia="宋体" w:cs="宋体"/>
                <w:color w:val="auto"/>
                <w:sz w:val="22"/>
                <w:szCs w:val="22"/>
                <w:highlight w:val="none"/>
              </w:rPr>
            </w:pPr>
          </w:p>
        </w:tc>
        <w:tc>
          <w:tcPr>
            <w:tcW w:w="345" w:type="pct"/>
            <w:vMerge w:val="continue"/>
            <w:vAlign w:val="center"/>
          </w:tcPr>
          <w:p w14:paraId="5A912DF2">
            <w:pPr>
              <w:pStyle w:val="44"/>
              <w:rPr>
                <w:rFonts w:hint="eastAsia" w:ascii="宋体" w:hAnsi="宋体" w:eastAsia="宋体" w:cs="宋体"/>
                <w:color w:val="auto"/>
                <w:sz w:val="22"/>
                <w:szCs w:val="22"/>
                <w:highlight w:val="none"/>
              </w:rPr>
            </w:pPr>
          </w:p>
        </w:tc>
        <w:tc>
          <w:tcPr>
            <w:tcW w:w="313" w:type="pct"/>
            <w:vMerge w:val="continue"/>
            <w:shd w:val="clear" w:color="auto" w:fill="auto"/>
            <w:vAlign w:val="center"/>
          </w:tcPr>
          <w:p w14:paraId="13DC85DD">
            <w:pPr>
              <w:pStyle w:val="44"/>
              <w:rPr>
                <w:rFonts w:hint="eastAsia" w:ascii="宋体" w:hAnsi="宋体" w:eastAsia="宋体" w:cs="宋体"/>
                <w:color w:val="auto"/>
                <w:sz w:val="22"/>
                <w:szCs w:val="22"/>
                <w:highlight w:val="none"/>
              </w:rPr>
            </w:pPr>
          </w:p>
        </w:tc>
        <w:tc>
          <w:tcPr>
            <w:tcW w:w="332" w:type="pct"/>
            <w:shd w:val="clear" w:color="auto" w:fill="auto"/>
            <w:vAlign w:val="center"/>
          </w:tcPr>
          <w:p w14:paraId="37B75298">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子架4（岔道口至数据中心主2光电合一子架）</w:t>
            </w:r>
          </w:p>
        </w:tc>
        <w:tc>
          <w:tcPr>
            <w:tcW w:w="3239" w:type="pct"/>
            <w:shd w:val="clear" w:color="auto" w:fill="auto"/>
            <w:vAlign w:val="center"/>
          </w:tcPr>
          <w:p w14:paraId="46A4D646">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增强型8路分插复用1块，支持同步信息传送的光线路接口板1块，光放大单板1块。4路10G统一线路业务处理板2块（每块单板含4个10G光模块），10路任意速率业务支路处理板2块（每块单板含3个10G多模光模块、7个GE多模光模块）。</w:t>
            </w:r>
          </w:p>
        </w:tc>
        <w:tc>
          <w:tcPr>
            <w:tcW w:w="184" w:type="pct"/>
            <w:shd w:val="clear" w:color="auto" w:fill="auto"/>
            <w:vAlign w:val="center"/>
          </w:tcPr>
          <w:p w14:paraId="4931E0A9">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04CEA1C5">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35BFA09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restart"/>
            <w:shd w:val="clear" w:color="auto" w:fill="auto"/>
            <w:vAlign w:val="center"/>
          </w:tcPr>
          <w:p w14:paraId="08CF4DA7">
            <w:pPr>
              <w:pStyle w:val="44"/>
              <w:rPr>
                <w:rFonts w:hint="eastAsia"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rPr>
              <w:t>2</w:t>
            </w:r>
          </w:p>
        </w:tc>
        <w:tc>
          <w:tcPr>
            <w:tcW w:w="345" w:type="pct"/>
            <w:vMerge w:val="continue"/>
            <w:vAlign w:val="center"/>
          </w:tcPr>
          <w:p w14:paraId="64973040">
            <w:pPr>
              <w:pStyle w:val="44"/>
              <w:rPr>
                <w:rFonts w:hint="eastAsia" w:ascii="宋体" w:hAnsi="宋体" w:eastAsia="宋体" w:cs="宋体"/>
                <w:color w:val="auto"/>
                <w:sz w:val="22"/>
                <w:szCs w:val="22"/>
                <w:highlight w:val="none"/>
              </w:rPr>
            </w:pPr>
          </w:p>
        </w:tc>
        <w:tc>
          <w:tcPr>
            <w:tcW w:w="313" w:type="pct"/>
            <w:vMerge w:val="restart"/>
            <w:shd w:val="clear" w:color="auto" w:fill="auto"/>
            <w:vAlign w:val="center"/>
          </w:tcPr>
          <w:p w14:paraId="7DAA0E1D">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高新联通传输设备</w:t>
            </w:r>
          </w:p>
        </w:tc>
        <w:tc>
          <w:tcPr>
            <w:tcW w:w="332" w:type="pct"/>
            <w:shd w:val="clear" w:color="auto" w:fill="auto"/>
            <w:vAlign w:val="center"/>
          </w:tcPr>
          <w:p w14:paraId="60BB098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子架1（电层）</w:t>
            </w:r>
          </w:p>
        </w:tc>
        <w:tc>
          <w:tcPr>
            <w:tcW w:w="3239" w:type="pct"/>
            <w:shd w:val="clear" w:color="auto" w:fill="auto"/>
            <w:vAlign w:val="center"/>
          </w:tcPr>
          <w:p w14:paraId="12DB236C">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8、本次配置4路10G统一线路业务处理板6块（每块单板含4个10G光模块），10路任意速率业务支路处理板3块（每块单板含4个10G多模光模块、6个GE多模光模块）。</w:t>
            </w:r>
          </w:p>
        </w:tc>
        <w:tc>
          <w:tcPr>
            <w:tcW w:w="184" w:type="pct"/>
            <w:shd w:val="clear" w:color="auto" w:fill="auto"/>
            <w:vAlign w:val="center"/>
          </w:tcPr>
          <w:p w14:paraId="05808939">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55E3BB9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1CF169E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continue"/>
            <w:shd w:val="clear" w:color="auto" w:fill="auto"/>
            <w:vAlign w:val="center"/>
          </w:tcPr>
          <w:p w14:paraId="4ACC7969">
            <w:pPr>
              <w:pStyle w:val="44"/>
              <w:rPr>
                <w:rFonts w:hint="eastAsia" w:ascii="宋体" w:hAnsi="宋体" w:eastAsia="宋体" w:cs="宋体"/>
                <w:color w:val="auto"/>
                <w:sz w:val="22"/>
                <w:szCs w:val="22"/>
                <w:highlight w:val="none"/>
              </w:rPr>
            </w:pPr>
          </w:p>
        </w:tc>
        <w:tc>
          <w:tcPr>
            <w:tcW w:w="345" w:type="pct"/>
            <w:vMerge w:val="continue"/>
            <w:vAlign w:val="center"/>
          </w:tcPr>
          <w:p w14:paraId="521BFDD8">
            <w:pPr>
              <w:pStyle w:val="44"/>
              <w:rPr>
                <w:rFonts w:hint="eastAsia" w:ascii="宋体" w:hAnsi="宋体" w:eastAsia="宋体" w:cs="宋体"/>
                <w:color w:val="auto"/>
                <w:sz w:val="22"/>
                <w:szCs w:val="22"/>
                <w:highlight w:val="none"/>
              </w:rPr>
            </w:pPr>
          </w:p>
        </w:tc>
        <w:tc>
          <w:tcPr>
            <w:tcW w:w="313" w:type="pct"/>
            <w:vMerge w:val="continue"/>
            <w:shd w:val="clear" w:color="auto" w:fill="auto"/>
            <w:vAlign w:val="center"/>
          </w:tcPr>
          <w:p w14:paraId="1602A793">
            <w:pPr>
              <w:pStyle w:val="44"/>
              <w:rPr>
                <w:rFonts w:hint="eastAsia" w:ascii="宋体" w:hAnsi="宋体" w:eastAsia="宋体" w:cs="宋体"/>
                <w:color w:val="auto"/>
                <w:sz w:val="22"/>
                <w:szCs w:val="22"/>
                <w:highlight w:val="none"/>
              </w:rPr>
            </w:pPr>
          </w:p>
        </w:tc>
        <w:tc>
          <w:tcPr>
            <w:tcW w:w="332" w:type="pct"/>
            <w:shd w:val="clear" w:color="auto" w:fill="auto"/>
            <w:vAlign w:val="center"/>
          </w:tcPr>
          <w:p w14:paraId="305CD11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子架2（高新联通至岔道口光层）</w:t>
            </w:r>
          </w:p>
        </w:tc>
        <w:tc>
          <w:tcPr>
            <w:tcW w:w="3239" w:type="pct"/>
            <w:shd w:val="clear" w:color="auto" w:fill="auto"/>
            <w:vAlign w:val="center"/>
          </w:tcPr>
          <w:p w14:paraId="6140BD68">
            <w:pPr>
              <w:widowControl/>
              <w:adjustRightInd/>
              <w:snapToGrid/>
              <w:spacing w:line="240" w:lineRule="auto"/>
              <w:ind w:firstLine="0" w:firstLineChars="0"/>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8、本次配置增强型48路合/分波板2块，支持同步信息传送的光线路接口板1块，光放大单板1块。</w:t>
            </w:r>
          </w:p>
        </w:tc>
        <w:tc>
          <w:tcPr>
            <w:tcW w:w="184" w:type="pct"/>
            <w:shd w:val="clear" w:color="auto" w:fill="auto"/>
            <w:vAlign w:val="center"/>
          </w:tcPr>
          <w:p w14:paraId="108453A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1238628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474B807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continue"/>
            <w:shd w:val="clear" w:color="auto" w:fill="auto"/>
            <w:vAlign w:val="center"/>
          </w:tcPr>
          <w:p w14:paraId="37B7B20B">
            <w:pPr>
              <w:pStyle w:val="44"/>
              <w:rPr>
                <w:rFonts w:hint="eastAsia" w:ascii="宋体" w:hAnsi="宋体" w:eastAsia="宋体" w:cs="宋体"/>
                <w:color w:val="auto"/>
                <w:sz w:val="22"/>
                <w:szCs w:val="22"/>
                <w:highlight w:val="none"/>
              </w:rPr>
            </w:pPr>
          </w:p>
        </w:tc>
        <w:tc>
          <w:tcPr>
            <w:tcW w:w="345" w:type="pct"/>
            <w:vMerge w:val="continue"/>
            <w:vAlign w:val="center"/>
          </w:tcPr>
          <w:p w14:paraId="6D151656">
            <w:pPr>
              <w:pStyle w:val="44"/>
              <w:rPr>
                <w:rFonts w:hint="eastAsia" w:ascii="宋体" w:hAnsi="宋体" w:eastAsia="宋体" w:cs="宋体"/>
                <w:color w:val="auto"/>
                <w:sz w:val="22"/>
                <w:szCs w:val="22"/>
                <w:highlight w:val="none"/>
              </w:rPr>
            </w:pPr>
          </w:p>
        </w:tc>
        <w:tc>
          <w:tcPr>
            <w:tcW w:w="313" w:type="pct"/>
            <w:vMerge w:val="continue"/>
            <w:shd w:val="clear" w:color="auto" w:fill="auto"/>
            <w:vAlign w:val="center"/>
          </w:tcPr>
          <w:p w14:paraId="50EC2C99">
            <w:pPr>
              <w:pStyle w:val="44"/>
              <w:rPr>
                <w:rFonts w:hint="eastAsia" w:ascii="宋体" w:hAnsi="宋体" w:eastAsia="宋体" w:cs="宋体"/>
                <w:color w:val="auto"/>
                <w:sz w:val="22"/>
                <w:szCs w:val="22"/>
                <w:highlight w:val="none"/>
              </w:rPr>
            </w:pPr>
          </w:p>
        </w:tc>
        <w:tc>
          <w:tcPr>
            <w:tcW w:w="332" w:type="pct"/>
            <w:shd w:val="clear" w:color="auto" w:fill="auto"/>
            <w:vAlign w:val="center"/>
          </w:tcPr>
          <w:p w14:paraId="75781B9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子架3（高新联通至一纬路光层）</w:t>
            </w:r>
          </w:p>
        </w:tc>
        <w:tc>
          <w:tcPr>
            <w:tcW w:w="3239" w:type="pct"/>
            <w:shd w:val="clear" w:color="auto" w:fill="auto"/>
            <w:vAlign w:val="center"/>
          </w:tcPr>
          <w:p w14:paraId="783CE6DD">
            <w:pPr>
              <w:widowControl/>
              <w:adjustRightInd/>
              <w:snapToGrid/>
              <w:spacing w:line="240" w:lineRule="auto"/>
              <w:ind w:firstLine="0" w:firstLineChars="0"/>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8、本次配置增强型48路合/分波板2块，支持同步信息传送的光线路接口板1块，光放大单板1块。</w:t>
            </w:r>
          </w:p>
        </w:tc>
        <w:tc>
          <w:tcPr>
            <w:tcW w:w="184" w:type="pct"/>
            <w:shd w:val="clear" w:color="auto" w:fill="auto"/>
            <w:vAlign w:val="center"/>
          </w:tcPr>
          <w:p w14:paraId="3C0A894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7AA2AF9A">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3D09DAC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restart"/>
            <w:shd w:val="clear" w:color="auto" w:fill="auto"/>
            <w:vAlign w:val="center"/>
          </w:tcPr>
          <w:p w14:paraId="693DEED9">
            <w:pPr>
              <w:pStyle w:val="44"/>
              <w:rPr>
                <w:rFonts w:hint="eastAsia"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rPr>
              <w:t>3</w:t>
            </w:r>
          </w:p>
        </w:tc>
        <w:tc>
          <w:tcPr>
            <w:tcW w:w="345" w:type="pct"/>
            <w:vMerge w:val="continue"/>
            <w:vAlign w:val="center"/>
          </w:tcPr>
          <w:p w14:paraId="73269ECB">
            <w:pPr>
              <w:pStyle w:val="44"/>
              <w:rPr>
                <w:rFonts w:hint="eastAsia" w:ascii="宋体" w:hAnsi="宋体" w:eastAsia="宋体" w:cs="宋体"/>
                <w:color w:val="auto"/>
                <w:sz w:val="22"/>
                <w:szCs w:val="22"/>
                <w:highlight w:val="none"/>
              </w:rPr>
            </w:pPr>
          </w:p>
        </w:tc>
        <w:tc>
          <w:tcPr>
            <w:tcW w:w="313" w:type="pct"/>
            <w:vMerge w:val="restart"/>
            <w:shd w:val="clear" w:color="auto" w:fill="auto"/>
            <w:vAlign w:val="center"/>
          </w:tcPr>
          <w:p w14:paraId="41D05904">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行政中心传输设备</w:t>
            </w:r>
          </w:p>
        </w:tc>
        <w:tc>
          <w:tcPr>
            <w:tcW w:w="332" w:type="pct"/>
            <w:shd w:val="clear" w:color="auto" w:fill="auto"/>
            <w:vAlign w:val="center"/>
          </w:tcPr>
          <w:p w14:paraId="19B5249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子架1（电层）</w:t>
            </w:r>
          </w:p>
        </w:tc>
        <w:tc>
          <w:tcPr>
            <w:tcW w:w="3239" w:type="pct"/>
            <w:shd w:val="clear" w:color="auto" w:fill="auto"/>
            <w:vAlign w:val="center"/>
          </w:tcPr>
          <w:p w14:paraId="63D3D113">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8、本次配置4路10G统一线路业务处理板8块（每块单板含4个10G光模块），10路任意速率业务支路处理板4块（每块单板含4个10G多模光模块、6个GE多模光模块）。</w:t>
            </w:r>
          </w:p>
        </w:tc>
        <w:tc>
          <w:tcPr>
            <w:tcW w:w="184" w:type="pct"/>
            <w:shd w:val="clear" w:color="auto" w:fill="auto"/>
            <w:vAlign w:val="center"/>
          </w:tcPr>
          <w:p w14:paraId="2CE7E47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525920A6">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4424C61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continue"/>
            <w:shd w:val="clear" w:color="auto" w:fill="auto"/>
            <w:vAlign w:val="center"/>
          </w:tcPr>
          <w:p w14:paraId="52D579E8">
            <w:pPr>
              <w:pStyle w:val="44"/>
              <w:rPr>
                <w:rFonts w:hint="eastAsia" w:ascii="宋体" w:hAnsi="宋体" w:eastAsia="宋体" w:cs="宋体"/>
                <w:color w:val="auto"/>
                <w:sz w:val="22"/>
                <w:szCs w:val="22"/>
                <w:highlight w:val="none"/>
              </w:rPr>
            </w:pPr>
          </w:p>
        </w:tc>
        <w:tc>
          <w:tcPr>
            <w:tcW w:w="345" w:type="pct"/>
            <w:vMerge w:val="continue"/>
            <w:vAlign w:val="center"/>
          </w:tcPr>
          <w:p w14:paraId="3BF3A2DC">
            <w:pPr>
              <w:pStyle w:val="44"/>
              <w:rPr>
                <w:rFonts w:hint="eastAsia" w:ascii="宋体" w:hAnsi="宋体" w:eastAsia="宋体" w:cs="宋体"/>
                <w:color w:val="auto"/>
                <w:sz w:val="22"/>
                <w:szCs w:val="22"/>
                <w:highlight w:val="none"/>
              </w:rPr>
            </w:pPr>
          </w:p>
        </w:tc>
        <w:tc>
          <w:tcPr>
            <w:tcW w:w="313" w:type="pct"/>
            <w:vMerge w:val="continue"/>
            <w:shd w:val="clear" w:color="auto" w:fill="auto"/>
            <w:vAlign w:val="center"/>
          </w:tcPr>
          <w:p w14:paraId="215A5B66">
            <w:pPr>
              <w:pStyle w:val="44"/>
              <w:rPr>
                <w:rFonts w:hint="eastAsia" w:ascii="宋体" w:hAnsi="宋体" w:eastAsia="宋体" w:cs="宋体"/>
                <w:color w:val="auto"/>
                <w:sz w:val="22"/>
                <w:szCs w:val="22"/>
                <w:highlight w:val="none"/>
              </w:rPr>
            </w:pPr>
          </w:p>
        </w:tc>
        <w:tc>
          <w:tcPr>
            <w:tcW w:w="332" w:type="pct"/>
            <w:shd w:val="clear" w:color="auto" w:fill="auto"/>
            <w:vAlign w:val="center"/>
          </w:tcPr>
          <w:p w14:paraId="1BE9EF5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子架2（行政中心至岔道口光层）</w:t>
            </w:r>
          </w:p>
        </w:tc>
        <w:tc>
          <w:tcPr>
            <w:tcW w:w="3239" w:type="pct"/>
            <w:shd w:val="clear" w:color="auto" w:fill="auto"/>
            <w:vAlign w:val="center"/>
          </w:tcPr>
          <w:p w14:paraId="6A039A1D">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8、本次配置增强型48路合/分波板2块，支持同步信息传送的光线路接口板1块，光放大单板1块。</w:t>
            </w:r>
          </w:p>
        </w:tc>
        <w:tc>
          <w:tcPr>
            <w:tcW w:w="184" w:type="pct"/>
            <w:shd w:val="clear" w:color="auto" w:fill="auto"/>
            <w:vAlign w:val="center"/>
          </w:tcPr>
          <w:p w14:paraId="0266269C">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60491AE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7789F82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continue"/>
            <w:shd w:val="clear" w:color="auto" w:fill="auto"/>
            <w:vAlign w:val="center"/>
          </w:tcPr>
          <w:p w14:paraId="214A9AD6">
            <w:pPr>
              <w:pStyle w:val="44"/>
              <w:rPr>
                <w:rFonts w:hint="eastAsia" w:ascii="宋体" w:hAnsi="宋体" w:eastAsia="宋体" w:cs="宋体"/>
                <w:color w:val="auto"/>
                <w:sz w:val="22"/>
                <w:szCs w:val="22"/>
                <w:highlight w:val="none"/>
              </w:rPr>
            </w:pPr>
          </w:p>
        </w:tc>
        <w:tc>
          <w:tcPr>
            <w:tcW w:w="345" w:type="pct"/>
            <w:vMerge w:val="continue"/>
            <w:vAlign w:val="center"/>
          </w:tcPr>
          <w:p w14:paraId="20CE85DD">
            <w:pPr>
              <w:pStyle w:val="44"/>
              <w:rPr>
                <w:rFonts w:hint="eastAsia" w:ascii="宋体" w:hAnsi="宋体" w:eastAsia="宋体" w:cs="宋体"/>
                <w:color w:val="auto"/>
                <w:sz w:val="22"/>
                <w:szCs w:val="22"/>
                <w:highlight w:val="none"/>
              </w:rPr>
            </w:pPr>
          </w:p>
        </w:tc>
        <w:tc>
          <w:tcPr>
            <w:tcW w:w="313" w:type="pct"/>
            <w:vMerge w:val="continue"/>
            <w:shd w:val="clear" w:color="auto" w:fill="auto"/>
            <w:vAlign w:val="center"/>
          </w:tcPr>
          <w:p w14:paraId="36973BE4">
            <w:pPr>
              <w:pStyle w:val="44"/>
              <w:rPr>
                <w:rFonts w:hint="eastAsia" w:ascii="宋体" w:hAnsi="宋体" w:eastAsia="宋体" w:cs="宋体"/>
                <w:color w:val="auto"/>
                <w:sz w:val="22"/>
                <w:szCs w:val="22"/>
                <w:highlight w:val="none"/>
              </w:rPr>
            </w:pPr>
          </w:p>
        </w:tc>
        <w:tc>
          <w:tcPr>
            <w:tcW w:w="332" w:type="pct"/>
            <w:shd w:val="clear" w:color="auto" w:fill="auto"/>
            <w:vAlign w:val="center"/>
          </w:tcPr>
          <w:p w14:paraId="63F7C92D">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子架3（行政中心至一纬路光层）</w:t>
            </w:r>
          </w:p>
        </w:tc>
        <w:tc>
          <w:tcPr>
            <w:tcW w:w="3239" w:type="pct"/>
            <w:shd w:val="clear" w:color="auto" w:fill="auto"/>
            <w:vAlign w:val="center"/>
          </w:tcPr>
          <w:p w14:paraId="6B914C73">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8、本次配置增强型48路合/分波板2块，支持同步信息传送的光线路接口板1块，光放大单板1块。</w:t>
            </w:r>
          </w:p>
        </w:tc>
        <w:tc>
          <w:tcPr>
            <w:tcW w:w="184" w:type="pct"/>
            <w:shd w:val="clear" w:color="auto" w:fill="auto"/>
            <w:vAlign w:val="center"/>
          </w:tcPr>
          <w:p w14:paraId="13E34668">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5BD758EC">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3576583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restart"/>
            <w:shd w:val="clear" w:color="auto" w:fill="auto"/>
            <w:vAlign w:val="center"/>
          </w:tcPr>
          <w:p w14:paraId="026B59BF">
            <w:pPr>
              <w:pStyle w:val="44"/>
              <w:rPr>
                <w:rFonts w:hint="eastAsia"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rPr>
              <w:t>4</w:t>
            </w:r>
          </w:p>
        </w:tc>
        <w:tc>
          <w:tcPr>
            <w:tcW w:w="345" w:type="pct"/>
            <w:vMerge w:val="continue"/>
            <w:vAlign w:val="center"/>
          </w:tcPr>
          <w:p w14:paraId="7D20AFF0">
            <w:pPr>
              <w:pStyle w:val="44"/>
              <w:rPr>
                <w:rFonts w:hint="eastAsia" w:ascii="宋体" w:hAnsi="宋体" w:eastAsia="宋体" w:cs="宋体"/>
                <w:color w:val="auto"/>
                <w:sz w:val="22"/>
                <w:szCs w:val="22"/>
                <w:highlight w:val="none"/>
              </w:rPr>
            </w:pPr>
          </w:p>
        </w:tc>
        <w:tc>
          <w:tcPr>
            <w:tcW w:w="313" w:type="pct"/>
            <w:vMerge w:val="restart"/>
            <w:shd w:val="clear" w:color="auto" w:fill="auto"/>
            <w:vAlign w:val="center"/>
          </w:tcPr>
          <w:p w14:paraId="66D3A67B">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一纬路传输设备</w:t>
            </w:r>
          </w:p>
        </w:tc>
        <w:tc>
          <w:tcPr>
            <w:tcW w:w="332" w:type="pct"/>
            <w:shd w:val="clear" w:color="auto" w:fill="auto"/>
            <w:vAlign w:val="center"/>
          </w:tcPr>
          <w:p w14:paraId="4B59B8E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子架1（电层）</w:t>
            </w:r>
          </w:p>
        </w:tc>
        <w:tc>
          <w:tcPr>
            <w:tcW w:w="3239" w:type="pct"/>
            <w:shd w:val="clear" w:color="auto" w:fill="auto"/>
            <w:vAlign w:val="center"/>
          </w:tcPr>
          <w:p w14:paraId="412ED4A4">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8、本次配置4路10G统一线路业务处理板3块（每块单板含4个10G光模块），10路任意速率业务支路处理板3块（每块单板含4个10G多模光模块、6个GE多模光模块）。</w:t>
            </w:r>
          </w:p>
        </w:tc>
        <w:tc>
          <w:tcPr>
            <w:tcW w:w="184" w:type="pct"/>
            <w:shd w:val="clear" w:color="auto" w:fill="auto"/>
            <w:vAlign w:val="center"/>
          </w:tcPr>
          <w:p w14:paraId="5093686E">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3C614DDE">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65F672E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continue"/>
            <w:shd w:val="clear" w:color="auto" w:fill="auto"/>
            <w:vAlign w:val="center"/>
          </w:tcPr>
          <w:p w14:paraId="199224E3">
            <w:pPr>
              <w:pStyle w:val="44"/>
              <w:rPr>
                <w:rFonts w:hint="eastAsia" w:ascii="宋体" w:hAnsi="宋体" w:eastAsia="宋体" w:cs="宋体"/>
                <w:color w:val="auto"/>
                <w:sz w:val="22"/>
                <w:szCs w:val="22"/>
                <w:highlight w:val="none"/>
              </w:rPr>
            </w:pPr>
          </w:p>
        </w:tc>
        <w:tc>
          <w:tcPr>
            <w:tcW w:w="345" w:type="pct"/>
            <w:vMerge w:val="continue"/>
            <w:vAlign w:val="center"/>
          </w:tcPr>
          <w:p w14:paraId="11142204">
            <w:pPr>
              <w:pStyle w:val="44"/>
              <w:rPr>
                <w:rFonts w:hint="eastAsia" w:ascii="宋体" w:hAnsi="宋体" w:eastAsia="宋体" w:cs="宋体"/>
                <w:color w:val="auto"/>
                <w:sz w:val="22"/>
                <w:szCs w:val="22"/>
                <w:highlight w:val="none"/>
              </w:rPr>
            </w:pPr>
          </w:p>
        </w:tc>
        <w:tc>
          <w:tcPr>
            <w:tcW w:w="313" w:type="pct"/>
            <w:vMerge w:val="continue"/>
            <w:shd w:val="clear" w:color="auto" w:fill="auto"/>
            <w:vAlign w:val="center"/>
          </w:tcPr>
          <w:p w14:paraId="0E714435">
            <w:pPr>
              <w:pStyle w:val="44"/>
              <w:rPr>
                <w:rFonts w:hint="eastAsia" w:ascii="宋体" w:hAnsi="宋体" w:eastAsia="宋体" w:cs="宋体"/>
                <w:color w:val="auto"/>
                <w:sz w:val="22"/>
                <w:szCs w:val="22"/>
                <w:highlight w:val="none"/>
              </w:rPr>
            </w:pPr>
          </w:p>
        </w:tc>
        <w:tc>
          <w:tcPr>
            <w:tcW w:w="332" w:type="pct"/>
            <w:shd w:val="clear" w:color="auto" w:fill="auto"/>
            <w:vAlign w:val="center"/>
          </w:tcPr>
          <w:p w14:paraId="5805011A">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子架2（一纬路至高新联通方向光层）</w:t>
            </w:r>
          </w:p>
        </w:tc>
        <w:tc>
          <w:tcPr>
            <w:tcW w:w="3239" w:type="pct"/>
            <w:shd w:val="clear" w:color="auto" w:fill="auto"/>
            <w:vAlign w:val="center"/>
          </w:tcPr>
          <w:p w14:paraId="4B633742">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8、本次配置增强型48路合/分波板2块，支持同步信息传送的光线路接口板1块，光放大单板1块。</w:t>
            </w:r>
          </w:p>
        </w:tc>
        <w:tc>
          <w:tcPr>
            <w:tcW w:w="184" w:type="pct"/>
            <w:shd w:val="clear" w:color="auto" w:fill="auto"/>
            <w:vAlign w:val="center"/>
          </w:tcPr>
          <w:p w14:paraId="49A73D8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2953014C">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469D29F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vMerge w:val="continue"/>
            <w:shd w:val="clear" w:color="auto" w:fill="auto"/>
            <w:vAlign w:val="center"/>
          </w:tcPr>
          <w:p w14:paraId="0A09516F">
            <w:pPr>
              <w:pStyle w:val="44"/>
              <w:rPr>
                <w:rFonts w:hint="eastAsia" w:ascii="宋体" w:hAnsi="宋体" w:eastAsia="宋体" w:cs="宋体"/>
                <w:color w:val="auto"/>
                <w:sz w:val="22"/>
                <w:szCs w:val="22"/>
                <w:highlight w:val="none"/>
              </w:rPr>
            </w:pPr>
          </w:p>
        </w:tc>
        <w:tc>
          <w:tcPr>
            <w:tcW w:w="345" w:type="pct"/>
            <w:vMerge w:val="continue"/>
            <w:vAlign w:val="center"/>
          </w:tcPr>
          <w:p w14:paraId="5512FBCA">
            <w:pPr>
              <w:pStyle w:val="44"/>
              <w:rPr>
                <w:rFonts w:hint="eastAsia" w:ascii="宋体" w:hAnsi="宋体" w:eastAsia="宋体" w:cs="宋体"/>
                <w:color w:val="auto"/>
                <w:sz w:val="22"/>
                <w:szCs w:val="22"/>
                <w:highlight w:val="none"/>
              </w:rPr>
            </w:pPr>
          </w:p>
        </w:tc>
        <w:tc>
          <w:tcPr>
            <w:tcW w:w="313" w:type="pct"/>
            <w:vMerge w:val="continue"/>
            <w:shd w:val="clear" w:color="auto" w:fill="auto"/>
            <w:vAlign w:val="center"/>
          </w:tcPr>
          <w:p w14:paraId="253428E5">
            <w:pPr>
              <w:pStyle w:val="44"/>
              <w:rPr>
                <w:rFonts w:hint="eastAsia" w:ascii="宋体" w:hAnsi="宋体" w:eastAsia="宋体" w:cs="宋体"/>
                <w:color w:val="auto"/>
                <w:sz w:val="22"/>
                <w:szCs w:val="22"/>
                <w:highlight w:val="none"/>
              </w:rPr>
            </w:pPr>
          </w:p>
        </w:tc>
        <w:tc>
          <w:tcPr>
            <w:tcW w:w="332" w:type="pct"/>
            <w:shd w:val="clear" w:color="auto" w:fill="auto"/>
            <w:vAlign w:val="center"/>
          </w:tcPr>
          <w:p w14:paraId="1DDC99A8">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子架3（一纬路至省行政中心方向光层）</w:t>
            </w:r>
          </w:p>
        </w:tc>
        <w:tc>
          <w:tcPr>
            <w:tcW w:w="3239" w:type="pct"/>
            <w:shd w:val="clear" w:color="auto" w:fill="auto"/>
            <w:vAlign w:val="center"/>
          </w:tcPr>
          <w:p w14:paraId="1DD1109C">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8、本次配置增强型48路合/分波板2块，支持同步信息传送的光线路接口板1块，光放大单板1块。</w:t>
            </w:r>
          </w:p>
        </w:tc>
        <w:tc>
          <w:tcPr>
            <w:tcW w:w="184" w:type="pct"/>
            <w:shd w:val="clear" w:color="auto" w:fill="auto"/>
            <w:vAlign w:val="center"/>
          </w:tcPr>
          <w:p w14:paraId="46503AD8">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5FF71CC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291D218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21B13987">
            <w:pPr>
              <w:pStyle w:val="44"/>
              <w:rPr>
                <w:rFonts w:hint="eastAsia"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rPr>
              <w:t>5</w:t>
            </w:r>
          </w:p>
        </w:tc>
        <w:tc>
          <w:tcPr>
            <w:tcW w:w="345" w:type="pct"/>
            <w:vMerge w:val="continue"/>
            <w:vAlign w:val="center"/>
          </w:tcPr>
          <w:p w14:paraId="7D198901">
            <w:pPr>
              <w:pStyle w:val="44"/>
              <w:rPr>
                <w:rFonts w:hint="eastAsia" w:ascii="宋体" w:hAnsi="宋体" w:eastAsia="宋体" w:cs="宋体"/>
                <w:color w:val="auto"/>
                <w:sz w:val="22"/>
                <w:szCs w:val="22"/>
                <w:highlight w:val="none"/>
              </w:rPr>
            </w:pPr>
          </w:p>
        </w:tc>
        <w:tc>
          <w:tcPr>
            <w:tcW w:w="313" w:type="pct"/>
            <w:shd w:val="clear" w:color="auto" w:fill="auto"/>
            <w:vAlign w:val="center"/>
          </w:tcPr>
          <w:p w14:paraId="655DC50B">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数据中心（主2）传输设备</w:t>
            </w:r>
          </w:p>
        </w:tc>
        <w:tc>
          <w:tcPr>
            <w:tcW w:w="332" w:type="pct"/>
            <w:shd w:val="clear" w:color="auto" w:fill="auto"/>
            <w:vAlign w:val="center"/>
          </w:tcPr>
          <w:p w14:paraId="12D2A419">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子架1（行政中心主2至岔道口）</w:t>
            </w:r>
          </w:p>
        </w:tc>
        <w:tc>
          <w:tcPr>
            <w:tcW w:w="3239" w:type="pct"/>
            <w:shd w:val="clear" w:color="auto" w:fill="auto"/>
            <w:vAlign w:val="center"/>
          </w:tcPr>
          <w:p w14:paraId="6AF3F5BC">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1、设备业务槽位数量不少于14个，本次配置DC供电。</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2、设备的电源、控制、时钟板、交叉板要求配置1+1保护。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3、设备平台OTN交叉能力不小于2.8Tbit/s、不小于160Gbit/s VC4、不小于20 Gbit/s VC3/VC12、不小于920Gbit/s Packet。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4、支持提供多种网络级保护，支持客户侧1+1保护、板内1+1保护、ODUk SNCP、光线路保护、支路SNCP、LPT、OSUflex SNCP等OTN保护；支持SNCP、线性复用段保护、环形复用段保护、TPS保护、E1 SNCP、64K SNCP、无损保护倒换、多路径无损保护等SDH保护；支持LAG、DLAG、LCAS、LPT、STP/RSTP等EOS保护：支持Tunnel APS、PW APS/FPS、LPT、LAG、ERPS、分组 SNCP、MC-PW APS、MC-LAG、MRPS等PKT保护。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5、设备的光模块核心芯片、业务处理芯片、交叉芯片，主控CPU芯片支持国产化。</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6、设备单槽位支持400G业务接入，线路速率支持1.25Gbit/s、2.5Gbit/s、10Gbit/s、25Gbit/s、100Gbit/s、200 Gbit/s、400Gbit/s。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7、支持STM-1/4/16/64、FE/GE/10GE、FC1G/2G/4G/8G/16G/32G业务混合接入。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本次配置增强型8路分插复用1块，支持同步信息传送的光线路接口板1块，光放大单板1块。4路10G统一线路业务处理板2块（每块单板含4个10G光模块），10路任意速率业务支路处理板2块（每块单板含3个10G多模光模块、7个GE多模光模块）。</w:t>
            </w:r>
          </w:p>
        </w:tc>
        <w:tc>
          <w:tcPr>
            <w:tcW w:w="184" w:type="pct"/>
            <w:shd w:val="clear" w:color="auto" w:fill="auto"/>
            <w:vAlign w:val="center"/>
          </w:tcPr>
          <w:p w14:paraId="7FAB97FD">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19A966F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383964D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5D028C71">
            <w:pPr>
              <w:pStyle w:val="44"/>
              <w:rPr>
                <w:rFonts w:hint="eastAsia"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rPr>
              <w:t>6</w:t>
            </w:r>
          </w:p>
        </w:tc>
        <w:tc>
          <w:tcPr>
            <w:tcW w:w="345" w:type="pct"/>
            <w:vMerge w:val="restart"/>
            <w:shd w:val="clear" w:color="auto" w:fill="auto"/>
            <w:vAlign w:val="center"/>
          </w:tcPr>
          <w:p w14:paraId="0DF7314A">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升级改造乡镇网络</w:t>
            </w:r>
          </w:p>
        </w:tc>
        <w:tc>
          <w:tcPr>
            <w:tcW w:w="645" w:type="pct"/>
            <w:gridSpan w:val="2"/>
            <w:shd w:val="clear" w:color="auto" w:fill="auto"/>
            <w:vAlign w:val="center"/>
          </w:tcPr>
          <w:p w14:paraId="49F6A349">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rPr>
              <w:t>乡镇核心交换机</w:t>
            </w:r>
            <w:r>
              <w:rPr>
                <w:rFonts w:hint="eastAsia" w:ascii="宋体" w:hAnsi="宋体" w:eastAsia="宋体" w:cs="宋体"/>
                <w:color w:val="auto"/>
                <w:sz w:val="22"/>
                <w:szCs w:val="22"/>
                <w:highlight w:val="none"/>
                <w:lang w:val="en-US" w:eastAsia="zh-CN"/>
              </w:rPr>
              <w:t>-1</w:t>
            </w:r>
          </w:p>
        </w:tc>
        <w:tc>
          <w:tcPr>
            <w:tcW w:w="3239" w:type="pct"/>
            <w:shd w:val="clear" w:color="auto" w:fill="auto"/>
            <w:vAlign w:val="center"/>
          </w:tcPr>
          <w:p w14:paraId="68883867">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1、交换容量≥2.4Tbps，包转发率≥600Mpps；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2、提供≥48个10/100/1000BASE-T，≥4个万兆SFP+口，配置≥4个千兆单模光模块；</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10、采用国产化芯片。</w:t>
            </w:r>
          </w:p>
          <w:p w14:paraId="1166A061">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lang w:val="en-US" w:eastAsia="zh-CN"/>
              </w:rPr>
            </w:pPr>
            <w:r>
              <w:rPr>
                <w:rFonts w:hint="eastAsia" w:ascii="宋体" w:hAnsi="宋体" w:eastAsia="宋体" w:cs="宋体"/>
                <w:color w:val="auto"/>
                <w:kern w:val="0"/>
                <w:sz w:val="22"/>
                <w:szCs w:val="22"/>
                <w:highlight w:val="none"/>
                <w:lang w:val="en-US" w:eastAsia="zh-CN"/>
              </w:rPr>
              <w:t>11、与</w:t>
            </w:r>
            <w:r>
              <w:rPr>
                <w:rFonts w:hint="eastAsia" w:ascii="宋体" w:hAnsi="宋体" w:eastAsia="宋体" w:cs="宋体"/>
                <w:color w:val="auto"/>
                <w:kern w:val="0"/>
                <w:sz w:val="22"/>
                <w:szCs w:val="22"/>
                <w:highlight w:val="none"/>
              </w:rPr>
              <w:t>县级汇聚交换机</w:t>
            </w:r>
            <w:r>
              <w:rPr>
                <w:rFonts w:hint="eastAsia" w:ascii="宋体" w:hAnsi="宋体" w:eastAsia="宋体" w:cs="宋体"/>
                <w:color w:val="auto"/>
                <w:kern w:val="0"/>
                <w:sz w:val="22"/>
                <w:szCs w:val="22"/>
                <w:highlight w:val="none"/>
                <w:lang w:val="en-US" w:eastAsia="zh-CN"/>
              </w:rPr>
              <w:t>-1应为同一品牌。</w:t>
            </w:r>
          </w:p>
          <w:p w14:paraId="3DDD4C60">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sz w:val="22"/>
                <w:szCs w:val="22"/>
                <w:highlight w:val="none"/>
                <w:lang w:val="en-US" w:eastAsia="zh-CN"/>
              </w:rPr>
            </w:pPr>
            <w:r>
              <w:rPr>
                <w:rFonts w:hint="eastAsia" w:ascii="宋体" w:hAnsi="宋体" w:eastAsia="宋体" w:cs="宋体"/>
                <w:color w:val="auto"/>
                <w:kern w:val="0"/>
                <w:sz w:val="22"/>
                <w:szCs w:val="22"/>
                <w:highlight w:val="none"/>
                <w:lang w:val="en-US" w:eastAsia="zh-CN"/>
              </w:rPr>
              <w:t>12、不能与</w:t>
            </w:r>
            <w:r>
              <w:rPr>
                <w:rFonts w:hint="eastAsia" w:ascii="宋体" w:hAnsi="宋体" w:eastAsia="宋体" w:cs="宋体"/>
                <w:color w:val="auto"/>
                <w:kern w:val="0"/>
                <w:sz w:val="22"/>
                <w:szCs w:val="22"/>
                <w:highlight w:val="none"/>
              </w:rPr>
              <w:t>乡镇核心交换机</w:t>
            </w:r>
            <w:r>
              <w:rPr>
                <w:rFonts w:hint="eastAsia" w:ascii="宋体" w:hAnsi="宋体" w:eastAsia="宋体" w:cs="宋体"/>
                <w:color w:val="auto"/>
                <w:kern w:val="0"/>
                <w:sz w:val="22"/>
                <w:szCs w:val="22"/>
                <w:highlight w:val="none"/>
                <w:lang w:val="en-US" w:eastAsia="zh-CN"/>
              </w:rPr>
              <w:t>-2、</w:t>
            </w:r>
            <w:r>
              <w:rPr>
                <w:rFonts w:hint="eastAsia" w:ascii="宋体" w:hAnsi="宋体" w:eastAsia="宋体" w:cs="宋体"/>
                <w:color w:val="auto"/>
                <w:kern w:val="0"/>
                <w:sz w:val="22"/>
                <w:szCs w:val="22"/>
                <w:highlight w:val="none"/>
              </w:rPr>
              <w:t>乡镇核心交换机</w:t>
            </w:r>
            <w:r>
              <w:rPr>
                <w:rFonts w:hint="eastAsia" w:ascii="宋体" w:hAnsi="宋体" w:eastAsia="宋体" w:cs="宋体"/>
                <w:color w:val="auto"/>
                <w:kern w:val="0"/>
                <w:sz w:val="22"/>
                <w:szCs w:val="22"/>
                <w:highlight w:val="none"/>
                <w:lang w:val="en-US" w:eastAsia="zh-CN"/>
              </w:rPr>
              <w:t>-3为同一品牌。</w:t>
            </w:r>
          </w:p>
        </w:tc>
        <w:tc>
          <w:tcPr>
            <w:tcW w:w="184" w:type="pct"/>
            <w:shd w:val="clear" w:color="auto" w:fill="auto"/>
            <w:vAlign w:val="center"/>
          </w:tcPr>
          <w:p w14:paraId="3D61619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234BE64F">
            <w:pPr>
              <w:pStyle w:val="44"/>
              <w:ind w:firstLine="0" w:firstLineChars="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671</w:t>
            </w:r>
          </w:p>
        </w:tc>
      </w:tr>
      <w:tr w14:paraId="657833F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7AFB1D2D">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7</w:t>
            </w:r>
          </w:p>
        </w:tc>
        <w:tc>
          <w:tcPr>
            <w:tcW w:w="345" w:type="pct"/>
            <w:vMerge w:val="continue"/>
            <w:shd w:val="clear" w:color="auto" w:fill="auto"/>
            <w:vAlign w:val="center"/>
          </w:tcPr>
          <w:p w14:paraId="113DE0A8">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13B1A36E">
            <w:pPr>
              <w:pStyle w:val="44"/>
              <w:rPr>
                <w:rFonts w:hint="eastAsia"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rPr>
              <w:t>乡镇核心交换机</w:t>
            </w:r>
            <w:r>
              <w:rPr>
                <w:rFonts w:hint="eastAsia" w:ascii="宋体" w:hAnsi="宋体" w:eastAsia="宋体" w:cs="宋体"/>
                <w:color w:val="auto"/>
                <w:sz w:val="22"/>
                <w:szCs w:val="22"/>
                <w:highlight w:val="none"/>
                <w:lang w:val="en-US" w:eastAsia="zh-CN"/>
              </w:rPr>
              <w:t>-2</w:t>
            </w:r>
          </w:p>
        </w:tc>
        <w:tc>
          <w:tcPr>
            <w:tcW w:w="3239" w:type="pct"/>
            <w:shd w:val="clear" w:color="auto" w:fill="auto"/>
            <w:vAlign w:val="center"/>
          </w:tcPr>
          <w:p w14:paraId="28ECA71C">
            <w:pPr>
              <w:keepNext w:val="0"/>
              <w:keepLines w:val="0"/>
              <w:pageBreakBefore w:val="0"/>
              <w:widowControl/>
              <w:numPr>
                <w:ilvl w:val="0"/>
                <w:numId w:val="2"/>
              </w:numPr>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交换容量≥2.4Tbps，包转发率≥600Mpps；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2、提供≥48个10/100/1000BASE-T，≥4个万兆SFP+口，配置≥4个千兆单模光模块；</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10、采用国产化芯片。</w:t>
            </w:r>
          </w:p>
          <w:p w14:paraId="669F0ABD">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lang w:val="en-US" w:eastAsia="zh-CN"/>
              </w:rPr>
            </w:pPr>
            <w:r>
              <w:rPr>
                <w:rFonts w:hint="eastAsia" w:ascii="宋体" w:hAnsi="宋体" w:eastAsia="宋体" w:cs="宋体"/>
                <w:color w:val="auto"/>
                <w:kern w:val="0"/>
                <w:sz w:val="22"/>
                <w:szCs w:val="22"/>
                <w:highlight w:val="none"/>
                <w:lang w:val="en-US" w:eastAsia="zh-CN"/>
              </w:rPr>
              <w:t>11、与</w:t>
            </w:r>
            <w:r>
              <w:rPr>
                <w:rFonts w:hint="eastAsia" w:ascii="宋体" w:hAnsi="宋体" w:eastAsia="宋体" w:cs="宋体"/>
                <w:color w:val="auto"/>
                <w:kern w:val="0"/>
                <w:sz w:val="22"/>
                <w:szCs w:val="22"/>
                <w:highlight w:val="none"/>
              </w:rPr>
              <w:t>县级汇聚交换机</w:t>
            </w:r>
            <w:r>
              <w:rPr>
                <w:rFonts w:hint="eastAsia" w:ascii="宋体" w:hAnsi="宋体" w:eastAsia="宋体" w:cs="宋体"/>
                <w:color w:val="auto"/>
                <w:kern w:val="0"/>
                <w:sz w:val="22"/>
                <w:szCs w:val="22"/>
                <w:highlight w:val="none"/>
                <w:lang w:val="en-US" w:eastAsia="zh-CN"/>
              </w:rPr>
              <w:t>-2应为同一品牌。</w:t>
            </w:r>
          </w:p>
          <w:p w14:paraId="50CEB94B">
            <w:pPr>
              <w:keepNext w:val="0"/>
              <w:keepLines w:val="0"/>
              <w:pageBreakBefore w:val="0"/>
              <w:widowControl/>
              <w:numPr>
                <w:ilvl w:val="0"/>
                <w:numId w:val="0"/>
              </w:numPr>
              <w:kinsoku w:val="0"/>
              <w:wordWrap/>
              <w:overflowPunct/>
              <w:topLinePunct w:val="0"/>
              <w:autoSpaceDE w:val="0"/>
              <w:autoSpaceDN w:val="0"/>
              <w:bidi w:val="0"/>
              <w:adjustRightInd/>
              <w:snapToGrid/>
              <w:spacing w:after="0" w:line="240" w:lineRule="auto"/>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lang w:val="en-US" w:eastAsia="zh-CN"/>
              </w:rPr>
              <w:t>12、不能与</w:t>
            </w:r>
            <w:r>
              <w:rPr>
                <w:rFonts w:hint="eastAsia" w:ascii="宋体" w:hAnsi="宋体" w:eastAsia="宋体" w:cs="宋体"/>
                <w:color w:val="auto"/>
                <w:kern w:val="0"/>
                <w:sz w:val="22"/>
                <w:szCs w:val="22"/>
                <w:highlight w:val="none"/>
              </w:rPr>
              <w:t>乡镇核心交换机</w:t>
            </w:r>
            <w:r>
              <w:rPr>
                <w:rFonts w:hint="eastAsia" w:ascii="宋体" w:hAnsi="宋体" w:eastAsia="宋体" w:cs="宋体"/>
                <w:color w:val="auto"/>
                <w:kern w:val="0"/>
                <w:sz w:val="22"/>
                <w:szCs w:val="22"/>
                <w:highlight w:val="none"/>
                <w:lang w:val="en-US" w:eastAsia="zh-CN"/>
              </w:rPr>
              <w:t>-1、</w:t>
            </w:r>
            <w:r>
              <w:rPr>
                <w:rFonts w:hint="eastAsia" w:ascii="宋体" w:hAnsi="宋体" w:eastAsia="宋体" w:cs="宋体"/>
                <w:color w:val="auto"/>
                <w:kern w:val="0"/>
                <w:sz w:val="22"/>
                <w:szCs w:val="22"/>
                <w:highlight w:val="none"/>
              </w:rPr>
              <w:t>乡镇核心交换机</w:t>
            </w:r>
            <w:r>
              <w:rPr>
                <w:rFonts w:hint="eastAsia" w:ascii="宋体" w:hAnsi="宋体" w:eastAsia="宋体" w:cs="宋体"/>
                <w:color w:val="auto"/>
                <w:kern w:val="0"/>
                <w:sz w:val="22"/>
                <w:szCs w:val="22"/>
                <w:highlight w:val="none"/>
                <w:lang w:val="en-US" w:eastAsia="zh-CN"/>
              </w:rPr>
              <w:t>-3为同一品牌。</w:t>
            </w:r>
          </w:p>
        </w:tc>
        <w:tc>
          <w:tcPr>
            <w:tcW w:w="184" w:type="pct"/>
            <w:shd w:val="clear" w:color="auto" w:fill="auto"/>
            <w:vAlign w:val="center"/>
          </w:tcPr>
          <w:p w14:paraId="7BED9007">
            <w:pPr>
              <w:pStyle w:val="44"/>
              <w:rPr>
                <w:rFonts w:hint="eastAsia" w:ascii="宋体" w:hAnsi="宋体" w:eastAsia="宋体" w:cs="宋体"/>
                <w:color w:val="auto"/>
                <w:sz w:val="22"/>
                <w:szCs w:val="22"/>
                <w:highlight w:val="none"/>
              </w:rPr>
            </w:pPr>
          </w:p>
        </w:tc>
        <w:tc>
          <w:tcPr>
            <w:tcW w:w="295" w:type="pct"/>
            <w:shd w:val="clear" w:color="auto" w:fill="auto"/>
            <w:vAlign w:val="center"/>
          </w:tcPr>
          <w:p w14:paraId="4F38FE09">
            <w:pPr>
              <w:pStyle w:val="44"/>
              <w:ind w:firstLine="0" w:firstLineChars="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486</w:t>
            </w:r>
          </w:p>
        </w:tc>
      </w:tr>
      <w:tr w14:paraId="6D7BA6B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3E46C5C1">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8</w:t>
            </w:r>
          </w:p>
        </w:tc>
        <w:tc>
          <w:tcPr>
            <w:tcW w:w="345" w:type="pct"/>
            <w:vMerge w:val="continue"/>
            <w:shd w:val="clear" w:color="auto" w:fill="auto"/>
            <w:vAlign w:val="center"/>
          </w:tcPr>
          <w:p w14:paraId="513A0F83">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22E87245">
            <w:pPr>
              <w:pStyle w:val="44"/>
              <w:rPr>
                <w:rFonts w:hint="eastAsia"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rPr>
              <w:t>乡镇核心交换机</w:t>
            </w:r>
            <w:r>
              <w:rPr>
                <w:rFonts w:hint="eastAsia" w:ascii="宋体" w:hAnsi="宋体" w:eastAsia="宋体" w:cs="宋体"/>
                <w:color w:val="auto"/>
                <w:sz w:val="22"/>
                <w:szCs w:val="22"/>
                <w:highlight w:val="none"/>
                <w:lang w:val="en-US" w:eastAsia="zh-CN"/>
              </w:rPr>
              <w:t>-3</w:t>
            </w:r>
          </w:p>
        </w:tc>
        <w:tc>
          <w:tcPr>
            <w:tcW w:w="3239" w:type="pct"/>
            <w:shd w:val="clear" w:color="auto" w:fill="auto"/>
            <w:vAlign w:val="center"/>
          </w:tcPr>
          <w:p w14:paraId="5B680A54">
            <w:pPr>
              <w:keepNext w:val="0"/>
              <w:keepLines w:val="0"/>
              <w:pageBreakBefore w:val="0"/>
              <w:widowControl/>
              <w:numPr>
                <w:ilvl w:val="0"/>
                <w:numId w:val="3"/>
              </w:numPr>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交换容量≥2.4Tbps，包转发率≥600Mpps；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2、提供≥48个10/100/1000BASE-T，≥4个万兆SFP+口，配置≥4个千兆单模光模块；</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10、采用国产化芯片。</w:t>
            </w:r>
          </w:p>
          <w:p w14:paraId="565163EB">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lang w:val="en-US" w:eastAsia="zh-CN"/>
              </w:rPr>
            </w:pPr>
            <w:r>
              <w:rPr>
                <w:rFonts w:hint="eastAsia" w:ascii="宋体" w:hAnsi="宋体" w:eastAsia="宋体" w:cs="宋体"/>
                <w:color w:val="auto"/>
                <w:kern w:val="0"/>
                <w:sz w:val="22"/>
                <w:szCs w:val="22"/>
                <w:highlight w:val="none"/>
                <w:lang w:val="en-US" w:eastAsia="zh-CN"/>
              </w:rPr>
              <w:t>11、与</w:t>
            </w:r>
            <w:r>
              <w:rPr>
                <w:rFonts w:hint="eastAsia" w:ascii="宋体" w:hAnsi="宋体" w:eastAsia="宋体" w:cs="宋体"/>
                <w:color w:val="auto"/>
                <w:kern w:val="0"/>
                <w:sz w:val="22"/>
                <w:szCs w:val="22"/>
                <w:highlight w:val="none"/>
              </w:rPr>
              <w:t>县级汇聚交换机</w:t>
            </w:r>
            <w:r>
              <w:rPr>
                <w:rFonts w:hint="eastAsia" w:ascii="宋体" w:hAnsi="宋体" w:eastAsia="宋体" w:cs="宋体"/>
                <w:color w:val="auto"/>
                <w:kern w:val="0"/>
                <w:sz w:val="22"/>
                <w:szCs w:val="22"/>
                <w:highlight w:val="none"/>
                <w:lang w:val="en-US" w:eastAsia="zh-CN"/>
              </w:rPr>
              <w:t>-3应为同一品牌。</w:t>
            </w:r>
          </w:p>
          <w:p w14:paraId="3F560E52">
            <w:pPr>
              <w:keepNext w:val="0"/>
              <w:keepLines w:val="0"/>
              <w:pageBreakBefore w:val="0"/>
              <w:widowControl/>
              <w:numPr>
                <w:ilvl w:val="0"/>
                <w:numId w:val="0"/>
              </w:numPr>
              <w:kinsoku w:val="0"/>
              <w:wordWrap/>
              <w:overflowPunct/>
              <w:topLinePunct w:val="0"/>
              <w:autoSpaceDE w:val="0"/>
              <w:autoSpaceDN w:val="0"/>
              <w:bidi w:val="0"/>
              <w:adjustRightInd/>
              <w:snapToGrid/>
              <w:spacing w:after="0" w:line="240" w:lineRule="auto"/>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lang w:val="en-US" w:eastAsia="zh-CN"/>
              </w:rPr>
              <w:t>12、不能与</w:t>
            </w:r>
            <w:r>
              <w:rPr>
                <w:rFonts w:hint="eastAsia" w:ascii="宋体" w:hAnsi="宋体" w:eastAsia="宋体" w:cs="宋体"/>
                <w:color w:val="auto"/>
                <w:kern w:val="0"/>
                <w:sz w:val="22"/>
                <w:szCs w:val="22"/>
                <w:highlight w:val="none"/>
              </w:rPr>
              <w:t>乡镇核心交换机</w:t>
            </w:r>
            <w:r>
              <w:rPr>
                <w:rFonts w:hint="eastAsia" w:ascii="宋体" w:hAnsi="宋体" w:eastAsia="宋体" w:cs="宋体"/>
                <w:color w:val="auto"/>
                <w:kern w:val="0"/>
                <w:sz w:val="22"/>
                <w:szCs w:val="22"/>
                <w:highlight w:val="none"/>
                <w:lang w:val="en-US" w:eastAsia="zh-CN"/>
              </w:rPr>
              <w:t>-1、</w:t>
            </w:r>
            <w:r>
              <w:rPr>
                <w:rFonts w:hint="eastAsia" w:ascii="宋体" w:hAnsi="宋体" w:eastAsia="宋体" w:cs="宋体"/>
                <w:color w:val="auto"/>
                <w:kern w:val="0"/>
                <w:sz w:val="22"/>
                <w:szCs w:val="22"/>
                <w:highlight w:val="none"/>
              </w:rPr>
              <w:t>乡镇核心交换机</w:t>
            </w:r>
            <w:r>
              <w:rPr>
                <w:rFonts w:hint="eastAsia" w:ascii="宋体" w:hAnsi="宋体" w:eastAsia="宋体" w:cs="宋体"/>
                <w:color w:val="auto"/>
                <w:kern w:val="0"/>
                <w:sz w:val="22"/>
                <w:szCs w:val="22"/>
                <w:highlight w:val="none"/>
                <w:lang w:val="en-US" w:eastAsia="zh-CN"/>
              </w:rPr>
              <w:t>-2为同一品牌。</w:t>
            </w:r>
          </w:p>
        </w:tc>
        <w:tc>
          <w:tcPr>
            <w:tcW w:w="184" w:type="pct"/>
            <w:shd w:val="clear" w:color="auto" w:fill="auto"/>
            <w:vAlign w:val="center"/>
          </w:tcPr>
          <w:p w14:paraId="17CD3EB6">
            <w:pPr>
              <w:pStyle w:val="44"/>
              <w:rPr>
                <w:rFonts w:hint="eastAsia" w:ascii="宋体" w:hAnsi="宋体" w:eastAsia="宋体" w:cs="宋体"/>
                <w:color w:val="auto"/>
                <w:sz w:val="22"/>
                <w:szCs w:val="22"/>
                <w:highlight w:val="none"/>
              </w:rPr>
            </w:pPr>
          </w:p>
        </w:tc>
        <w:tc>
          <w:tcPr>
            <w:tcW w:w="295" w:type="pct"/>
            <w:shd w:val="clear" w:color="auto" w:fill="auto"/>
            <w:vAlign w:val="center"/>
          </w:tcPr>
          <w:p w14:paraId="55E7B1B1">
            <w:pPr>
              <w:pStyle w:val="44"/>
              <w:ind w:firstLine="0" w:firstLineChars="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445</w:t>
            </w:r>
          </w:p>
        </w:tc>
      </w:tr>
      <w:tr w14:paraId="04EF6F3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34032889">
            <w:pPr>
              <w:pStyle w:val="44"/>
              <w:rPr>
                <w:rFonts w:hint="eastAsia"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rPr>
              <w:t>9</w:t>
            </w:r>
          </w:p>
        </w:tc>
        <w:tc>
          <w:tcPr>
            <w:tcW w:w="345" w:type="pct"/>
            <w:vMerge w:val="continue"/>
            <w:vAlign w:val="center"/>
          </w:tcPr>
          <w:p w14:paraId="4592D26E">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1A1B52B2">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rPr>
              <w:t>县级汇聚交换机</w:t>
            </w:r>
            <w:r>
              <w:rPr>
                <w:rFonts w:hint="eastAsia" w:ascii="宋体" w:hAnsi="宋体" w:eastAsia="宋体" w:cs="宋体"/>
                <w:color w:val="auto"/>
                <w:sz w:val="22"/>
                <w:szCs w:val="22"/>
                <w:highlight w:val="none"/>
                <w:lang w:val="en-US" w:eastAsia="zh-CN"/>
              </w:rPr>
              <w:t>-1</w:t>
            </w:r>
          </w:p>
        </w:tc>
        <w:tc>
          <w:tcPr>
            <w:tcW w:w="3239" w:type="pct"/>
            <w:shd w:val="clear" w:color="auto" w:fill="auto"/>
            <w:vAlign w:val="center"/>
          </w:tcPr>
          <w:p w14:paraId="3E0A63D0">
            <w:pPr>
              <w:keepNext w:val="0"/>
              <w:keepLines w:val="0"/>
              <w:pageBreakBefore w:val="0"/>
              <w:widowControl/>
              <w:numPr>
                <w:ilvl w:val="0"/>
                <w:numId w:val="4"/>
              </w:numPr>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交换容量≥2.5Tbps；包转发率≥650Mpps；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2、提供≥48个10/100/1000BASE-T，≥4个万兆SFP+口，配置≥2个万兆单模光模块，配置≥2个千兆单模光模块，配置≥1根万兆堆叠电缆；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10、采用国产化芯片。</w:t>
            </w:r>
          </w:p>
          <w:p w14:paraId="368C6561">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lang w:val="en-US" w:eastAsia="zh-CN"/>
              </w:rPr>
            </w:pPr>
            <w:r>
              <w:rPr>
                <w:rFonts w:hint="eastAsia" w:ascii="宋体" w:hAnsi="宋体" w:eastAsia="宋体" w:cs="宋体"/>
                <w:color w:val="auto"/>
                <w:kern w:val="0"/>
                <w:sz w:val="22"/>
                <w:szCs w:val="22"/>
                <w:highlight w:val="none"/>
                <w:lang w:val="en-US" w:eastAsia="zh-CN"/>
              </w:rPr>
              <w:t>11、与</w:t>
            </w:r>
            <w:r>
              <w:rPr>
                <w:rFonts w:hint="eastAsia" w:ascii="宋体" w:hAnsi="宋体" w:eastAsia="宋体" w:cs="宋体"/>
                <w:color w:val="auto"/>
                <w:kern w:val="0"/>
                <w:sz w:val="22"/>
                <w:szCs w:val="22"/>
                <w:highlight w:val="none"/>
              </w:rPr>
              <w:t>乡镇核心交换机</w:t>
            </w:r>
            <w:r>
              <w:rPr>
                <w:rFonts w:hint="eastAsia" w:ascii="宋体" w:hAnsi="宋体" w:eastAsia="宋体" w:cs="宋体"/>
                <w:color w:val="auto"/>
                <w:kern w:val="0"/>
                <w:sz w:val="22"/>
                <w:szCs w:val="22"/>
                <w:highlight w:val="none"/>
                <w:lang w:val="en-US" w:eastAsia="zh-CN"/>
              </w:rPr>
              <w:t>-1应为同一品牌。</w:t>
            </w:r>
          </w:p>
          <w:p w14:paraId="6B43AFFD">
            <w:pPr>
              <w:keepNext w:val="0"/>
              <w:keepLines w:val="0"/>
              <w:pageBreakBefore w:val="0"/>
              <w:widowControl/>
              <w:numPr>
                <w:ilvl w:val="0"/>
                <w:numId w:val="0"/>
              </w:numPr>
              <w:kinsoku w:val="0"/>
              <w:wordWrap/>
              <w:overflowPunct/>
              <w:topLinePunct w:val="0"/>
              <w:autoSpaceDE w:val="0"/>
              <w:autoSpaceDN w:val="0"/>
              <w:bidi w:val="0"/>
              <w:adjustRightInd/>
              <w:snapToGrid/>
              <w:spacing w:after="0" w:line="240" w:lineRule="auto"/>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lang w:val="en-US" w:eastAsia="zh-CN"/>
              </w:rPr>
              <w:t>12、不能与</w:t>
            </w:r>
            <w:r>
              <w:rPr>
                <w:rFonts w:hint="eastAsia" w:ascii="宋体" w:hAnsi="宋体" w:eastAsia="宋体" w:cs="宋体"/>
                <w:color w:val="auto"/>
                <w:kern w:val="0"/>
                <w:sz w:val="22"/>
                <w:szCs w:val="22"/>
                <w:highlight w:val="none"/>
              </w:rPr>
              <w:t>县级汇聚交换机</w:t>
            </w:r>
            <w:r>
              <w:rPr>
                <w:rFonts w:hint="eastAsia" w:ascii="宋体" w:hAnsi="宋体" w:eastAsia="宋体" w:cs="宋体"/>
                <w:color w:val="auto"/>
                <w:kern w:val="0"/>
                <w:sz w:val="22"/>
                <w:szCs w:val="22"/>
                <w:highlight w:val="none"/>
                <w:lang w:val="en-US" w:eastAsia="zh-CN"/>
              </w:rPr>
              <w:t>-2、</w:t>
            </w:r>
            <w:r>
              <w:rPr>
                <w:rFonts w:hint="eastAsia" w:ascii="宋体" w:hAnsi="宋体" w:eastAsia="宋体" w:cs="宋体"/>
                <w:color w:val="auto"/>
                <w:kern w:val="0"/>
                <w:sz w:val="22"/>
                <w:szCs w:val="22"/>
                <w:highlight w:val="none"/>
              </w:rPr>
              <w:t>县级汇聚交换机</w:t>
            </w:r>
            <w:r>
              <w:rPr>
                <w:rFonts w:hint="eastAsia" w:ascii="宋体" w:hAnsi="宋体" w:eastAsia="宋体" w:cs="宋体"/>
                <w:color w:val="auto"/>
                <w:kern w:val="0"/>
                <w:sz w:val="22"/>
                <w:szCs w:val="22"/>
                <w:highlight w:val="none"/>
                <w:lang w:val="en-US" w:eastAsia="zh-CN"/>
              </w:rPr>
              <w:t>-3为同一品牌。</w:t>
            </w:r>
          </w:p>
        </w:tc>
        <w:tc>
          <w:tcPr>
            <w:tcW w:w="184" w:type="pct"/>
            <w:shd w:val="clear" w:color="auto" w:fill="auto"/>
            <w:vAlign w:val="center"/>
          </w:tcPr>
          <w:p w14:paraId="527A338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53AF3D73">
            <w:pPr>
              <w:pStyle w:val="44"/>
              <w:ind w:firstLine="0" w:firstLineChars="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78</w:t>
            </w:r>
          </w:p>
        </w:tc>
      </w:tr>
      <w:tr w14:paraId="2ADF0A1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4822F657">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10</w:t>
            </w:r>
          </w:p>
        </w:tc>
        <w:tc>
          <w:tcPr>
            <w:tcW w:w="345" w:type="pct"/>
            <w:vMerge w:val="continue"/>
            <w:vAlign w:val="center"/>
          </w:tcPr>
          <w:p w14:paraId="443D3D94">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34A5DB26">
            <w:pPr>
              <w:pStyle w:val="44"/>
              <w:rPr>
                <w:rFonts w:hint="eastAsia"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rPr>
              <w:t>县级汇聚交换机</w:t>
            </w:r>
            <w:r>
              <w:rPr>
                <w:rFonts w:hint="eastAsia" w:ascii="宋体" w:hAnsi="宋体" w:eastAsia="宋体" w:cs="宋体"/>
                <w:color w:val="auto"/>
                <w:sz w:val="22"/>
                <w:szCs w:val="22"/>
                <w:highlight w:val="none"/>
                <w:lang w:val="en-US" w:eastAsia="zh-CN"/>
              </w:rPr>
              <w:t>-2</w:t>
            </w:r>
          </w:p>
        </w:tc>
        <w:tc>
          <w:tcPr>
            <w:tcW w:w="3239" w:type="pct"/>
            <w:shd w:val="clear" w:color="auto" w:fill="auto"/>
            <w:vAlign w:val="center"/>
          </w:tcPr>
          <w:p w14:paraId="3E7E1D89">
            <w:pPr>
              <w:keepNext w:val="0"/>
              <w:keepLines w:val="0"/>
              <w:pageBreakBefore w:val="0"/>
              <w:widowControl/>
              <w:numPr>
                <w:ilvl w:val="0"/>
                <w:numId w:val="5"/>
              </w:numPr>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交换容量≥2.5Tbps；包转发率≥650Mpps；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2、提供≥48个10/100/1000BASE-T，≥4个万兆SFP+口，配置≥2个万兆单模光模块，配置≥2个千兆单模光模块，配置≥1根万兆堆叠电缆；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10、采用国产化芯片。</w:t>
            </w:r>
          </w:p>
          <w:p w14:paraId="74452D3F">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lang w:val="en-US" w:eastAsia="zh-CN"/>
              </w:rPr>
            </w:pPr>
            <w:r>
              <w:rPr>
                <w:rFonts w:hint="eastAsia" w:ascii="宋体" w:hAnsi="宋体" w:eastAsia="宋体" w:cs="宋体"/>
                <w:color w:val="auto"/>
                <w:kern w:val="0"/>
                <w:sz w:val="22"/>
                <w:szCs w:val="22"/>
                <w:highlight w:val="none"/>
                <w:lang w:val="en-US" w:eastAsia="zh-CN"/>
              </w:rPr>
              <w:t>11、与</w:t>
            </w:r>
            <w:r>
              <w:rPr>
                <w:rFonts w:hint="eastAsia" w:ascii="宋体" w:hAnsi="宋体" w:eastAsia="宋体" w:cs="宋体"/>
                <w:color w:val="auto"/>
                <w:kern w:val="0"/>
                <w:sz w:val="22"/>
                <w:szCs w:val="22"/>
                <w:highlight w:val="none"/>
              </w:rPr>
              <w:t>乡镇核心交换机</w:t>
            </w:r>
            <w:r>
              <w:rPr>
                <w:rFonts w:hint="eastAsia" w:ascii="宋体" w:hAnsi="宋体" w:eastAsia="宋体" w:cs="宋体"/>
                <w:color w:val="auto"/>
                <w:kern w:val="0"/>
                <w:sz w:val="22"/>
                <w:szCs w:val="22"/>
                <w:highlight w:val="none"/>
                <w:lang w:val="en-US" w:eastAsia="zh-CN"/>
              </w:rPr>
              <w:t>-2应为同一品牌。</w:t>
            </w:r>
          </w:p>
          <w:p w14:paraId="01949CF9">
            <w:pPr>
              <w:keepNext w:val="0"/>
              <w:keepLines w:val="0"/>
              <w:pageBreakBefore w:val="0"/>
              <w:widowControl/>
              <w:numPr>
                <w:ilvl w:val="0"/>
                <w:numId w:val="0"/>
              </w:numPr>
              <w:kinsoku w:val="0"/>
              <w:wordWrap/>
              <w:overflowPunct/>
              <w:topLinePunct w:val="0"/>
              <w:autoSpaceDE w:val="0"/>
              <w:autoSpaceDN w:val="0"/>
              <w:bidi w:val="0"/>
              <w:adjustRightInd/>
              <w:snapToGrid/>
              <w:spacing w:after="0" w:line="240" w:lineRule="auto"/>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lang w:val="en-US" w:eastAsia="zh-CN"/>
              </w:rPr>
              <w:t>12、不能与</w:t>
            </w:r>
            <w:r>
              <w:rPr>
                <w:rFonts w:hint="eastAsia" w:ascii="宋体" w:hAnsi="宋体" w:eastAsia="宋体" w:cs="宋体"/>
                <w:color w:val="auto"/>
                <w:kern w:val="0"/>
                <w:sz w:val="22"/>
                <w:szCs w:val="22"/>
                <w:highlight w:val="none"/>
              </w:rPr>
              <w:t>县级汇聚交换机</w:t>
            </w:r>
            <w:r>
              <w:rPr>
                <w:rFonts w:hint="eastAsia" w:ascii="宋体" w:hAnsi="宋体" w:eastAsia="宋体" w:cs="宋体"/>
                <w:color w:val="auto"/>
                <w:kern w:val="0"/>
                <w:sz w:val="22"/>
                <w:szCs w:val="22"/>
                <w:highlight w:val="none"/>
                <w:lang w:val="en-US" w:eastAsia="zh-CN"/>
              </w:rPr>
              <w:t>-1、</w:t>
            </w:r>
            <w:r>
              <w:rPr>
                <w:rFonts w:hint="eastAsia" w:ascii="宋体" w:hAnsi="宋体" w:eastAsia="宋体" w:cs="宋体"/>
                <w:color w:val="auto"/>
                <w:kern w:val="0"/>
                <w:sz w:val="22"/>
                <w:szCs w:val="22"/>
                <w:highlight w:val="none"/>
              </w:rPr>
              <w:t>县级汇聚交换机</w:t>
            </w:r>
            <w:r>
              <w:rPr>
                <w:rFonts w:hint="eastAsia" w:ascii="宋体" w:hAnsi="宋体" w:eastAsia="宋体" w:cs="宋体"/>
                <w:color w:val="auto"/>
                <w:kern w:val="0"/>
                <w:sz w:val="22"/>
                <w:szCs w:val="22"/>
                <w:highlight w:val="none"/>
                <w:lang w:val="en-US" w:eastAsia="zh-CN"/>
              </w:rPr>
              <w:t>-3为同一品牌。</w:t>
            </w:r>
          </w:p>
        </w:tc>
        <w:tc>
          <w:tcPr>
            <w:tcW w:w="184" w:type="pct"/>
            <w:shd w:val="clear" w:color="auto" w:fill="auto"/>
            <w:vAlign w:val="center"/>
          </w:tcPr>
          <w:p w14:paraId="443DA434">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台</w:t>
            </w:r>
          </w:p>
        </w:tc>
        <w:tc>
          <w:tcPr>
            <w:tcW w:w="295" w:type="pct"/>
            <w:shd w:val="clear" w:color="auto" w:fill="auto"/>
            <w:vAlign w:val="center"/>
          </w:tcPr>
          <w:p w14:paraId="0202EE3E">
            <w:pPr>
              <w:pStyle w:val="44"/>
              <w:ind w:firstLine="0" w:firstLineChars="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60</w:t>
            </w:r>
          </w:p>
        </w:tc>
      </w:tr>
      <w:tr w14:paraId="1A03537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1A69058A">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11</w:t>
            </w:r>
          </w:p>
        </w:tc>
        <w:tc>
          <w:tcPr>
            <w:tcW w:w="345" w:type="pct"/>
            <w:vMerge w:val="continue"/>
            <w:vAlign w:val="center"/>
          </w:tcPr>
          <w:p w14:paraId="00882AE1">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183201F6">
            <w:pPr>
              <w:pStyle w:val="44"/>
              <w:rPr>
                <w:rFonts w:hint="eastAsia"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rPr>
              <w:t>县级汇聚交换机</w:t>
            </w:r>
            <w:r>
              <w:rPr>
                <w:rFonts w:hint="eastAsia" w:ascii="宋体" w:hAnsi="宋体" w:eastAsia="宋体" w:cs="宋体"/>
                <w:color w:val="auto"/>
                <w:sz w:val="22"/>
                <w:szCs w:val="22"/>
                <w:highlight w:val="none"/>
                <w:lang w:val="en-US" w:eastAsia="zh-CN"/>
              </w:rPr>
              <w:t>-3</w:t>
            </w:r>
          </w:p>
        </w:tc>
        <w:tc>
          <w:tcPr>
            <w:tcW w:w="3239" w:type="pct"/>
            <w:shd w:val="clear" w:color="auto" w:fill="auto"/>
            <w:vAlign w:val="center"/>
          </w:tcPr>
          <w:p w14:paraId="09D9EA1D">
            <w:pPr>
              <w:keepNext w:val="0"/>
              <w:keepLines w:val="0"/>
              <w:pageBreakBefore w:val="0"/>
              <w:widowControl/>
              <w:numPr>
                <w:ilvl w:val="0"/>
                <w:numId w:val="0"/>
              </w:numPr>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snapToGrid w:val="0"/>
                <w:color w:val="auto"/>
                <w:kern w:val="0"/>
                <w:sz w:val="22"/>
                <w:szCs w:val="22"/>
                <w:highlight w:val="none"/>
                <w:lang w:val="en-US" w:eastAsia="en-US" w:bidi="ar-SA"/>
              </w:rPr>
              <w:t>1、</w:t>
            </w:r>
            <w:r>
              <w:rPr>
                <w:rFonts w:hint="eastAsia" w:ascii="宋体" w:hAnsi="宋体" w:eastAsia="宋体" w:cs="宋体"/>
                <w:color w:val="auto"/>
                <w:kern w:val="0"/>
                <w:sz w:val="22"/>
                <w:szCs w:val="22"/>
                <w:highlight w:val="none"/>
              </w:rPr>
              <w:t>交换容量≥2.5Tbps；包转发率≥650Mpps；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2、提供≥48个10/100/1000BASE-T，≥4个万兆SFP+口，配置≥2个万兆单模光模块，配置≥2个千兆单模光模块，配置≥1根万兆堆叠电缆；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10、采用国产化芯片。</w:t>
            </w:r>
          </w:p>
          <w:p w14:paraId="46C2BCED">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lang w:val="en-US" w:eastAsia="zh-CN"/>
              </w:rPr>
            </w:pPr>
            <w:r>
              <w:rPr>
                <w:rFonts w:hint="eastAsia" w:ascii="宋体" w:hAnsi="宋体" w:eastAsia="宋体" w:cs="宋体"/>
                <w:color w:val="auto"/>
                <w:kern w:val="0"/>
                <w:sz w:val="22"/>
                <w:szCs w:val="22"/>
                <w:highlight w:val="none"/>
                <w:lang w:val="en-US" w:eastAsia="zh-CN"/>
              </w:rPr>
              <w:t>11、与</w:t>
            </w:r>
            <w:r>
              <w:rPr>
                <w:rFonts w:hint="eastAsia" w:ascii="宋体" w:hAnsi="宋体" w:eastAsia="宋体" w:cs="宋体"/>
                <w:color w:val="auto"/>
                <w:kern w:val="0"/>
                <w:sz w:val="22"/>
                <w:szCs w:val="22"/>
                <w:highlight w:val="none"/>
              </w:rPr>
              <w:t>乡镇核心交换机</w:t>
            </w:r>
            <w:r>
              <w:rPr>
                <w:rFonts w:hint="eastAsia" w:ascii="宋体" w:hAnsi="宋体" w:eastAsia="宋体" w:cs="宋体"/>
                <w:color w:val="auto"/>
                <w:kern w:val="0"/>
                <w:sz w:val="22"/>
                <w:szCs w:val="22"/>
                <w:highlight w:val="none"/>
                <w:lang w:val="en-US" w:eastAsia="zh-CN"/>
              </w:rPr>
              <w:t>-3应为同一品牌。</w:t>
            </w:r>
          </w:p>
          <w:p w14:paraId="01FF42C6">
            <w:pPr>
              <w:keepNext w:val="0"/>
              <w:keepLines w:val="0"/>
              <w:pageBreakBefore w:val="0"/>
              <w:widowControl/>
              <w:numPr>
                <w:ilvl w:val="0"/>
                <w:numId w:val="0"/>
              </w:numPr>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lang w:val="en-US" w:eastAsia="zh-CN"/>
              </w:rPr>
              <w:t>12、不能与</w:t>
            </w:r>
            <w:r>
              <w:rPr>
                <w:rFonts w:hint="eastAsia" w:ascii="宋体" w:hAnsi="宋体" w:eastAsia="宋体" w:cs="宋体"/>
                <w:color w:val="auto"/>
                <w:kern w:val="0"/>
                <w:sz w:val="22"/>
                <w:szCs w:val="22"/>
                <w:highlight w:val="none"/>
              </w:rPr>
              <w:t>县级汇聚交换机</w:t>
            </w:r>
            <w:r>
              <w:rPr>
                <w:rFonts w:hint="eastAsia" w:ascii="宋体" w:hAnsi="宋体" w:eastAsia="宋体" w:cs="宋体"/>
                <w:color w:val="auto"/>
                <w:kern w:val="0"/>
                <w:sz w:val="22"/>
                <w:szCs w:val="22"/>
                <w:highlight w:val="none"/>
                <w:lang w:val="en-US" w:eastAsia="zh-CN"/>
              </w:rPr>
              <w:t>-1、</w:t>
            </w:r>
            <w:r>
              <w:rPr>
                <w:rFonts w:hint="eastAsia" w:ascii="宋体" w:hAnsi="宋体" w:eastAsia="宋体" w:cs="宋体"/>
                <w:color w:val="auto"/>
                <w:kern w:val="0"/>
                <w:sz w:val="22"/>
                <w:szCs w:val="22"/>
                <w:highlight w:val="none"/>
              </w:rPr>
              <w:t>县级汇聚交换机</w:t>
            </w:r>
            <w:r>
              <w:rPr>
                <w:rFonts w:hint="eastAsia" w:ascii="宋体" w:hAnsi="宋体" w:eastAsia="宋体" w:cs="宋体"/>
                <w:color w:val="auto"/>
                <w:kern w:val="0"/>
                <w:sz w:val="22"/>
                <w:szCs w:val="22"/>
                <w:highlight w:val="none"/>
                <w:lang w:val="en-US" w:eastAsia="zh-CN"/>
              </w:rPr>
              <w:t>-2为同一品牌。</w:t>
            </w:r>
          </w:p>
        </w:tc>
        <w:tc>
          <w:tcPr>
            <w:tcW w:w="184" w:type="pct"/>
            <w:shd w:val="clear" w:color="auto" w:fill="auto"/>
            <w:vAlign w:val="center"/>
          </w:tcPr>
          <w:p w14:paraId="490A8D20">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台</w:t>
            </w:r>
          </w:p>
        </w:tc>
        <w:tc>
          <w:tcPr>
            <w:tcW w:w="295" w:type="pct"/>
            <w:shd w:val="clear" w:color="auto" w:fill="auto"/>
            <w:vAlign w:val="center"/>
          </w:tcPr>
          <w:p w14:paraId="27B24618">
            <w:pPr>
              <w:pStyle w:val="44"/>
              <w:ind w:firstLine="0" w:firstLineChars="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66</w:t>
            </w:r>
          </w:p>
        </w:tc>
      </w:tr>
      <w:tr w14:paraId="74B8A09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7C882C41">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12</w:t>
            </w:r>
          </w:p>
        </w:tc>
        <w:tc>
          <w:tcPr>
            <w:tcW w:w="345" w:type="pct"/>
            <w:vMerge w:val="restart"/>
            <w:shd w:val="clear" w:color="auto" w:fill="auto"/>
            <w:vAlign w:val="center"/>
          </w:tcPr>
          <w:p w14:paraId="26E4A799">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升级改造园区网</w:t>
            </w:r>
          </w:p>
        </w:tc>
        <w:tc>
          <w:tcPr>
            <w:tcW w:w="645" w:type="pct"/>
            <w:gridSpan w:val="2"/>
            <w:shd w:val="clear" w:color="auto" w:fill="auto"/>
            <w:vAlign w:val="center"/>
          </w:tcPr>
          <w:p w14:paraId="783A9FDD">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园区防火墙</w:t>
            </w:r>
          </w:p>
        </w:tc>
        <w:tc>
          <w:tcPr>
            <w:tcW w:w="3239" w:type="pct"/>
            <w:shd w:val="clear" w:color="auto" w:fill="auto"/>
            <w:vAlign w:val="center"/>
          </w:tcPr>
          <w:p w14:paraId="48F79413">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2、网络层吞吐量≥60Gbps，应用层吞吐量≥30Gbps，IPS吞吐量≥15Gbps，开启全功能后满足8G以上的实际流量场景，最大并发连接数≥1600万，每秒新建连接数≥50万。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3、配置千兆电口≥4个，万兆SFP+光口≥8个，40G光口≥2个，万兆单模光模块≥6个，配置双电源。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4、提供防火墙、入侵防御、病毒过滤、僵尸网络防御、应用识别、云端威胁情报等功能。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5、提供IPS特征库、病毒库、僵尸网络库和应用识别库等三年升级授权。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13、支持基于IPv6的状态防火墙及攻击防范。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14、支持双机状态热备（Active/Active和Active/Backup两种工作模式），支持双机配置同步。</w:t>
            </w:r>
          </w:p>
        </w:tc>
        <w:tc>
          <w:tcPr>
            <w:tcW w:w="184" w:type="pct"/>
            <w:shd w:val="clear" w:color="auto" w:fill="auto"/>
            <w:vAlign w:val="center"/>
          </w:tcPr>
          <w:p w14:paraId="4ACD9F46">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080BC7E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712EA93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0C81E112">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13</w:t>
            </w:r>
          </w:p>
        </w:tc>
        <w:tc>
          <w:tcPr>
            <w:tcW w:w="345" w:type="pct"/>
            <w:vMerge w:val="continue"/>
            <w:vAlign w:val="center"/>
          </w:tcPr>
          <w:p w14:paraId="25842EA2">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13F149D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园区核心交换机</w:t>
            </w:r>
          </w:p>
        </w:tc>
        <w:tc>
          <w:tcPr>
            <w:tcW w:w="3239" w:type="pct"/>
            <w:shd w:val="clear" w:color="auto" w:fill="auto"/>
            <w:vAlign w:val="center"/>
          </w:tcPr>
          <w:p w14:paraId="54B5D891">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1、交换容量≥36Tbps，包转发率≥35000Mpps；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2、整机主控槽位数≥2个，业务槽位数≥3个，电源槽位≥2；</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3、配置≥双主控；配置≥2个冗余电源；配置≥2个独立风扇；配置≥24个千兆电口；配置≥4个万兆光口；配置≥20个千兆光口；配置≥2个万兆单模光模块，配置≥14个千兆单模光模块，配置≥1根万兆堆叠线缆；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4、支持VxLAN ，支持VxLAN 分布式 Anycast网关；</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6、支持硬件BFD，支持BFD 3ms最小探测间隔；</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7、支持256位全端口MACSEC加密；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12、支持IPv4/IPv6双栈协议、ND（Neighbor Discovery），支持IPv6-Ping，IPv6-Tracert，IPv6-Telnet，IPv6-TFTP，IPv6-ICMP，IPv6-DNS。</w:t>
            </w:r>
          </w:p>
        </w:tc>
        <w:tc>
          <w:tcPr>
            <w:tcW w:w="184" w:type="pct"/>
            <w:shd w:val="clear" w:color="auto" w:fill="auto"/>
            <w:vAlign w:val="center"/>
          </w:tcPr>
          <w:p w14:paraId="773F41C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16A118D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4</w:t>
            </w:r>
          </w:p>
        </w:tc>
      </w:tr>
      <w:tr w14:paraId="29BC32B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102AEBCB">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14</w:t>
            </w:r>
          </w:p>
        </w:tc>
        <w:tc>
          <w:tcPr>
            <w:tcW w:w="345" w:type="pct"/>
            <w:vMerge w:val="continue"/>
            <w:vAlign w:val="center"/>
          </w:tcPr>
          <w:p w14:paraId="5A257377">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09103B7E">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园区汇聚交换机</w:t>
            </w:r>
          </w:p>
        </w:tc>
        <w:tc>
          <w:tcPr>
            <w:tcW w:w="3239" w:type="pct"/>
            <w:shd w:val="clear" w:color="auto" w:fill="auto"/>
            <w:vAlign w:val="center"/>
          </w:tcPr>
          <w:p w14:paraId="4D333BF3">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1、交换容量≥2.4Tbps；包转发率≥600Mpps；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2、提供≥28个10/100/1000BASE-T，≥8个万兆SFP+口，≥5个万兆单模光模块；</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p>
        </w:tc>
        <w:tc>
          <w:tcPr>
            <w:tcW w:w="184" w:type="pct"/>
            <w:shd w:val="clear" w:color="auto" w:fill="auto"/>
            <w:vAlign w:val="center"/>
          </w:tcPr>
          <w:p w14:paraId="2CB371BD">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712DBE26">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20</w:t>
            </w:r>
          </w:p>
        </w:tc>
      </w:tr>
      <w:tr w14:paraId="0E1F11A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71CE887D">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15</w:t>
            </w:r>
          </w:p>
        </w:tc>
        <w:tc>
          <w:tcPr>
            <w:tcW w:w="345" w:type="pct"/>
            <w:vMerge w:val="continue"/>
            <w:vAlign w:val="center"/>
          </w:tcPr>
          <w:p w14:paraId="60408B66">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39A168A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园区接入交换机</w:t>
            </w:r>
          </w:p>
        </w:tc>
        <w:tc>
          <w:tcPr>
            <w:tcW w:w="3239" w:type="pct"/>
            <w:shd w:val="clear" w:color="auto" w:fill="auto"/>
            <w:vAlign w:val="center"/>
          </w:tcPr>
          <w:p w14:paraId="4FB0BA33">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1、整机交换容量≥660Gbps，包转发率≥120Mpps；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2、提供≥4个千兆SFP光口，≥24个10/100/1000Base-T自适应以太网端口，配置≥2个千兆单模光模块；</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6、支持IPv4/IPv6静态路由、IPv4/IPv6双栈、RIPv1/v2/RIPng、OSPFv1/v2/v3；</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Discovery），支持IPv6-Ping，IPv6-Telnet，IPv6-ICMP，IPv6-DNS。</w:t>
            </w:r>
          </w:p>
        </w:tc>
        <w:tc>
          <w:tcPr>
            <w:tcW w:w="184" w:type="pct"/>
            <w:shd w:val="clear" w:color="auto" w:fill="auto"/>
            <w:vAlign w:val="center"/>
          </w:tcPr>
          <w:p w14:paraId="2C72186A">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6C0870AA">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180</w:t>
            </w:r>
          </w:p>
        </w:tc>
      </w:tr>
      <w:tr w14:paraId="139A665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5DA9390C">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16</w:t>
            </w:r>
          </w:p>
        </w:tc>
        <w:tc>
          <w:tcPr>
            <w:tcW w:w="345" w:type="pct"/>
            <w:vMerge w:val="restart"/>
            <w:shd w:val="clear" w:color="auto" w:fill="auto"/>
            <w:vAlign w:val="center"/>
          </w:tcPr>
          <w:p w14:paraId="7B051048">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加固广域网边界安全防护</w:t>
            </w:r>
          </w:p>
        </w:tc>
        <w:tc>
          <w:tcPr>
            <w:tcW w:w="645" w:type="pct"/>
            <w:gridSpan w:val="2"/>
            <w:shd w:val="clear" w:color="auto" w:fill="auto"/>
            <w:vAlign w:val="center"/>
          </w:tcPr>
          <w:p w14:paraId="793F248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省到市广域网防火墙</w:t>
            </w:r>
          </w:p>
        </w:tc>
        <w:tc>
          <w:tcPr>
            <w:tcW w:w="3239" w:type="pct"/>
            <w:shd w:val="clear" w:color="auto" w:fill="auto"/>
            <w:vAlign w:val="center"/>
          </w:tcPr>
          <w:p w14:paraId="003AAA9D">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2、网络层吞吐量≥80Gbps，应用层吞吐量≥40Gbps，IPS吞吐量≥20Gbps，开启全功能后满足10G以上的实际流量场景，最大并发连接数≥2000万，每秒新建连接数≥60万。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3、配置千兆电口≥4个，万兆SFP+光口≥8个，40G光口≥2个，万兆单模光模块≥6个，配置双电源。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4、提供防火墙、入侵防御、病毒过滤、僵尸网络防御、应用识别、云端威胁情报等功能。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5、提供IPS特征库、病毒库、僵尸网络库和应用识别库等三年升级授权。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13、支持基于IPv6的状态防火墙及攻击防范。</w:t>
            </w:r>
          </w:p>
          <w:p w14:paraId="694AE9C5">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sz w:val="22"/>
                <w:szCs w:val="22"/>
                <w:highlight w:val="none"/>
                <w:lang w:val="en-US" w:eastAsia="zh-CN"/>
              </w:rPr>
            </w:pPr>
            <w:r>
              <w:rPr>
                <w:rFonts w:hint="eastAsia" w:ascii="宋体" w:hAnsi="宋体" w:eastAsia="宋体" w:cs="宋体"/>
                <w:color w:val="auto"/>
                <w:kern w:val="0"/>
                <w:sz w:val="22"/>
                <w:szCs w:val="22"/>
                <w:highlight w:val="none"/>
                <w:lang w:val="en-US" w:eastAsia="zh-CN"/>
              </w:rPr>
              <w:t>14、不能与在网使用的省到市备用广域网防火墙为同一品牌。</w:t>
            </w:r>
          </w:p>
        </w:tc>
        <w:tc>
          <w:tcPr>
            <w:tcW w:w="184" w:type="pct"/>
            <w:shd w:val="clear" w:color="auto" w:fill="auto"/>
            <w:vAlign w:val="center"/>
          </w:tcPr>
          <w:p w14:paraId="04F822C9">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268ED90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11</w:t>
            </w:r>
          </w:p>
        </w:tc>
      </w:tr>
      <w:tr w14:paraId="0DB7C74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03539463">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17</w:t>
            </w:r>
          </w:p>
        </w:tc>
        <w:tc>
          <w:tcPr>
            <w:tcW w:w="345" w:type="pct"/>
            <w:vMerge w:val="continue"/>
            <w:vAlign w:val="center"/>
          </w:tcPr>
          <w:p w14:paraId="4ED65998">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648A98BA">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rPr>
              <w:t>市到县广域网防火墙</w:t>
            </w:r>
            <w:r>
              <w:rPr>
                <w:rFonts w:hint="eastAsia" w:ascii="宋体" w:hAnsi="宋体" w:eastAsia="宋体" w:cs="宋体"/>
                <w:color w:val="auto"/>
                <w:sz w:val="22"/>
                <w:szCs w:val="22"/>
                <w:highlight w:val="none"/>
                <w:lang w:val="en-US" w:eastAsia="zh-CN"/>
              </w:rPr>
              <w:t>-1</w:t>
            </w:r>
          </w:p>
        </w:tc>
        <w:tc>
          <w:tcPr>
            <w:tcW w:w="3239" w:type="pct"/>
            <w:shd w:val="clear" w:color="auto" w:fill="auto"/>
            <w:vAlign w:val="center"/>
          </w:tcPr>
          <w:p w14:paraId="29A6DAF8">
            <w:pPr>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2、网络层吞吐量≥20Gbps，应用层吞吐量≥15Gbps，IPS吞吐量≥6Gbps，开启全功能后满足3G以上的实际流量场景，并发连接数≥800万，每秒新建连接数≥15万。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3、配置千兆电口≥4个，千兆光口≥4个，万兆SFP+光口≥4个，万兆单模光模块≥4个，千兆单模光模块≥4个，配置双电源。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4、提供防火墙、入侵防御、病毒过滤、僵尸网络防御、云端威胁情报功能。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5、提供IPS特征库、病毒库和僵尸网络库等3年升级授权服务。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13、支持基于IPv6的状态防火墙及攻击防范。</w:t>
            </w:r>
          </w:p>
          <w:p w14:paraId="0C568820">
            <w:pPr>
              <w:pStyle w:val="7"/>
              <w:pageBreakBefore w:val="0"/>
              <w:widowControl/>
              <w:kinsoku w:val="0"/>
              <w:wordWrap/>
              <w:overflowPunct/>
              <w:topLinePunct w:val="0"/>
              <w:autoSpaceDE w:val="0"/>
              <w:autoSpaceDN w:val="0"/>
              <w:bidi w:val="0"/>
              <w:spacing w:before="0" w:after="0" w:line="240" w:lineRule="auto"/>
              <w:textAlignment w:val="baseline"/>
              <w:rPr>
                <w:rFonts w:hint="eastAsia" w:ascii="宋体" w:hAnsi="宋体" w:eastAsia="宋体" w:cs="宋体"/>
                <w:color w:val="auto"/>
                <w:sz w:val="22"/>
                <w:szCs w:val="22"/>
                <w:highlight w:val="none"/>
              </w:rPr>
            </w:pPr>
            <w:r>
              <w:rPr>
                <w:rFonts w:hint="eastAsia" w:ascii="宋体" w:hAnsi="宋体" w:eastAsia="宋体" w:cs="宋体"/>
                <w:b w:val="0"/>
                <w:bCs/>
                <w:color w:val="auto"/>
                <w:kern w:val="0"/>
                <w:sz w:val="22"/>
                <w:szCs w:val="22"/>
                <w:highlight w:val="none"/>
                <w:lang w:val="en-US" w:eastAsia="zh-CN"/>
              </w:rPr>
              <w:t>14、不能与</w:t>
            </w:r>
            <w:r>
              <w:rPr>
                <w:rFonts w:hint="eastAsia" w:ascii="宋体" w:hAnsi="宋体" w:eastAsia="宋体" w:cs="宋体"/>
                <w:b w:val="0"/>
                <w:bCs/>
                <w:color w:val="auto"/>
                <w:kern w:val="0"/>
                <w:sz w:val="22"/>
                <w:szCs w:val="22"/>
                <w:highlight w:val="none"/>
              </w:rPr>
              <w:t>市到县广域网防火墙</w:t>
            </w:r>
            <w:r>
              <w:rPr>
                <w:rFonts w:hint="eastAsia" w:ascii="宋体" w:hAnsi="宋体" w:eastAsia="宋体" w:cs="宋体"/>
                <w:b w:val="0"/>
                <w:bCs/>
                <w:color w:val="auto"/>
                <w:kern w:val="0"/>
                <w:sz w:val="22"/>
                <w:szCs w:val="22"/>
                <w:highlight w:val="none"/>
                <w:lang w:val="en-US" w:eastAsia="zh-CN"/>
              </w:rPr>
              <w:t>-2、</w:t>
            </w:r>
            <w:r>
              <w:rPr>
                <w:rFonts w:hint="eastAsia" w:ascii="宋体" w:hAnsi="宋体" w:eastAsia="宋体" w:cs="宋体"/>
                <w:b w:val="0"/>
                <w:bCs/>
                <w:color w:val="auto"/>
                <w:kern w:val="0"/>
                <w:sz w:val="22"/>
                <w:szCs w:val="22"/>
                <w:highlight w:val="none"/>
              </w:rPr>
              <w:t>市到县广域网防火墙</w:t>
            </w:r>
            <w:r>
              <w:rPr>
                <w:rFonts w:hint="eastAsia" w:ascii="宋体" w:hAnsi="宋体" w:eastAsia="宋体" w:cs="宋体"/>
                <w:b w:val="0"/>
                <w:bCs/>
                <w:color w:val="auto"/>
                <w:kern w:val="0"/>
                <w:sz w:val="22"/>
                <w:szCs w:val="22"/>
                <w:highlight w:val="none"/>
                <w:lang w:val="en-US" w:eastAsia="zh-CN"/>
              </w:rPr>
              <w:t>-3为同一品牌。</w:t>
            </w:r>
          </w:p>
        </w:tc>
        <w:tc>
          <w:tcPr>
            <w:tcW w:w="184" w:type="pct"/>
            <w:shd w:val="clear" w:color="auto" w:fill="auto"/>
            <w:vAlign w:val="center"/>
          </w:tcPr>
          <w:p w14:paraId="57F82916">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462D8F0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126</w:t>
            </w:r>
          </w:p>
        </w:tc>
      </w:tr>
      <w:tr w14:paraId="4688993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56BB933D">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18</w:t>
            </w:r>
          </w:p>
        </w:tc>
        <w:tc>
          <w:tcPr>
            <w:tcW w:w="345" w:type="pct"/>
            <w:vMerge w:val="continue"/>
            <w:vAlign w:val="center"/>
          </w:tcPr>
          <w:p w14:paraId="3BE4D2C4">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4FEC7CD1">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rPr>
              <w:t>市到县广域网防火墙</w:t>
            </w:r>
            <w:r>
              <w:rPr>
                <w:rFonts w:hint="eastAsia" w:ascii="宋体" w:hAnsi="宋体" w:eastAsia="宋体" w:cs="宋体"/>
                <w:color w:val="auto"/>
                <w:sz w:val="22"/>
                <w:szCs w:val="22"/>
                <w:highlight w:val="none"/>
                <w:lang w:val="en-US" w:eastAsia="zh-CN"/>
              </w:rPr>
              <w:t>-2</w:t>
            </w:r>
          </w:p>
        </w:tc>
        <w:tc>
          <w:tcPr>
            <w:tcW w:w="3239" w:type="pct"/>
            <w:shd w:val="clear" w:color="auto" w:fill="auto"/>
            <w:vAlign w:val="center"/>
          </w:tcPr>
          <w:p w14:paraId="7C04DBCF">
            <w:pPr>
              <w:keepNext w:val="0"/>
              <w:keepLines w:val="0"/>
              <w:pageBreakBefore w:val="0"/>
              <w:widowControl/>
              <w:numPr>
                <w:ilvl w:val="0"/>
                <w:numId w:val="0"/>
              </w:numPr>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lang w:val="en-US" w:eastAsia="en-US"/>
              </w:rPr>
              <w:t>1、</w:t>
            </w:r>
            <w:r>
              <w:rPr>
                <w:rFonts w:hint="eastAsia" w:ascii="宋体" w:hAnsi="宋体" w:eastAsia="宋体" w:cs="宋体"/>
                <w:color w:val="auto"/>
                <w:kern w:val="0"/>
                <w:sz w:val="22"/>
                <w:szCs w:val="22"/>
                <w:highlight w:val="none"/>
              </w:rPr>
              <w:t>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2、网络层吞吐量≥20Gbps，应用层吞吐量≥15Gbps，IPS吞吐量≥6Gbps，开启全功能后满足3G以上的实际流量场景，并发连接数≥800万，每秒新建连接数≥15万。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3、配置千兆电口≥4个，千兆光口≥4个，万兆SFP+光口≥4个，万兆单模光模块≥4个，千兆单模光模块≥4个，配置双电源。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4、提供防火墙、入侵防御、病毒过滤、僵尸网络防御、云端威胁情报功能。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5、提供IPS特征库、病毒库和僵尸网络库等3年升级授权服务。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13、支持基于IPv6的状态防火墙及攻击防范。</w:t>
            </w:r>
          </w:p>
          <w:p w14:paraId="5E5C7A5E">
            <w:pPr>
              <w:pStyle w:val="7"/>
              <w:keepNext/>
              <w:keepLines/>
              <w:pageBreakBefore w:val="0"/>
              <w:widowControl/>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color w:val="auto"/>
                <w:sz w:val="22"/>
                <w:szCs w:val="22"/>
                <w:highlight w:val="none"/>
              </w:rPr>
            </w:pPr>
            <w:r>
              <w:rPr>
                <w:rFonts w:hint="eastAsia" w:ascii="宋体" w:hAnsi="宋体" w:eastAsia="宋体" w:cs="宋体"/>
                <w:b w:val="0"/>
                <w:bCs/>
                <w:color w:val="auto"/>
                <w:kern w:val="0"/>
                <w:sz w:val="22"/>
                <w:szCs w:val="22"/>
                <w:highlight w:val="none"/>
                <w:lang w:val="en-US" w:eastAsia="zh-CN"/>
              </w:rPr>
              <w:t>14、不能与</w:t>
            </w:r>
            <w:r>
              <w:rPr>
                <w:rFonts w:hint="eastAsia" w:ascii="宋体" w:hAnsi="宋体" w:eastAsia="宋体" w:cs="宋体"/>
                <w:b w:val="0"/>
                <w:bCs/>
                <w:color w:val="auto"/>
                <w:kern w:val="0"/>
                <w:sz w:val="22"/>
                <w:szCs w:val="22"/>
                <w:highlight w:val="none"/>
              </w:rPr>
              <w:t>市到县广域网防火墙</w:t>
            </w:r>
            <w:r>
              <w:rPr>
                <w:rFonts w:hint="eastAsia" w:ascii="宋体" w:hAnsi="宋体" w:eastAsia="宋体" w:cs="宋体"/>
                <w:b w:val="0"/>
                <w:bCs/>
                <w:color w:val="auto"/>
                <w:kern w:val="0"/>
                <w:sz w:val="22"/>
                <w:szCs w:val="22"/>
                <w:highlight w:val="none"/>
                <w:lang w:val="en-US" w:eastAsia="zh-CN"/>
              </w:rPr>
              <w:t>-1、</w:t>
            </w:r>
            <w:r>
              <w:rPr>
                <w:rFonts w:hint="eastAsia" w:ascii="宋体" w:hAnsi="宋体" w:eastAsia="宋体" w:cs="宋体"/>
                <w:b w:val="0"/>
                <w:bCs/>
                <w:color w:val="auto"/>
                <w:kern w:val="0"/>
                <w:sz w:val="22"/>
                <w:szCs w:val="22"/>
                <w:highlight w:val="none"/>
              </w:rPr>
              <w:t>市到县广域网防火墙</w:t>
            </w:r>
            <w:r>
              <w:rPr>
                <w:rFonts w:hint="eastAsia" w:ascii="宋体" w:hAnsi="宋体" w:eastAsia="宋体" w:cs="宋体"/>
                <w:b w:val="0"/>
                <w:bCs/>
                <w:color w:val="auto"/>
                <w:kern w:val="0"/>
                <w:sz w:val="22"/>
                <w:szCs w:val="22"/>
                <w:highlight w:val="none"/>
                <w:lang w:val="en-US" w:eastAsia="zh-CN"/>
              </w:rPr>
              <w:t>-3为同一品牌。</w:t>
            </w:r>
          </w:p>
        </w:tc>
        <w:tc>
          <w:tcPr>
            <w:tcW w:w="184" w:type="pct"/>
            <w:shd w:val="clear" w:color="auto" w:fill="auto"/>
            <w:vAlign w:val="center"/>
          </w:tcPr>
          <w:p w14:paraId="41BD2548">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7201ADEB">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68</w:t>
            </w:r>
          </w:p>
        </w:tc>
      </w:tr>
      <w:tr w14:paraId="3447BF9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07ADAFE1">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19</w:t>
            </w:r>
          </w:p>
        </w:tc>
        <w:tc>
          <w:tcPr>
            <w:tcW w:w="345" w:type="pct"/>
            <w:vMerge w:val="continue"/>
            <w:vAlign w:val="center"/>
          </w:tcPr>
          <w:p w14:paraId="633D6D81">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6D7B9C74">
            <w:pPr>
              <w:pStyle w:val="44"/>
              <w:rPr>
                <w:rFonts w:hint="eastAsia"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rPr>
              <w:t>市到县广域网防火墙</w:t>
            </w:r>
            <w:r>
              <w:rPr>
                <w:rFonts w:hint="eastAsia" w:ascii="宋体" w:hAnsi="宋体" w:eastAsia="宋体" w:cs="宋体"/>
                <w:color w:val="auto"/>
                <w:sz w:val="22"/>
                <w:szCs w:val="22"/>
                <w:highlight w:val="none"/>
                <w:lang w:val="en-US" w:eastAsia="zh-CN"/>
              </w:rPr>
              <w:t>-3</w:t>
            </w:r>
          </w:p>
        </w:tc>
        <w:tc>
          <w:tcPr>
            <w:tcW w:w="3239" w:type="pct"/>
            <w:shd w:val="clear" w:color="auto" w:fill="auto"/>
            <w:vAlign w:val="center"/>
          </w:tcPr>
          <w:p w14:paraId="4302753D">
            <w:pPr>
              <w:pageBreakBefore w:val="0"/>
              <w:widowControl/>
              <w:numPr>
                <w:ilvl w:val="0"/>
                <w:numId w:val="0"/>
              </w:numPr>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b w:val="0"/>
                <w:bCs w:val="0"/>
                <w:color w:val="auto"/>
                <w:kern w:val="0"/>
                <w:sz w:val="22"/>
                <w:szCs w:val="22"/>
                <w:highlight w:val="none"/>
              </w:rPr>
            </w:pPr>
            <w:r>
              <w:rPr>
                <w:rFonts w:hint="eastAsia" w:ascii="宋体" w:hAnsi="宋体" w:eastAsia="宋体" w:cs="宋体"/>
                <w:color w:val="auto"/>
                <w:kern w:val="0"/>
                <w:sz w:val="22"/>
                <w:szCs w:val="22"/>
                <w:highlight w:val="none"/>
                <w:lang w:val="en-US" w:eastAsia="en-US"/>
              </w:rPr>
              <w:t>1、</w:t>
            </w:r>
            <w:r>
              <w:rPr>
                <w:rFonts w:hint="eastAsia" w:ascii="宋体" w:hAnsi="宋体" w:eastAsia="宋体" w:cs="宋体"/>
                <w:color w:val="auto"/>
                <w:kern w:val="0"/>
                <w:sz w:val="22"/>
                <w:szCs w:val="22"/>
                <w:highlight w:val="none"/>
              </w:rPr>
              <w:t>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2、网络层吞吐量≥20Gbps，应用层吞吐量≥15Gbps，IPS吞吐量≥6Gbps，开启全功能后满足3G以上的实际流量场景，并发连接数≥800万，每秒新建连接数≥15万。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3、配置千兆电口≥4个，千兆光口≥4个，万兆SFP+光口≥4个，万兆单模光模块≥4个，千兆单模光模块≥4个，配置双电源。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4、提供防火墙、入侵防御、病毒过滤、僵尸网络防御、云端威胁情报功能。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5、提供IPS特征库、病毒库和僵尸网络库等3年升级授权服务。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b w:val="0"/>
                <w:bCs w:val="0"/>
                <w:color w:val="auto"/>
                <w:kern w:val="0"/>
                <w:sz w:val="22"/>
                <w:szCs w:val="22"/>
                <w:highlight w:val="none"/>
              </w:rPr>
              <w:t>12、支持IPv4/IPv6双栈部署，支持NAT-PT、IPv6 Tunnel、IPv6 Packet Filter、IPv6域间策略、IPv6连接数限制等。</w:t>
            </w:r>
            <w:r>
              <w:rPr>
                <w:rFonts w:hint="eastAsia" w:ascii="宋体" w:hAnsi="宋体" w:eastAsia="宋体" w:cs="宋体"/>
                <w:b w:val="0"/>
                <w:bCs w:val="0"/>
                <w:color w:val="auto"/>
                <w:kern w:val="0"/>
                <w:sz w:val="22"/>
                <w:szCs w:val="22"/>
                <w:highlight w:val="none"/>
              </w:rPr>
              <w:br w:type="textWrapping"/>
            </w:r>
            <w:r>
              <w:rPr>
                <w:rFonts w:hint="eastAsia" w:ascii="宋体" w:hAnsi="宋体" w:eastAsia="宋体" w:cs="宋体"/>
                <w:b w:val="0"/>
                <w:bCs w:val="0"/>
                <w:color w:val="auto"/>
                <w:kern w:val="0"/>
                <w:sz w:val="22"/>
                <w:szCs w:val="22"/>
                <w:highlight w:val="none"/>
              </w:rPr>
              <w:t>13、支持基于IPv6的状态防火墙及攻击防范。</w:t>
            </w:r>
          </w:p>
          <w:p w14:paraId="477ABBBC">
            <w:pPr>
              <w:pStyle w:val="7"/>
              <w:keepNext/>
              <w:keepLines/>
              <w:pageBreakBefore w:val="0"/>
              <w:widowControl/>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color w:val="auto"/>
                <w:sz w:val="22"/>
                <w:szCs w:val="22"/>
                <w:highlight w:val="none"/>
              </w:rPr>
            </w:pPr>
            <w:r>
              <w:rPr>
                <w:rFonts w:hint="eastAsia" w:ascii="宋体" w:hAnsi="宋体" w:eastAsia="宋体" w:cs="宋体"/>
                <w:b w:val="0"/>
                <w:bCs/>
                <w:color w:val="auto"/>
                <w:kern w:val="0"/>
                <w:sz w:val="22"/>
                <w:szCs w:val="22"/>
                <w:highlight w:val="none"/>
                <w:lang w:val="en-US" w:eastAsia="zh-CN"/>
              </w:rPr>
              <w:t>14、不能与</w:t>
            </w:r>
            <w:r>
              <w:rPr>
                <w:rFonts w:hint="eastAsia" w:ascii="宋体" w:hAnsi="宋体" w:eastAsia="宋体" w:cs="宋体"/>
                <w:b w:val="0"/>
                <w:bCs/>
                <w:color w:val="auto"/>
                <w:kern w:val="0"/>
                <w:sz w:val="22"/>
                <w:szCs w:val="22"/>
                <w:highlight w:val="none"/>
              </w:rPr>
              <w:t>市到县广域网防火墙</w:t>
            </w:r>
            <w:r>
              <w:rPr>
                <w:rFonts w:hint="eastAsia" w:ascii="宋体" w:hAnsi="宋体" w:eastAsia="宋体" w:cs="宋体"/>
                <w:b w:val="0"/>
                <w:bCs/>
                <w:color w:val="auto"/>
                <w:kern w:val="0"/>
                <w:sz w:val="22"/>
                <w:szCs w:val="22"/>
                <w:highlight w:val="none"/>
                <w:lang w:val="en-US" w:eastAsia="zh-CN"/>
              </w:rPr>
              <w:t>-1、</w:t>
            </w:r>
            <w:r>
              <w:rPr>
                <w:rFonts w:hint="eastAsia" w:ascii="宋体" w:hAnsi="宋体" w:eastAsia="宋体" w:cs="宋体"/>
                <w:b w:val="0"/>
                <w:bCs/>
                <w:color w:val="auto"/>
                <w:kern w:val="0"/>
                <w:sz w:val="22"/>
                <w:szCs w:val="22"/>
                <w:highlight w:val="none"/>
              </w:rPr>
              <w:t>市到县广域网防火墙</w:t>
            </w:r>
            <w:r>
              <w:rPr>
                <w:rFonts w:hint="eastAsia" w:ascii="宋体" w:hAnsi="宋体" w:eastAsia="宋体" w:cs="宋体"/>
                <w:b w:val="0"/>
                <w:bCs/>
                <w:color w:val="auto"/>
                <w:kern w:val="0"/>
                <w:sz w:val="22"/>
                <w:szCs w:val="22"/>
                <w:highlight w:val="none"/>
                <w:lang w:val="en-US" w:eastAsia="zh-CN"/>
              </w:rPr>
              <w:t>-2为同一品牌。</w:t>
            </w:r>
          </w:p>
        </w:tc>
        <w:tc>
          <w:tcPr>
            <w:tcW w:w="184" w:type="pct"/>
            <w:shd w:val="clear" w:color="auto" w:fill="auto"/>
            <w:vAlign w:val="center"/>
          </w:tcPr>
          <w:p w14:paraId="60A198D3">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台</w:t>
            </w:r>
          </w:p>
        </w:tc>
        <w:tc>
          <w:tcPr>
            <w:tcW w:w="295" w:type="pct"/>
            <w:shd w:val="clear" w:color="auto" w:fill="auto"/>
            <w:vAlign w:val="center"/>
          </w:tcPr>
          <w:p w14:paraId="3CAA2E96">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56</w:t>
            </w:r>
          </w:p>
        </w:tc>
      </w:tr>
      <w:tr w14:paraId="4130425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56F46197">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20</w:t>
            </w:r>
          </w:p>
        </w:tc>
        <w:tc>
          <w:tcPr>
            <w:tcW w:w="345" w:type="pct"/>
            <w:vMerge w:val="restart"/>
            <w:shd w:val="clear" w:color="auto" w:fill="auto"/>
            <w:vAlign w:val="center"/>
          </w:tcPr>
          <w:p w14:paraId="57E33518">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建设网络安全接入区</w:t>
            </w:r>
          </w:p>
        </w:tc>
        <w:tc>
          <w:tcPr>
            <w:tcW w:w="645" w:type="pct"/>
            <w:gridSpan w:val="2"/>
            <w:shd w:val="clear" w:color="auto" w:fill="auto"/>
            <w:vAlign w:val="center"/>
          </w:tcPr>
          <w:p w14:paraId="03E9968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省级防火墙（含IPS）</w:t>
            </w:r>
          </w:p>
        </w:tc>
        <w:tc>
          <w:tcPr>
            <w:tcW w:w="3239" w:type="pct"/>
            <w:shd w:val="clear" w:color="auto" w:fill="auto"/>
            <w:vAlign w:val="center"/>
          </w:tcPr>
          <w:p w14:paraId="52C5C78F">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2、网络层吞吐量≥60Gbps，应用层吞吐量≥30Gbps，IPS吞吐量≥15Gbps，开启全功能后满足8G以上的实际流量场景，最大并发连接数≥1600万，每秒新建连接数≥50万。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3、配置千兆电口≥4个，万兆SFP+光口≥8个，40G光口≥2个，万兆单模光模块≥6个，配置双电源。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4、提供防火墙、入侵防御、病毒过滤、僵尸网络防御、应用识别、云端威胁情报等功能。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5、提供IPS特征库、病毒库、僵尸网络库和应用识别库等三年升级授权。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13、支持基于IPv6的状态防火墙及攻击防范。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14、支持双机状态热备（Active/Active和Active/Backup两种工作模式），支持双机配置同步。</w:t>
            </w:r>
          </w:p>
        </w:tc>
        <w:tc>
          <w:tcPr>
            <w:tcW w:w="184" w:type="pct"/>
            <w:shd w:val="clear" w:color="auto" w:fill="auto"/>
            <w:vAlign w:val="center"/>
          </w:tcPr>
          <w:p w14:paraId="0F9A2DBD">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129A40FC">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445FCEF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2BFE795B">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21</w:t>
            </w:r>
          </w:p>
        </w:tc>
        <w:tc>
          <w:tcPr>
            <w:tcW w:w="345" w:type="pct"/>
            <w:vMerge w:val="continue"/>
            <w:vAlign w:val="center"/>
          </w:tcPr>
          <w:p w14:paraId="5CB65343">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486CBDB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省级交换机</w:t>
            </w:r>
          </w:p>
        </w:tc>
        <w:tc>
          <w:tcPr>
            <w:tcW w:w="3239" w:type="pct"/>
            <w:shd w:val="clear" w:color="auto" w:fill="auto"/>
            <w:vAlign w:val="center"/>
          </w:tcPr>
          <w:p w14:paraId="081FFF13">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1、交换容量≥2.4Tbps；包转发率≥1000Mpps；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2、提供≥24个10/100/1000BASE-T，提供≥24个万兆光口，配置≥12个万兆单模光模块；配置≥12个千兆单模光模块；配置≥1根万兆堆叠线缆；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p>
        </w:tc>
        <w:tc>
          <w:tcPr>
            <w:tcW w:w="184" w:type="pct"/>
            <w:shd w:val="clear" w:color="auto" w:fill="auto"/>
            <w:vAlign w:val="center"/>
          </w:tcPr>
          <w:p w14:paraId="6B34FF4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690F6A26">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72D5412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608D25AB">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22</w:t>
            </w:r>
          </w:p>
        </w:tc>
        <w:tc>
          <w:tcPr>
            <w:tcW w:w="345" w:type="pct"/>
            <w:vMerge w:val="continue"/>
            <w:vAlign w:val="center"/>
          </w:tcPr>
          <w:p w14:paraId="76177F35">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651EDC60">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rPr>
              <w:t>市级防火墙（含IPS）</w:t>
            </w:r>
          </w:p>
        </w:tc>
        <w:tc>
          <w:tcPr>
            <w:tcW w:w="3239" w:type="pct"/>
            <w:shd w:val="clear" w:color="auto" w:fill="auto"/>
            <w:vAlign w:val="center"/>
          </w:tcPr>
          <w:p w14:paraId="479DA9C0">
            <w:pPr>
              <w:keepNext w:val="0"/>
              <w:keepLines w:val="0"/>
              <w:pageBreakBefore w:val="0"/>
              <w:widowControl/>
              <w:numPr>
                <w:ilvl w:val="0"/>
                <w:numId w:val="6"/>
              </w:numPr>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lang w:val="en-US" w:eastAsia="zh-CN"/>
              </w:rPr>
            </w:pPr>
            <w:r>
              <w:rPr>
                <w:rFonts w:hint="eastAsia" w:ascii="宋体" w:hAnsi="宋体" w:eastAsia="宋体" w:cs="宋体"/>
                <w:color w:val="auto"/>
                <w:kern w:val="0"/>
                <w:sz w:val="22"/>
                <w:szCs w:val="22"/>
                <w:highlight w:val="none"/>
              </w:rPr>
              <w:t>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2、网络层吞吐量≥40Gbps，应用层吞吐量≥20Gbps，IPS吞吐量≥15Gbps，开启全功能后满足6G以上的实际流量场景，并发连接数≥800万，每秒新建连接数≥45万。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3、配置千兆电口≥4个，万兆SFP+光口≥6个，万兆单模光模块≥4个。配置双电源。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4、提供防火墙、入侵防御、病毒过滤、僵尸网络防御、云端威胁情报功能。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5、提供IPS特征库、病毒库和僵尸网络库等3年升级授权。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13、支持基于IPv6的状态防火墙及攻击防范。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14、支持双机状态热备（Active/Active和Active/Backup两种工作模式），支持双机配置同步。</w:t>
            </w:r>
          </w:p>
        </w:tc>
        <w:tc>
          <w:tcPr>
            <w:tcW w:w="184" w:type="pct"/>
            <w:shd w:val="clear" w:color="auto" w:fill="auto"/>
            <w:vAlign w:val="center"/>
          </w:tcPr>
          <w:p w14:paraId="4C1804C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3B7F9BE5">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22</w:t>
            </w:r>
          </w:p>
        </w:tc>
      </w:tr>
      <w:tr w14:paraId="31CAADB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302B6CD3">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23</w:t>
            </w:r>
          </w:p>
        </w:tc>
        <w:tc>
          <w:tcPr>
            <w:tcW w:w="345" w:type="pct"/>
            <w:vMerge w:val="continue"/>
            <w:vAlign w:val="center"/>
          </w:tcPr>
          <w:p w14:paraId="3A5B57E3">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6962691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市级日志审计</w:t>
            </w:r>
          </w:p>
        </w:tc>
        <w:tc>
          <w:tcPr>
            <w:tcW w:w="3239" w:type="pct"/>
            <w:shd w:val="clear" w:color="auto" w:fill="auto"/>
            <w:vAlign w:val="center"/>
          </w:tcPr>
          <w:p w14:paraId="5D3AD50F">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2、日志处理能力≥8000EPS，本次授权≥100个采集节点。配置千兆电口≥4个，万兆光口≥2个，可用存储空间≥8T</w:t>
            </w:r>
            <w:r>
              <w:rPr>
                <w:rFonts w:hint="eastAsia" w:ascii="宋体" w:hAnsi="宋体" w:eastAsia="宋体" w:cs="宋体"/>
                <w:color w:val="auto"/>
                <w:kern w:val="0"/>
                <w:sz w:val="22"/>
                <w:szCs w:val="22"/>
                <w:highlight w:val="none"/>
                <w:lang w:eastAsia="zh-CN"/>
              </w:rPr>
              <w:t>，</w:t>
            </w:r>
            <w:r>
              <w:rPr>
                <w:rFonts w:hint="eastAsia" w:ascii="宋体" w:hAnsi="宋体" w:eastAsia="宋体" w:cs="宋体"/>
                <w:color w:val="auto"/>
                <w:kern w:val="0"/>
                <w:sz w:val="22"/>
                <w:szCs w:val="22"/>
                <w:highlight w:val="none"/>
              </w:rPr>
              <w:t>日志文件能留存6个月以上。</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3、支持主动、被动相结合的数据采集方式，支持通过 Agent 采集日志数据，支持通过syslog协议、kafka、snmp trap、ftp、smb、wmi、sftp等多种方式完成日志收集。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4、支持自动化模式解析功能，支持UTF8、GBK字符编码的解析模式自适应，无需人工区分字符编码选择解析策略；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5、支持将采集到的日志进行归并，可以根据自身业务需求定制归并策略，做到在一定条件下将接收到的相同日志归并为一条，并且显示该日志的接收次数；</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6、支持自定义过滤条件检索，支持对模糊IP、多个IP、IP地址段、应用、协议、MAC 地址等其他字段精准检索，过滤规则至少支持和、或、非三种运算符。</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7、支持报表功能，内置提供多种报表模板，可适应不同需求下的报表管理。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8、支持IPV4/IPV6类型日志、IPV4/IPV6组网架构下的日志采集和范式化处理。</w:t>
            </w:r>
          </w:p>
        </w:tc>
        <w:tc>
          <w:tcPr>
            <w:tcW w:w="184" w:type="pct"/>
            <w:shd w:val="clear" w:color="auto" w:fill="auto"/>
            <w:vAlign w:val="center"/>
          </w:tcPr>
          <w:p w14:paraId="11A8420C">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0D4F3D3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11</w:t>
            </w:r>
          </w:p>
        </w:tc>
      </w:tr>
      <w:tr w14:paraId="5FBCCF5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71C7FB8B">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24</w:t>
            </w:r>
          </w:p>
        </w:tc>
        <w:tc>
          <w:tcPr>
            <w:tcW w:w="345" w:type="pct"/>
            <w:vMerge w:val="continue"/>
            <w:vAlign w:val="center"/>
          </w:tcPr>
          <w:p w14:paraId="1993193A">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5B8E3CC1">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市级交换机</w:t>
            </w:r>
          </w:p>
        </w:tc>
        <w:tc>
          <w:tcPr>
            <w:tcW w:w="3239" w:type="pct"/>
            <w:shd w:val="clear" w:color="auto" w:fill="auto"/>
            <w:vAlign w:val="center"/>
          </w:tcPr>
          <w:p w14:paraId="59748D0D">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1、交换容量≥2.4Tbps；包转发率≥600Mpps；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2、提供≥24个10/100/1000BASE-T，≥8个万兆SFP+口，≥4个万兆单模光模块；1根万兆堆叠线缆；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p>
        </w:tc>
        <w:tc>
          <w:tcPr>
            <w:tcW w:w="184" w:type="pct"/>
            <w:shd w:val="clear" w:color="auto" w:fill="auto"/>
            <w:vAlign w:val="center"/>
          </w:tcPr>
          <w:p w14:paraId="5B2A13F8">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1B158DB1">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22</w:t>
            </w:r>
          </w:p>
        </w:tc>
      </w:tr>
      <w:tr w14:paraId="5A35F5D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79961A53">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25</w:t>
            </w:r>
          </w:p>
        </w:tc>
        <w:tc>
          <w:tcPr>
            <w:tcW w:w="345" w:type="pct"/>
            <w:vMerge w:val="continue"/>
            <w:vAlign w:val="center"/>
          </w:tcPr>
          <w:p w14:paraId="79270F65">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6C7494F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县级防火墙-1（南昌市、抚州市、新余市、上饶市、赣州市所辖县区和赣江新区）含IPS</w:t>
            </w:r>
          </w:p>
        </w:tc>
        <w:tc>
          <w:tcPr>
            <w:tcW w:w="3239" w:type="pct"/>
            <w:shd w:val="clear" w:color="auto" w:fill="auto"/>
            <w:vAlign w:val="center"/>
          </w:tcPr>
          <w:p w14:paraId="630EC73F">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2、网络层吞吐量≥20Gbps，应用层吞吐量≥15Gbps，IPS吞吐量≥6Gbps，开启全功能后满足3G以上的实际流量场景，并发连接数≥800万，每秒新建连接数≥15万。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3、配置千兆电口≥4个，千兆光口≥4个，万兆SFP+光口≥4个，万兆单模光模块≥4个，千兆单模光模块≥4个，配置双电源。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4、提供防火墙、入侵防御、病毒过滤、僵尸网络防御、云端威胁情报功能。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5、提供IPS特征库、病毒库和僵尸网络库等3年升级授权服务。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13、支持基于IPv6的状态防火墙及攻击防范。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14、支持双机状态热备（Active/Active和Active/Backup两种工作模式），支持双机配置同步。</w:t>
            </w:r>
          </w:p>
          <w:p w14:paraId="3E12FB58">
            <w:pPr>
              <w:widowControl/>
              <w:adjustRightInd/>
              <w:snapToGrid/>
              <w:spacing w:line="240" w:lineRule="auto"/>
              <w:ind w:firstLine="0" w:firstLineChars="0"/>
              <w:rPr>
                <w:rFonts w:hint="eastAsia" w:ascii="宋体" w:hAnsi="宋体" w:eastAsia="宋体" w:cs="宋体"/>
                <w:color w:val="auto"/>
                <w:kern w:val="0"/>
                <w:sz w:val="22"/>
                <w:szCs w:val="22"/>
                <w:highlight w:val="none"/>
                <w:lang w:val="en-US" w:eastAsia="zh-CN"/>
              </w:rPr>
            </w:pPr>
            <w:r>
              <w:rPr>
                <w:rFonts w:hint="eastAsia" w:ascii="宋体" w:hAnsi="宋体" w:eastAsia="宋体" w:cs="宋体"/>
                <w:color w:val="auto"/>
                <w:kern w:val="0"/>
                <w:sz w:val="22"/>
                <w:szCs w:val="22"/>
                <w:highlight w:val="none"/>
                <w:lang w:val="en-US" w:eastAsia="zh-CN"/>
              </w:rPr>
              <w:t>15、不能与</w:t>
            </w:r>
            <w:r>
              <w:rPr>
                <w:rFonts w:hint="eastAsia" w:ascii="宋体" w:hAnsi="宋体" w:eastAsia="宋体" w:cs="宋体"/>
                <w:color w:val="auto"/>
                <w:sz w:val="22"/>
                <w:szCs w:val="22"/>
                <w:highlight w:val="none"/>
              </w:rPr>
              <w:t>县级防火墙-</w:t>
            </w:r>
            <w:r>
              <w:rPr>
                <w:rFonts w:hint="eastAsia" w:ascii="宋体" w:hAnsi="宋体" w:eastAsia="宋体" w:cs="宋体"/>
                <w:color w:val="auto"/>
                <w:sz w:val="22"/>
                <w:szCs w:val="22"/>
                <w:highlight w:val="none"/>
                <w:lang w:val="en-US" w:eastAsia="zh-CN"/>
              </w:rPr>
              <w:t>2为同一品牌。</w:t>
            </w:r>
          </w:p>
        </w:tc>
        <w:tc>
          <w:tcPr>
            <w:tcW w:w="184" w:type="pct"/>
            <w:shd w:val="clear" w:color="auto" w:fill="auto"/>
            <w:vAlign w:val="center"/>
          </w:tcPr>
          <w:p w14:paraId="6324261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188E175C">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126</w:t>
            </w:r>
          </w:p>
        </w:tc>
      </w:tr>
      <w:tr w14:paraId="13AF09A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7E327E6C">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26</w:t>
            </w:r>
          </w:p>
        </w:tc>
        <w:tc>
          <w:tcPr>
            <w:tcW w:w="345" w:type="pct"/>
            <w:vMerge w:val="continue"/>
            <w:vAlign w:val="center"/>
          </w:tcPr>
          <w:p w14:paraId="76A970E6">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4EF7B841">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县级防火墙-2（景德镇市、鹰潭市、萍乡市、宜春市、九江市、吉安市所辖县区）含IPS</w:t>
            </w:r>
          </w:p>
        </w:tc>
        <w:tc>
          <w:tcPr>
            <w:tcW w:w="3239" w:type="pct"/>
            <w:shd w:val="clear" w:color="auto" w:fill="auto"/>
            <w:vAlign w:val="center"/>
          </w:tcPr>
          <w:p w14:paraId="3D0FD62C">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2、网络层吞吐量≥20Gbps，应用层吞吐量≥15Gbps，IPS吞吐量≥6Gbps，开启全功能后满足3G以上的实际流量场景，并发连接数≥800万，每秒新建连接数≥15万。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3、配置千兆电口≥4个，千兆光口≥4个，万兆SFP+光口≥4个，万兆单模光模块≥4个，千兆单模光模块≥4个，配置双电源。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4、提供防火墙、入侵防御、病毒过滤、僵尸网络防御、云端威胁情报功能。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5、提供IPS特征库、病毒库和僵尸网络库等3年升级授权服务。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13、支持基于IPv6的状态防火墙及攻击防范。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14、支持双机状态热备（Active/Active和Active/Backup两种工作模式），支持双机配置同步。</w:t>
            </w:r>
          </w:p>
          <w:p w14:paraId="70125F15">
            <w:pPr>
              <w:keepNext w:val="0"/>
              <w:keepLines w:val="0"/>
              <w:pageBreakBefore w:val="0"/>
              <w:widowControl/>
              <w:kinsoku w:val="0"/>
              <w:wordWrap/>
              <w:overflowPunct/>
              <w:topLinePunct w:val="0"/>
              <w:autoSpaceDE w:val="0"/>
              <w:autoSpaceDN w:val="0"/>
              <w:bidi w:val="0"/>
              <w:adjustRightInd/>
              <w:snapToGrid/>
              <w:spacing w:after="0" w:line="240" w:lineRule="auto"/>
              <w:ind w:firstLine="0" w:firstLineChars="0"/>
              <w:textAlignment w:val="baseline"/>
              <w:rPr>
                <w:rFonts w:hint="eastAsia" w:ascii="宋体" w:hAnsi="宋体" w:eastAsia="宋体" w:cs="宋体"/>
                <w:color w:val="auto"/>
                <w:kern w:val="0"/>
                <w:sz w:val="22"/>
                <w:szCs w:val="22"/>
                <w:highlight w:val="none"/>
                <w:lang w:val="en-US" w:eastAsia="zh-CN"/>
              </w:rPr>
            </w:pPr>
            <w:r>
              <w:rPr>
                <w:rFonts w:hint="eastAsia" w:ascii="宋体" w:hAnsi="宋体" w:eastAsia="宋体" w:cs="宋体"/>
                <w:color w:val="auto"/>
                <w:kern w:val="0"/>
                <w:sz w:val="22"/>
                <w:szCs w:val="22"/>
                <w:highlight w:val="none"/>
                <w:lang w:val="en-US" w:eastAsia="zh-CN"/>
              </w:rPr>
              <w:t>15、不能与</w:t>
            </w:r>
            <w:r>
              <w:rPr>
                <w:rFonts w:hint="eastAsia" w:ascii="宋体" w:hAnsi="宋体" w:eastAsia="宋体" w:cs="宋体"/>
                <w:color w:val="auto"/>
                <w:sz w:val="22"/>
                <w:szCs w:val="22"/>
                <w:highlight w:val="none"/>
              </w:rPr>
              <w:t>县级防火墙-</w:t>
            </w:r>
            <w:r>
              <w:rPr>
                <w:rFonts w:hint="eastAsia" w:ascii="宋体" w:hAnsi="宋体" w:eastAsia="宋体" w:cs="宋体"/>
                <w:color w:val="auto"/>
                <w:sz w:val="22"/>
                <w:szCs w:val="22"/>
                <w:highlight w:val="none"/>
                <w:lang w:val="en-US" w:eastAsia="zh-CN"/>
              </w:rPr>
              <w:t>1为同一品牌。</w:t>
            </w:r>
          </w:p>
        </w:tc>
        <w:tc>
          <w:tcPr>
            <w:tcW w:w="184" w:type="pct"/>
            <w:shd w:val="clear" w:color="auto" w:fill="auto"/>
            <w:vAlign w:val="center"/>
          </w:tcPr>
          <w:p w14:paraId="6D6AE0C1">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63AFBB0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126</w:t>
            </w:r>
          </w:p>
        </w:tc>
      </w:tr>
      <w:tr w14:paraId="56A97DC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51EFDE80">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27</w:t>
            </w:r>
          </w:p>
        </w:tc>
        <w:tc>
          <w:tcPr>
            <w:tcW w:w="345" w:type="pct"/>
            <w:vMerge w:val="continue"/>
            <w:vAlign w:val="center"/>
          </w:tcPr>
          <w:p w14:paraId="5563FC8F">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6164A49C">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县级交换机</w:t>
            </w:r>
          </w:p>
        </w:tc>
        <w:tc>
          <w:tcPr>
            <w:tcW w:w="3239" w:type="pct"/>
            <w:shd w:val="clear" w:color="auto" w:fill="auto"/>
            <w:vAlign w:val="center"/>
          </w:tcPr>
          <w:p w14:paraId="262DF345">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1、交换容量≥2.4Tbps；包转发率≥600Mpps；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2、提供≥24个10/100/1000BASE-T，≥8个万兆SFP+口，≥4个万兆单模光模块；1根万兆堆叠线缆；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p>
        </w:tc>
        <w:tc>
          <w:tcPr>
            <w:tcW w:w="184" w:type="pct"/>
            <w:shd w:val="clear" w:color="auto" w:fill="auto"/>
            <w:vAlign w:val="center"/>
          </w:tcPr>
          <w:p w14:paraId="7BC88B0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5B36F29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252</w:t>
            </w:r>
          </w:p>
        </w:tc>
      </w:tr>
      <w:tr w14:paraId="472F37B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1744DC5F">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28</w:t>
            </w:r>
          </w:p>
        </w:tc>
        <w:tc>
          <w:tcPr>
            <w:tcW w:w="345" w:type="pct"/>
            <w:vMerge w:val="restart"/>
            <w:shd w:val="clear" w:color="auto" w:fill="auto"/>
            <w:vAlign w:val="center"/>
          </w:tcPr>
          <w:p w14:paraId="62D88C3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扩容省级终端安全管控平台</w:t>
            </w:r>
          </w:p>
        </w:tc>
        <w:tc>
          <w:tcPr>
            <w:tcW w:w="645" w:type="pct"/>
            <w:gridSpan w:val="2"/>
            <w:shd w:val="clear" w:color="auto" w:fill="auto"/>
            <w:vAlign w:val="center"/>
          </w:tcPr>
          <w:p w14:paraId="457F3EA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终端管控代理网关</w:t>
            </w:r>
          </w:p>
        </w:tc>
        <w:tc>
          <w:tcPr>
            <w:tcW w:w="3239" w:type="pct"/>
            <w:shd w:val="clear" w:color="auto" w:fill="auto"/>
            <w:vAlign w:val="center"/>
          </w:tcPr>
          <w:p w14:paraId="227AB861">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2、最大理论加密流量≥2500Mbps，最大理论并发用户数≥25000，内存大小≥32G，硬盘容量≥480G SSD，配置冗余电源，配置≥4千兆电口，配置≥4千兆SFP光口，配置≥4万兆SFP+光口；</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设备内置符合中国商用密码标准的加密卡，采用国家密码管理局颁布的SM1、SM2、SM3、SM4密码算法及其协议，支持多种身份认证方式、细粒度访问权限控制等主要功能，保证系统接入的用户身份安全、终端/数据安全、传输安全、应用权限安全和审计安全，符合国家商用密码标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4、为满足高可靠性要求，终端管控代理网关应支持集群部署，控制中心和代理网关支持分离部署；</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5、支持WEB资源发布和隧道资源发布等类型的业务发布，支持审计包括用户、源IP、URL、时间、端口访问等日志。</w:t>
            </w:r>
          </w:p>
        </w:tc>
        <w:tc>
          <w:tcPr>
            <w:tcW w:w="184" w:type="pct"/>
            <w:shd w:val="clear" w:color="auto" w:fill="auto"/>
            <w:vAlign w:val="center"/>
          </w:tcPr>
          <w:p w14:paraId="0764722A">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18027955">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4</w:t>
            </w:r>
          </w:p>
        </w:tc>
      </w:tr>
      <w:tr w14:paraId="1BBD3DA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2EF9A5BE">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29</w:t>
            </w:r>
          </w:p>
        </w:tc>
        <w:tc>
          <w:tcPr>
            <w:tcW w:w="345" w:type="pct"/>
            <w:vMerge w:val="continue"/>
            <w:vAlign w:val="center"/>
          </w:tcPr>
          <w:p w14:paraId="56BD0E0C">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6767749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终端管控控制中心</w:t>
            </w:r>
          </w:p>
        </w:tc>
        <w:tc>
          <w:tcPr>
            <w:tcW w:w="3239" w:type="pct"/>
            <w:shd w:val="clear" w:color="auto" w:fill="auto"/>
            <w:vAlign w:val="center"/>
          </w:tcPr>
          <w:p w14:paraId="72D80E87">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1、最大并发用户数（个）≥20000，终端并发接入授权≥15000，沙箱终端授权数≥7500，内存大小≥32G，硬盘容量≥480G SSD，配置冗余电源，配置≥4千兆电口，配置≥4千兆SFP光口，配置≥4万兆SFP+光口；</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内置符合中国商用密码标准的加密卡，采用国家密码管理局颁布的SM1、SM2、SM3、SM4密码算法及其协议，支持多种身份认证方式、细粒度访问权限控制等主要功能，保证系统接入的用户身份安全、终端/数据安全、传输安全、应用权限安全和审计安全，符合国家商用密码标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3、支持≥15级用户目录，用户帐号数规格≥200万、隧道应用数≥10万、WEB应用数≥10万；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4、支持加密传输、终端接入、用户认证、日志审计等基础功能。支持网络隔离、WEB水印、上线准入策略（终端动态环境检测）、灰度处置、第二/三代SPA等安全性增强功能；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为了保障用户在国产化终端上的正常业务访问，终端管控零信任客户端应兼容主流国产硬件CPU的国产操作系统终端，包括但不限于麒麟V10×龙芯、麒麟V10×龙芯LoongArch、麒麟V10×飞腾、麒麟V10×鲲鹏、麒麟V10×兆芯、麒麟V10×海光、麒麟V10×海思麒麟；统信V20×龙芯（3A3000、3A4000）、统信V20×龙芯（3A5000）、统信V20×飞腾、统信V20×鲲鹏、统信V20×海光、统信V20×兆芯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6、可在终端创建具备安全链路、落地文件加密、网络隔离、剪切板隔离、进程保护、屏幕水印等数据保护能力的安全工作空间。</w:t>
            </w:r>
          </w:p>
        </w:tc>
        <w:tc>
          <w:tcPr>
            <w:tcW w:w="184" w:type="pct"/>
            <w:shd w:val="clear" w:color="auto" w:fill="auto"/>
            <w:vAlign w:val="center"/>
          </w:tcPr>
          <w:p w14:paraId="797FA31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78E5A1D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1D4C78B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2622C607">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30</w:t>
            </w:r>
          </w:p>
        </w:tc>
        <w:tc>
          <w:tcPr>
            <w:tcW w:w="345" w:type="pct"/>
            <w:vMerge w:val="continue"/>
            <w:vAlign w:val="center"/>
          </w:tcPr>
          <w:p w14:paraId="42902286">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1D0B0A28">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终端管控分析中心</w:t>
            </w:r>
          </w:p>
        </w:tc>
        <w:tc>
          <w:tcPr>
            <w:tcW w:w="3239" w:type="pct"/>
            <w:shd w:val="clear" w:color="auto" w:fill="auto"/>
            <w:vAlign w:val="center"/>
          </w:tcPr>
          <w:p w14:paraId="52C62EAC">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1、平均日志处理性能≥9000eps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2、支持终端管控零信任日志存储审计与查询、基础统计分析、办公安全报表展示和办公安全大屏；</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3、具备WEB业务审计功能，支持业务操作录屏、业务操作审计等；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4、支持权限推荐、用户访问可视、信任评估+联动处置等能力。</w:t>
            </w:r>
          </w:p>
        </w:tc>
        <w:tc>
          <w:tcPr>
            <w:tcW w:w="184" w:type="pct"/>
            <w:shd w:val="clear" w:color="auto" w:fill="auto"/>
            <w:vAlign w:val="center"/>
          </w:tcPr>
          <w:p w14:paraId="4F8BBC8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4344562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6D403E3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22AFF6E8">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31</w:t>
            </w:r>
          </w:p>
        </w:tc>
        <w:tc>
          <w:tcPr>
            <w:tcW w:w="345" w:type="pct"/>
            <w:vMerge w:val="continue"/>
            <w:vAlign w:val="center"/>
          </w:tcPr>
          <w:p w14:paraId="3C49EA51">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65B8158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终端隔离模块</w:t>
            </w:r>
          </w:p>
        </w:tc>
        <w:tc>
          <w:tcPr>
            <w:tcW w:w="3239" w:type="pct"/>
            <w:shd w:val="clear" w:color="auto" w:fill="auto"/>
            <w:vAlign w:val="center"/>
          </w:tcPr>
          <w:p w14:paraId="67C515AE">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1、为零信任系统用户的终端提供多网隔离、同一时间只允许上一张网的能力。通过切换不同“虚拟网络域”，实现进程级别的终端入站、出站网络连接管控。</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2、支持网络规则划分：支持对用户PC终端的出站和入站网络规则进行划分，形成虚拟网络域，以实现精细化的网络管控。</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3、支持访问限制：用户在登录终端管控零信任客户端后，仅能主动访问与其虚拟网络域对应的IP、IP范围、IP段和域名，同时也只能被限定的IP、IP范围、IP段访问。</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4、支持进程级别访问控制：虚拟网络域的网络规则支持配置，仅对终端上的某些指定进程生效，从而增强安全性。</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5、支持多虚拟网络域：同一个用户终端可以配置关联不少于6个虚拟网络域，便于用户在不同的工作场景中灵活切换。</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6、支持快速切换功能：支持用户通过悬浮球、标签选择等方式快速切换虚拟网络域，提升用户体验。</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7、虚拟网络域功能需支持主流操作系统，包括但不限于Windows、macOS、麒麟Kylin、统信UOS等。</w:t>
            </w:r>
          </w:p>
        </w:tc>
        <w:tc>
          <w:tcPr>
            <w:tcW w:w="184" w:type="pct"/>
            <w:shd w:val="clear" w:color="auto" w:fill="auto"/>
            <w:vAlign w:val="center"/>
          </w:tcPr>
          <w:p w14:paraId="42AECF96">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4841B2F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1D07783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491E7373">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32</w:t>
            </w:r>
          </w:p>
        </w:tc>
        <w:tc>
          <w:tcPr>
            <w:tcW w:w="345" w:type="pct"/>
            <w:vMerge w:val="continue"/>
            <w:vAlign w:val="center"/>
          </w:tcPr>
          <w:p w14:paraId="45401E14">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56E1207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违规外联监测设备</w:t>
            </w:r>
          </w:p>
        </w:tc>
        <w:tc>
          <w:tcPr>
            <w:tcW w:w="3239" w:type="pct"/>
            <w:shd w:val="clear" w:color="auto" w:fill="auto"/>
            <w:vAlign w:val="center"/>
          </w:tcPr>
          <w:p w14:paraId="4FCB80EE">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2、系统采用B/S架构，管理员只需浏览器即可访问系统进行操作。内存≥16GB、硬盘≥2TB；镜像流量≥40Gbps、扫描速率≥50Mb/s、≥6个千兆电口，≥4个万兆光口。</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3、IPV4或IPV6内外网互联行为监测，支持不安装客户端的情况下，监测发现系统所在内部网络存在的以IPV4或IPV6地址为出口的外联行为，上报设备内网IP、公网IP、外联时间。</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4、设备安全检查，支持自定义设置监测频率，对全网设备进行安全检测，能够识别在网资产的设备类型、品牌型号、操作系统、应用名称、版本、端口等信息。</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5、内部设备内外网交替混用行为发现，支持在不安装客户端的情况下，自动发现管理域内设备内外网交替混用的行为，上报设备内网IP、外联时间。</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6、线路外联发现，支持在不依赖客户端的情况下，自动发现管理域内接入的与内网只在数据链路层联通而网络层不连通的可外联网络设备。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网中分析并监测NAT子网内设备外联行为，支持在不安装客户端的情况下，对NAT内各台设备的外联行为进行监测，上报外联行为公网IP、外联时间、NAT子网出口IP、NAT子网内外联设备的指纹信息，并可通过取证对外联设备进行指纹查证。</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内外网违规外联设备外联防护，支持在不安装客户端的情况下，能够对边界内外网违规外联设备进行外联防护，对其进行阻断跳转提醒，能够对边界线路外联点对应的可网管交换机端口进行外联防护，对该交换机端口进行关闭。</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9、远程运维接入边界点发现，在不安装客户端的情况下，支持监测发现系统所在网络内存在的远程运维接入硬件和软件。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10、网络外联朔源取证，支持对网络边界和违规外联行为的网络流量进行审计，审计范围包括：NAT 边界、内外网互联、非授权外联、移动设备接入；审计内容包括：协议类型、源地址、目标地址、目标端口、上行流量、下行流量、总流量等。同时支持外联事件的核查取证，提供交换机ARP缓存表和PORT-MAC表的历史记录以供查询定位设备所在物理位置。</w:t>
            </w:r>
          </w:p>
        </w:tc>
        <w:tc>
          <w:tcPr>
            <w:tcW w:w="184" w:type="pct"/>
            <w:shd w:val="clear" w:color="auto" w:fill="auto"/>
            <w:vAlign w:val="center"/>
          </w:tcPr>
          <w:p w14:paraId="7FE47CC5">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6A01141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17112F9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4CBB0C2E">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33</w:t>
            </w:r>
          </w:p>
        </w:tc>
        <w:tc>
          <w:tcPr>
            <w:tcW w:w="345" w:type="pct"/>
            <w:vMerge w:val="restart"/>
            <w:shd w:val="clear" w:color="000000" w:fill="FFFFFF"/>
            <w:vAlign w:val="center"/>
          </w:tcPr>
          <w:p w14:paraId="5894577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改造升级安全接入平台</w:t>
            </w:r>
          </w:p>
        </w:tc>
        <w:tc>
          <w:tcPr>
            <w:tcW w:w="645" w:type="pct"/>
            <w:gridSpan w:val="2"/>
            <w:shd w:val="clear" w:color="000000" w:fill="FFFFFF"/>
            <w:vAlign w:val="center"/>
          </w:tcPr>
          <w:p w14:paraId="396A2C2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零信任安全接入平台承载硬件</w:t>
            </w:r>
          </w:p>
        </w:tc>
        <w:tc>
          <w:tcPr>
            <w:tcW w:w="3239" w:type="pct"/>
            <w:shd w:val="clear" w:color="000000" w:fill="FFFFFF"/>
            <w:vAlign w:val="center"/>
          </w:tcPr>
          <w:p w14:paraId="1F8DAFE2">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1、零信任平台专用硬件，采用国产化芯片。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2、提供的计算虚拟化、存储虚拟化、网络虚拟化为同一品牌完全自主研发。</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3、单台CPU≥2颗，每个CPU核数≥16核，主频≥2.5GHz，内存≥4*32 DDR4,系统盘≥2*240GB SATA，数据缓存盘≥6*1.9T SSD，千兆光口≥4，万兆光口≥2。配置冗余电源，支持热插拔系统风扇。</w:t>
            </w:r>
          </w:p>
        </w:tc>
        <w:tc>
          <w:tcPr>
            <w:tcW w:w="184" w:type="pct"/>
            <w:shd w:val="clear" w:color="auto" w:fill="auto"/>
            <w:vAlign w:val="center"/>
          </w:tcPr>
          <w:p w14:paraId="407A5BA1">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000000" w:fill="FFFFFF"/>
            <w:vAlign w:val="center"/>
          </w:tcPr>
          <w:p w14:paraId="272975A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20</w:t>
            </w:r>
          </w:p>
        </w:tc>
      </w:tr>
      <w:tr w14:paraId="1F1E1F6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344925F3">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34</w:t>
            </w:r>
          </w:p>
        </w:tc>
        <w:tc>
          <w:tcPr>
            <w:tcW w:w="345" w:type="pct"/>
            <w:vMerge w:val="continue"/>
            <w:vAlign w:val="center"/>
          </w:tcPr>
          <w:p w14:paraId="0EA4964B">
            <w:pPr>
              <w:pStyle w:val="44"/>
              <w:rPr>
                <w:rFonts w:hint="eastAsia" w:ascii="宋体" w:hAnsi="宋体" w:eastAsia="宋体" w:cs="宋体"/>
                <w:color w:val="auto"/>
                <w:sz w:val="22"/>
                <w:szCs w:val="22"/>
                <w:highlight w:val="none"/>
              </w:rPr>
            </w:pPr>
          </w:p>
        </w:tc>
        <w:tc>
          <w:tcPr>
            <w:tcW w:w="645" w:type="pct"/>
            <w:gridSpan w:val="2"/>
            <w:shd w:val="clear" w:color="000000" w:fill="FFFFFF"/>
            <w:vAlign w:val="center"/>
          </w:tcPr>
          <w:p w14:paraId="771B67B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核心交换机</w:t>
            </w:r>
          </w:p>
        </w:tc>
        <w:tc>
          <w:tcPr>
            <w:tcW w:w="3239" w:type="pct"/>
            <w:shd w:val="clear" w:color="000000" w:fill="FFFFFF"/>
            <w:vAlign w:val="center"/>
          </w:tcPr>
          <w:p w14:paraId="68CD7EC8">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1、交换容量≥76Tbps，包转发率≥50000Mpps；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2、整机主控槽位数≥2个；业务槽位数≥6个，电源槽位≥4；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3、配置≥双主控；配置≥2个冗余电源；配置≥20个千兆电口；配置≥16个万兆光口；配置≥32个千兆光口；配置≥16万兆单模光模块，配置≥16个千兆单模光模块，配置≥1根万兆堆叠线缆；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5、支持硬件BFD，支持BFD 3ms最小探测间隔；</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10、支持IPv4/IPv6双栈协议、ND（Neighbor Discovery），支持IPv6-Ping，IPv6-Tracert，IPv6-Telnet，IPv6-TFTP，IPv6-ICMP，IPv6-DNS。</w:t>
            </w:r>
          </w:p>
        </w:tc>
        <w:tc>
          <w:tcPr>
            <w:tcW w:w="184" w:type="pct"/>
            <w:shd w:val="clear" w:color="auto" w:fill="auto"/>
            <w:vAlign w:val="center"/>
          </w:tcPr>
          <w:p w14:paraId="68BC9D9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000000" w:fill="FFFFFF"/>
            <w:vAlign w:val="center"/>
          </w:tcPr>
          <w:p w14:paraId="6BEE3DD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11444F1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1EDA38A0">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35</w:t>
            </w:r>
          </w:p>
        </w:tc>
        <w:tc>
          <w:tcPr>
            <w:tcW w:w="345" w:type="pct"/>
            <w:vMerge w:val="restart"/>
            <w:shd w:val="clear" w:color="000000" w:fill="FFFFFF"/>
            <w:vAlign w:val="center"/>
          </w:tcPr>
          <w:p w14:paraId="17476F7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新建5G专用网络安全接入区</w:t>
            </w:r>
          </w:p>
        </w:tc>
        <w:tc>
          <w:tcPr>
            <w:tcW w:w="645" w:type="pct"/>
            <w:gridSpan w:val="2"/>
            <w:shd w:val="clear" w:color="000000" w:fill="FFFFFF"/>
            <w:vAlign w:val="center"/>
          </w:tcPr>
          <w:p w14:paraId="2DCA671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路由器</w:t>
            </w:r>
          </w:p>
        </w:tc>
        <w:tc>
          <w:tcPr>
            <w:tcW w:w="3239" w:type="pct"/>
            <w:shd w:val="clear" w:color="000000" w:fill="FFFFFF"/>
            <w:vAlign w:val="center"/>
          </w:tcPr>
          <w:p w14:paraId="6DE12C06">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1、路由器设备，交换容量≥70Tbps；包转发率≥6000Mpps；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2、设备主控板、交换板、业务板物理分离，设备采用子卡母架构设计，母卡和子卡均支持热插拔；业务板槽位数≥8；支持≥2块独立交换网板；</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3、配置≥双主控，配置≥双冗余交流电源；配置≥1块独立交换网板，配置≥10个万兆SPF+光口，配置≥14个千兆SFP光口，配置≥8个千兆电口，配置≥8个万兆单模光模块，配置冗余风扇及电源；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5、支持100G/40G/10GE/GE/155M POS/CPOS/622M POS/E1等接口；</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6、支持分布式Netstream功能，支持分布式GRE功能；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10、支持跨域MPLS VPN（Option1/2/3）、嵌套MPLS VPN、分层PE（HoPE）、CE双归属、MCE、多角色主机等，支持MPLS TE、RSVP TE。</w:t>
            </w:r>
          </w:p>
        </w:tc>
        <w:tc>
          <w:tcPr>
            <w:tcW w:w="184" w:type="pct"/>
            <w:shd w:val="clear" w:color="auto" w:fill="auto"/>
            <w:vAlign w:val="center"/>
          </w:tcPr>
          <w:p w14:paraId="10E693D6">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000000" w:fill="FFFFFF"/>
            <w:vAlign w:val="center"/>
          </w:tcPr>
          <w:p w14:paraId="6041803D">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3381413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7EB9943C">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36</w:t>
            </w:r>
          </w:p>
        </w:tc>
        <w:tc>
          <w:tcPr>
            <w:tcW w:w="345" w:type="pct"/>
            <w:vMerge w:val="continue"/>
            <w:vAlign w:val="center"/>
          </w:tcPr>
          <w:p w14:paraId="6C6B2BFB">
            <w:pPr>
              <w:pStyle w:val="44"/>
              <w:rPr>
                <w:rFonts w:hint="eastAsia" w:ascii="宋体" w:hAnsi="宋体" w:eastAsia="宋体" w:cs="宋体"/>
                <w:color w:val="auto"/>
                <w:sz w:val="22"/>
                <w:szCs w:val="22"/>
                <w:highlight w:val="none"/>
              </w:rPr>
            </w:pPr>
          </w:p>
        </w:tc>
        <w:tc>
          <w:tcPr>
            <w:tcW w:w="645" w:type="pct"/>
            <w:gridSpan w:val="2"/>
            <w:shd w:val="clear" w:color="000000" w:fill="FFFFFF"/>
            <w:vAlign w:val="center"/>
          </w:tcPr>
          <w:p w14:paraId="54193D4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防火墙</w:t>
            </w:r>
          </w:p>
        </w:tc>
        <w:tc>
          <w:tcPr>
            <w:tcW w:w="3239" w:type="pct"/>
            <w:shd w:val="clear" w:color="000000" w:fill="FFFFFF"/>
            <w:vAlign w:val="center"/>
          </w:tcPr>
          <w:p w14:paraId="7F469C88">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2、网络层吞吐量≥60Gbps，应用层吞吐量≥30Gbps，IPS吞吐量≥15Gbps，开启全功能后满足8G以上的实际流量场景，最大并发连接数≥1600万，每秒新建连接数≥50万。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3、配置千兆电口≥4个，万兆SFP+光口≥8个，40G光口≥2个，万兆单模光模块≥6个，配置双电源。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4、提供防火墙、入侵防御、病毒过滤、僵尸网络防御、应用识别、云端威胁情报等功能。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5、提供IPS特征库、病毒库、僵尸网络库和应用识别库等三年升级授权。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13、支持基于IPv6的状态防火墙及攻击防范。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14、支持双机状态热备（Active/Active和Active/Backup两种工作模式），支持双机配置同步。</w:t>
            </w:r>
          </w:p>
        </w:tc>
        <w:tc>
          <w:tcPr>
            <w:tcW w:w="184" w:type="pct"/>
            <w:shd w:val="clear" w:color="auto" w:fill="auto"/>
            <w:vAlign w:val="center"/>
          </w:tcPr>
          <w:p w14:paraId="001AE37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000000" w:fill="FFFFFF"/>
            <w:vAlign w:val="center"/>
          </w:tcPr>
          <w:p w14:paraId="2610E57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04C2B75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40925247">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37</w:t>
            </w:r>
          </w:p>
        </w:tc>
        <w:tc>
          <w:tcPr>
            <w:tcW w:w="345" w:type="pct"/>
            <w:vMerge w:val="continue"/>
            <w:vAlign w:val="center"/>
          </w:tcPr>
          <w:p w14:paraId="449EE5D9">
            <w:pPr>
              <w:pStyle w:val="44"/>
              <w:rPr>
                <w:rFonts w:hint="eastAsia" w:ascii="宋体" w:hAnsi="宋体" w:eastAsia="宋体" w:cs="宋体"/>
                <w:color w:val="auto"/>
                <w:sz w:val="22"/>
                <w:szCs w:val="22"/>
                <w:highlight w:val="none"/>
              </w:rPr>
            </w:pPr>
          </w:p>
        </w:tc>
        <w:tc>
          <w:tcPr>
            <w:tcW w:w="645" w:type="pct"/>
            <w:gridSpan w:val="2"/>
            <w:shd w:val="clear" w:color="000000" w:fill="FFFFFF"/>
            <w:vAlign w:val="center"/>
          </w:tcPr>
          <w:p w14:paraId="5D018D98">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日志审计</w:t>
            </w:r>
          </w:p>
        </w:tc>
        <w:tc>
          <w:tcPr>
            <w:tcW w:w="3239" w:type="pct"/>
            <w:shd w:val="clear" w:color="000000" w:fill="FFFFFF"/>
            <w:vAlign w:val="center"/>
          </w:tcPr>
          <w:p w14:paraId="60C72E68">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2、日志处理能力≥8000EPS，本次授权≥100个采集节点。配置千兆电口≥4个，万兆光口≥2个，可用存储空间≥8T</w:t>
            </w:r>
            <w:r>
              <w:rPr>
                <w:rFonts w:hint="eastAsia" w:ascii="宋体" w:hAnsi="宋体" w:eastAsia="宋体" w:cs="宋体"/>
                <w:color w:val="auto"/>
                <w:kern w:val="0"/>
                <w:sz w:val="22"/>
                <w:szCs w:val="22"/>
                <w:highlight w:val="none"/>
                <w:lang w:eastAsia="zh-CN"/>
              </w:rPr>
              <w:t>，</w:t>
            </w:r>
            <w:r>
              <w:rPr>
                <w:rFonts w:hint="eastAsia" w:ascii="宋体" w:hAnsi="宋体" w:eastAsia="宋体" w:cs="宋体"/>
                <w:color w:val="auto"/>
                <w:kern w:val="0"/>
                <w:sz w:val="22"/>
                <w:szCs w:val="22"/>
                <w:highlight w:val="none"/>
              </w:rPr>
              <w:t>日志文件能留存6个月以上。</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3、支持主动、被动相结合的数据采集方式，支持通过 Agent 采集日志数据，支持通过syslog协议、kafka、snmp trap、ftp、smb、wmi、sftp等多种方式完成日志收集。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4、支持自动化模式解析功能，支持UTF8、GBK字符编码的解析模式自适应，无需人工区分字符编码选择解析策略；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5、支持将采集到的日志进行归并，可以根据自身业务需求定制归并策略，做到在一定条件下将接收到的相同日志归并为一条，并且显示该日志的接收次数；</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6、支持自定义过滤条件检索，支持对模糊IP、多个IP、IP地址段、应用、协议、MAC 地址等其他字段精准检索，过滤规则至少支持和、或、非三种运算符。</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7、支持报表功能，内置提供多种报表模板，可适应不同需求下的报表管理。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8、支持根据终端 IP 地址溯源到终端用户身份的对应关系，对通过 5G 专用网络访问业务进行日志记录，日志文件能留存6个月以上。</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9、支持对认证行为和平台操作等进行日志记录，日志文件能留存6个月以上。</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10、支持IPV4/IPV6类型日志、IPV4/IPV6组网架构下的日志采集和范式化处理。</w:t>
            </w:r>
          </w:p>
        </w:tc>
        <w:tc>
          <w:tcPr>
            <w:tcW w:w="184" w:type="pct"/>
            <w:shd w:val="clear" w:color="auto" w:fill="auto"/>
            <w:vAlign w:val="center"/>
          </w:tcPr>
          <w:p w14:paraId="38C3C5FE">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000000" w:fill="FFFFFF"/>
            <w:vAlign w:val="center"/>
          </w:tcPr>
          <w:p w14:paraId="13C359E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p>
        </w:tc>
      </w:tr>
      <w:tr w14:paraId="494B27B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00754E76">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38</w:t>
            </w:r>
          </w:p>
        </w:tc>
        <w:tc>
          <w:tcPr>
            <w:tcW w:w="345" w:type="pct"/>
            <w:vMerge w:val="restart"/>
            <w:shd w:val="clear" w:color="auto" w:fill="auto"/>
            <w:vAlign w:val="center"/>
          </w:tcPr>
          <w:p w14:paraId="0E37F84C">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部署IPv6改造支撑系统</w:t>
            </w:r>
          </w:p>
        </w:tc>
        <w:tc>
          <w:tcPr>
            <w:tcW w:w="645" w:type="pct"/>
            <w:gridSpan w:val="2"/>
            <w:shd w:val="clear" w:color="auto" w:fill="auto"/>
            <w:vAlign w:val="center"/>
          </w:tcPr>
          <w:p w14:paraId="239EB57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IPv6 DNS设备</w:t>
            </w:r>
          </w:p>
        </w:tc>
        <w:tc>
          <w:tcPr>
            <w:tcW w:w="3239" w:type="pct"/>
            <w:shd w:val="clear" w:color="auto" w:fill="auto"/>
            <w:vAlign w:val="center"/>
          </w:tcPr>
          <w:p w14:paraId="2702A7F5">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1、DNS QPS≥23万个/秒 ，千兆光口≥4个，千兆电口≥4个，存储≥1TB，内存≥16G，千兆单模光模块≥2个；</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2、支持智能DNS解析、业务宕机检测、反向代理、DNS数据分析等；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3、支持外链过滤器添加/删除/修改，支持网站页面静态和动态外部链接的识别和处理；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4、支持DNS防火墙、DNS黑名单、DNS URL过滤、恶意域名过滤；隧道攻击防护等；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5、支持标准DNS协议RFC1034、1035，支持扩展DNS协议RFC2672、2782、3596；记录类型支持A、AAAA、PTR、CNAME、MX、NS、TXT、SOA等类型；</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6、支持IPv6域名权威服务、转发服务和递归解析能力；</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7、支持将域名解析为IPv6地址和IPv4地址；</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8、支持IPv6单栈、IPv4/IPv6双栈的混合解析。</w:t>
            </w:r>
          </w:p>
        </w:tc>
        <w:tc>
          <w:tcPr>
            <w:tcW w:w="184" w:type="pct"/>
            <w:shd w:val="clear" w:color="auto" w:fill="auto"/>
            <w:vAlign w:val="center"/>
          </w:tcPr>
          <w:p w14:paraId="05B49C8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7C5C0166">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4C22734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1164E73D">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39</w:t>
            </w:r>
          </w:p>
        </w:tc>
        <w:tc>
          <w:tcPr>
            <w:tcW w:w="345" w:type="pct"/>
            <w:vMerge w:val="continue"/>
            <w:vAlign w:val="center"/>
          </w:tcPr>
          <w:p w14:paraId="781084C6">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3AEE351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IPv6 DHCP设备</w:t>
            </w:r>
          </w:p>
        </w:tc>
        <w:tc>
          <w:tcPr>
            <w:tcW w:w="3239" w:type="pct"/>
            <w:shd w:val="clear" w:color="auto" w:fill="auto"/>
            <w:vAlign w:val="center"/>
          </w:tcPr>
          <w:p w14:paraId="2CA5A137">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 xml:space="preserve">1、DHCP LPS性能≥2000个/秒，千兆光口≥4个，千兆电口≥4个，存储≥1TB，内存≥16G，千兆单模光模块≥2个； </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2、支持HA双机部署、VRRP协议、集中管理等多种方式；</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3、支持DHCPv6或SLAAC；</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4、支持基于EUI-64规范分配IPv6地址；</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5、支持DUID与固定地址绑定；</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6、支持IPv6地址的全生命周期管理，包括地址分配、续租和回收，并支持IPv6地址溯源功能。支持对DHCP实时和历史租约查看，包括MAC、IP、分配时间等；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7、支持DHCP Option扩展功能；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8、支持分权分域能力。</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9、支持DHCP模板，可根据模板批量生成地址池，模板可指定地址池起止地址，可按规则指定网关；</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10、支持对地址池进行分组，支持手动创建分组和基于自定义属性自动分组两种方式，并以树形方式展示分组信息；</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11、对默认/最大/最小租赁时间，option，DNS等参数支持全局配置，地址池可继承全局配置或进行单独定制配置；</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12、支持IPv4-IPv6双栈地址分配，可将IPv4地址嵌入IPv6地址中实现双栈地址对应，支持通过IPv4地址快速查找对应的IPv6地址。</w:t>
            </w:r>
          </w:p>
        </w:tc>
        <w:tc>
          <w:tcPr>
            <w:tcW w:w="184" w:type="pct"/>
            <w:shd w:val="clear" w:color="auto" w:fill="auto"/>
            <w:vAlign w:val="center"/>
          </w:tcPr>
          <w:p w14:paraId="0190E846">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0A8A670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8</w:t>
            </w:r>
          </w:p>
        </w:tc>
      </w:tr>
      <w:tr w14:paraId="5DA5346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23C55211">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40</w:t>
            </w:r>
          </w:p>
        </w:tc>
        <w:tc>
          <w:tcPr>
            <w:tcW w:w="345" w:type="pct"/>
            <w:vMerge w:val="continue"/>
            <w:vAlign w:val="center"/>
          </w:tcPr>
          <w:p w14:paraId="16051DDA">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7B28CBF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IP地址管理设备</w:t>
            </w:r>
          </w:p>
        </w:tc>
        <w:tc>
          <w:tcPr>
            <w:tcW w:w="3239" w:type="pct"/>
            <w:shd w:val="clear" w:color="auto" w:fill="auto"/>
            <w:vAlign w:val="center"/>
          </w:tcPr>
          <w:p w14:paraId="63AC2439">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1、千兆光口≥4个，千兆电口≥4个，存储≥1TB，内存≥16G，千兆单模光模块≥2个，单台设备可管理地址数量≥20万；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2、支持可视化的IPv6地址批量分配、预留和回收，可图形展示指定IP段内的IP地址，按照各种状态使用不同的颜色展示（未使用、活跃地址、冲突的、固定地址、固定地址、预留/保留的等）；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3、支持IP地址管理与DHCP服务器解耦，设备能主动探测第三方DHCP服务器分配及手动分配的地址；</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4、支持地址审计，以列表形式按时间顺序记录IP在线状态（无论是否通过DHCP分配），方便审计回溯网内IP历史在线状态；</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5、支持以信息流的形式展示IP生命周期，方便审计回溯网内IP历史状态。</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6、支持根据类型域、区划域、部门域等自定义语义标识，进行IPv6地址规划；</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7、支持根据IPv6地址解析语义标识；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8、支持IPv6地址子网的创建、导入、编辑和删除；</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9、支持IPv6地址子网监测、地址自动发现、IPv4/IPv6双栈地址识别和非法地址告警；</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10、支持与地址分配系统进行联动，自动下发子网信息到地址分配系统；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11、支持IPv6地址使用数和在线数统计；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12、支持分权分域能力。</w:t>
            </w:r>
          </w:p>
        </w:tc>
        <w:tc>
          <w:tcPr>
            <w:tcW w:w="184" w:type="pct"/>
            <w:shd w:val="clear" w:color="auto" w:fill="auto"/>
            <w:vAlign w:val="center"/>
          </w:tcPr>
          <w:p w14:paraId="202D326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5463EC9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021DCF4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67A18934">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41</w:t>
            </w:r>
          </w:p>
        </w:tc>
        <w:tc>
          <w:tcPr>
            <w:tcW w:w="345" w:type="pct"/>
            <w:vMerge w:val="continue"/>
            <w:vAlign w:val="center"/>
          </w:tcPr>
          <w:p w14:paraId="102EB619">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61B98B90">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IPv6流量采集设备</w:t>
            </w:r>
          </w:p>
        </w:tc>
        <w:tc>
          <w:tcPr>
            <w:tcW w:w="3239" w:type="pct"/>
            <w:shd w:val="clear" w:color="auto" w:fill="auto"/>
            <w:vAlign w:val="center"/>
          </w:tcPr>
          <w:p w14:paraId="21A39586">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1、硬件配置：CPU≥16核；内存≥32G；硬盘≥2T；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2、支持10G带宽的网络原始报文数据接收能力；</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3、支持通过旁挂方式部署在核心、出口等关键网络节点位置，支持通过流量镜像方式获取并分析IPv4、IPv6网络流量；</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4、支持IPv4、IPv6报文头部解析功能，可解析出源IPv4/IPv6地址、目的IPv4/IPv6地址、目的端口、包字节大小等指标数据；</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5、支持IPv4、IPv6流量数据的统计和上报，在一定时间周期内，计算和汇总五元组清单、总报文数、总流量大小、协议标识、流向标识等数据，并上报到发展监测平台；</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6、支持向发展监测平台进行注册管理，可在发展监测平台上对流量采集设备进行统一管理，监控流量采集设备的在线状态和资源使用情况等。</w:t>
            </w:r>
          </w:p>
        </w:tc>
        <w:tc>
          <w:tcPr>
            <w:tcW w:w="184" w:type="pct"/>
            <w:shd w:val="clear" w:color="auto" w:fill="auto"/>
            <w:vAlign w:val="center"/>
          </w:tcPr>
          <w:p w14:paraId="62D85EF1">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5BE91EBD">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4</w:t>
            </w:r>
          </w:p>
        </w:tc>
      </w:tr>
      <w:tr w14:paraId="0C1D941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151A6751">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42</w:t>
            </w:r>
          </w:p>
        </w:tc>
        <w:tc>
          <w:tcPr>
            <w:tcW w:w="345" w:type="pct"/>
            <w:vMerge w:val="restart"/>
            <w:shd w:val="clear" w:color="auto" w:fill="auto"/>
            <w:vAlign w:val="center"/>
          </w:tcPr>
          <w:p w14:paraId="4DF7F8E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新建网网对接平台</w:t>
            </w:r>
          </w:p>
        </w:tc>
        <w:tc>
          <w:tcPr>
            <w:tcW w:w="645" w:type="pct"/>
            <w:gridSpan w:val="2"/>
            <w:shd w:val="clear" w:color="auto" w:fill="auto"/>
            <w:vAlign w:val="center"/>
          </w:tcPr>
          <w:p w14:paraId="0331241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防火墙</w:t>
            </w:r>
          </w:p>
        </w:tc>
        <w:tc>
          <w:tcPr>
            <w:tcW w:w="3239" w:type="pct"/>
            <w:shd w:val="clear" w:color="auto" w:fill="auto"/>
            <w:vAlign w:val="center"/>
          </w:tcPr>
          <w:p w14:paraId="6A6390DD">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2、网络层吞吐量≥60Gbps，应用层吞吐量≥30Gbps，IPS吞吐量≥15Gbps，开启全功能后满足8G以上的实际流量场景，最大并发连接数≥1600万，每秒新建连接数≥50万。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3、配置千兆电口≥4个，万兆SFP+光口≥8个，40G光口≥2个，万兆单模光模块≥6个，配置双电源。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4、提供防火墙、入侵防御、病毒过滤、僵尸网络防御、应用识别、云端威胁情报等功能。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5、提供IPS特征库、病毒库、僵尸网络库和应用识别库等三年升级授权。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13、支持基于IPv6的状态防火墙及攻击防范。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14、支持双机状态热备（Active/Active和Active/Backup两种工作模式），支持双机配置同步。</w:t>
            </w:r>
          </w:p>
        </w:tc>
        <w:tc>
          <w:tcPr>
            <w:tcW w:w="184" w:type="pct"/>
            <w:shd w:val="clear" w:color="auto" w:fill="auto"/>
            <w:vAlign w:val="center"/>
          </w:tcPr>
          <w:p w14:paraId="5CC5DD8C">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78715516">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18948D2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27F24176">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43</w:t>
            </w:r>
          </w:p>
        </w:tc>
        <w:tc>
          <w:tcPr>
            <w:tcW w:w="345" w:type="pct"/>
            <w:vMerge w:val="continue"/>
            <w:vAlign w:val="center"/>
          </w:tcPr>
          <w:p w14:paraId="465E24EB">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2BDF5893">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网闸</w:t>
            </w:r>
          </w:p>
        </w:tc>
        <w:tc>
          <w:tcPr>
            <w:tcW w:w="3239" w:type="pct"/>
            <w:shd w:val="clear" w:color="auto" w:fill="auto"/>
            <w:vAlign w:val="center"/>
          </w:tcPr>
          <w:p w14:paraId="47FBB3A9">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2、网络吞吐量≥10Gbps，应用层吞吐量≥5Gbps，并发连接数≥100万，数据库同步速率≥8000条/秒，并发D1视频路数≥5000，系统延迟≤1ms。配置千兆电口≥6个，万兆SFP+光口≥4个，万兆单模光模块≥4个，配置双电源。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采用“2+1”（即双主机系统+物理隔离数据通道控制系统）体系结构；通过嵌入式数据通道控制系统隔离外部网络；采用特有控制逻辑和专用通讯协议完全控制数据的实时交换，确保可信网络（域）和非可信网络（域）之间任何连接的断开，彻底阻断TCP/IP协议及其他网络协议。</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4、提供文件交换、数据库同步、视频交换、安全浏览、FTP代理、邮件代理、防病毒和入侵防御等功能。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5、提供安全的文件传输功能，支持FTP等文件传输协议；</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6、可通过samba、nfs、sftp方式提供安全的文件同步功能；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7、文件同步传输方向可控，双向或单向；支持增量传输、断点续传；</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8、支持ORACLE、MySQL、SQL 、DB2、达梦、人大金仓、南大通用等数据库的访问和同步；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9、数据库访问支持用户查询、修改、添加、删除等操作，支持全表复制、增量更新、全表更新等。数据库同步模式支持单向和双向同步。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10、支持实现视频网络与信息通信网的网络隔离，切断所有基于网络协议的连接；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11、支持多种视频硬件平台，如摄像头、DVR（数字硬盘机）、流媒体服务器、视频服务器等设备；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12、支持服务端口控制，对访问视频管理服务器的端口进行控制，其它视频端口默认关闭。支持标准SIP协议、RSTP协议。</w:t>
            </w:r>
          </w:p>
        </w:tc>
        <w:tc>
          <w:tcPr>
            <w:tcW w:w="184" w:type="pct"/>
            <w:shd w:val="clear" w:color="auto" w:fill="auto"/>
            <w:vAlign w:val="center"/>
          </w:tcPr>
          <w:p w14:paraId="6EEFE9F1">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418F335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303E0F5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41766B84">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44</w:t>
            </w:r>
          </w:p>
        </w:tc>
        <w:tc>
          <w:tcPr>
            <w:tcW w:w="345" w:type="pct"/>
            <w:vMerge w:val="continue"/>
            <w:vAlign w:val="center"/>
          </w:tcPr>
          <w:p w14:paraId="2C223D19">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6B0C5C75">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前（后）置服务器</w:t>
            </w:r>
          </w:p>
        </w:tc>
        <w:tc>
          <w:tcPr>
            <w:tcW w:w="3239" w:type="pct"/>
            <w:shd w:val="clear" w:color="auto" w:fill="auto"/>
            <w:vAlign w:val="center"/>
          </w:tcPr>
          <w:p w14:paraId="55889AD5">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2、网络吞吐量≥10Gbps，应用层吞吐量≥5Gbps，并发连接数≥100万，数据库同步速率≥5000条/秒，并发视频路数5000路D1视频，系统延迟≤1ms。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3、千兆电口≥6个，万兆SFP+光口≥2个。</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4、支持FTP、NSF、SMB等多种文件传输协议。</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5、支持数据库实时、定时同步。支持时间段的控制：时间段可以是一次性执行、某个时间段执行、周期循环执行等方式，且同步数据的数量可选及自定义。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6、支持密钥长度2048位的密码算法（或者支持国产算法）。</w:t>
            </w:r>
          </w:p>
        </w:tc>
        <w:tc>
          <w:tcPr>
            <w:tcW w:w="184" w:type="pct"/>
            <w:shd w:val="clear" w:color="auto" w:fill="auto"/>
            <w:vAlign w:val="center"/>
          </w:tcPr>
          <w:p w14:paraId="7FCAA3D1">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5145B7F2">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656BA4F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6117D71E">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45</w:t>
            </w:r>
          </w:p>
        </w:tc>
        <w:tc>
          <w:tcPr>
            <w:tcW w:w="345" w:type="pct"/>
            <w:vMerge w:val="continue"/>
            <w:vAlign w:val="center"/>
          </w:tcPr>
          <w:p w14:paraId="129C6FA6">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0804C6FA">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日志审计</w:t>
            </w:r>
          </w:p>
        </w:tc>
        <w:tc>
          <w:tcPr>
            <w:tcW w:w="3239" w:type="pct"/>
            <w:shd w:val="clear" w:color="auto" w:fill="auto"/>
            <w:vAlign w:val="center"/>
          </w:tcPr>
          <w:p w14:paraId="322DD081">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2、日志处理能力≥8000EPS，本次授权≥100个采集节点。配置千兆电口≥4个，万兆光口≥2个，可用存储空间≥8T</w:t>
            </w:r>
            <w:r>
              <w:rPr>
                <w:rFonts w:hint="eastAsia" w:ascii="宋体" w:hAnsi="宋体" w:eastAsia="宋体" w:cs="宋体"/>
                <w:color w:val="auto"/>
                <w:kern w:val="0"/>
                <w:sz w:val="22"/>
                <w:szCs w:val="22"/>
                <w:highlight w:val="none"/>
                <w:lang w:eastAsia="zh-CN"/>
              </w:rPr>
              <w:t>，</w:t>
            </w:r>
            <w:r>
              <w:rPr>
                <w:rFonts w:hint="eastAsia" w:ascii="宋体" w:hAnsi="宋体" w:eastAsia="宋体" w:cs="宋体"/>
                <w:color w:val="auto"/>
                <w:kern w:val="0"/>
                <w:sz w:val="22"/>
                <w:szCs w:val="22"/>
                <w:highlight w:val="none"/>
              </w:rPr>
              <w:t>日志文件能留存6个月以上。</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3、支持主动、被动相结合的数据采集方式，支持通过 Agent 采集日志数据，支持通过syslog协议、kafka、snmp trap、ftp、smb、wmi、sftp等多种方式完成日志收集。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4、支持自动化模式解析功能，支持UTF8、GBK字符编码的解析模式自适应，无需人工区分字符编码选择解析策略；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5、支持将采集到的日志进行归并，可以根据自身业务需求定制归并策略，做到在一定条件下将接收到的相同日志归并为一条，并且显示该日志的接收次数；</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6、支持自定义过滤条件检索，支持对模糊IP、多个IP、IP地址段、应用、协议、MAC 地址等其他字段精准检索，过滤规则至少支持和、或、非三种运算符。</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7、支持报表功能，内置提供多种报表模板，可适应不同需求下的报表管理。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8、支持IPV4/IPV6类型日志、IPV4/IPV6组网架构下的日志采集和范式化处理。</w:t>
            </w:r>
          </w:p>
        </w:tc>
        <w:tc>
          <w:tcPr>
            <w:tcW w:w="184" w:type="pct"/>
            <w:shd w:val="clear" w:color="auto" w:fill="auto"/>
            <w:vAlign w:val="center"/>
          </w:tcPr>
          <w:p w14:paraId="5FB1F8AE">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71C04E2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r w14:paraId="0DF2290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7A86F1C4">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46</w:t>
            </w:r>
          </w:p>
        </w:tc>
        <w:tc>
          <w:tcPr>
            <w:tcW w:w="345" w:type="pct"/>
            <w:vMerge w:val="continue"/>
            <w:vAlign w:val="center"/>
          </w:tcPr>
          <w:p w14:paraId="40545426">
            <w:pPr>
              <w:pStyle w:val="44"/>
              <w:rPr>
                <w:rFonts w:hint="eastAsia" w:ascii="宋体" w:hAnsi="宋体" w:eastAsia="宋体" w:cs="宋体"/>
                <w:color w:val="auto"/>
                <w:sz w:val="22"/>
                <w:szCs w:val="22"/>
                <w:highlight w:val="none"/>
              </w:rPr>
            </w:pPr>
          </w:p>
        </w:tc>
        <w:tc>
          <w:tcPr>
            <w:tcW w:w="645" w:type="pct"/>
            <w:gridSpan w:val="2"/>
            <w:shd w:val="clear" w:color="auto" w:fill="auto"/>
            <w:vAlign w:val="center"/>
          </w:tcPr>
          <w:p w14:paraId="4D51AF34">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交换机</w:t>
            </w:r>
          </w:p>
        </w:tc>
        <w:tc>
          <w:tcPr>
            <w:tcW w:w="3239" w:type="pct"/>
            <w:shd w:val="clear" w:color="auto" w:fill="auto"/>
            <w:vAlign w:val="center"/>
          </w:tcPr>
          <w:p w14:paraId="2E9D64D3">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1、交换容量≥2.4Tbps；包转发率≥1000Mpps；</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2、提供≥24个10/100/1000BASE-T，提供≥24个万兆光口，配置≥12个万兆单模光模块；配置≥12个千兆单模光模块；配置≥1根万兆堆叠线缆；</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3、支持并提供冗余电源；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4、支持两台物理设备虚拟化为一台逻辑设备的功能，支持统一的管理、跨设备链路聚合；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5、支持802.1Q VLAN，支持基于端口的VLAN，支持基于协议的VLAN；支持基于MAC的VLAN；最大VLAN数≥4094；</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6、支持端口聚合、支持静态聚合和动态聚合；</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7、支持DHCPv4/v6 Relay、DHCPv4/v6 Client、DHCPv4/v6 Server、DHCP Snooping、DHCPv6 Snooping；</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8、支持IPv4/IPv6静态路由、IPv4/IPv6双栈、RIPv1/v2，RIPng、OSPFv1/v2、OSPFv3、BGP4、BGP4+ for IPv6、IS-IS，IS-IS V6，支持策略路由；</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9、支持IPv4/IPv6双栈协议、ND（Neighbor Discovery），支持IPv6-Ping，IPv6-Tracert，IPv6-Telnet，IPv6-TFTP，IPv6-ICMP，IPv6-DNS。</w:t>
            </w:r>
          </w:p>
        </w:tc>
        <w:tc>
          <w:tcPr>
            <w:tcW w:w="184" w:type="pct"/>
            <w:shd w:val="clear" w:color="auto" w:fill="auto"/>
            <w:vAlign w:val="center"/>
          </w:tcPr>
          <w:p w14:paraId="2D02E33B">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37E59157">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4</w:t>
            </w:r>
          </w:p>
        </w:tc>
      </w:tr>
      <w:tr w14:paraId="593773C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291" w:type="pct"/>
            <w:shd w:val="clear" w:color="auto" w:fill="auto"/>
            <w:vAlign w:val="center"/>
          </w:tcPr>
          <w:p w14:paraId="6E9288FC">
            <w:pPr>
              <w:pStyle w:val="44"/>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47</w:t>
            </w:r>
          </w:p>
        </w:tc>
        <w:tc>
          <w:tcPr>
            <w:tcW w:w="345" w:type="pct"/>
            <w:shd w:val="clear" w:color="auto" w:fill="auto"/>
            <w:vAlign w:val="center"/>
          </w:tcPr>
          <w:p w14:paraId="1BEAE355">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新建跨域互通通道</w:t>
            </w:r>
          </w:p>
        </w:tc>
        <w:tc>
          <w:tcPr>
            <w:tcW w:w="645" w:type="pct"/>
            <w:gridSpan w:val="2"/>
            <w:shd w:val="clear" w:color="auto" w:fill="auto"/>
            <w:vAlign w:val="center"/>
          </w:tcPr>
          <w:p w14:paraId="476527BE">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防火墙</w:t>
            </w:r>
          </w:p>
        </w:tc>
        <w:tc>
          <w:tcPr>
            <w:tcW w:w="3239" w:type="pct"/>
            <w:shd w:val="clear" w:color="auto" w:fill="auto"/>
            <w:vAlign w:val="center"/>
          </w:tcPr>
          <w:p w14:paraId="33505889">
            <w:pPr>
              <w:widowControl/>
              <w:adjustRightInd/>
              <w:snapToGrid/>
              <w:spacing w:line="240" w:lineRule="auto"/>
              <w:ind w:firstLine="0" w:firstLineChars="0"/>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1、采用国产化芯片和操作系统。</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2、网络层吞吐量≥60Gbps，应用层吞吐量≥30Gbps，IPS吞吐量≥15Gbps，开启全功能后满足8G以上的实际流量场景，最大并发连接数≥1600万，每秒新建连接数≥50万。</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3、配置千兆电口≥4个，万兆SFP+光口≥8个，40G光口≥2个，万兆单模光模块≥6个，配置双电源。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4、支持动态地址转换和静态地址转换，支持多对一、一对多和一对一等多种方式的地址转换、支持NAT444模式；支持NAT地址可用性探测，支持NAT地址池中IP有效性检测，避免因NAT地址无法使用导致业务中断。</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5、提供防火墙、入侵防御、病毒过滤、僵尸网络防御、应用识别、云端威胁情报等功能。</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6、提供IPS特征库、病毒库、僵尸网络库和应用识别库等三年升级授权。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7、支持基于源/目的IP、源/目的端口、源/目的区域、用户（组）、应用/服务类型、时间段的访问控制策略。支持源目的地址转换，目的地址转换和双向地址转换，支持针对源IP或者目的IP进行连接数控制。</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8、支持安全策略有效性分析功能，分析内容至少包括策略冗余分析、策略匹配分析。</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9、支持根据名称、地址对象、服务等进行精确或者模糊查询，在安全策略条目较多时，能够快速检索到指定策略。</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10、支持安全区域划分，可以防御Land、Smurf、Fraggle、Ping of Death、Tear Drop、IP Spoofing、IP分片报文、ARP欺骗、ARP主动反向查询、TCP报文标志位不合法超大ICMP报文、地址扫描、端口扫描、SYN Flood、UPD Flood、ICMP Flood、DNS Flood等多种恶意攻击；</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11、支持基于病毒特征进行检测，支持的病毒类型包括Backdoor、Email-Worm、IM-Worm、P2P-Worm、Trojan、AdWare、Virus等；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12、支持对黑客攻击、蠕虫/病毒、木马、恶意代码、间谍软件/广告软件、DoS/DDoS等常见的攻击防御；</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13、支持IPv4/IPv6双栈部署，支持NAT-PT、IPv6 Tunnel、IPv6 Packet Filter、IPv6域间策略、IPv6连接数限制等。</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14、支持基于IPv6的状态防火墙及攻击防范。</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2"/>
                <w:szCs w:val="22"/>
                <w:highlight w:val="none"/>
              </w:rPr>
              <w:t>15、支持双机状态热备（Active/Active和Active/Backup两种工作模式），支持双机配置同步。</w:t>
            </w:r>
          </w:p>
        </w:tc>
        <w:tc>
          <w:tcPr>
            <w:tcW w:w="184" w:type="pct"/>
            <w:shd w:val="clear" w:color="auto" w:fill="auto"/>
            <w:vAlign w:val="center"/>
          </w:tcPr>
          <w:p w14:paraId="6662A77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台</w:t>
            </w:r>
          </w:p>
        </w:tc>
        <w:tc>
          <w:tcPr>
            <w:tcW w:w="295" w:type="pct"/>
            <w:shd w:val="clear" w:color="auto" w:fill="auto"/>
            <w:vAlign w:val="center"/>
          </w:tcPr>
          <w:p w14:paraId="6E37720F">
            <w:pPr>
              <w:pStyle w:val="44"/>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2</w:t>
            </w:r>
          </w:p>
        </w:tc>
      </w:tr>
    </w:tbl>
    <w:p w14:paraId="2FC6A8E2">
      <w:pPr>
        <w:numPr>
          <w:ilvl w:val="7"/>
          <w:numId w:val="0"/>
        </w:numPr>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b w:val="0"/>
          <w:bCs w:val="0"/>
          <w:i w:val="0"/>
          <w:iCs w:val="0"/>
          <w:caps w:val="0"/>
          <w:smallCaps w:val="0"/>
          <w:strike w:val="0"/>
          <w:dstrike w:val="0"/>
          <w:snapToGrid w:val="0"/>
          <w:vanish w:val="0"/>
          <w:color w:val="000000"/>
          <w:spacing w:val="0"/>
          <w:position w:val="0"/>
          <w:sz w:val="24"/>
          <w:szCs w:val="24"/>
          <w:u w:val="none"/>
          <w:vertAlign w:val="baseline"/>
          <w:lang w:val="en-US" w:eastAsia="en-US" w:bidi="ar-SA"/>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表2 </w:t>
      </w:r>
      <w:r>
        <w:rPr>
          <w:rFonts w:hint="eastAsia" w:ascii="宋体" w:hAnsi="宋体" w:eastAsia="宋体" w:cs="宋体"/>
          <w:sz w:val="24"/>
          <w:szCs w:val="24"/>
        </w:rPr>
        <w:t>软件配置清单</w:t>
      </w:r>
    </w:p>
    <w:tbl>
      <w:tblPr>
        <w:tblStyle w:val="24"/>
        <w:tblW w:w="5000" w:type="pct"/>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822"/>
        <w:gridCol w:w="984"/>
        <w:gridCol w:w="1187"/>
        <w:gridCol w:w="5516"/>
        <w:gridCol w:w="498"/>
        <w:gridCol w:w="498"/>
      </w:tblGrid>
      <w:tr w14:paraId="485FF31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432" w:type="pct"/>
            <w:shd w:val="clear" w:color="auto" w:fill="auto"/>
            <w:vAlign w:val="center"/>
          </w:tcPr>
          <w:p w14:paraId="1A48F6D9">
            <w:pPr>
              <w:pStyle w:val="44"/>
              <w:rPr>
                <w:rFonts w:hint="eastAsia" w:ascii="宋体" w:hAnsi="宋体" w:eastAsia="宋体" w:cs="宋体"/>
                <w:sz w:val="24"/>
                <w:szCs w:val="24"/>
              </w:rPr>
            </w:pPr>
            <w:r>
              <w:rPr>
                <w:rFonts w:hint="eastAsia" w:ascii="宋体" w:hAnsi="宋体" w:eastAsia="宋体" w:cs="宋体"/>
                <w:sz w:val="24"/>
                <w:szCs w:val="24"/>
              </w:rPr>
              <w:t>序号</w:t>
            </w:r>
          </w:p>
        </w:tc>
        <w:tc>
          <w:tcPr>
            <w:tcW w:w="517" w:type="pct"/>
            <w:shd w:val="clear" w:color="auto" w:fill="auto"/>
            <w:vAlign w:val="center"/>
          </w:tcPr>
          <w:p w14:paraId="5440DC99">
            <w:pPr>
              <w:pStyle w:val="44"/>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建设内容</w:t>
            </w:r>
          </w:p>
        </w:tc>
        <w:tc>
          <w:tcPr>
            <w:tcW w:w="624" w:type="pct"/>
            <w:shd w:val="clear" w:color="auto" w:fill="auto"/>
            <w:vAlign w:val="center"/>
          </w:tcPr>
          <w:p w14:paraId="1D2C44AF">
            <w:pPr>
              <w:pStyle w:val="44"/>
              <w:rPr>
                <w:rFonts w:hint="eastAsia" w:ascii="宋体" w:hAnsi="宋体" w:eastAsia="宋体" w:cs="宋体"/>
                <w:sz w:val="24"/>
                <w:szCs w:val="24"/>
              </w:rPr>
            </w:pPr>
            <w:r>
              <w:rPr>
                <w:rFonts w:hint="eastAsia" w:ascii="宋体" w:hAnsi="宋体" w:eastAsia="宋体" w:cs="宋体"/>
                <w:sz w:val="24"/>
                <w:szCs w:val="24"/>
              </w:rPr>
              <w:t>软件名称</w:t>
            </w:r>
          </w:p>
        </w:tc>
        <w:tc>
          <w:tcPr>
            <w:tcW w:w="2899" w:type="pct"/>
            <w:shd w:val="clear" w:color="auto" w:fill="auto"/>
            <w:vAlign w:val="center"/>
          </w:tcPr>
          <w:p w14:paraId="0A2C9697">
            <w:pPr>
              <w:pStyle w:val="44"/>
              <w:rPr>
                <w:rFonts w:hint="eastAsia" w:ascii="宋体" w:hAnsi="宋体" w:eastAsia="宋体" w:cs="宋体"/>
                <w:sz w:val="24"/>
                <w:szCs w:val="24"/>
              </w:rPr>
            </w:pPr>
            <w:r>
              <w:rPr>
                <w:rFonts w:hint="eastAsia" w:ascii="宋体" w:hAnsi="宋体" w:eastAsia="宋体" w:cs="宋体"/>
                <w:sz w:val="24"/>
                <w:szCs w:val="24"/>
              </w:rPr>
              <w:t>主要功能和性能</w:t>
            </w:r>
          </w:p>
        </w:tc>
        <w:tc>
          <w:tcPr>
            <w:tcW w:w="262" w:type="pct"/>
            <w:shd w:val="clear" w:color="auto" w:fill="auto"/>
            <w:vAlign w:val="center"/>
          </w:tcPr>
          <w:p w14:paraId="1FC8A893">
            <w:pPr>
              <w:pStyle w:val="44"/>
              <w:rPr>
                <w:rFonts w:hint="eastAsia" w:ascii="宋体" w:hAnsi="宋体" w:eastAsia="宋体" w:cs="宋体"/>
                <w:sz w:val="24"/>
                <w:szCs w:val="24"/>
              </w:rPr>
            </w:pPr>
            <w:r>
              <w:rPr>
                <w:rFonts w:hint="eastAsia" w:ascii="宋体" w:hAnsi="宋体" w:eastAsia="宋体" w:cs="宋体"/>
                <w:sz w:val="24"/>
                <w:szCs w:val="24"/>
              </w:rPr>
              <w:t>单位</w:t>
            </w:r>
          </w:p>
        </w:tc>
        <w:tc>
          <w:tcPr>
            <w:tcW w:w="262" w:type="pct"/>
            <w:shd w:val="clear" w:color="auto" w:fill="auto"/>
            <w:vAlign w:val="center"/>
          </w:tcPr>
          <w:p w14:paraId="50C998E5">
            <w:pPr>
              <w:pStyle w:val="44"/>
              <w:rPr>
                <w:rFonts w:hint="eastAsia" w:ascii="宋体" w:hAnsi="宋体" w:eastAsia="宋体" w:cs="宋体"/>
                <w:sz w:val="24"/>
                <w:szCs w:val="24"/>
              </w:rPr>
            </w:pPr>
            <w:r>
              <w:rPr>
                <w:rFonts w:hint="eastAsia" w:ascii="宋体" w:hAnsi="宋体" w:eastAsia="宋体" w:cs="宋体"/>
                <w:sz w:val="24"/>
                <w:szCs w:val="24"/>
              </w:rPr>
              <w:t>数量</w:t>
            </w:r>
          </w:p>
        </w:tc>
      </w:tr>
      <w:tr w14:paraId="6F78D2E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432" w:type="pct"/>
            <w:shd w:val="clear" w:color="auto" w:fill="auto"/>
            <w:vAlign w:val="center"/>
          </w:tcPr>
          <w:p w14:paraId="5DE59D18">
            <w:pPr>
              <w:pStyle w:val="44"/>
              <w:rPr>
                <w:rFonts w:hint="eastAsia" w:ascii="宋体" w:hAnsi="宋体" w:eastAsia="宋体" w:cs="宋体"/>
                <w:sz w:val="24"/>
                <w:szCs w:val="24"/>
              </w:rPr>
            </w:pPr>
            <w:r>
              <w:rPr>
                <w:rFonts w:hint="eastAsia" w:ascii="宋体" w:hAnsi="宋体" w:eastAsia="宋体" w:cs="宋体"/>
                <w:sz w:val="24"/>
                <w:szCs w:val="24"/>
              </w:rPr>
              <w:t>1</w:t>
            </w:r>
          </w:p>
        </w:tc>
        <w:tc>
          <w:tcPr>
            <w:tcW w:w="517" w:type="pct"/>
            <w:vMerge w:val="restart"/>
            <w:shd w:val="clear" w:color="000000" w:fill="FFFFFF"/>
            <w:vAlign w:val="center"/>
          </w:tcPr>
          <w:p w14:paraId="14A660D2">
            <w:pPr>
              <w:pStyle w:val="44"/>
              <w:rPr>
                <w:rFonts w:hint="eastAsia" w:ascii="宋体" w:hAnsi="宋体" w:eastAsia="宋体" w:cs="宋体"/>
                <w:sz w:val="24"/>
                <w:szCs w:val="24"/>
              </w:rPr>
            </w:pPr>
            <w:r>
              <w:rPr>
                <w:rFonts w:hint="eastAsia" w:ascii="宋体" w:hAnsi="宋体" w:eastAsia="宋体" w:cs="宋体"/>
                <w:sz w:val="24"/>
                <w:szCs w:val="24"/>
              </w:rPr>
              <w:t>改造升级安全接入平台</w:t>
            </w:r>
          </w:p>
        </w:tc>
        <w:tc>
          <w:tcPr>
            <w:tcW w:w="624" w:type="pct"/>
            <w:shd w:val="clear" w:color="000000" w:fill="FFFFFF"/>
            <w:vAlign w:val="center"/>
          </w:tcPr>
          <w:p w14:paraId="779E932D">
            <w:pPr>
              <w:pStyle w:val="44"/>
              <w:rPr>
                <w:rFonts w:hint="eastAsia" w:ascii="宋体" w:hAnsi="宋体" w:eastAsia="宋体" w:cs="宋体"/>
                <w:sz w:val="24"/>
                <w:szCs w:val="24"/>
              </w:rPr>
            </w:pPr>
            <w:r>
              <w:rPr>
                <w:rFonts w:hint="eastAsia" w:ascii="宋体" w:hAnsi="宋体" w:eastAsia="宋体" w:cs="宋体"/>
                <w:sz w:val="24"/>
                <w:szCs w:val="24"/>
              </w:rPr>
              <w:t>零信任安全接入代理网关</w:t>
            </w:r>
          </w:p>
        </w:tc>
        <w:tc>
          <w:tcPr>
            <w:tcW w:w="2899" w:type="pct"/>
            <w:shd w:val="clear" w:color="000000" w:fill="FFFFFF"/>
            <w:vAlign w:val="center"/>
          </w:tcPr>
          <w:p w14:paraId="2363347E">
            <w:pPr>
              <w:widowControl/>
              <w:adjustRightInd/>
              <w:snapToGrid/>
              <w:spacing w:line="240" w:lineRule="auto"/>
              <w:ind w:firstLine="0" w:firstLineChars="0"/>
              <w:rPr>
                <w:rFonts w:hint="eastAsia" w:ascii="宋体" w:hAnsi="宋体" w:eastAsia="宋体" w:cs="宋体"/>
                <w:kern w:val="0"/>
                <w:sz w:val="24"/>
                <w:szCs w:val="24"/>
              </w:rPr>
            </w:pPr>
            <w:r>
              <w:rPr>
                <w:rFonts w:hint="eastAsia" w:ascii="宋体" w:hAnsi="宋体" w:eastAsia="宋体" w:cs="宋体"/>
                <w:kern w:val="0"/>
                <w:sz w:val="24"/>
                <w:szCs w:val="24"/>
              </w:rPr>
              <w:t>1、零信任安全接入代理网关系统软件满足国产化要求，采用国产化操作系统和数据库。支持在主流国产化硬件平台部署，如海光、鲲鹏、飞腾等国产化芯片的硬件平台。</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2、零信任虚拟化代理网关，受零信任控制中心控制，具备大规模流量转发能力。前端检录SSL加密隧道，同时与负责对接后端政务网业务系统并将前端用户与后端业务之间的流量进行大批量转发。</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零信任安全接入代理网关系统软件支持多节点集群模式部署，单节点可提供最大并发用户数≥10万，单节点最大加密流量≥7500Mbps，单节点最大https并发连接数（个）≥1000000，https新建连接数（个/秒）≥10000，应用鉴权请求新建TPS≥4800个/秒。支持≥9节点集群模式部署，9节点至少提供最大并发用户数≥80万。</w:t>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4、支持传输加密，为满足国家密码安全标准，需支持中国商用密码标准，支持加密算法SM2、SM3、SM4。 </w:t>
            </w:r>
          </w:p>
        </w:tc>
        <w:tc>
          <w:tcPr>
            <w:tcW w:w="262" w:type="pct"/>
            <w:shd w:val="clear" w:color="auto" w:fill="auto"/>
            <w:vAlign w:val="center"/>
          </w:tcPr>
          <w:p w14:paraId="4C35635F">
            <w:pPr>
              <w:pStyle w:val="44"/>
              <w:rPr>
                <w:rFonts w:hint="eastAsia" w:ascii="宋体" w:hAnsi="宋体" w:eastAsia="宋体" w:cs="宋体"/>
                <w:sz w:val="24"/>
                <w:szCs w:val="24"/>
              </w:rPr>
            </w:pPr>
            <w:r>
              <w:rPr>
                <w:rFonts w:hint="eastAsia" w:ascii="宋体" w:hAnsi="宋体" w:eastAsia="宋体" w:cs="宋体"/>
                <w:sz w:val="24"/>
                <w:szCs w:val="24"/>
              </w:rPr>
              <w:t>套</w:t>
            </w:r>
          </w:p>
        </w:tc>
        <w:tc>
          <w:tcPr>
            <w:tcW w:w="262" w:type="pct"/>
            <w:shd w:val="clear" w:color="000000" w:fill="FFFFFF"/>
            <w:vAlign w:val="center"/>
          </w:tcPr>
          <w:p w14:paraId="7EE18FA9">
            <w:pPr>
              <w:pStyle w:val="44"/>
              <w:rPr>
                <w:rFonts w:hint="eastAsia" w:ascii="宋体" w:hAnsi="宋体" w:eastAsia="宋体" w:cs="宋体"/>
                <w:sz w:val="24"/>
                <w:szCs w:val="24"/>
              </w:rPr>
            </w:pPr>
            <w:r>
              <w:rPr>
                <w:rFonts w:hint="eastAsia" w:ascii="宋体" w:hAnsi="宋体" w:eastAsia="宋体" w:cs="宋体"/>
                <w:sz w:val="24"/>
                <w:szCs w:val="24"/>
              </w:rPr>
              <w:t>9</w:t>
            </w:r>
          </w:p>
        </w:tc>
      </w:tr>
      <w:tr w14:paraId="24690D6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432" w:type="pct"/>
            <w:shd w:val="clear" w:color="auto" w:fill="auto"/>
            <w:vAlign w:val="center"/>
          </w:tcPr>
          <w:p w14:paraId="59A0F8D1">
            <w:pPr>
              <w:pStyle w:val="44"/>
              <w:rPr>
                <w:rFonts w:hint="eastAsia" w:ascii="宋体" w:hAnsi="宋体" w:eastAsia="宋体" w:cs="宋体"/>
                <w:sz w:val="24"/>
                <w:szCs w:val="24"/>
              </w:rPr>
            </w:pPr>
            <w:r>
              <w:rPr>
                <w:rFonts w:hint="eastAsia" w:ascii="宋体" w:hAnsi="宋体" w:eastAsia="宋体" w:cs="宋体"/>
                <w:sz w:val="24"/>
                <w:szCs w:val="24"/>
              </w:rPr>
              <w:t>2</w:t>
            </w:r>
          </w:p>
        </w:tc>
        <w:tc>
          <w:tcPr>
            <w:tcW w:w="517" w:type="pct"/>
            <w:vMerge w:val="continue"/>
            <w:vAlign w:val="center"/>
          </w:tcPr>
          <w:p w14:paraId="383CD2B5">
            <w:pPr>
              <w:pStyle w:val="44"/>
              <w:rPr>
                <w:rFonts w:hint="eastAsia" w:ascii="宋体" w:hAnsi="宋体" w:eastAsia="宋体" w:cs="宋体"/>
                <w:sz w:val="24"/>
                <w:szCs w:val="24"/>
              </w:rPr>
            </w:pPr>
          </w:p>
        </w:tc>
        <w:tc>
          <w:tcPr>
            <w:tcW w:w="624" w:type="pct"/>
            <w:shd w:val="clear" w:color="000000" w:fill="FFFFFF"/>
            <w:vAlign w:val="center"/>
          </w:tcPr>
          <w:p w14:paraId="67BE3153">
            <w:pPr>
              <w:pStyle w:val="44"/>
              <w:rPr>
                <w:rFonts w:hint="eastAsia" w:ascii="宋体" w:hAnsi="宋体" w:eastAsia="宋体" w:cs="宋体"/>
                <w:sz w:val="24"/>
                <w:szCs w:val="24"/>
              </w:rPr>
            </w:pPr>
            <w:r>
              <w:rPr>
                <w:rFonts w:hint="eastAsia" w:ascii="宋体" w:hAnsi="宋体" w:eastAsia="宋体" w:cs="宋体"/>
                <w:sz w:val="24"/>
                <w:szCs w:val="24"/>
              </w:rPr>
              <w:t>零信任安全接入控制中心节点</w:t>
            </w:r>
          </w:p>
        </w:tc>
        <w:tc>
          <w:tcPr>
            <w:tcW w:w="2899" w:type="pct"/>
            <w:shd w:val="clear" w:color="000000" w:fill="FFFFFF"/>
            <w:vAlign w:val="center"/>
          </w:tcPr>
          <w:p w14:paraId="3A30BD1B">
            <w:pPr>
              <w:widowControl/>
              <w:adjustRightInd/>
              <w:snapToGrid/>
              <w:spacing w:line="240" w:lineRule="auto"/>
              <w:ind w:firstLine="0" w:firstLineChars="0"/>
              <w:rPr>
                <w:rFonts w:hint="eastAsia" w:ascii="宋体" w:hAnsi="宋体" w:eastAsia="宋体" w:cs="宋体"/>
                <w:kern w:val="0"/>
                <w:sz w:val="24"/>
                <w:szCs w:val="24"/>
              </w:rPr>
            </w:pPr>
            <w:r>
              <w:rPr>
                <w:rFonts w:hint="eastAsia" w:ascii="宋体" w:hAnsi="宋体" w:eastAsia="宋体" w:cs="宋体"/>
                <w:kern w:val="0"/>
                <w:sz w:val="24"/>
                <w:szCs w:val="24"/>
              </w:rPr>
              <w:t>1、零信任安全接入控制中心系统软件满足国产化要求，采用国产化操作系统和数据库。支持在主流国产化硬件平台部署，如海光、鲲鹏、飞腾等国产化芯片的硬件平台。</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2、零信任安全接入控制中心，含身份识别、用户管理、权限管理、策略下发等功能。与第三方认证服务器通信等功能。同时内置用户身份信任引擎体系，提供基于零信任理念的自适应身份控制。</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零信任安全接入控制中心系统软件支持多节点集群模式部署，单节点可提供最大并发用户数≥10万，单节点新建用户数≥420个/秒，应用鉴权请求新建TPS≥4800个/秒。支持≥9节点集群模式部署，9节点至少提供最大并发用户数≥80万，9节点至少提供80万用户使用授权，且用户使用授权数量可免费扩充。</w:t>
            </w:r>
          </w:p>
        </w:tc>
        <w:tc>
          <w:tcPr>
            <w:tcW w:w="262" w:type="pct"/>
            <w:shd w:val="clear" w:color="auto" w:fill="auto"/>
            <w:vAlign w:val="center"/>
          </w:tcPr>
          <w:p w14:paraId="46A80C96">
            <w:pPr>
              <w:pStyle w:val="44"/>
              <w:rPr>
                <w:rFonts w:hint="eastAsia" w:ascii="宋体" w:hAnsi="宋体" w:eastAsia="宋体" w:cs="宋体"/>
                <w:sz w:val="24"/>
                <w:szCs w:val="24"/>
              </w:rPr>
            </w:pPr>
            <w:r>
              <w:rPr>
                <w:rFonts w:hint="eastAsia" w:ascii="宋体" w:hAnsi="宋体" w:eastAsia="宋体" w:cs="宋体"/>
                <w:sz w:val="24"/>
                <w:szCs w:val="24"/>
              </w:rPr>
              <w:t>套</w:t>
            </w:r>
          </w:p>
        </w:tc>
        <w:tc>
          <w:tcPr>
            <w:tcW w:w="262" w:type="pct"/>
            <w:shd w:val="clear" w:color="000000" w:fill="FFFFFF"/>
            <w:vAlign w:val="center"/>
          </w:tcPr>
          <w:p w14:paraId="0CEFC870">
            <w:pPr>
              <w:pStyle w:val="44"/>
              <w:rPr>
                <w:rFonts w:hint="eastAsia" w:ascii="宋体" w:hAnsi="宋体" w:eastAsia="宋体" w:cs="宋体"/>
                <w:sz w:val="24"/>
                <w:szCs w:val="24"/>
              </w:rPr>
            </w:pPr>
            <w:r>
              <w:rPr>
                <w:rFonts w:hint="eastAsia" w:ascii="宋体" w:hAnsi="宋体" w:eastAsia="宋体" w:cs="宋体"/>
                <w:sz w:val="24"/>
                <w:szCs w:val="24"/>
              </w:rPr>
              <w:t>9</w:t>
            </w:r>
          </w:p>
        </w:tc>
      </w:tr>
      <w:tr w14:paraId="3A3E14A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432" w:type="pct"/>
            <w:shd w:val="clear" w:color="auto" w:fill="auto"/>
            <w:vAlign w:val="center"/>
          </w:tcPr>
          <w:p w14:paraId="60B747A0">
            <w:pPr>
              <w:pStyle w:val="44"/>
              <w:rPr>
                <w:rFonts w:hint="eastAsia" w:ascii="宋体" w:hAnsi="宋体" w:eastAsia="宋体" w:cs="宋体"/>
                <w:sz w:val="24"/>
                <w:szCs w:val="24"/>
              </w:rPr>
            </w:pPr>
            <w:r>
              <w:rPr>
                <w:rFonts w:hint="eastAsia" w:ascii="宋体" w:hAnsi="宋体" w:eastAsia="宋体" w:cs="宋体"/>
                <w:sz w:val="24"/>
                <w:szCs w:val="24"/>
              </w:rPr>
              <w:t>3</w:t>
            </w:r>
          </w:p>
        </w:tc>
        <w:tc>
          <w:tcPr>
            <w:tcW w:w="517" w:type="pct"/>
            <w:vMerge w:val="continue"/>
            <w:vAlign w:val="center"/>
          </w:tcPr>
          <w:p w14:paraId="1EDE7886">
            <w:pPr>
              <w:pStyle w:val="44"/>
              <w:rPr>
                <w:rFonts w:hint="eastAsia" w:ascii="宋体" w:hAnsi="宋体" w:eastAsia="宋体" w:cs="宋体"/>
                <w:sz w:val="24"/>
                <w:szCs w:val="24"/>
              </w:rPr>
            </w:pPr>
          </w:p>
        </w:tc>
        <w:tc>
          <w:tcPr>
            <w:tcW w:w="624" w:type="pct"/>
            <w:shd w:val="clear" w:color="000000" w:fill="FFFFFF"/>
            <w:vAlign w:val="center"/>
          </w:tcPr>
          <w:p w14:paraId="15B0D9CB">
            <w:pPr>
              <w:pStyle w:val="44"/>
              <w:rPr>
                <w:rFonts w:hint="eastAsia" w:ascii="宋体" w:hAnsi="宋体" w:eastAsia="宋体" w:cs="宋体"/>
                <w:sz w:val="24"/>
                <w:szCs w:val="24"/>
              </w:rPr>
            </w:pPr>
            <w:r>
              <w:rPr>
                <w:rFonts w:hint="eastAsia" w:ascii="宋体" w:hAnsi="宋体" w:eastAsia="宋体" w:cs="宋体"/>
                <w:sz w:val="24"/>
                <w:szCs w:val="24"/>
              </w:rPr>
              <w:t>零信任安全接入分析中心</w:t>
            </w:r>
          </w:p>
        </w:tc>
        <w:tc>
          <w:tcPr>
            <w:tcW w:w="2899" w:type="pct"/>
            <w:shd w:val="clear" w:color="000000" w:fill="FFFFFF"/>
            <w:vAlign w:val="center"/>
          </w:tcPr>
          <w:p w14:paraId="3ECA236A">
            <w:pPr>
              <w:widowControl/>
              <w:adjustRightInd/>
              <w:snapToGrid/>
              <w:spacing w:line="240" w:lineRule="auto"/>
              <w:ind w:firstLine="0" w:firstLineChars="0"/>
              <w:rPr>
                <w:rFonts w:hint="eastAsia" w:ascii="宋体" w:hAnsi="宋体" w:eastAsia="宋体" w:cs="宋体"/>
                <w:kern w:val="0"/>
                <w:sz w:val="24"/>
                <w:szCs w:val="24"/>
              </w:rPr>
            </w:pPr>
            <w:r>
              <w:rPr>
                <w:rFonts w:hint="eastAsia" w:ascii="宋体" w:hAnsi="宋体" w:eastAsia="宋体" w:cs="宋体"/>
                <w:kern w:val="0"/>
                <w:sz w:val="24"/>
                <w:szCs w:val="24"/>
              </w:rPr>
              <w:t>1、支持可视化监控，通过安全大屏和报表工具，直观展示用户的登录情况、终端分布和访问应用情况。</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2、支持权限的持续治理，通过应用识别和闲置权限分析等工具，提供权限调整建议，帮助管理员优化资源发布和权限配置，收敛业务系统的暴露面。</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3、支持异常行为识别，通过统计、用户行为分析（UEBA）和AI算法，识别用户在登录、访问等行为中的异常，辅助管理员加强安全基线管控。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4、支持风险联动处置，结合行为异常分析结果和告警信息，零信任分析中心能够定位风险用户，并联动控制中心系统进行动态管控，如注销或锁定账号，防止潜在的安全威胁。</w:t>
            </w:r>
          </w:p>
        </w:tc>
        <w:tc>
          <w:tcPr>
            <w:tcW w:w="262" w:type="pct"/>
            <w:shd w:val="clear" w:color="auto" w:fill="auto"/>
            <w:vAlign w:val="center"/>
          </w:tcPr>
          <w:p w14:paraId="24EA0375">
            <w:pPr>
              <w:pStyle w:val="44"/>
              <w:rPr>
                <w:rFonts w:hint="eastAsia" w:ascii="宋体" w:hAnsi="宋体" w:eastAsia="宋体" w:cs="宋体"/>
                <w:sz w:val="24"/>
                <w:szCs w:val="24"/>
              </w:rPr>
            </w:pPr>
            <w:r>
              <w:rPr>
                <w:rFonts w:hint="eastAsia" w:ascii="宋体" w:hAnsi="宋体" w:eastAsia="宋体" w:cs="宋体"/>
                <w:sz w:val="24"/>
                <w:szCs w:val="24"/>
              </w:rPr>
              <w:t>套</w:t>
            </w:r>
          </w:p>
        </w:tc>
        <w:tc>
          <w:tcPr>
            <w:tcW w:w="262" w:type="pct"/>
            <w:shd w:val="clear" w:color="000000" w:fill="FFFFFF"/>
            <w:vAlign w:val="center"/>
          </w:tcPr>
          <w:p w14:paraId="56406292">
            <w:pPr>
              <w:pStyle w:val="44"/>
              <w:rPr>
                <w:rFonts w:hint="eastAsia" w:ascii="宋体" w:hAnsi="宋体" w:eastAsia="宋体" w:cs="宋体"/>
                <w:sz w:val="24"/>
                <w:szCs w:val="24"/>
              </w:rPr>
            </w:pPr>
            <w:r>
              <w:rPr>
                <w:rFonts w:hint="eastAsia" w:ascii="宋体" w:hAnsi="宋体" w:eastAsia="宋体" w:cs="宋体"/>
                <w:sz w:val="24"/>
                <w:szCs w:val="24"/>
              </w:rPr>
              <w:t>1</w:t>
            </w:r>
          </w:p>
        </w:tc>
      </w:tr>
      <w:tr w14:paraId="6B93F8C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432" w:type="pct"/>
            <w:shd w:val="clear" w:color="auto" w:fill="auto"/>
            <w:vAlign w:val="center"/>
          </w:tcPr>
          <w:p w14:paraId="5FBD7D32">
            <w:pPr>
              <w:pStyle w:val="44"/>
              <w:rPr>
                <w:rFonts w:hint="eastAsia" w:ascii="宋体" w:hAnsi="宋体" w:eastAsia="宋体" w:cs="宋体"/>
                <w:sz w:val="24"/>
                <w:szCs w:val="24"/>
              </w:rPr>
            </w:pPr>
            <w:r>
              <w:rPr>
                <w:rFonts w:hint="eastAsia" w:ascii="宋体" w:hAnsi="宋体" w:eastAsia="宋体" w:cs="宋体"/>
                <w:sz w:val="24"/>
                <w:szCs w:val="24"/>
              </w:rPr>
              <w:t>4</w:t>
            </w:r>
          </w:p>
        </w:tc>
        <w:tc>
          <w:tcPr>
            <w:tcW w:w="517" w:type="pct"/>
            <w:vMerge w:val="continue"/>
            <w:vAlign w:val="center"/>
          </w:tcPr>
          <w:p w14:paraId="3373C669">
            <w:pPr>
              <w:pStyle w:val="44"/>
              <w:rPr>
                <w:rFonts w:hint="eastAsia" w:ascii="宋体" w:hAnsi="宋体" w:eastAsia="宋体" w:cs="宋体"/>
                <w:sz w:val="24"/>
                <w:szCs w:val="24"/>
              </w:rPr>
            </w:pPr>
          </w:p>
        </w:tc>
        <w:tc>
          <w:tcPr>
            <w:tcW w:w="624" w:type="pct"/>
            <w:shd w:val="clear" w:color="000000" w:fill="FFFFFF"/>
            <w:vAlign w:val="center"/>
          </w:tcPr>
          <w:p w14:paraId="7D0839C3">
            <w:pPr>
              <w:pStyle w:val="44"/>
              <w:rPr>
                <w:rFonts w:hint="eastAsia" w:ascii="宋体" w:hAnsi="宋体" w:eastAsia="宋体" w:cs="宋体"/>
                <w:sz w:val="24"/>
                <w:szCs w:val="24"/>
              </w:rPr>
            </w:pPr>
            <w:r>
              <w:rPr>
                <w:rFonts w:hint="eastAsia" w:ascii="宋体" w:hAnsi="宋体" w:eastAsia="宋体" w:cs="宋体"/>
                <w:sz w:val="24"/>
                <w:szCs w:val="24"/>
              </w:rPr>
              <w:t>外置存储系统</w:t>
            </w:r>
          </w:p>
        </w:tc>
        <w:tc>
          <w:tcPr>
            <w:tcW w:w="2899" w:type="pct"/>
            <w:shd w:val="clear" w:color="000000" w:fill="FFFFFF"/>
            <w:vAlign w:val="center"/>
          </w:tcPr>
          <w:p w14:paraId="484FDE8E">
            <w:pPr>
              <w:widowControl/>
              <w:adjustRightInd/>
              <w:snapToGrid/>
              <w:spacing w:line="240" w:lineRule="auto"/>
              <w:ind w:firstLine="0" w:firstLineChars="0"/>
              <w:rPr>
                <w:rFonts w:hint="eastAsia" w:ascii="宋体" w:hAnsi="宋体" w:eastAsia="宋体" w:cs="宋体"/>
                <w:kern w:val="0"/>
                <w:sz w:val="24"/>
                <w:szCs w:val="24"/>
              </w:rPr>
            </w:pPr>
            <w:r>
              <w:rPr>
                <w:rFonts w:hint="eastAsia" w:ascii="宋体" w:hAnsi="宋体" w:eastAsia="宋体" w:cs="宋体"/>
                <w:kern w:val="0"/>
                <w:sz w:val="24"/>
                <w:szCs w:val="24"/>
              </w:rPr>
              <w:t>1、支持以列表形式，查看用户在指定时间段内的用户行为数据。显示内容有：时间、用户名、操作对象、本机IP、IP地址归属地、事件类型、命中策略、命中规则名、终端名称、日志上报来源等信息。</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2、支持点击详情查看完整用户日志信息，支持放大全局查看。</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3、支持按用户关键字进行全局搜索、按关键条件组合过滤和日志类型过滤</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4、支持日志的全面覆盖，可接收所有代理网关以及所有控制中心的用户访问日志，日志保存时间不少于180天。</w:t>
            </w:r>
          </w:p>
        </w:tc>
        <w:tc>
          <w:tcPr>
            <w:tcW w:w="262" w:type="pct"/>
            <w:shd w:val="clear" w:color="auto" w:fill="auto"/>
            <w:vAlign w:val="center"/>
          </w:tcPr>
          <w:p w14:paraId="54DC57B2">
            <w:pPr>
              <w:pStyle w:val="44"/>
              <w:rPr>
                <w:rFonts w:hint="eastAsia" w:ascii="宋体" w:hAnsi="宋体" w:eastAsia="宋体" w:cs="宋体"/>
                <w:sz w:val="24"/>
                <w:szCs w:val="24"/>
              </w:rPr>
            </w:pPr>
            <w:r>
              <w:rPr>
                <w:rFonts w:hint="eastAsia" w:ascii="宋体" w:hAnsi="宋体" w:eastAsia="宋体" w:cs="宋体"/>
                <w:sz w:val="24"/>
                <w:szCs w:val="24"/>
              </w:rPr>
              <w:t>套</w:t>
            </w:r>
          </w:p>
        </w:tc>
        <w:tc>
          <w:tcPr>
            <w:tcW w:w="262" w:type="pct"/>
            <w:shd w:val="clear" w:color="000000" w:fill="FFFFFF"/>
            <w:vAlign w:val="center"/>
          </w:tcPr>
          <w:p w14:paraId="64CE359E">
            <w:pPr>
              <w:pStyle w:val="44"/>
              <w:rPr>
                <w:rFonts w:hint="eastAsia" w:ascii="宋体" w:hAnsi="宋体" w:eastAsia="宋体" w:cs="宋体"/>
                <w:sz w:val="24"/>
                <w:szCs w:val="24"/>
              </w:rPr>
            </w:pPr>
            <w:r>
              <w:rPr>
                <w:rFonts w:hint="eastAsia" w:ascii="宋体" w:hAnsi="宋体" w:eastAsia="宋体" w:cs="宋体"/>
                <w:sz w:val="24"/>
                <w:szCs w:val="24"/>
              </w:rPr>
              <w:t>1</w:t>
            </w:r>
          </w:p>
        </w:tc>
      </w:tr>
      <w:tr w14:paraId="55ADAB4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432" w:type="pct"/>
            <w:shd w:val="clear" w:color="auto" w:fill="auto"/>
            <w:vAlign w:val="center"/>
          </w:tcPr>
          <w:p w14:paraId="38B385FE">
            <w:pPr>
              <w:pStyle w:val="44"/>
              <w:rPr>
                <w:rFonts w:hint="eastAsia" w:ascii="宋体" w:hAnsi="宋体" w:eastAsia="宋体" w:cs="宋体"/>
                <w:sz w:val="24"/>
                <w:szCs w:val="24"/>
              </w:rPr>
            </w:pPr>
            <w:r>
              <w:rPr>
                <w:rFonts w:hint="eastAsia" w:ascii="宋体" w:hAnsi="宋体" w:eastAsia="宋体" w:cs="宋体"/>
                <w:sz w:val="24"/>
                <w:szCs w:val="24"/>
              </w:rPr>
              <w:t>5</w:t>
            </w:r>
          </w:p>
        </w:tc>
        <w:tc>
          <w:tcPr>
            <w:tcW w:w="517" w:type="pct"/>
            <w:vMerge w:val="continue"/>
            <w:vAlign w:val="center"/>
          </w:tcPr>
          <w:p w14:paraId="1CC341FD">
            <w:pPr>
              <w:pStyle w:val="44"/>
              <w:rPr>
                <w:rFonts w:hint="eastAsia" w:ascii="宋体" w:hAnsi="宋体" w:eastAsia="宋体" w:cs="宋体"/>
                <w:sz w:val="24"/>
                <w:szCs w:val="24"/>
              </w:rPr>
            </w:pPr>
          </w:p>
        </w:tc>
        <w:tc>
          <w:tcPr>
            <w:tcW w:w="624" w:type="pct"/>
            <w:shd w:val="clear" w:color="000000" w:fill="FFFFFF"/>
            <w:vAlign w:val="center"/>
          </w:tcPr>
          <w:p w14:paraId="7A866111">
            <w:pPr>
              <w:pStyle w:val="44"/>
              <w:rPr>
                <w:rFonts w:hint="eastAsia" w:ascii="宋体" w:hAnsi="宋体" w:eastAsia="宋体" w:cs="宋体"/>
                <w:sz w:val="24"/>
                <w:szCs w:val="24"/>
              </w:rPr>
            </w:pPr>
            <w:r>
              <w:rPr>
                <w:rFonts w:hint="eastAsia" w:ascii="宋体" w:hAnsi="宋体" w:eastAsia="宋体" w:cs="宋体"/>
                <w:sz w:val="24"/>
                <w:szCs w:val="24"/>
              </w:rPr>
              <w:t>银河麒麟内核代码授权</w:t>
            </w:r>
          </w:p>
        </w:tc>
        <w:tc>
          <w:tcPr>
            <w:tcW w:w="2899" w:type="pct"/>
            <w:shd w:val="clear" w:color="000000" w:fill="FFFFFF"/>
            <w:vAlign w:val="center"/>
          </w:tcPr>
          <w:p w14:paraId="0DBC4DAD">
            <w:pPr>
              <w:widowControl/>
              <w:adjustRightInd/>
              <w:snapToGrid/>
              <w:spacing w:line="240" w:lineRule="auto"/>
              <w:ind w:firstLine="0" w:firstLineChars="0"/>
              <w:rPr>
                <w:rFonts w:hint="eastAsia" w:ascii="宋体" w:hAnsi="宋体" w:eastAsia="宋体" w:cs="宋体"/>
                <w:kern w:val="0"/>
                <w:sz w:val="24"/>
                <w:szCs w:val="24"/>
              </w:rPr>
            </w:pPr>
            <w:r>
              <w:rPr>
                <w:rFonts w:hint="eastAsia" w:ascii="宋体" w:hAnsi="宋体" w:eastAsia="宋体" w:cs="宋体"/>
                <w:kern w:val="0"/>
                <w:sz w:val="24"/>
                <w:szCs w:val="24"/>
              </w:rPr>
              <w:t>底层操作系统均采用符合国产化要求的银河麒麟操作系统，银河麒麟操作系统内核代码授权。</w:t>
            </w:r>
          </w:p>
        </w:tc>
        <w:tc>
          <w:tcPr>
            <w:tcW w:w="262" w:type="pct"/>
            <w:shd w:val="clear" w:color="auto" w:fill="auto"/>
            <w:vAlign w:val="center"/>
          </w:tcPr>
          <w:p w14:paraId="049C4C41">
            <w:pPr>
              <w:pStyle w:val="44"/>
              <w:rPr>
                <w:rFonts w:hint="eastAsia" w:ascii="宋体" w:hAnsi="宋体" w:eastAsia="宋体" w:cs="宋体"/>
                <w:sz w:val="24"/>
                <w:szCs w:val="24"/>
              </w:rPr>
            </w:pPr>
            <w:r>
              <w:rPr>
                <w:rFonts w:hint="eastAsia" w:ascii="宋体" w:hAnsi="宋体" w:eastAsia="宋体" w:cs="宋体"/>
                <w:sz w:val="24"/>
                <w:szCs w:val="24"/>
              </w:rPr>
              <w:t>套</w:t>
            </w:r>
          </w:p>
        </w:tc>
        <w:tc>
          <w:tcPr>
            <w:tcW w:w="262" w:type="pct"/>
            <w:shd w:val="clear" w:color="000000" w:fill="FFFFFF"/>
            <w:vAlign w:val="center"/>
          </w:tcPr>
          <w:p w14:paraId="369E3B0F">
            <w:pPr>
              <w:pStyle w:val="44"/>
              <w:rPr>
                <w:rFonts w:hint="eastAsia" w:ascii="宋体" w:hAnsi="宋体" w:eastAsia="宋体" w:cs="宋体"/>
                <w:sz w:val="24"/>
                <w:szCs w:val="24"/>
              </w:rPr>
            </w:pPr>
            <w:r>
              <w:rPr>
                <w:rFonts w:hint="eastAsia" w:ascii="宋体" w:hAnsi="宋体" w:eastAsia="宋体" w:cs="宋体"/>
                <w:sz w:val="24"/>
                <w:szCs w:val="24"/>
              </w:rPr>
              <w:t>9</w:t>
            </w:r>
          </w:p>
        </w:tc>
      </w:tr>
      <w:tr w14:paraId="26F6A78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432" w:type="pct"/>
            <w:shd w:val="clear" w:color="auto" w:fill="auto"/>
            <w:vAlign w:val="center"/>
          </w:tcPr>
          <w:p w14:paraId="4529D78D">
            <w:pPr>
              <w:pStyle w:val="44"/>
              <w:rPr>
                <w:rFonts w:hint="eastAsia" w:ascii="宋体" w:hAnsi="宋体" w:eastAsia="宋体" w:cs="宋体"/>
                <w:sz w:val="24"/>
                <w:szCs w:val="24"/>
              </w:rPr>
            </w:pPr>
            <w:r>
              <w:rPr>
                <w:rFonts w:hint="eastAsia" w:ascii="宋体" w:hAnsi="宋体" w:eastAsia="宋体" w:cs="宋体"/>
                <w:sz w:val="24"/>
                <w:szCs w:val="24"/>
              </w:rPr>
              <w:t>6</w:t>
            </w:r>
          </w:p>
        </w:tc>
        <w:tc>
          <w:tcPr>
            <w:tcW w:w="517" w:type="pct"/>
            <w:shd w:val="clear" w:color="auto" w:fill="auto"/>
            <w:vAlign w:val="center"/>
          </w:tcPr>
          <w:p w14:paraId="42DC6E92">
            <w:pPr>
              <w:pStyle w:val="44"/>
              <w:rPr>
                <w:rFonts w:hint="eastAsia" w:ascii="宋体" w:hAnsi="宋体" w:eastAsia="宋体" w:cs="宋体"/>
                <w:sz w:val="24"/>
                <w:szCs w:val="24"/>
              </w:rPr>
            </w:pPr>
            <w:r>
              <w:rPr>
                <w:rFonts w:hint="eastAsia" w:ascii="宋体" w:hAnsi="宋体" w:eastAsia="宋体" w:cs="宋体"/>
                <w:sz w:val="24"/>
                <w:szCs w:val="24"/>
              </w:rPr>
              <w:t>新建5G专用网络安全接入区</w:t>
            </w:r>
          </w:p>
        </w:tc>
        <w:tc>
          <w:tcPr>
            <w:tcW w:w="624" w:type="pct"/>
            <w:shd w:val="clear" w:color="000000" w:fill="FFFFFF"/>
            <w:vAlign w:val="center"/>
          </w:tcPr>
          <w:p w14:paraId="467A87BE">
            <w:pPr>
              <w:pStyle w:val="44"/>
              <w:rPr>
                <w:rFonts w:hint="eastAsia" w:ascii="宋体" w:hAnsi="宋体" w:eastAsia="宋体" w:cs="宋体"/>
                <w:sz w:val="24"/>
                <w:szCs w:val="24"/>
              </w:rPr>
            </w:pPr>
            <w:r>
              <w:rPr>
                <w:rFonts w:hint="eastAsia" w:ascii="宋体" w:hAnsi="宋体" w:eastAsia="宋体" w:cs="宋体"/>
                <w:sz w:val="24"/>
                <w:szCs w:val="24"/>
              </w:rPr>
              <w:t>身份认证和访问控制系统</w:t>
            </w:r>
          </w:p>
        </w:tc>
        <w:tc>
          <w:tcPr>
            <w:tcW w:w="2899" w:type="pct"/>
            <w:shd w:val="clear" w:color="000000" w:fill="FFFFFF"/>
            <w:vAlign w:val="center"/>
          </w:tcPr>
          <w:p w14:paraId="484E296D">
            <w:pPr>
              <w:widowControl/>
              <w:adjustRightInd/>
              <w:snapToGrid/>
              <w:spacing w:line="240" w:lineRule="auto"/>
              <w:ind w:firstLine="0" w:firstLineChars="0"/>
              <w:rPr>
                <w:rFonts w:hint="eastAsia" w:ascii="宋体" w:hAnsi="宋体" w:eastAsia="宋体" w:cs="宋体"/>
                <w:kern w:val="0"/>
                <w:sz w:val="24"/>
                <w:szCs w:val="24"/>
              </w:rPr>
            </w:pPr>
            <w:r>
              <w:rPr>
                <w:rFonts w:hint="eastAsia" w:ascii="宋体" w:hAnsi="宋体" w:eastAsia="宋体" w:cs="宋体"/>
                <w:kern w:val="0"/>
                <w:sz w:val="24"/>
                <w:szCs w:val="24"/>
              </w:rPr>
              <w:t>1、支持针对访问终端的二次准入认证功能，具备商用密码公钥增强身份认证能力；</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2、具备基于号卡MSISDN和终端 IMEI码信息对物联网卡终端二次身份认证的能力，实现仅认证通过后才允许建立5G专用网络到政务外网的连接通道，分配外网规划IP地址和同步终端访问权限；</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3、支持用户面功能中转认证消息的方式对接准入认证系统，支持3GPP TS29.061定义的RADIUS流程与消息扩展定义；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4、支持对接统一身份认证平台，实现单点登录自动访问对应的资源；</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5、支持802.1X接入、Portal接入、SSL VPN、IPSec VPN、PPPOE等多种认证方式，支持通过MACSec认证实现二层报文加密；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可基于用户角色、接入时段、接入位置、终端IP地址分组、终端MAC地址分组、终端厂商分组、终端类型分组、终端操作系统分组（包括信创OS识别）、AP分组、手机号码分组、IMSI号码分组、微软AD组等，向联动网络设备下发事先配置的接入控制策略，按用户不同的情境场景控制用户的网络使用行为；支持一用户多策略授权，从同一地点可获取不同的接入权限；</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7、在线查看用户状态、连接的网络设备信息以及具体的接入位置信息，对非法用户可以执行发送消息、在线检查、强制下线、关闭端口等操作，支持对离线用户下发消息，支持远程协助；</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8、具备对物联网卡终端五元组（源 IP 地址、目的 IP 地址、协议号、源端口、目的端口）访问控制的能力，能根据会话状态为数据流提供明确的允许或拒绝访问能力，控制粒度能达到用户级和应用级；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9、最大用户接入数不少于10万，本次配置1万个用户授权，配置3年技术支持服务；</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10、全面支持IPv6。</w:t>
            </w:r>
          </w:p>
        </w:tc>
        <w:tc>
          <w:tcPr>
            <w:tcW w:w="262" w:type="pct"/>
            <w:shd w:val="clear" w:color="auto" w:fill="auto"/>
            <w:vAlign w:val="center"/>
          </w:tcPr>
          <w:p w14:paraId="54F1512D">
            <w:pPr>
              <w:pStyle w:val="44"/>
              <w:rPr>
                <w:rFonts w:hint="eastAsia" w:ascii="宋体" w:hAnsi="宋体" w:eastAsia="宋体" w:cs="宋体"/>
                <w:sz w:val="24"/>
                <w:szCs w:val="24"/>
              </w:rPr>
            </w:pPr>
            <w:r>
              <w:rPr>
                <w:rFonts w:hint="eastAsia" w:ascii="宋体" w:hAnsi="宋体" w:eastAsia="宋体" w:cs="宋体"/>
                <w:sz w:val="24"/>
                <w:szCs w:val="24"/>
              </w:rPr>
              <w:t>套</w:t>
            </w:r>
          </w:p>
        </w:tc>
        <w:tc>
          <w:tcPr>
            <w:tcW w:w="262" w:type="pct"/>
            <w:shd w:val="clear" w:color="000000" w:fill="FFFFFF"/>
            <w:vAlign w:val="center"/>
          </w:tcPr>
          <w:p w14:paraId="34751C11">
            <w:pPr>
              <w:pStyle w:val="44"/>
              <w:rPr>
                <w:rFonts w:hint="eastAsia" w:ascii="宋体" w:hAnsi="宋体" w:eastAsia="宋体" w:cs="宋体"/>
                <w:sz w:val="24"/>
                <w:szCs w:val="24"/>
              </w:rPr>
            </w:pPr>
            <w:r>
              <w:rPr>
                <w:rFonts w:hint="eastAsia" w:ascii="宋体" w:hAnsi="宋体" w:eastAsia="宋体" w:cs="宋体"/>
                <w:sz w:val="24"/>
                <w:szCs w:val="24"/>
              </w:rPr>
              <w:t>1</w:t>
            </w:r>
          </w:p>
        </w:tc>
      </w:tr>
      <w:tr w14:paraId="0D2997B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432" w:type="pct"/>
            <w:shd w:val="clear" w:color="auto" w:fill="auto"/>
            <w:vAlign w:val="center"/>
          </w:tcPr>
          <w:p w14:paraId="026457C9">
            <w:pPr>
              <w:pStyle w:val="44"/>
              <w:rPr>
                <w:rFonts w:hint="eastAsia" w:ascii="宋体" w:hAnsi="宋体" w:eastAsia="宋体" w:cs="宋体"/>
                <w:sz w:val="24"/>
                <w:szCs w:val="24"/>
              </w:rPr>
            </w:pPr>
            <w:r>
              <w:rPr>
                <w:rFonts w:hint="eastAsia" w:ascii="宋体" w:hAnsi="宋体" w:eastAsia="宋体" w:cs="宋体"/>
                <w:sz w:val="24"/>
                <w:szCs w:val="24"/>
              </w:rPr>
              <w:t>7</w:t>
            </w:r>
          </w:p>
        </w:tc>
        <w:tc>
          <w:tcPr>
            <w:tcW w:w="517" w:type="pct"/>
            <w:shd w:val="clear" w:color="auto" w:fill="auto"/>
            <w:vAlign w:val="center"/>
          </w:tcPr>
          <w:p w14:paraId="15B91BCF">
            <w:pPr>
              <w:pStyle w:val="44"/>
              <w:rPr>
                <w:rFonts w:hint="eastAsia" w:ascii="宋体" w:hAnsi="宋体" w:eastAsia="宋体" w:cs="宋体"/>
                <w:sz w:val="24"/>
                <w:szCs w:val="24"/>
              </w:rPr>
            </w:pPr>
            <w:r>
              <w:rPr>
                <w:rFonts w:hint="eastAsia" w:ascii="宋体" w:hAnsi="宋体" w:eastAsia="宋体" w:cs="宋体"/>
                <w:sz w:val="24"/>
                <w:szCs w:val="24"/>
              </w:rPr>
              <w:t>部署IPv6改造支撑系统</w:t>
            </w:r>
          </w:p>
        </w:tc>
        <w:tc>
          <w:tcPr>
            <w:tcW w:w="624" w:type="pct"/>
            <w:shd w:val="clear" w:color="auto" w:fill="auto"/>
            <w:vAlign w:val="center"/>
          </w:tcPr>
          <w:p w14:paraId="347FA511">
            <w:pPr>
              <w:pStyle w:val="44"/>
              <w:rPr>
                <w:rFonts w:hint="eastAsia" w:ascii="宋体" w:hAnsi="宋体" w:eastAsia="宋体" w:cs="宋体"/>
                <w:sz w:val="24"/>
                <w:szCs w:val="24"/>
              </w:rPr>
            </w:pPr>
            <w:r>
              <w:rPr>
                <w:rFonts w:hint="eastAsia" w:ascii="宋体" w:hAnsi="宋体" w:eastAsia="宋体" w:cs="宋体"/>
                <w:sz w:val="24"/>
                <w:szCs w:val="24"/>
              </w:rPr>
              <w:t>IPv6发展监测平台</w:t>
            </w:r>
          </w:p>
        </w:tc>
        <w:tc>
          <w:tcPr>
            <w:tcW w:w="2899" w:type="pct"/>
            <w:shd w:val="clear" w:color="auto" w:fill="auto"/>
            <w:vAlign w:val="center"/>
          </w:tcPr>
          <w:p w14:paraId="1A18D818">
            <w:pPr>
              <w:widowControl/>
              <w:adjustRightInd/>
              <w:snapToGrid/>
              <w:spacing w:line="240" w:lineRule="auto"/>
              <w:ind w:firstLine="0" w:firstLineChars="0"/>
              <w:rPr>
                <w:rFonts w:hint="eastAsia" w:ascii="宋体" w:hAnsi="宋体" w:eastAsia="宋体" w:cs="宋体"/>
                <w:kern w:val="0"/>
                <w:sz w:val="24"/>
                <w:szCs w:val="24"/>
              </w:rPr>
            </w:pPr>
            <w:r>
              <w:rPr>
                <w:rFonts w:hint="eastAsia" w:ascii="宋体" w:hAnsi="宋体" w:eastAsia="宋体" w:cs="宋体"/>
                <w:kern w:val="0"/>
                <w:sz w:val="24"/>
                <w:szCs w:val="24"/>
              </w:rPr>
              <w:t>1、支持最大180天各网络每日活跃链接的结构化统计数据的列表化输出，涵盖每日IPv6、IPv4活跃链接规模、IPv6活跃链接占比；</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2、支持以可视化大屏形式对IPv6活跃链接占比发展的可视化视图分析，涵盖各组织、各网络不同维度的活跃连接发展评测、评估分析；</w:t>
            </w:r>
            <w:r>
              <w:rPr>
                <w:rFonts w:hint="eastAsia" w:ascii="宋体" w:hAnsi="宋体" w:eastAsia="宋体" w:cs="宋体"/>
                <w:kern w:val="0"/>
                <w:sz w:val="24"/>
                <w:szCs w:val="24"/>
              </w:rPr>
              <w:br w:type="textWrapping"/>
            </w:r>
            <w:r>
              <w:rPr>
                <w:rFonts w:hint="eastAsia" w:ascii="宋体" w:hAnsi="宋体" w:eastAsia="宋体" w:cs="宋体"/>
                <w:kern w:val="0"/>
                <w:sz w:val="24"/>
                <w:szCs w:val="24"/>
              </w:rPr>
              <w:t>3、支持最大180天每日网络流量的结构化统计数据的列表化输出，涵盖每日IPv6、IPv4流入流出流量、IPv6流量占比；</w:t>
            </w:r>
            <w:r>
              <w:rPr>
                <w:rFonts w:hint="eastAsia" w:ascii="宋体" w:hAnsi="宋体" w:eastAsia="宋体" w:cs="宋体"/>
                <w:kern w:val="0"/>
                <w:sz w:val="24"/>
                <w:szCs w:val="24"/>
              </w:rPr>
              <w:br w:type="textWrapping"/>
            </w:r>
            <w:r>
              <w:rPr>
                <w:rFonts w:hint="eastAsia" w:ascii="宋体" w:hAnsi="宋体" w:eastAsia="宋体" w:cs="宋体"/>
                <w:kern w:val="0"/>
                <w:sz w:val="24"/>
                <w:szCs w:val="24"/>
              </w:rPr>
              <w:t>4、支持以可视化大屏形式对IPv6网络流量占比发展的可视化视图分析，涵盖总体、流入、流出、各组织、各网络不同维度的流量发展评测、评估分析；</w:t>
            </w:r>
            <w:r>
              <w:rPr>
                <w:rFonts w:hint="eastAsia" w:ascii="宋体" w:hAnsi="宋体" w:eastAsia="宋体" w:cs="宋体"/>
                <w:kern w:val="0"/>
                <w:sz w:val="24"/>
                <w:szCs w:val="24"/>
              </w:rPr>
              <w:br w:type="textWrapping"/>
            </w:r>
            <w:r>
              <w:rPr>
                <w:rFonts w:hint="eastAsia" w:ascii="宋体" w:hAnsi="宋体" w:eastAsia="宋体" w:cs="宋体"/>
                <w:kern w:val="0"/>
                <w:sz w:val="24"/>
                <w:szCs w:val="24"/>
              </w:rPr>
              <w:t>5、支持网络基础信息管理，包括对企业自定义网元设备信息的创建；网络设备的名称、IP地址、网络类型、组织机构归属、创建时间等基础信息管理，并支持实时的编辑、查询、删除等列表化管理；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6、支持网络质量检测结果详情实时查看，包含检测当前网站的名称、域名、类型、组织机构的信息呈现；IPv4/IPv6时延、抖动、丢包率明细；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7、支持通过IPv6/IPv4网络支持状态，自动分析判断网元设备的IPv6/IPv4单、双栈状态；</w:t>
            </w:r>
            <w:r>
              <w:rPr>
                <w:rFonts w:hint="eastAsia" w:ascii="宋体" w:hAnsi="宋体" w:eastAsia="宋体" w:cs="宋体"/>
                <w:kern w:val="0"/>
                <w:sz w:val="24"/>
                <w:szCs w:val="24"/>
              </w:rPr>
              <w:br w:type="textWrapping"/>
            </w:r>
            <w:r>
              <w:rPr>
                <w:rFonts w:hint="eastAsia" w:ascii="宋体" w:hAnsi="宋体" w:eastAsia="宋体" w:cs="宋体"/>
                <w:kern w:val="0"/>
                <w:sz w:val="24"/>
                <w:szCs w:val="24"/>
              </w:rPr>
              <w:t>8、支持IPv6支持度七项标准指标检测能力，涵盖首页可达、二三级链接支持率、DNS解析能力、域名授权体系完整性、首页内容一致性、首页访问成功率等；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9、支持互联网应用、内部应用IPv6支持度标准指标检测合规性配置，涵盖权重调配、对象、评分、合规要求等；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10、应用监测节点能对目标应用系统发起IPv4/IPv6访问探测请求，并评估应用的IPv4/IPv6支持度情况；</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11、支持以可视化大屏形式对应用IPv6支持度进行可视化视图分析，涵盖应用支持度统计分析，各下级单位的应用就绪发展评测、评估分析等；</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12、支持平台不同角色、用户的自定义创建，涵盖菜单、模块、操作的角色权限设计配置，和不同组织角色权限的平台用户创建管理；</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13、支持IPv6评测指标体系的创建与设计，涵盖应用就绪、网络流量等发展指标评测、评估体系；</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14、支持同时创建多种不同组织对象、计算周期、指数上限、改造水平的IPv6评测指标体系全局模型配置；</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15、支持最大3级指标评测结构的建设，涵盖指标类型、权重、定义、计算对象、计算维度、计算公式的自定义配置；</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16、支持IPv4/IPv6子网基础信息数据管理，支持IPv4/IPv6子网信息的创建，支持对IPv4/IPv6子网、子网组织机构归属、子网类型、子网分配方式的基础信息编辑、删除、查询列表化管理，支持对创建导入的IPv4/IPv6子网的树管理，用户可通过子网树，查看各类型子网的关系结构；</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17、支持与第三方系统进行对接，实现IPv4/IPv6子网与地址资源数据同步；</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18、支持基于网络、安全、终端、运维四类设备资源分类的网元数据信息的创建；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19、支持基于云服务数据信息的创建。</w:t>
            </w:r>
            <w:r>
              <w:rPr>
                <w:rFonts w:hint="eastAsia" w:ascii="宋体" w:hAnsi="宋体" w:eastAsia="宋体" w:cs="宋体"/>
                <w:kern w:val="0"/>
                <w:sz w:val="24"/>
                <w:szCs w:val="24"/>
              </w:rPr>
              <w:br w:type="textWrapping"/>
            </w:r>
            <w:r>
              <w:rPr>
                <w:rFonts w:hint="eastAsia" w:ascii="宋体" w:hAnsi="宋体" w:eastAsia="宋体" w:cs="宋体"/>
                <w:kern w:val="0"/>
                <w:sz w:val="24"/>
                <w:szCs w:val="24"/>
              </w:rPr>
              <w:t>20、应用监测节点部署授权≥6个，流量监测节点接入授权≥4个，系统响应时间&lt;1秒，系统单次IPv6网站检测任务支持≥2000个网站，单次网站检测支持≥10000条二、三级链接检测。</w:t>
            </w:r>
          </w:p>
        </w:tc>
        <w:tc>
          <w:tcPr>
            <w:tcW w:w="262" w:type="pct"/>
            <w:shd w:val="clear" w:color="auto" w:fill="auto"/>
            <w:noWrap/>
            <w:vAlign w:val="center"/>
          </w:tcPr>
          <w:p w14:paraId="38538E6A">
            <w:pPr>
              <w:pStyle w:val="44"/>
              <w:rPr>
                <w:rFonts w:hint="eastAsia" w:ascii="宋体" w:hAnsi="宋体" w:eastAsia="宋体" w:cs="宋体"/>
                <w:sz w:val="24"/>
                <w:szCs w:val="24"/>
              </w:rPr>
            </w:pPr>
            <w:r>
              <w:rPr>
                <w:rFonts w:hint="eastAsia" w:ascii="宋体" w:hAnsi="宋体" w:eastAsia="宋体" w:cs="宋体"/>
                <w:sz w:val="24"/>
                <w:szCs w:val="24"/>
              </w:rPr>
              <w:t>套</w:t>
            </w:r>
          </w:p>
        </w:tc>
        <w:tc>
          <w:tcPr>
            <w:tcW w:w="262" w:type="pct"/>
            <w:shd w:val="clear" w:color="auto" w:fill="auto"/>
            <w:vAlign w:val="center"/>
          </w:tcPr>
          <w:p w14:paraId="41F73FAE">
            <w:pPr>
              <w:pStyle w:val="44"/>
              <w:rPr>
                <w:rFonts w:hint="eastAsia" w:ascii="宋体" w:hAnsi="宋体" w:eastAsia="宋体" w:cs="宋体"/>
                <w:sz w:val="24"/>
                <w:szCs w:val="24"/>
              </w:rPr>
            </w:pPr>
            <w:r>
              <w:rPr>
                <w:rFonts w:hint="eastAsia" w:ascii="宋体" w:hAnsi="宋体" w:eastAsia="宋体" w:cs="宋体"/>
                <w:sz w:val="24"/>
                <w:szCs w:val="24"/>
              </w:rPr>
              <w:t>1</w:t>
            </w:r>
          </w:p>
        </w:tc>
      </w:tr>
    </w:tbl>
    <w:p w14:paraId="7BCECC9A">
      <w:pPr>
        <w:rPr>
          <w:lang w:eastAsia="zh-CN"/>
        </w:rPr>
      </w:pPr>
      <w:bookmarkStart w:id="0" w:name="_GoBack"/>
      <w:bookmarkEnd w:id="0"/>
    </w:p>
    <w:sectPr>
      <w:headerReference r:id="rId5" w:type="default"/>
      <w:footerReference r:id="rId6" w:type="default"/>
      <w:pgSz w:w="11906" w:h="16839"/>
      <w:pgMar w:top="1009" w:right="1310" w:bottom="1043" w:left="1307" w:header="0" w:footer="994"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 w:name="方正小标宋简体">
    <w:panose1 w:val="03000509000000000000"/>
    <w:charset w:val="86"/>
    <w:family w:val="auto"/>
    <w:pitch w:val="default"/>
    <w:sig w:usb0="00000001" w:usb1="080E0000" w:usb2="00000000" w:usb3="00000000" w:csb0="00040000" w:csb1="00000000"/>
  </w:font>
  <w:font w:name="Cambria Math">
    <w:panose1 w:val="02040503050406030204"/>
    <w:charset w:val="00"/>
    <w:family w:val="auto"/>
    <w:pitch w:val="default"/>
    <w:sig w:usb0="E00002FF" w:usb1="42002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MS Mincho">
    <w:panose1 w:val="020206090402050803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364BE">
    <w:pPr>
      <w:pStyle w:val="18"/>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B6D028">
                          <w:pPr>
                            <w:pStyle w:val="18"/>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RDAAKKwIAAFkEAAAOAAAAAAAAAAEAIAAAAB8BAABkcnMvZTJvRG9jLnhtbFBLBQYAAAAABgAG&#10;AFkBAAC8BQAAAAA=&#10;">
              <v:fill on="f" focussize="0,0"/>
              <v:stroke on="f" weight="0.5pt"/>
              <v:imagedata o:title=""/>
              <o:lock v:ext="edit" aspectratio="f"/>
              <v:textbox inset="0mm,0mm,0mm,0mm" style="mso-fit-shape-to-text:t;">
                <w:txbxContent>
                  <w:p w14:paraId="5EB6D028">
                    <w:pPr>
                      <w:pStyle w:val="18"/>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7A2B0F">
    <w:pPr>
      <w:pStyle w:val="19"/>
      <w:spacing w:after="24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A591BF"/>
    <w:multiLevelType w:val="singleLevel"/>
    <w:tmpl w:val="A0A591BF"/>
    <w:lvl w:ilvl="0" w:tentative="0">
      <w:start w:val="1"/>
      <w:numFmt w:val="decimal"/>
      <w:suff w:val="nothing"/>
      <w:lvlText w:val="%1、"/>
      <w:lvlJc w:val="left"/>
    </w:lvl>
  </w:abstractNum>
  <w:abstractNum w:abstractNumId="1">
    <w:nsid w:val="C03EFF96"/>
    <w:multiLevelType w:val="singleLevel"/>
    <w:tmpl w:val="C03EFF96"/>
    <w:lvl w:ilvl="0" w:tentative="0">
      <w:start w:val="1"/>
      <w:numFmt w:val="decimal"/>
      <w:suff w:val="nothing"/>
      <w:lvlText w:val="%1、"/>
      <w:lvlJc w:val="left"/>
    </w:lvl>
  </w:abstractNum>
  <w:abstractNum w:abstractNumId="2">
    <w:nsid w:val="D49CBE5A"/>
    <w:multiLevelType w:val="singleLevel"/>
    <w:tmpl w:val="D49CBE5A"/>
    <w:lvl w:ilvl="0" w:tentative="0">
      <w:start w:val="1"/>
      <w:numFmt w:val="decimal"/>
      <w:suff w:val="nothing"/>
      <w:lvlText w:val="%1、"/>
      <w:lvlJc w:val="left"/>
    </w:lvl>
  </w:abstractNum>
  <w:abstractNum w:abstractNumId="3">
    <w:nsid w:val="02639F0B"/>
    <w:multiLevelType w:val="singleLevel"/>
    <w:tmpl w:val="02639F0B"/>
    <w:lvl w:ilvl="0" w:tentative="0">
      <w:start w:val="1"/>
      <w:numFmt w:val="decimal"/>
      <w:suff w:val="nothing"/>
      <w:lvlText w:val="%1、"/>
      <w:lvlJc w:val="left"/>
    </w:lvl>
  </w:abstractNum>
  <w:abstractNum w:abstractNumId="4">
    <w:nsid w:val="2F56AAA5"/>
    <w:multiLevelType w:val="singleLevel"/>
    <w:tmpl w:val="2F56AAA5"/>
    <w:lvl w:ilvl="0" w:tentative="0">
      <w:start w:val="1"/>
      <w:numFmt w:val="decimal"/>
      <w:suff w:val="nothing"/>
      <w:lvlText w:val="%1、"/>
      <w:lvlJc w:val="left"/>
    </w:lvl>
  </w:abstractNum>
  <w:abstractNum w:abstractNumId="5">
    <w:nsid w:val="372C54A4"/>
    <w:multiLevelType w:val="multilevel"/>
    <w:tmpl w:val="372C54A4"/>
    <w:lvl w:ilvl="0" w:tentative="0">
      <w:start w:val="1"/>
      <w:numFmt w:val="decimal"/>
      <w:suff w:val="nothing"/>
      <w:lvlText w:val="%1 "/>
      <w:lvlJc w:val="left"/>
      <w:pPr>
        <w:ind w:left="0" w:firstLine="0"/>
      </w:pPr>
      <w:rPr>
        <w:rFonts w:hint="eastAsia"/>
      </w:rPr>
    </w:lvl>
    <w:lvl w:ilvl="1" w:tentative="0">
      <w:start w:val="1"/>
      <w:numFmt w:val="decimal"/>
      <w:isLgl/>
      <w:suff w:val="nothing"/>
      <w:lvlText w:val="%1.%2 "/>
      <w:lvlJc w:val="left"/>
      <w:pPr>
        <w:ind w:left="0" w:firstLine="0"/>
      </w:pPr>
      <w:rPr>
        <w:rFonts w:hint="eastAsia"/>
      </w:rPr>
    </w:lvl>
    <w:lvl w:ilvl="2" w:tentative="0">
      <w:start w:val="1"/>
      <w:numFmt w:val="decimal"/>
      <w:pStyle w:val="6"/>
      <w:isLgl/>
      <w:suff w:val="nothing"/>
      <w:lvlText w:val="%1.%2.%3 "/>
      <w:lvlJc w:val="left"/>
      <w:pPr>
        <w:ind w:left="0" w:firstLine="0"/>
      </w:pPr>
      <w:rPr>
        <w:rFonts w:hint="default" w:ascii="Times New Roman" w:hAnsi="Times New Roman" w:cs="Times New Roman"/>
      </w:rPr>
    </w:lvl>
    <w:lvl w:ilvl="3" w:tentative="0">
      <w:start w:val="1"/>
      <w:numFmt w:val="decimal"/>
      <w:isLgl/>
      <w:suff w:val="nothing"/>
      <w:lvlText w:val="%1.%2.%3.%4 "/>
      <w:lvlJc w:val="left"/>
      <w:pPr>
        <w:ind w:left="0" w:firstLine="0"/>
      </w:pPr>
      <w:rPr>
        <w:rFonts w:hint="eastAsia"/>
      </w:rPr>
    </w:lvl>
    <w:lvl w:ilvl="4" w:tentative="0">
      <w:start w:val="1"/>
      <w:numFmt w:val="decimal"/>
      <w:pStyle w:val="8"/>
      <w:isLgl/>
      <w:suff w:val="nothing"/>
      <w:lvlText w:val="%1.%2.%3.%4.%5 "/>
      <w:lvlJc w:val="left"/>
      <w:pPr>
        <w:ind w:left="0" w:firstLine="0"/>
      </w:pPr>
      <w:rPr>
        <w:rFonts w:hint="eastAsia"/>
      </w:rPr>
    </w:lvl>
    <w:lvl w:ilvl="5" w:tentative="0">
      <w:start w:val="1"/>
      <w:numFmt w:val="decimal"/>
      <w:pStyle w:val="9"/>
      <w:isLgl/>
      <w:suff w:val="nothing"/>
      <w:lvlText w:val="%1.%2.%3.%4.%5.%6 "/>
      <w:lvlJc w:val="left"/>
      <w:pPr>
        <w:ind w:left="0" w:firstLine="0"/>
      </w:pPr>
      <w:rPr>
        <w:rFonts w:hint="eastAsia"/>
      </w:rPr>
    </w:lvl>
    <w:lvl w:ilvl="6" w:tentative="0">
      <w:start w:val="1"/>
      <w:numFmt w:val="decimal"/>
      <w:pStyle w:val="10"/>
      <w:isLgl/>
      <w:suff w:val="nothing"/>
      <w:lvlText w:val="%1.%2.%3.%4.%5.%6.%7 "/>
      <w:lvlJc w:val="left"/>
      <w:pPr>
        <w:ind w:left="0" w:firstLine="0"/>
      </w:pPr>
      <w:rPr>
        <w:rFonts w:hint="eastAsia"/>
      </w:rPr>
    </w:lvl>
    <w:lvl w:ilvl="7" w:tentative="0">
      <w:start w:val="1"/>
      <w:numFmt w:val="decimal"/>
      <w:lvlRestart w:val="1"/>
      <w:pStyle w:val="11"/>
      <w:isLgl/>
      <w:lvlText w:val="表%1-%8 "/>
      <w:lvlJc w:val="left"/>
      <w:pPr>
        <w:ind w:left="0" w:firstLine="0"/>
      </w:pPr>
      <w:rPr>
        <w:rFonts w:hint="default" w:ascii="Times New Roman" w:hAnsi="Times New Roman" w:eastAsia="宋体" w:cs="Times New Roman"/>
        <w:b w:val="0"/>
        <w:bCs w:val="0"/>
        <w:i w:val="0"/>
        <w:iCs w:val="0"/>
        <w:caps w:val="0"/>
        <w:smallCaps w:val="0"/>
        <w:strike w:val="0"/>
        <w:dstrike w:val="0"/>
        <w:vanish w:val="0"/>
        <w:spacing w:val="0"/>
        <w:position w:val="0"/>
        <w:sz w:val="24"/>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8" w:tentative="0">
      <w:start w:val="1"/>
      <w:numFmt w:val="decimal"/>
      <w:lvlRestart w:val="1"/>
      <w:pStyle w:val="12"/>
      <w:isLgl/>
      <w:lvlText w:val="图%1-%9"/>
      <w:lvlJc w:val="left"/>
      <w:pPr>
        <w:ind w:left="0" w:firstLine="0"/>
      </w:pPr>
      <w:rPr>
        <w:rFonts w:hint="default" w:ascii="Times New Roman" w:hAnsi="Times New Roman" w:eastAsia="宋体"/>
        <w:sz w:val="24"/>
      </w:rPr>
    </w:lvl>
  </w:abstractNum>
  <w:num w:numId="1">
    <w:abstractNumId w:val="5"/>
  </w:num>
  <w:num w:numId="2">
    <w:abstractNumId w:val="3"/>
  </w:num>
  <w:num w:numId="3">
    <w:abstractNumId w:val="4"/>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TrueTypeFonts/>
  <w:saveSubset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04343"/>
    <w:rsid w:val="00084BDE"/>
    <w:rsid w:val="00102876"/>
    <w:rsid w:val="0016554B"/>
    <w:rsid w:val="001816CA"/>
    <w:rsid w:val="00190A8D"/>
    <w:rsid w:val="00190D98"/>
    <w:rsid w:val="001A3CCF"/>
    <w:rsid w:val="001B26BC"/>
    <w:rsid w:val="001B3A1B"/>
    <w:rsid w:val="001D632A"/>
    <w:rsid w:val="0020624B"/>
    <w:rsid w:val="0024072C"/>
    <w:rsid w:val="00262EE0"/>
    <w:rsid w:val="002E4ECA"/>
    <w:rsid w:val="00303EF9"/>
    <w:rsid w:val="00313E38"/>
    <w:rsid w:val="00327265"/>
    <w:rsid w:val="003308E2"/>
    <w:rsid w:val="0037056A"/>
    <w:rsid w:val="003E254F"/>
    <w:rsid w:val="003F5F69"/>
    <w:rsid w:val="003F7260"/>
    <w:rsid w:val="004045F0"/>
    <w:rsid w:val="00416E6A"/>
    <w:rsid w:val="004865B4"/>
    <w:rsid w:val="004B4E81"/>
    <w:rsid w:val="005147A6"/>
    <w:rsid w:val="00552FCE"/>
    <w:rsid w:val="006308AB"/>
    <w:rsid w:val="0065245F"/>
    <w:rsid w:val="00662C35"/>
    <w:rsid w:val="0067317D"/>
    <w:rsid w:val="0067453C"/>
    <w:rsid w:val="00675ABF"/>
    <w:rsid w:val="0068305D"/>
    <w:rsid w:val="00691DAC"/>
    <w:rsid w:val="006B1E4A"/>
    <w:rsid w:val="006D5315"/>
    <w:rsid w:val="0073156A"/>
    <w:rsid w:val="00742C8B"/>
    <w:rsid w:val="00763BFF"/>
    <w:rsid w:val="007A055F"/>
    <w:rsid w:val="007B05CC"/>
    <w:rsid w:val="00830C08"/>
    <w:rsid w:val="008468FB"/>
    <w:rsid w:val="00847DE1"/>
    <w:rsid w:val="00850715"/>
    <w:rsid w:val="00852B4F"/>
    <w:rsid w:val="00935FB0"/>
    <w:rsid w:val="009A3586"/>
    <w:rsid w:val="00A12110"/>
    <w:rsid w:val="00A143AD"/>
    <w:rsid w:val="00A24211"/>
    <w:rsid w:val="00AA0070"/>
    <w:rsid w:val="00AC5B63"/>
    <w:rsid w:val="00AD0953"/>
    <w:rsid w:val="00AF59BE"/>
    <w:rsid w:val="00AF799F"/>
    <w:rsid w:val="00B10967"/>
    <w:rsid w:val="00B3013A"/>
    <w:rsid w:val="00B379DE"/>
    <w:rsid w:val="00C112EE"/>
    <w:rsid w:val="00C12985"/>
    <w:rsid w:val="00C32B7B"/>
    <w:rsid w:val="00C814CA"/>
    <w:rsid w:val="00CB5734"/>
    <w:rsid w:val="00CD47AB"/>
    <w:rsid w:val="00CD7103"/>
    <w:rsid w:val="00D55D26"/>
    <w:rsid w:val="00D6521D"/>
    <w:rsid w:val="00D73B2F"/>
    <w:rsid w:val="00DF5C35"/>
    <w:rsid w:val="00E63F2C"/>
    <w:rsid w:val="00E7580D"/>
    <w:rsid w:val="00E80370"/>
    <w:rsid w:val="00EB2538"/>
    <w:rsid w:val="00ED5D3E"/>
    <w:rsid w:val="00EE6D39"/>
    <w:rsid w:val="00F160D0"/>
    <w:rsid w:val="00F66D27"/>
    <w:rsid w:val="00F72BE7"/>
    <w:rsid w:val="00FA3601"/>
    <w:rsid w:val="012A6E22"/>
    <w:rsid w:val="014546DD"/>
    <w:rsid w:val="014707D5"/>
    <w:rsid w:val="0183453D"/>
    <w:rsid w:val="01A9154F"/>
    <w:rsid w:val="01B1387C"/>
    <w:rsid w:val="01C17C92"/>
    <w:rsid w:val="01F176F8"/>
    <w:rsid w:val="0290691B"/>
    <w:rsid w:val="02D31079"/>
    <w:rsid w:val="02E64D83"/>
    <w:rsid w:val="02F62DEB"/>
    <w:rsid w:val="032C1B81"/>
    <w:rsid w:val="0336275A"/>
    <w:rsid w:val="03894D4E"/>
    <w:rsid w:val="03A14F29"/>
    <w:rsid w:val="03AB55C9"/>
    <w:rsid w:val="03C903E6"/>
    <w:rsid w:val="04352637"/>
    <w:rsid w:val="044D1E30"/>
    <w:rsid w:val="0451447E"/>
    <w:rsid w:val="04F64D19"/>
    <w:rsid w:val="052B325D"/>
    <w:rsid w:val="05327CAD"/>
    <w:rsid w:val="05447ECE"/>
    <w:rsid w:val="054933A7"/>
    <w:rsid w:val="05AB0237"/>
    <w:rsid w:val="05BF74F0"/>
    <w:rsid w:val="05CC7E39"/>
    <w:rsid w:val="05F07017"/>
    <w:rsid w:val="06163C44"/>
    <w:rsid w:val="062D088E"/>
    <w:rsid w:val="064211DF"/>
    <w:rsid w:val="06E94E42"/>
    <w:rsid w:val="0712477A"/>
    <w:rsid w:val="075067E0"/>
    <w:rsid w:val="075134A1"/>
    <w:rsid w:val="07673982"/>
    <w:rsid w:val="07EE250C"/>
    <w:rsid w:val="081F5E69"/>
    <w:rsid w:val="08585DDB"/>
    <w:rsid w:val="08D800EA"/>
    <w:rsid w:val="08F4242E"/>
    <w:rsid w:val="093D11EF"/>
    <w:rsid w:val="094F2CD3"/>
    <w:rsid w:val="098C4275"/>
    <w:rsid w:val="099C3EDE"/>
    <w:rsid w:val="09AB4631"/>
    <w:rsid w:val="0A2C4173"/>
    <w:rsid w:val="0A492F46"/>
    <w:rsid w:val="0A575D9F"/>
    <w:rsid w:val="0A5F7AD5"/>
    <w:rsid w:val="0A630BD7"/>
    <w:rsid w:val="0A6779EA"/>
    <w:rsid w:val="0AAA50E9"/>
    <w:rsid w:val="0AAF351F"/>
    <w:rsid w:val="0ABB6AF5"/>
    <w:rsid w:val="0B185698"/>
    <w:rsid w:val="0B500317"/>
    <w:rsid w:val="0B6E1EE8"/>
    <w:rsid w:val="0B9C2CEA"/>
    <w:rsid w:val="0BA5688F"/>
    <w:rsid w:val="0BB9031B"/>
    <w:rsid w:val="0BCE5A19"/>
    <w:rsid w:val="0BD25EA5"/>
    <w:rsid w:val="0C027923"/>
    <w:rsid w:val="0C832B66"/>
    <w:rsid w:val="0D3F1705"/>
    <w:rsid w:val="0D7B409F"/>
    <w:rsid w:val="0DB63714"/>
    <w:rsid w:val="0DBF7C0D"/>
    <w:rsid w:val="0DCA3406"/>
    <w:rsid w:val="0DD809E2"/>
    <w:rsid w:val="0E045967"/>
    <w:rsid w:val="0E0E108A"/>
    <w:rsid w:val="0E306947"/>
    <w:rsid w:val="0E3746E5"/>
    <w:rsid w:val="0F0854EF"/>
    <w:rsid w:val="0F225404"/>
    <w:rsid w:val="0F8346BB"/>
    <w:rsid w:val="0FAD17DF"/>
    <w:rsid w:val="107F306E"/>
    <w:rsid w:val="10D31145"/>
    <w:rsid w:val="10FD2C02"/>
    <w:rsid w:val="110272DF"/>
    <w:rsid w:val="11130D98"/>
    <w:rsid w:val="114948FA"/>
    <w:rsid w:val="116457F1"/>
    <w:rsid w:val="11AF263B"/>
    <w:rsid w:val="11FF2D2D"/>
    <w:rsid w:val="12350DE7"/>
    <w:rsid w:val="12653C2C"/>
    <w:rsid w:val="126757A9"/>
    <w:rsid w:val="129C0FBA"/>
    <w:rsid w:val="12EA54DC"/>
    <w:rsid w:val="131F6A29"/>
    <w:rsid w:val="13383132"/>
    <w:rsid w:val="139D0552"/>
    <w:rsid w:val="14290F74"/>
    <w:rsid w:val="143E0B0F"/>
    <w:rsid w:val="147E317A"/>
    <w:rsid w:val="1538599A"/>
    <w:rsid w:val="158B0678"/>
    <w:rsid w:val="15E248D7"/>
    <w:rsid w:val="15E25A94"/>
    <w:rsid w:val="16991702"/>
    <w:rsid w:val="16A356CC"/>
    <w:rsid w:val="173418E5"/>
    <w:rsid w:val="17342109"/>
    <w:rsid w:val="173B5246"/>
    <w:rsid w:val="179F0C8E"/>
    <w:rsid w:val="17D60801"/>
    <w:rsid w:val="182E6B2B"/>
    <w:rsid w:val="186009B5"/>
    <w:rsid w:val="18846779"/>
    <w:rsid w:val="18C97898"/>
    <w:rsid w:val="18E84F59"/>
    <w:rsid w:val="18F643B3"/>
    <w:rsid w:val="19241D0A"/>
    <w:rsid w:val="193E2DCB"/>
    <w:rsid w:val="196206F1"/>
    <w:rsid w:val="19B60034"/>
    <w:rsid w:val="19F33BB6"/>
    <w:rsid w:val="1A071B72"/>
    <w:rsid w:val="1A4C3396"/>
    <w:rsid w:val="1AC905BF"/>
    <w:rsid w:val="1AF20E9D"/>
    <w:rsid w:val="1AF44F33"/>
    <w:rsid w:val="1B0C5B55"/>
    <w:rsid w:val="1B4548E5"/>
    <w:rsid w:val="1B965141"/>
    <w:rsid w:val="1BCF2401"/>
    <w:rsid w:val="1C1A5889"/>
    <w:rsid w:val="1C9E6BD6"/>
    <w:rsid w:val="1CCC6940"/>
    <w:rsid w:val="1CD001DE"/>
    <w:rsid w:val="1CFD32C0"/>
    <w:rsid w:val="1D085BCA"/>
    <w:rsid w:val="1D74500E"/>
    <w:rsid w:val="1D7539C6"/>
    <w:rsid w:val="1DC51960"/>
    <w:rsid w:val="1E7B23CC"/>
    <w:rsid w:val="1E8F1DFD"/>
    <w:rsid w:val="1ED1023E"/>
    <w:rsid w:val="1ED84340"/>
    <w:rsid w:val="1F1B6FE3"/>
    <w:rsid w:val="1F6B239A"/>
    <w:rsid w:val="1F7E7FC4"/>
    <w:rsid w:val="1FAB6CE1"/>
    <w:rsid w:val="20851D82"/>
    <w:rsid w:val="209A6EE6"/>
    <w:rsid w:val="20A8088C"/>
    <w:rsid w:val="20E40660"/>
    <w:rsid w:val="21097A35"/>
    <w:rsid w:val="213A566A"/>
    <w:rsid w:val="22072FB3"/>
    <w:rsid w:val="22256EC5"/>
    <w:rsid w:val="22791318"/>
    <w:rsid w:val="228F594C"/>
    <w:rsid w:val="22C83AD9"/>
    <w:rsid w:val="22FD3CF7"/>
    <w:rsid w:val="23056708"/>
    <w:rsid w:val="23274F5A"/>
    <w:rsid w:val="23746473"/>
    <w:rsid w:val="23A635FF"/>
    <w:rsid w:val="23B337F3"/>
    <w:rsid w:val="23C04A55"/>
    <w:rsid w:val="23C06F33"/>
    <w:rsid w:val="242D6386"/>
    <w:rsid w:val="24565806"/>
    <w:rsid w:val="24BE361B"/>
    <w:rsid w:val="257767A7"/>
    <w:rsid w:val="25823163"/>
    <w:rsid w:val="25BF341B"/>
    <w:rsid w:val="25E2090D"/>
    <w:rsid w:val="25E5790C"/>
    <w:rsid w:val="25F37706"/>
    <w:rsid w:val="261D48D9"/>
    <w:rsid w:val="26407E4E"/>
    <w:rsid w:val="268838E2"/>
    <w:rsid w:val="26DA723D"/>
    <w:rsid w:val="26F15921"/>
    <w:rsid w:val="27457A1B"/>
    <w:rsid w:val="27711B25"/>
    <w:rsid w:val="279C2686"/>
    <w:rsid w:val="27DA5E58"/>
    <w:rsid w:val="27ED701E"/>
    <w:rsid w:val="27EF1D1C"/>
    <w:rsid w:val="280660E7"/>
    <w:rsid w:val="281C3134"/>
    <w:rsid w:val="28702875"/>
    <w:rsid w:val="28A67EF7"/>
    <w:rsid w:val="28BC726A"/>
    <w:rsid w:val="28EC6B13"/>
    <w:rsid w:val="291013D4"/>
    <w:rsid w:val="29944B54"/>
    <w:rsid w:val="29D87370"/>
    <w:rsid w:val="2A0372FE"/>
    <w:rsid w:val="2A46584F"/>
    <w:rsid w:val="2AC1385C"/>
    <w:rsid w:val="2AC967C3"/>
    <w:rsid w:val="2ADF205D"/>
    <w:rsid w:val="2B064FB4"/>
    <w:rsid w:val="2B3B06C4"/>
    <w:rsid w:val="2BDA2720"/>
    <w:rsid w:val="2BDB047B"/>
    <w:rsid w:val="2BE93C1A"/>
    <w:rsid w:val="2C3B7D1E"/>
    <w:rsid w:val="2C695F59"/>
    <w:rsid w:val="2C6B4300"/>
    <w:rsid w:val="2C7A0E10"/>
    <w:rsid w:val="2C9C00DD"/>
    <w:rsid w:val="2CA370EA"/>
    <w:rsid w:val="2CA90A4C"/>
    <w:rsid w:val="2CAA245A"/>
    <w:rsid w:val="2CE00DF7"/>
    <w:rsid w:val="2CF55C1F"/>
    <w:rsid w:val="2D4B565F"/>
    <w:rsid w:val="2D665E74"/>
    <w:rsid w:val="2D99286E"/>
    <w:rsid w:val="2DAA05D8"/>
    <w:rsid w:val="2DB52697"/>
    <w:rsid w:val="2DF41412"/>
    <w:rsid w:val="2E234DC0"/>
    <w:rsid w:val="2E575FCC"/>
    <w:rsid w:val="2E6611AB"/>
    <w:rsid w:val="2E693B84"/>
    <w:rsid w:val="2EB108A7"/>
    <w:rsid w:val="2F0E7054"/>
    <w:rsid w:val="2F194461"/>
    <w:rsid w:val="2F483F47"/>
    <w:rsid w:val="2F7866FD"/>
    <w:rsid w:val="2F912348"/>
    <w:rsid w:val="2FB63E0A"/>
    <w:rsid w:val="2FC17E5A"/>
    <w:rsid w:val="30481513"/>
    <w:rsid w:val="305E1890"/>
    <w:rsid w:val="30734F38"/>
    <w:rsid w:val="307956ED"/>
    <w:rsid w:val="30A610B9"/>
    <w:rsid w:val="30AE6631"/>
    <w:rsid w:val="312A215B"/>
    <w:rsid w:val="31526CE7"/>
    <w:rsid w:val="318178A1"/>
    <w:rsid w:val="319C0B7F"/>
    <w:rsid w:val="31C55E0D"/>
    <w:rsid w:val="31EB1C57"/>
    <w:rsid w:val="31FE5396"/>
    <w:rsid w:val="324D43FF"/>
    <w:rsid w:val="326A2385"/>
    <w:rsid w:val="329A3D4F"/>
    <w:rsid w:val="32BC25BC"/>
    <w:rsid w:val="32BE2A91"/>
    <w:rsid w:val="32F3467E"/>
    <w:rsid w:val="33136C1F"/>
    <w:rsid w:val="331B6CB7"/>
    <w:rsid w:val="335214F5"/>
    <w:rsid w:val="33E54F7B"/>
    <w:rsid w:val="33F26834"/>
    <w:rsid w:val="34205B4A"/>
    <w:rsid w:val="342F5CDB"/>
    <w:rsid w:val="34325184"/>
    <w:rsid w:val="347411FE"/>
    <w:rsid w:val="349431F6"/>
    <w:rsid w:val="34B601B7"/>
    <w:rsid w:val="350C6E7D"/>
    <w:rsid w:val="35A969B2"/>
    <w:rsid w:val="35B02CE0"/>
    <w:rsid w:val="36184132"/>
    <w:rsid w:val="36597105"/>
    <w:rsid w:val="36F17277"/>
    <w:rsid w:val="377D6D5D"/>
    <w:rsid w:val="37CF537F"/>
    <w:rsid w:val="37F963E3"/>
    <w:rsid w:val="38321A3E"/>
    <w:rsid w:val="39903594"/>
    <w:rsid w:val="39D30F8F"/>
    <w:rsid w:val="39D96E5F"/>
    <w:rsid w:val="3A3C3FDD"/>
    <w:rsid w:val="3A6B125E"/>
    <w:rsid w:val="3AC71EE3"/>
    <w:rsid w:val="3AD00B10"/>
    <w:rsid w:val="3B0752BB"/>
    <w:rsid w:val="3B163B4E"/>
    <w:rsid w:val="3B2319C9"/>
    <w:rsid w:val="3B487C06"/>
    <w:rsid w:val="3B7E51F7"/>
    <w:rsid w:val="3B8811A4"/>
    <w:rsid w:val="3BAC10D3"/>
    <w:rsid w:val="3BCF7AB7"/>
    <w:rsid w:val="3BE40E22"/>
    <w:rsid w:val="3BFF480F"/>
    <w:rsid w:val="3C0F220A"/>
    <w:rsid w:val="3C1C6307"/>
    <w:rsid w:val="3C504A40"/>
    <w:rsid w:val="3CB902E7"/>
    <w:rsid w:val="3D0165AF"/>
    <w:rsid w:val="3D166593"/>
    <w:rsid w:val="3D36354C"/>
    <w:rsid w:val="3D74475E"/>
    <w:rsid w:val="3D7F2D19"/>
    <w:rsid w:val="3D881B77"/>
    <w:rsid w:val="3DB24214"/>
    <w:rsid w:val="3DBB413B"/>
    <w:rsid w:val="3DC93A44"/>
    <w:rsid w:val="3DFD4754"/>
    <w:rsid w:val="3E1F3CAD"/>
    <w:rsid w:val="3E292C29"/>
    <w:rsid w:val="3E4141B1"/>
    <w:rsid w:val="3E6C06B0"/>
    <w:rsid w:val="3E78615B"/>
    <w:rsid w:val="3E7C1411"/>
    <w:rsid w:val="3E7E5894"/>
    <w:rsid w:val="3E8E35FE"/>
    <w:rsid w:val="3F07755C"/>
    <w:rsid w:val="3F19434D"/>
    <w:rsid w:val="3F3D2CE8"/>
    <w:rsid w:val="3F650EDC"/>
    <w:rsid w:val="3F984C13"/>
    <w:rsid w:val="3FE1257F"/>
    <w:rsid w:val="403F2E01"/>
    <w:rsid w:val="40583C67"/>
    <w:rsid w:val="407231D7"/>
    <w:rsid w:val="41082FF8"/>
    <w:rsid w:val="41083B0D"/>
    <w:rsid w:val="41465248"/>
    <w:rsid w:val="41984EBF"/>
    <w:rsid w:val="42855DF1"/>
    <w:rsid w:val="42B20B36"/>
    <w:rsid w:val="42DE2EB5"/>
    <w:rsid w:val="42FB66C8"/>
    <w:rsid w:val="43192944"/>
    <w:rsid w:val="43394480"/>
    <w:rsid w:val="436F7EA2"/>
    <w:rsid w:val="43865CFC"/>
    <w:rsid w:val="448B4C1F"/>
    <w:rsid w:val="44B21E06"/>
    <w:rsid w:val="44BA7230"/>
    <w:rsid w:val="44CE27B1"/>
    <w:rsid w:val="44DE0126"/>
    <w:rsid w:val="453A628D"/>
    <w:rsid w:val="45402EBF"/>
    <w:rsid w:val="454B2248"/>
    <w:rsid w:val="45B61DB8"/>
    <w:rsid w:val="45D70058"/>
    <w:rsid w:val="45E516B7"/>
    <w:rsid w:val="45EE0F95"/>
    <w:rsid w:val="45F42F70"/>
    <w:rsid w:val="45F85626"/>
    <w:rsid w:val="4692195B"/>
    <w:rsid w:val="46D051BB"/>
    <w:rsid w:val="46D94465"/>
    <w:rsid w:val="46E60E0B"/>
    <w:rsid w:val="46FA073D"/>
    <w:rsid w:val="470E15D4"/>
    <w:rsid w:val="47234C6F"/>
    <w:rsid w:val="474D04FA"/>
    <w:rsid w:val="47906273"/>
    <w:rsid w:val="47E36768"/>
    <w:rsid w:val="48643D4D"/>
    <w:rsid w:val="486F37EB"/>
    <w:rsid w:val="487D7E3E"/>
    <w:rsid w:val="488533D9"/>
    <w:rsid w:val="48967192"/>
    <w:rsid w:val="48BD520B"/>
    <w:rsid w:val="48CE2C27"/>
    <w:rsid w:val="492265CB"/>
    <w:rsid w:val="49291D26"/>
    <w:rsid w:val="4949445D"/>
    <w:rsid w:val="49B51BAE"/>
    <w:rsid w:val="49B614F4"/>
    <w:rsid w:val="4A2268D5"/>
    <w:rsid w:val="4A442B3D"/>
    <w:rsid w:val="4A5E47CC"/>
    <w:rsid w:val="4A882A4B"/>
    <w:rsid w:val="4A884CC6"/>
    <w:rsid w:val="4AA55BC3"/>
    <w:rsid w:val="4ABC7D85"/>
    <w:rsid w:val="4AC25D9C"/>
    <w:rsid w:val="4AEC6877"/>
    <w:rsid w:val="4B83595C"/>
    <w:rsid w:val="4B8D5369"/>
    <w:rsid w:val="4C0F5D7E"/>
    <w:rsid w:val="4C6A1EDD"/>
    <w:rsid w:val="4CAD0B35"/>
    <w:rsid w:val="4CEC044C"/>
    <w:rsid w:val="4D07114B"/>
    <w:rsid w:val="4D621716"/>
    <w:rsid w:val="4D954046"/>
    <w:rsid w:val="4DFF3E40"/>
    <w:rsid w:val="4E1F4272"/>
    <w:rsid w:val="4E202AF3"/>
    <w:rsid w:val="4E3D065A"/>
    <w:rsid w:val="4E9D2106"/>
    <w:rsid w:val="4F203B82"/>
    <w:rsid w:val="4F282F37"/>
    <w:rsid w:val="4F5C084B"/>
    <w:rsid w:val="4FAA2095"/>
    <w:rsid w:val="4FB04984"/>
    <w:rsid w:val="4FC72EBA"/>
    <w:rsid w:val="4FEE57DE"/>
    <w:rsid w:val="4FF52C71"/>
    <w:rsid w:val="503A7A08"/>
    <w:rsid w:val="5055041F"/>
    <w:rsid w:val="509E3ED1"/>
    <w:rsid w:val="50EC48E0"/>
    <w:rsid w:val="514E559A"/>
    <w:rsid w:val="515661D0"/>
    <w:rsid w:val="51C63383"/>
    <w:rsid w:val="51E92988"/>
    <w:rsid w:val="52416ED0"/>
    <w:rsid w:val="528312E8"/>
    <w:rsid w:val="52B50FFA"/>
    <w:rsid w:val="52C34CFF"/>
    <w:rsid w:val="52CA0C50"/>
    <w:rsid w:val="52D23FA9"/>
    <w:rsid w:val="52E468A6"/>
    <w:rsid w:val="52E8669F"/>
    <w:rsid w:val="530F22F4"/>
    <w:rsid w:val="531F42E7"/>
    <w:rsid w:val="53AA5D25"/>
    <w:rsid w:val="53D6797D"/>
    <w:rsid w:val="541D1254"/>
    <w:rsid w:val="543A0058"/>
    <w:rsid w:val="544A6647"/>
    <w:rsid w:val="54561C22"/>
    <w:rsid w:val="54660E4D"/>
    <w:rsid w:val="54815451"/>
    <w:rsid w:val="54824C71"/>
    <w:rsid w:val="548A6691"/>
    <w:rsid w:val="54B4145C"/>
    <w:rsid w:val="54BC690A"/>
    <w:rsid w:val="54FD5330"/>
    <w:rsid w:val="550C5017"/>
    <w:rsid w:val="55132EB9"/>
    <w:rsid w:val="55E101CF"/>
    <w:rsid w:val="563A7F05"/>
    <w:rsid w:val="566B62A7"/>
    <w:rsid w:val="567244B1"/>
    <w:rsid w:val="5698153C"/>
    <w:rsid w:val="56AD697C"/>
    <w:rsid w:val="56B8447F"/>
    <w:rsid w:val="56CE0C2A"/>
    <w:rsid w:val="56E5591B"/>
    <w:rsid w:val="56E73AEE"/>
    <w:rsid w:val="575B547C"/>
    <w:rsid w:val="57631674"/>
    <w:rsid w:val="57956B74"/>
    <w:rsid w:val="57A500D0"/>
    <w:rsid w:val="57C351F2"/>
    <w:rsid w:val="57D37FDB"/>
    <w:rsid w:val="580F71F2"/>
    <w:rsid w:val="58234D9B"/>
    <w:rsid w:val="58532224"/>
    <w:rsid w:val="586903C5"/>
    <w:rsid w:val="58886A9C"/>
    <w:rsid w:val="593212FE"/>
    <w:rsid w:val="59590F80"/>
    <w:rsid w:val="595E182C"/>
    <w:rsid w:val="59A909E1"/>
    <w:rsid w:val="59BC7C61"/>
    <w:rsid w:val="59C3464B"/>
    <w:rsid w:val="59DE2BBE"/>
    <w:rsid w:val="5A410A6F"/>
    <w:rsid w:val="5A9655C2"/>
    <w:rsid w:val="5ADC5A6C"/>
    <w:rsid w:val="5B400D25"/>
    <w:rsid w:val="5B9462A0"/>
    <w:rsid w:val="5B9D00F7"/>
    <w:rsid w:val="5BB75AA0"/>
    <w:rsid w:val="5BFD63CB"/>
    <w:rsid w:val="5C65447A"/>
    <w:rsid w:val="5C9167C2"/>
    <w:rsid w:val="5CC62662"/>
    <w:rsid w:val="5CCF6FC5"/>
    <w:rsid w:val="5CE05C01"/>
    <w:rsid w:val="5DD20F4D"/>
    <w:rsid w:val="5E171218"/>
    <w:rsid w:val="5E6A4521"/>
    <w:rsid w:val="5E830269"/>
    <w:rsid w:val="5EEC5CA6"/>
    <w:rsid w:val="5F096FA4"/>
    <w:rsid w:val="5F7201DA"/>
    <w:rsid w:val="5F8B5C0B"/>
    <w:rsid w:val="5FF90D1B"/>
    <w:rsid w:val="60214F57"/>
    <w:rsid w:val="60E02D11"/>
    <w:rsid w:val="60E80665"/>
    <w:rsid w:val="60E92BEA"/>
    <w:rsid w:val="610D2565"/>
    <w:rsid w:val="611C2FBF"/>
    <w:rsid w:val="613D03AF"/>
    <w:rsid w:val="61A059DE"/>
    <w:rsid w:val="622149A9"/>
    <w:rsid w:val="62840C9B"/>
    <w:rsid w:val="62932D27"/>
    <w:rsid w:val="62E53885"/>
    <w:rsid w:val="6329237C"/>
    <w:rsid w:val="63753EA0"/>
    <w:rsid w:val="63923347"/>
    <w:rsid w:val="63A60D41"/>
    <w:rsid w:val="63B51413"/>
    <w:rsid w:val="63C45248"/>
    <w:rsid w:val="63C6035F"/>
    <w:rsid w:val="64045B99"/>
    <w:rsid w:val="64686F2A"/>
    <w:rsid w:val="649A1D1D"/>
    <w:rsid w:val="64B20D48"/>
    <w:rsid w:val="64BC23C3"/>
    <w:rsid w:val="64C2203D"/>
    <w:rsid w:val="64CF0348"/>
    <w:rsid w:val="64E04304"/>
    <w:rsid w:val="659B022A"/>
    <w:rsid w:val="659B691E"/>
    <w:rsid w:val="65D242C5"/>
    <w:rsid w:val="65F10142"/>
    <w:rsid w:val="66124991"/>
    <w:rsid w:val="66391FE9"/>
    <w:rsid w:val="66487257"/>
    <w:rsid w:val="66AB2DA4"/>
    <w:rsid w:val="67D2438B"/>
    <w:rsid w:val="6875202E"/>
    <w:rsid w:val="68B46274"/>
    <w:rsid w:val="68D47A7B"/>
    <w:rsid w:val="68DF193E"/>
    <w:rsid w:val="68E84E3F"/>
    <w:rsid w:val="691B0A9F"/>
    <w:rsid w:val="69455133"/>
    <w:rsid w:val="697649DB"/>
    <w:rsid w:val="69CE10E5"/>
    <w:rsid w:val="6A044377"/>
    <w:rsid w:val="6A1F767C"/>
    <w:rsid w:val="6A701523"/>
    <w:rsid w:val="6B2D62D6"/>
    <w:rsid w:val="6BC22AA0"/>
    <w:rsid w:val="6BDD42B9"/>
    <w:rsid w:val="6C085287"/>
    <w:rsid w:val="6C254F52"/>
    <w:rsid w:val="6C401523"/>
    <w:rsid w:val="6C545490"/>
    <w:rsid w:val="6CD00EA6"/>
    <w:rsid w:val="6CE50246"/>
    <w:rsid w:val="6CE6131C"/>
    <w:rsid w:val="6D0A66D3"/>
    <w:rsid w:val="6D313420"/>
    <w:rsid w:val="6D8D0DA1"/>
    <w:rsid w:val="6D9F6DE4"/>
    <w:rsid w:val="6DDD5A51"/>
    <w:rsid w:val="6DE51FC5"/>
    <w:rsid w:val="6E7E0D88"/>
    <w:rsid w:val="6EA15698"/>
    <w:rsid w:val="6EA231BA"/>
    <w:rsid w:val="6EC03393"/>
    <w:rsid w:val="6F0A08FB"/>
    <w:rsid w:val="6F5568C5"/>
    <w:rsid w:val="6F7E0AE1"/>
    <w:rsid w:val="6F994B66"/>
    <w:rsid w:val="6FA523D2"/>
    <w:rsid w:val="6FB1521A"/>
    <w:rsid w:val="6FCF7E4E"/>
    <w:rsid w:val="701045B5"/>
    <w:rsid w:val="703D37EB"/>
    <w:rsid w:val="706F478E"/>
    <w:rsid w:val="70874686"/>
    <w:rsid w:val="70D13AF1"/>
    <w:rsid w:val="71146553"/>
    <w:rsid w:val="712D6B22"/>
    <w:rsid w:val="715B4B81"/>
    <w:rsid w:val="71A45995"/>
    <w:rsid w:val="71D76F1C"/>
    <w:rsid w:val="72161E37"/>
    <w:rsid w:val="72851CAC"/>
    <w:rsid w:val="72A41B58"/>
    <w:rsid w:val="72BA184A"/>
    <w:rsid w:val="7301390F"/>
    <w:rsid w:val="73335AB7"/>
    <w:rsid w:val="739F35DC"/>
    <w:rsid w:val="73B07EB2"/>
    <w:rsid w:val="73CF1BB8"/>
    <w:rsid w:val="73CF6EEA"/>
    <w:rsid w:val="73D9089C"/>
    <w:rsid w:val="73ED585D"/>
    <w:rsid w:val="73F21E51"/>
    <w:rsid w:val="741E6BF6"/>
    <w:rsid w:val="742B1F7F"/>
    <w:rsid w:val="747405C4"/>
    <w:rsid w:val="74885165"/>
    <w:rsid w:val="749E3893"/>
    <w:rsid w:val="74A715D2"/>
    <w:rsid w:val="75084176"/>
    <w:rsid w:val="756D5F94"/>
    <w:rsid w:val="757A7E5C"/>
    <w:rsid w:val="76023918"/>
    <w:rsid w:val="761E0576"/>
    <w:rsid w:val="768C7E47"/>
    <w:rsid w:val="76D56593"/>
    <w:rsid w:val="77314F2E"/>
    <w:rsid w:val="77630FAB"/>
    <w:rsid w:val="776A2771"/>
    <w:rsid w:val="77B41C25"/>
    <w:rsid w:val="77C460AF"/>
    <w:rsid w:val="77E97E70"/>
    <w:rsid w:val="78760DAF"/>
    <w:rsid w:val="792F71B0"/>
    <w:rsid w:val="79475EB1"/>
    <w:rsid w:val="798756C5"/>
    <w:rsid w:val="7A43426E"/>
    <w:rsid w:val="7AC426F9"/>
    <w:rsid w:val="7B074BD9"/>
    <w:rsid w:val="7B294B89"/>
    <w:rsid w:val="7B4B6523"/>
    <w:rsid w:val="7BD07335"/>
    <w:rsid w:val="7BD227A0"/>
    <w:rsid w:val="7C2D5E41"/>
    <w:rsid w:val="7CA010C3"/>
    <w:rsid w:val="7CAD6847"/>
    <w:rsid w:val="7CCE6A29"/>
    <w:rsid w:val="7CF33270"/>
    <w:rsid w:val="7D02603F"/>
    <w:rsid w:val="7D2C2B03"/>
    <w:rsid w:val="7D4A280A"/>
    <w:rsid w:val="7DB0228A"/>
    <w:rsid w:val="7DBB54B6"/>
    <w:rsid w:val="7DFC0E94"/>
    <w:rsid w:val="7E146C66"/>
    <w:rsid w:val="7E6D786D"/>
    <w:rsid w:val="7E9C0E44"/>
    <w:rsid w:val="7F051133"/>
    <w:rsid w:val="7F150C8C"/>
    <w:rsid w:val="7F5A7CF2"/>
    <w:rsid w:val="7F61079B"/>
    <w:rsid w:val="D4FFDFD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39"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after="160" w:line="259" w:lineRule="auto"/>
      <w:textAlignment w:val="baseline"/>
    </w:pPr>
    <w:rPr>
      <w:rFonts w:ascii="Arial" w:hAnsi="Arial" w:eastAsia="Arial" w:cs="Arial"/>
      <w:snapToGrid w:val="0"/>
      <w:color w:val="000000"/>
      <w:sz w:val="21"/>
      <w:szCs w:val="21"/>
      <w:lang w:val="en-US" w:eastAsia="en-US" w:bidi="ar-SA"/>
    </w:rPr>
  </w:style>
  <w:style w:type="paragraph" w:styleId="4">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paragraph" w:styleId="5">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6">
    <w:name w:val="heading 3"/>
    <w:basedOn w:val="1"/>
    <w:next w:val="1"/>
    <w:qFormat/>
    <w:uiPriority w:val="0"/>
    <w:pPr>
      <w:keepNext/>
      <w:keepLines/>
      <w:widowControl/>
      <w:numPr>
        <w:ilvl w:val="2"/>
        <w:numId w:val="1"/>
      </w:numPr>
      <w:spacing w:before="120" w:after="120"/>
      <w:ind w:firstLineChars="0"/>
      <w:outlineLvl w:val="2"/>
    </w:pPr>
    <w:rPr>
      <w:rFonts w:eastAsia="黑体"/>
      <w:kern w:val="44"/>
      <w:szCs w:val="28"/>
    </w:rPr>
  </w:style>
  <w:style w:type="paragraph" w:styleId="7">
    <w:name w:val="heading 4"/>
    <w:basedOn w:val="1"/>
    <w:next w:val="1"/>
    <w:link w:val="37"/>
    <w:semiHidden/>
    <w:unhideWhenUsed/>
    <w:qFormat/>
    <w:uiPriority w:val="0"/>
    <w:pPr>
      <w:keepNext/>
      <w:keepLines/>
      <w:spacing w:before="280" w:after="290" w:line="372" w:lineRule="auto"/>
      <w:outlineLvl w:val="3"/>
    </w:pPr>
    <w:rPr>
      <w:rFonts w:eastAsia="黑体"/>
      <w:b/>
      <w:sz w:val="28"/>
    </w:rPr>
  </w:style>
  <w:style w:type="paragraph" w:styleId="8">
    <w:name w:val="heading 5"/>
    <w:basedOn w:val="1"/>
    <w:next w:val="1"/>
    <w:qFormat/>
    <w:uiPriority w:val="0"/>
    <w:pPr>
      <w:keepNext/>
      <w:keepLines/>
      <w:widowControl/>
      <w:numPr>
        <w:ilvl w:val="4"/>
        <w:numId w:val="1"/>
      </w:numPr>
      <w:tabs>
        <w:tab w:val="left" w:pos="1080"/>
      </w:tabs>
      <w:spacing w:before="120" w:after="120"/>
      <w:ind w:firstLineChars="0"/>
      <w:outlineLvl w:val="4"/>
    </w:pPr>
    <w:rPr>
      <w:rFonts w:eastAsia="黑体"/>
      <w:bCs/>
      <w:kern w:val="44"/>
      <w:szCs w:val="28"/>
    </w:rPr>
  </w:style>
  <w:style w:type="paragraph" w:styleId="9">
    <w:name w:val="heading 6"/>
    <w:basedOn w:val="1"/>
    <w:next w:val="1"/>
    <w:qFormat/>
    <w:uiPriority w:val="0"/>
    <w:pPr>
      <w:keepNext/>
      <w:keepLines/>
      <w:widowControl/>
      <w:numPr>
        <w:ilvl w:val="5"/>
        <w:numId w:val="1"/>
      </w:numPr>
      <w:tabs>
        <w:tab w:val="left" w:pos="1560"/>
      </w:tabs>
      <w:spacing w:before="120" w:after="120"/>
      <w:ind w:firstLineChars="0"/>
      <w:outlineLvl w:val="5"/>
    </w:pPr>
    <w:rPr>
      <w:rFonts w:eastAsia="黑体"/>
      <w:bCs/>
      <w:kern w:val="44"/>
      <w:szCs w:val="28"/>
    </w:rPr>
  </w:style>
  <w:style w:type="paragraph" w:styleId="10">
    <w:name w:val="heading 7"/>
    <w:basedOn w:val="1"/>
    <w:next w:val="1"/>
    <w:qFormat/>
    <w:uiPriority w:val="0"/>
    <w:pPr>
      <w:keepNext/>
      <w:keepLines/>
      <w:widowControl/>
      <w:numPr>
        <w:ilvl w:val="6"/>
        <w:numId w:val="1"/>
      </w:numPr>
      <w:spacing w:before="120" w:after="120"/>
      <w:ind w:firstLineChars="0"/>
      <w:outlineLvl w:val="6"/>
    </w:pPr>
    <w:rPr>
      <w:rFonts w:eastAsia="黑体"/>
      <w:bCs/>
      <w:kern w:val="44"/>
      <w:szCs w:val="28"/>
    </w:rPr>
  </w:style>
  <w:style w:type="paragraph" w:styleId="11">
    <w:name w:val="heading 8"/>
    <w:basedOn w:val="1"/>
    <w:next w:val="1"/>
    <w:qFormat/>
    <w:uiPriority w:val="0"/>
    <w:pPr>
      <w:keepNext/>
      <w:keepLines/>
      <w:widowControl/>
      <w:numPr>
        <w:ilvl w:val="7"/>
        <w:numId w:val="1"/>
      </w:numPr>
      <w:ind w:firstLineChars="0"/>
      <w:jc w:val="center"/>
      <w:outlineLvl w:val="7"/>
    </w:pPr>
  </w:style>
  <w:style w:type="paragraph" w:styleId="12">
    <w:name w:val="heading 9"/>
    <w:basedOn w:val="1"/>
    <w:next w:val="1"/>
    <w:qFormat/>
    <w:uiPriority w:val="0"/>
    <w:pPr>
      <w:keepLines/>
      <w:widowControl/>
      <w:numPr>
        <w:ilvl w:val="8"/>
        <w:numId w:val="1"/>
      </w:numPr>
      <w:ind w:firstLineChars="0"/>
      <w:jc w:val="center"/>
      <w:outlineLvl w:val="8"/>
    </w:p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semiHidden/>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13">
    <w:name w:val="Normal Indent"/>
    <w:basedOn w:val="1"/>
    <w:qFormat/>
    <w:uiPriority w:val="99"/>
    <w:pPr>
      <w:ind w:firstLine="420"/>
    </w:pPr>
  </w:style>
  <w:style w:type="paragraph" w:styleId="14">
    <w:name w:val="annotation text"/>
    <w:basedOn w:val="1"/>
    <w:qFormat/>
    <w:uiPriority w:val="0"/>
  </w:style>
  <w:style w:type="paragraph" w:styleId="15">
    <w:name w:val="Body Text Indent"/>
    <w:basedOn w:val="1"/>
    <w:unhideWhenUsed/>
    <w:qFormat/>
    <w:uiPriority w:val="99"/>
    <w:pPr>
      <w:spacing w:after="120"/>
      <w:ind w:left="420" w:leftChars="200"/>
    </w:pPr>
    <w:rPr>
      <w:rFonts w:eastAsia="微软雅黑"/>
      <w:sz w:val="24"/>
      <w:szCs w:val="20"/>
    </w:rPr>
  </w:style>
  <w:style w:type="paragraph" w:styleId="16">
    <w:name w:val="toc 5"/>
    <w:basedOn w:val="1"/>
    <w:next w:val="1"/>
    <w:qFormat/>
    <w:uiPriority w:val="39"/>
    <w:pPr>
      <w:ind w:left="1680" w:leftChars="800"/>
    </w:pPr>
    <w:rPr>
      <w:szCs w:val="24"/>
    </w:rPr>
  </w:style>
  <w:style w:type="paragraph" w:styleId="17">
    <w:name w:val="Plain Text"/>
    <w:basedOn w:val="1"/>
    <w:qFormat/>
    <w:uiPriority w:val="0"/>
    <w:rPr>
      <w:rFonts w:ascii="宋体" w:hAnsi="Courier New"/>
      <w:sz w:val="20"/>
    </w:rPr>
  </w:style>
  <w:style w:type="paragraph" w:styleId="18">
    <w:name w:val="footer"/>
    <w:basedOn w:val="1"/>
    <w:qFormat/>
    <w:uiPriority w:val="0"/>
    <w:pPr>
      <w:tabs>
        <w:tab w:val="center" w:pos="4153"/>
        <w:tab w:val="right" w:pos="8306"/>
      </w:tabs>
    </w:pPr>
    <w:rPr>
      <w:sz w:val="18"/>
    </w:rPr>
  </w:style>
  <w:style w:type="paragraph" w:styleId="1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20">
    <w:name w:val="toc 1"/>
    <w:basedOn w:val="1"/>
    <w:next w:val="1"/>
    <w:qFormat/>
    <w:uiPriority w:val="0"/>
  </w:style>
  <w:style w:type="paragraph" w:styleId="21">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22">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23">
    <w:name w:val="Normal (Web)"/>
    <w:basedOn w:val="1"/>
    <w:qFormat/>
    <w:uiPriority w:val="0"/>
    <w:pPr>
      <w:spacing w:before="100" w:beforeAutospacing="1" w:after="100" w:afterAutospacing="1"/>
    </w:pPr>
    <w:rPr>
      <w:rFonts w:ascii="宋体" w:hAnsi="宋体" w:eastAsia="宋体" w:cs="宋体"/>
      <w:sz w:val="24"/>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Emphasis"/>
    <w:qFormat/>
    <w:uiPriority w:val="0"/>
  </w:style>
  <w:style w:type="character" w:styleId="29">
    <w:name w:val="Hyperlink"/>
    <w:basedOn w:val="26"/>
    <w:qFormat/>
    <w:uiPriority w:val="0"/>
    <w:rPr>
      <w:color w:val="0000FF"/>
      <w:u w:val="single"/>
    </w:rPr>
  </w:style>
  <w:style w:type="character" w:styleId="30">
    <w:name w:val="annotation reference"/>
    <w:unhideWhenUsed/>
    <w:qFormat/>
    <w:uiPriority w:val="0"/>
    <w:rPr>
      <w:sz w:val="21"/>
      <w:szCs w:val="21"/>
    </w:rPr>
  </w:style>
  <w:style w:type="paragraph" w:customStyle="1" w:styleId="31">
    <w:name w:val="Normal Indent1"/>
    <w:basedOn w:val="1"/>
    <w:qFormat/>
    <w:uiPriority w:val="0"/>
    <w:pPr>
      <w:ind w:firstLine="420" w:firstLineChars="200"/>
    </w:pPr>
  </w:style>
  <w:style w:type="table" w:customStyle="1" w:styleId="32">
    <w:name w:val="Table Normal1"/>
    <w:semiHidden/>
    <w:unhideWhenUsed/>
    <w:qFormat/>
    <w:uiPriority w:val="0"/>
    <w:tblPr>
      <w:tblCellMar>
        <w:top w:w="0" w:type="dxa"/>
        <w:left w:w="0" w:type="dxa"/>
        <w:bottom w:w="0" w:type="dxa"/>
        <w:right w:w="0" w:type="dxa"/>
      </w:tblCellMar>
    </w:tblPr>
  </w:style>
  <w:style w:type="paragraph" w:customStyle="1" w:styleId="33">
    <w:name w:val="Table Text"/>
    <w:basedOn w:val="1"/>
    <w:semiHidden/>
    <w:qFormat/>
    <w:uiPriority w:val="0"/>
  </w:style>
  <w:style w:type="paragraph" w:customStyle="1" w:styleId="34">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35">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36">
    <w:name w:val="Body text|2"/>
    <w:basedOn w:val="1"/>
    <w:qFormat/>
    <w:uiPriority w:val="0"/>
    <w:pPr>
      <w:widowControl w:val="0"/>
    </w:pPr>
    <w:rPr>
      <w:rFonts w:ascii="宋体" w:hAnsi="宋体" w:eastAsia="宋体" w:cs="宋体"/>
      <w:sz w:val="26"/>
      <w:szCs w:val="26"/>
      <w:lang w:val="zh-TW" w:eastAsia="zh-TW" w:bidi="zh-TW"/>
    </w:rPr>
  </w:style>
  <w:style w:type="character" w:customStyle="1" w:styleId="37">
    <w:name w:val="标题 4 字符"/>
    <w:link w:val="7"/>
    <w:qFormat/>
    <w:uiPriority w:val="0"/>
    <w:rPr>
      <w:rFonts w:ascii="Arial" w:hAnsi="Arial" w:eastAsia="黑体"/>
      <w:b/>
      <w:sz w:val="28"/>
    </w:rPr>
  </w:style>
  <w:style w:type="paragraph" w:customStyle="1" w:styleId="38">
    <w:name w:val="正文_0_1"/>
    <w:qFormat/>
    <w:uiPriority w:val="0"/>
    <w:pPr>
      <w:widowControl w:val="0"/>
      <w:spacing w:after="160" w:line="259" w:lineRule="auto"/>
      <w:jc w:val="both"/>
    </w:pPr>
    <w:rPr>
      <w:rFonts w:ascii="Times New Roman" w:hAnsi="Times New Roman" w:eastAsia="宋体" w:cs="Times New Roman"/>
      <w:kern w:val="2"/>
      <w:sz w:val="21"/>
      <w:szCs w:val="22"/>
      <w:lang w:val="en-US" w:eastAsia="zh-CN" w:bidi="ar-SA"/>
    </w:rPr>
  </w:style>
  <w:style w:type="paragraph" w:customStyle="1" w:styleId="39">
    <w:name w:val="样式1"/>
    <w:basedOn w:val="4"/>
    <w:qFormat/>
    <w:uiPriority w:val="0"/>
    <w:pPr>
      <w:spacing w:before="240" w:after="240" w:line="440" w:lineRule="exact"/>
      <w:jc w:val="center"/>
    </w:pPr>
    <w:rPr>
      <w:rFonts w:eastAsia="楷体"/>
      <w:sz w:val="36"/>
      <w:szCs w:val="28"/>
    </w:rPr>
  </w:style>
  <w:style w:type="character" w:customStyle="1" w:styleId="40">
    <w:name w:val="font31"/>
    <w:qFormat/>
    <w:uiPriority w:val="0"/>
    <w:rPr>
      <w:rFonts w:hint="eastAsia" w:ascii="宋体" w:hAnsi="宋体" w:eastAsia="宋体" w:cs="宋体"/>
      <w:color w:val="000000"/>
      <w:sz w:val="21"/>
      <w:szCs w:val="21"/>
      <w:u w:val="none"/>
    </w:rPr>
  </w:style>
  <w:style w:type="paragraph" w:customStyle="1" w:styleId="41">
    <w:name w:val="Default"/>
    <w:qFormat/>
    <w:uiPriority w:val="0"/>
    <w:pPr>
      <w:widowControl w:val="0"/>
      <w:autoSpaceDE w:val="0"/>
      <w:autoSpaceDN w:val="0"/>
      <w:adjustRightInd w:val="0"/>
      <w:spacing w:after="160" w:line="259" w:lineRule="auto"/>
    </w:pPr>
    <w:rPr>
      <w:rFonts w:ascii="Times New Roman" w:hAnsi="Times New Roman" w:eastAsia="宋体" w:cs="Times New Roman"/>
      <w:color w:val="000000"/>
      <w:sz w:val="24"/>
      <w:szCs w:val="24"/>
      <w:lang w:val="en-US" w:eastAsia="zh-CN" w:bidi="ar-SA"/>
    </w:rPr>
  </w:style>
  <w:style w:type="paragraph" w:customStyle="1" w:styleId="42">
    <w:name w:val="Table Paragraph"/>
    <w:basedOn w:val="1"/>
    <w:qFormat/>
    <w:uiPriority w:val="1"/>
    <w:pPr>
      <w:jc w:val="left"/>
    </w:pPr>
    <w:rPr>
      <w:kern w:val="0"/>
      <w:sz w:val="22"/>
      <w:szCs w:val="22"/>
      <w:lang w:eastAsia="en-US"/>
    </w:rPr>
  </w:style>
  <w:style w:type="table" w:customStyle="1" w:styleId="43">
    <w:name w:val="Table Normal"/>
    <w:semiHidden/>
    <w:unhideWhenUsed/>
    <w:qFormat/>
    <w:uiPriority w:val="0"/>
    <w:tblPr>
      <w:tblCellMar>
        <w:top w:w="0" w:type="dxa"/>
        <w:left w:w="0" w:type="dxa"/>
        <w:bottom w:w="0" w:type="dxa"/>
        <w:right w:w="0" w:type="dxa"/>
      </w:tblCellMar>
    </w:tblPr>
  </w:style>
  <w:style w:type="paragraph" w:customStyle="1" w:styleId="44">
    <w:name w:val="表格内容五号"/>
    <w:basedOn w:val="1"/>
    <w:autoRedefine/>
    <w:qFormat/>
    <w:uiPriority w:val="0"/>
    <w:pPr>
      <w:spacing w:line="240" w:lineRule="auto"/>
      <w:ind w:firstLine="0" w:firstLineChars="0"/>
      <w:jc w:val="center"/>
    </w:pPr>
    <w:rPr>
      <w:rFonts w:eastAsia="楷体" w:cs="Arial Unicode MS"/>
      <w:kern w:val="0"/>
      <w:sz w:val="21"/>
    </w:rPr>
  </w:style>
  <w:style w:type="paragraph" w:styleId="45">
    <w:name w:val="List Paragraph"/>
    <w:basedOn w:val="1"/>
    <w:unhideWhenUsed/>
    <w:qFormat/>
    <w:uiPriority w:val="34"/>
    <w:pPr>
      <w:ind w:firstLine="420"/>
    </w:pPr>
  </w:style>
  <w:style w:type="paragraph" w:customStyle="1" w:styleId="46">
    <w:name w:val="WPSOffice手动目录 1"/>
    <w:qFormat/>
    <w:uiPriority w:val="0"/>
    <w:pPr>
      <w:ind w:leftChars="0"/>
    </w:pPr>
    <w:rPr>
      <w:rFonts w:ascii="Times New Roman" w:hAnsi="Times New Roman" w:eastAsia="宋体" w:cs="Times New Roman"/>
      <w:sz w:val="20"/>
      <w:szCs w:val="20"/>
    </w:rPr>
  </w:style>
  <w:style w:type="paragraph" w:customStyle="1" w:styleId="47">
    <w:name w:val="WPSOffice手动目录 2"/>
    <w:qFormat/>
    <w:uiPriority w:val="0"/>
    <w:pPr>
      <w:ind w:leftChars="200"/>
    </w:pPr>
    <w:rPr>
      <w:rFonts w:ascii="Times New Roman" w:hAnsi="Times New Roman" w:eastAsia="宋体" w:cs="Times New Roman"/>
      <w:sz w:val="20"/>
      <w:szCs w:val="20"/>
    </w:rPr>
  </w:style>
  <w:style w:type="paragraph" w:customStyle="1" w:styleId="48">
    <w:name w:val="WPSOffice手动目录 3"/>
    <w:qFormat/>
    <w:uiPriority w:val="0"/>
    <w:pPr>
      <w:ind w:leftChars="4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35</Pages>
  <Words>16868</Words>
  <Characters>18155</Characters>
  <Lines>1270</Lines>
  <Paragraphs>1348</Paragraphs>
  <TotalTime>0</TotalTime>
  <ScaleCrop>false</ScaleCrop>
  <LinksUpToDate>false</LinksUpToDate>
  <CharactersWithSpaces>19355</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2023-09-05T12:49:00Z</dcterms:created>
  <dc:creator>hxw</dc:creator>
  <cp:lastModifiedBy>lenovo</cp:lastModifiedBy>
  <cp:lastPrinted>2025-01-22T10:16:00Z</cp:lastPrinted>
  <dcterms:modified xsi:type="dcterms:W3CDTF">2026-05-22T09:10:01Z</dcterms:modified>
  <dc:title>政府采购招标文件</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A3C7DDB2B64D4C3697A7625D388E83E7_13</vt:lpwstr>
  </property>
  <property fmtid="{D5CDD505-2E9C-101B-9397-08002B2CF9AE}" pid="6" name="KSOTemplateDocerSaveRecord">
    <vt:lpwstr>eyJoZGlkIjoiNWQxOTI4YjAwNzJkNDNhYWFmMzgzOTA2MmE0ODcyZmMiLCJ1c2VySWQiOiIyNTQ4MjExODEifQ==</vt:lpwstr>
  </property>
  <property fmtid="{D5CDD505-2E9C-101B-9397-08002B2CF9AE}" pid="7" name="woTemplateTypoMode" linkTarget="0">
    <vt:lpwstr>web</vt:lpwstr>
  </property>
  <property fmtid="{D5CDD505-2E9C-101B-9397-08002B2CF9AE}" pid="8" name="woTemplate" linkTarget="0">
    <vt:i4>1</vt:i4>
  </property>
</Properties>
</file>