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7EBDCE">
      <w:pPr>
        <w:widowControl w:val="0"/>
        <w:spacing w:before="47" w:line="219" w:lineRule="auto"/>
        <w:ind w:left="3805"/>
        <w:outlineLvl w:val="1"/>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二、采购需求</w:t>
      </w:r>
    </w:p>
    <w:p w14:paraId="61DB2A01">
      <w:pPr>
        <w:keepNext w:val="0"/>
        <w:keepLines w:val="0"/>
        <w:pageBreakBefore w:val="0"/>
        <w:widowControl/>
        <w:kinsoku/>
        <w:wordWrap/>
        <w:overflowPunct/>
        <w:topLinePunct w:val="0"/>
        <w:autoSpaceDE/>
        <w:autoSpaceDN/>
        <w:bidi w:val="0"/>
        <w:adjustRightInd/>
        <w:snapToGrid/>
        <w:spacing w:after="0" w:line="460" w:lineRule="exact"/>
        <w:textAlignment w:val="baseline"/>
        <w:outlineLvl w:val="2"/>
        <w:rPr>
          <w:rFonts w:hint="eastAsia" w:ascii="仿宋" w:hAnsi="仿宋" w:eastAsia="仿宋" w:cs="仿宋"/>
          <w:b/>
          <w:bCs/>
          <w:color w:val="auto"/>
          <w:sz w:val="24"/>
          <w:szCs w:val="24"/>
          <w:highlight w:val="none"/>
          <w:lang w:val="en-US" w:eastAsia="zh-CN"/>
        </w:rPr>
      </w:pPr>
      <w:r>
        <w:rPr>
          <w:rFonts w:hint="eastAsia" w:ascii="仿宋" w:hAnsi="仿宋" w:eastAsia="仿宋" w:cs="仿宋"/>
          <w:b/>
          <w:bCs/>
          <w:color w:val="auto"/>
          <w:sz w:val="24"/>
          <w:szCs w:val="24"/>
          <w:highlight w:val="none"/>
          <w:lang w:val="en-US" w:eastAsia="zh-CN"/>
        </w:rPr>
        <w:t>（一） 服务需求</w:t>
      </w:r>
    </w:p>
    <w:p w14:paraId="2CE7A4A0">
      <w:pPr>
        <w:keepNext w:val="0"/>
        <w:keepLines w:val="0"/>
        <w:pageBreakBefore w:val="0"/>
        <w:widowControl w:val="0"/>
        <w:kinsoku/>
        <w:wordWrap/>
        <w:overflowPunct/>
        <w:topLinePunct w:val="0"/>
        <w:autoSpaceDE/>
        <w:autoSpaceDN/>
        <w:bidi w:val="0"/>
        <w:adjustRightInd/>
        <w:snapToGrid/>
        <w:spacing w:before="66" w:beforeLines="20" w:after="66" w:afterLines="20" w:line="360" w:lineRule="exact"/>
        <w:ind w:firstLine="480" w:firstLineChars="200"/>
        <w:jc w:val="both"/>
        <w:textAlignment w:val="auto"/>
        <w:rPr>
          <w:rFonts w:hint="eastAsia" w:ascii="宋体" w:hAnsi="宋体" w:eastAsia="宋体" w:cs="宋体"/>
          <w:snapToGrid/>
          <w:color w:val="auto"/>
          <w:kern w:val="2"/>
          <w:sz w:val="24"/>
          <w:szCs w:val="24"/>
          <w:lang w:val="en-US" w:eastAsia="zh-CN"/>
        </w:rPr>
      </w:pPr>
      <w:r>
        <w:rPr>
          <w:rFonts w:hint="eastAsia" w:ascii="宋体" w:hAnsi="宋体" w:eastAsia="宋体" w:cs="宋体"/>
          <w:snapToGrid/>
          <w:color w:val="auto"/>
          <w:kern w:val="2"/>
          <w:sz w:val="24"/>
          <w:szCs w:val="24"/>
          <w:lang w:val="en-US" w:eastAsia="zh-CN"/>
        </w:rPr>
        <w:t>（1）省政务外网线路基本情况</w:t>
      </w:r>
    </w:p>
    <w:p w14:paraId="4C699105">
      <w:pPr>
        <w:keepNext w:val="0"/>
        <w:keepLines w:val="0"/>
        <w:pageBreakBefore w:val="0"/>
        <w:widowControl w:val="0"/>
        <w:kinsoku/>
        <w:wordWrap/>
        <w:overflowPunct/>
        <w:topLinePunct w:val="0"/>
        <w:autoSpaceDE/>
        <w:autoSpaceDN/>
        <w:bidi w:val="0"/>
        <w:adjustRightInd/>
        <w:snapToGrid/>
        <w:spacing w:before="66" w:beforeLines="20" w:after="66" w:afterLines="20" w:line="360" w:lineRule="exact"/>
        <w:ind w:firstLine="480" w:firstLineChars="200"/>
        <w:jc w:val="both"/>
        <w:textAlignment w:val="auto"/>
        <w:rPr>
          <w:rFonts w:hint="eastAsia" w:ascii="宋体" w:hAnsi="宋体" w:eastAsia="宋体" w:cs="宋体"/>
          <w:snapToGrid/>
          <w:color w:val="auto"/>
          <w:kern w:val="2"/>
          <w:sz w:val="24"/>
          <w:szCs w:val="24"/>
          <w:lang w:val="en-US" w:eastAsia="zh-CN"/>
        </w:rPr>
      </w:pPr>
      <w:r>
        <w:rPr>
          <w:rFonts w:hint="eastAsia" w:ascii="宋体" w:hAnsi="宋体" w:eastAsia="宋体" w:cs="宋体"/>
          <w:snapToGrid/>
          <w:color w:val="auto"/>
          <w:kern w:val="2"/>
          <w:sz w:val="24"/>
          <w:szCs w:val="24"/>
          <w:lang w:val="en-US" w:eastAsia="zh-CN"/>
        </w:rPr>
        <w:t>目前江西省电子政务外网省到市主用广域网为11条联通3G OTN传输线路、省到市备用广域网为11条移动1G OTN传输线路、市到县主用广域网为126条电信400M OTN传输线路、市到县备用广域网为126条移动200M OTN传输线路、省级互联网出口带宽为30.2G。</w:t>
      </w:r>
    </w:p>
    <w:p w14:paraId="1E7C92E7">
      <w:pPr>
        <w:keepNext w:val="0"/>
        <w:keepLines w:val="0"/>
        <w:pageBreakBefore w:val="0"/>
        <w:widowControl w:val="0"/>
        <w:kinsoku/>
        <w:wordWrap/>
        <w:overflowPunct/>
        <w:topLinePunct w:val="0"/>
        <w:autoSpaceDE/>
        <w:autoSpaceDN/>
        <w:bidi w:val="0"/>
        <w:adjustRightInd/>
        <w:snapToGrid/>
        <w:spacing w:before="66" w:beforeLines="20" w:after="66" w:afterLines="20" w:line="360" w:lineRule="exact"/>
        <w:ind w:firstLine="480" w:firstLineChars="200"/>
        <w:jc w:val="both"/>
        <w:textAlignment w:val="auto"/>
        <w:rPr>
          <w:rFonts w:hint="eastAsia" w:ascii="宋体" w:hAnsi="宋体" w:eastAsia="宋体" w:cs="宋体"/>
          <w:snapToGrid/>
          <w:color w:val="auto"/>
          <w:kern w:val="2"/>
          <w:sz w:val="24"/>
          <w:szCs w:val="24"/>
          <w:lang w:val="en-US" w:eastAsia="zh-CN"/>
        </w:rPr>
      </w:pPr>
      <w:r>
        <w:rPr>
          <w:rFonts w:hint="eastAsia" w:ascii="宋体" w:hAnsi="宋体" w:eastAsia="宋体" w:cs="宋体"/>
          <w:snapToGrid/>
          <w:color w:val="auto"/>
          <w:kern w:val="2"/>
          <w:sz w:val="24"/>
          <w:szCs w:val="24"/>
          <w:lang w:val="en-US" w:eastAsia="zh-CN"/>
        </w:rPr>
        <w:t>（2）总体要求</w:t>
      </w:r>
    </w:p>
    <w:p w14:paraId="65FF7BCD">
      <w:pPr>
        <w:keepNext w:val="0"/>
        <w:keepLines w:val="0"/>
        <w:pageBreakBefore w:val="0"/>
        <w:widowControl w:val="0"/>
        <w:kinsoku/>
        <w:wordWrap/>
        <w:overflowPunct/>
        <w:topLinePunct w:val="0"/>
        <w:autoSpaceDE/>
        <w:autoSpaceDN/>
        <w:bidi w:val="0"/>
        <w:adjustRightInd/>
        <w:snapToGrid/>
        <w:spacing w:before="66" w:beforeLines="20" w:after="66" w:afterLines="20" w:line="360" w:lineRule="exact"/>
        <w:ind w:firstLine="480" w:firstLineChars="200"/>
        <w:jc w:val="both"/>
        <w:textAlignment w:val="auto"/>
        <w:rPr>
          <w:rFonts w:hint="eastAsia" w:ascii="宋体" w:hAnsi="宋体" w:eastAsia="宋体" w:cs="宋体"/>
          <w:snapToGrid/>
          <w:color w:val="auto"/>
          <w:kern w:val="2"/>
          <w:sz w:val="24"/>
          <w:szCs w:val="24"/>
          <w:lang w:val="en-US" w:eastAsia="zh-CN"/>
        </w:rPr>
      </w:pPr>
      <w:r>
        <w:rPr>
          <w:rFonts w:hint="eastAsia" w:ascii="宋体" w:hAnsi="宋体" w:eastAsia="宋体" w:cs="宋体"/>
          <w:snapToGrid/>
          <w:color w:val="auto"/>
          <w:kern w:val="2"/>
          <w:sz w:val="24"/>
          <w:szCs w:val="24"/>
          <w:lang w:val="en-US" w:eastAsia="zh-CN"/>
        </w:rPr>
        <w:t>为满足电子政务外网日益增长的带宽需求和数据异地备份需求，计划在现有带宽基础上进行带宽扩容，将11条省到市主用广域网3G OTN线路扩容至10G OTN线路，将11条省到市备用广域网1G OTN线路扩容至10G OTN线路，将126条市到县主用广域网400M OTN线路扩容至1G OTN线路，将126条市到县备用广域网200M OTN线路扩容至1G OTN线路；新增赣州至南昌、赣州至九江、赣州至景德镇、赣州至新余、赣州至抚州、赣州至鹰潭、赣州至赣江新区、南昌至萍乡、南昌至宜春、南昌至吉安10条1G OTN线路；新增6G省电子政务外网互联网线路带宽。为保障省政务外网线路稳定，扩容后的广域网线路继续采用异构架构，具体为省至市主用广域网线路与市至县主用广域网线路应由不同运营商提供，主用广域网线路与备用广域网线路应由不同运营商提供。</w:t>
      </w:r>
    </w:p>
    <w:p w14:paraId="77B87F7F">
      <w:pPr>
        <w:keepNext w:val="0"/>
        <w:keepLines w:val="0"/>
        <w:pageBreakBefore w:val="0"/>
        <w:widowControl w:val="0"/>
        <w:kinsoku/>
        <w:wordWrap/>
        <w:overflowPunct/>
        <w:topLinePunct w:val="0"/>
        <w:autoSpaceDE/>
        <w:autoSpaceDN/>
        <w:bidi w:val="0"/>
        <w:adjustRightInd/>
        <w:snapToGrid/>
        <w:spacing w:before="66" w:beforeLines="20" w:after="66" w:afterLines="20" w:line="360" w:lineRule="exact"/>
        <w:ind w:firstLine="480" w:firstLineChars="200"/>
        <w:jc w:val="both"/>
        <w:textAlignment w:val="auto"/>
        <w:rPr>
          <w:rFonts w:hint="eastAsia" w:ascii="宋体" w:hAnsi="宋体" w:eastAsia="宋体" w:cs="宋体"/>
          <w:snapToGrid/>
          <w:color w:val="auto"/>
          <w:kern w:val="2"/>
          <w:sz w:val="24"/>
          <w:szCs w:val="24"/>
          <w:lang w:val="en-US" w:eastAsia="zh-CN"/>
        </w:rPr>
      </w:pPr>
      <w:r>
        <w:rPr>
          <w:rFonts w:hint="eastAsia" w:ascii="宋体" w:hAnsi="宋体" w:eastAsia="宋体" w:cs="宋体"/>
          <w:snapToGrid/>
          <w:color w:val="auto"/>
          <w:kern w:val="2"/>
          <w:sz w:val="24"/>
          <w:szCs w:val="24"/>
          <w:lang w:val="en-US" w:eastAsia="zh-CN"/>
        </w:rPr>
        <w:t>（3）具体要求</w:t>
      </w:r>
    </w:p>
    <w:tbl>
      <w:tblPr>
        <w:tblStyle w:val="23"/>
        <w:tblW w:w="8598" w:type="dxa"/>
        <w:tblInd w:w="19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3"/>
        <w:gridCol w:w="1199"/>
        <w:gridCol w:w="5244"/>
        <w:gridCol w:w="731"/>
        <w:gridCol w:w="721"/>
      </w:tblGrid>
      <w:tr w14:paraId="56A14D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9" w:hRule="atLeast"/>
        </w:trPr>
        <w:tc>
          <w:tcPr>
            <w:tcW w:w="703" w:type="dxa"/>
            <w:shd w:val="clear" w:color="auto" w:fill="auto"/>
            <w:vAlign w:val="center"/>
          </w:tcPr>
          <w:p w14:paraId="7F146F34">
            <w:pPr>
              <w:keepNext w:val="0"/>
              <w:keepLines w:val="0"/>
              <w:pageBreakBefore w:val="0"/>
              <w:widowControl/>
              <w:kinsoku w:val="0"/>
              <w:wordWrap/>
              <w:overflowPunct/>
              <w:topLinePunct w:val="0"/>
              <w:autoSpaceDE w:val="0"/>
              <w:autoSpaceDN w:val="0"/>
              <w:bidi w:val="0"/>
              <w:adjustRightInd w:val="0"/>
              <w:snapToGrid w:val="0"/>
              <w:spacing w:after="0" w:line="460" w:lineRule="exact"/>
              <w:jc w:val="center"/>
              <w:textAlignment w:val="baseline"/>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序号</w:t>
            </w:r>
          </w:p>
        </w:tc>
        <w:tc>
          <w:tcPr>
            <w:tcW w:w="1199" w:type="dxa"/>
            <w:shd w:val="clear" w:color="auto" w:fill="auto"/>
            <w:vAlign w:val="center"/>
          </w:tcPr>
          <w:p w14:paraId="701F1F11">
            <w:pPr>
              <w:keepNext w:val="0"/>
              <w:keepLines w:val="0"/>
              <w:pageBreakBefore w:val="0"/>
              <w:widowControl/>
              <w:kinsoku w:val="0"/>
              <w:wordWrap/>
              <w:overflowPunct/>
              <w:topLinePunct w:val="0"/>
              <w:autoSpaceDE w:val="0"/>
              <w:autoSpaceDN w:val="0"/>
              <w:bidi w:val="0"/>
              <w:adjustRightInd w:val="0"/>
              <w:snapToGrid w:val="0"/>
              <w:spacing w:after="0" w:line="460" w:lineRule="exact"/>
              <w:jc w:val="center"/>
              <w:textAlignment w:val="baseline"/>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采购内容</w:t>
            </w:r>
          </w:p>
        </w:tc>
        <w:tc>
          <w:tcPr>
            <w:tcW w:w="5244" w:type="dxa"/>
            <w:shd w:val="clear" w:color="auto" w:fill="auto"/>
            <w:vAlign w:val="center"/>
          </w:tcPr>
          <w:p w14:paraId="44EE18E5">
            <w:pPr>
              <w:keepNext w:val="0"/>
              <w:keepLines w:val="0"/>
              <w:pageBreakBefore w:val="0"/>
              <w:widowControl/>
              <w:kinsoku w:val="0"/>
              <w:wordWrap/>
              <w:overflowPunct/>
              <w:topLinePunct w:val="0"/>
              <w:autoSpaceDE w:val="0"/>
              <w:autoSpaceDN w:val="0"/>
              <w:bidi w:val="0"/>
              <w:adjustRightInd w:val="0"/>
              <w:snapToGrid w:val="0"/>
              <w:spacing w:after="0" w:line="460" w:lineRule="exact"/>
              <w:jc w:val="center"/>
              <w:textAlignment w:val="baseline"/>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详细要求</w:t>
            </w:r>
          </w:p>
        </w:tc>
        <w:tc>
          <w:tcPr>
            <w:tcW w:w="731" w:type="dxa"/>
            <w:shd w:val="clear" w:color="auto" w:fill="auto"/>
            <w:vAlign w:val="center"/>
          </w:tcPr>
          <w:p w14:paraId="4DC4747D">
            <w:pPr>
              <w:keepNext w:val="0"/>
              <w:keepLines w:val="0"/>
              <w:pageBreakBefore w:val="0"/>
              <w:widowControl/>
              <w:kinsoku w:val="0"/>
              <w:wordWrap/>
              <w:overflowPunct/>
              <w:topLinePunct w:val="0"/>
              <w:autoSpaceDE w:val="0"/>
              <w:autoSpaceDN w:val="0"/>
              <w:bidi w:val="0"/>
              <w:adjustRightInd w:val="0"/>
              <w:snapToGrid w:val="0"/>
              <w:spacing w:after="0" w:line="460" w:lineRule="exact"/>
              <w:jc w:val="center"/>
              <w:textAlignment w:val="baseline"/>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数量</w:t>
            </w:r>
          </w:p>
        </w:tc>
        <w:tc>
          <w:tcPr>
            <w:tcW w:w="721" w:type="dxa"/>
            <w:shd w:val="clear" w:color="auto" w:fill="auto"/>
            <w:vAlign w:val="center"/>
          </w:tcPr>
          <w:p w14:paraId="1B094CEB">
            <w:pPr>
              <w:keepNext w:val="0"/>
              <w:keepLines w:val="0"/>
              <w:pageBreakBefore w:val="0"/>
              <w:widowControl/>
              <w:kinsoku w:val="0"/>
              <w:wordWrap/>
              <w:overflowPunct/>
              <w:topLinePunct w:val="0"/>
              <w:autoSpaceDE w:val="0"/>
              <w:autoSpaceDN w:val="0"/>
              <w:bidi w:val="0"/>
              <w:adjustRightInd w:val="0"/>
              <w:snapToGrid w:val="0"/>
              <w:spacing w:after="0" w:line="460" w:lineRule="exact"/>
              <w:jc w:val="center"/>
              <w:textAlignment w:val="baseline"/>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单位</w:t>
            </w:r>
          </w:p>
        </w:tc>
      </w:tr>
      <w:tr w14:paraId="3D3DDC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3" w:type="dxa"/>
            <w:shd w:val="clear" w:color="auto" w:fill="auto"/>
            <w:vAlign w:val="center"/>
          </w:tcPr>
          <w:p w14:paraId="2BE529AF">
            <w:pPr>
              <w:keepNext w:val="0"/>
              <w:keepLines w:val="0"/>
              <w:pageBreakBefore w:val="0"/>
              <w:widowControl/>
              <w:kinsoku w:val="0"/>
              <w:wordWrap/>
              <w:overflowPunct/>
              <w:topLinePunct w:val="0"/>
              <w:autoSpaceDE w:val="0"/>
              <w:autoSpaceDN w:val="0"/>
              <w:bidi w:val="0"/>
              <w:adjustRightInd w:val="0"/>
              <w:snapToGrid w:val="0"/>
              <w:spacing w:after="0" w:line="460" w:lineRule="exact"/>
              <w:jc w:val="center"/>
              <w:textAlignment w:val="baseline"/>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1</w:t>
            </w:r>
          </w:p>
        </w:tc>
        <w:tc>
          <w:tcPr>
            <w:tcW w:w="1199" w:type="dxa"/>
            <w:shd w:val="clear" w:color="auto" w:fill="auto"/>
            <w:vAlign w:val="center"/>
          </w:tcPr>
          <w:p w14:paraId="7F59AA11">
            <w:pPr>
              <w:keepNext w:val="0"/>
              <w:keepLines w:val="0"/>
              <w:pageBreakBefore w:val="0"/>
              <w:widowControl/>
              <w:kinsoku w:val="0"/>
              <w:wordWrap/>
              <w:overflowPunct/>
              <w:topLinePunct w:val="0"/>
              <w:autoSpaceDE w:val="0"/>
              <w:autoSpaceDN w:val="0"/>
              <w:bidi w:val="0"/>
              <w:adjustRightInd w:val="0"/>
              <w:snapToGrid w:val="0"/>
              <w:spacing w:after="0" w:line="460" w:lineRule="exact"/>
              <w:jc w:val="center"/>
              <w:textAlignment w:val="baseline"/>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sz w:val="24"/>
                <w:szCs w:val="24"/>
                <w:highlight w:val="none"/>
              </w:rPr>
              <w:t>省至市</w:t>
            </w:r>
            <w:r>
              <w:rPr>
                <w:rFonts w:hint="eastAsia" w:ascii="宋体" w:hAnsi="宋体" w:eastAsia="宋体" w:cs="宋体"/>
                <w:color w:val="auto"/>
                <w:sz w:val="24"/>
                <w:szCs w:val="24"/>
                <w:highlight w:val="none"/>
                <w:lang w:val="en-US" w:eastAsia="zh-CN"/>
              </w:rPr>
              <w:t>主用</w:t>
            </w:r>
            <w:r>
              <w:rPr>
                <w:rFonts w:hint="eastAsia" w:ascii="宋体" w:hAnsi="宋体" w:eastAsia="宋体" w:cs="宋体"/>
                <w:color w:val="auto"/>
                <w:sz w:val="24"/>
                <w:szCs w:val="24"/>
                <w:highlight w:val="none"/>
              </w:rPr>
              <w:t>广域网线路</w:t>
            </w:r>
            <w:r>
              <w:rPr>
                <w:rFonts w:hint="eastAsia" w:ascii="宋体" w:hAnsi="宋体" w:eastAsia="宋体" w:cs="宋体"/>
                <w:color w:val="auto"/>
                <w:sz w:val="24"/>
                <w:szCs w:val="24"/>
                <w:highlight w:val="none"/>
                <w:lang w:val="en-US" w:eastAsia="zh-CN"/>
              </w:rPr>
              <w:t>带宽扩容</w:t>
            </w:r>
          </w:p>
        </w:tc>
        <w:tc>
          <w:tcPr>
            <w:tcW w:w="5244" w:type="dxa"/>
            <w:shd w:val="clear" w:color="auto" w:fill="auto"/>
            <w:vAlign w:val="center"/>
          </w:tcPr>
          <w:p w14:paraId="3DB006FD">
            <w:pPr>
              <w:keepNext w:val="0"/>
              <w:keepLines w:val="0"/>
              <w:pageBreakBefore w:val="0"/>
              <w:widowControl/>
              <w:kinsoku w:val="0"/>
              <w:wordWrap/>
              <w:overflowPunct/>
              <w:topLinePunct w:val="0"/>
              <w:autoSpaceDE w:val="0"/>
              <w:autoSpaceDN w:val="0"/>
              <w:bidi w:val="0"/>
              <w:adjustRightInd w:val="0"/>
              <w:snapToGrid w:val="0"/>
              <w:spacing w:after="0" w:line="340" w:lineRule="exact"/>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1.线路带宽：通过迭代升级等方式，最终形成各条链路带宽均达到</w:t>
            </w:r>
            <w:r>
              <w:rPr>
                <w:rFonts w:hint="eastAsia" w:ascii="宋体" w:hAnsi="宋体" w:eastAsia="宋体" w:cs="宋体"/>
                <w:color w:val="auto"/>
                <w:sz w:val="24"/>
                <w:szCs w:val="24"/>
                <w:highlight w:val="none"/>
                <w:lang w:val="en-US" w:eastAsia="zh-CN"/>
              </w:rPr>
              <w:t>10G</w:t>
            </w:r>
            <w:r>
              <w:rPr>
                <w:rFonts w:hint="eastAsia" w:ascii="宋体" w:hAnsi="宋体" w:eastAsia="宋体" w:cs="宋体"/>
                <w:color w:val="auto"/>
                <w:sz w:val="24"/>
                <w:szCs w:val="24"/>
                <w:highlight w:val="none"/>
              </w:rPr>
              <w:t>。</w:t>
            </w:r>
          </w:p>
          <w:p w14:paraId="7FEC867C">
            <w:pPr>
              <w:keepNext w:val="0"/>
              <w:keepLines w:val="0"/>
              <w:pageBreakBefore w:val="0"/>
              <w:widowControl/>
              <w:kinsoku w:val="0"/>
              <w:wordWrap/>
              <w:overflowPunct/>
              <w:topLinePunct w:val="0"/>
              <w:autoSpaceDE w:val="0"/>
              <w:autoSpaceDN w:val="0"/>
              <w:bidi w:val="0"/>
              <w:adjustRightInd w:val="0"/>
              <w:snapToGrid w:val="0"/>
              <w:spacing w:after="0" w:line="340" w:lineRule="exact"/>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2.模式：OTN波分线路。</w:t>
            </w:r>
          </w:p>
          <w:p w14:paraId="1135DF79">
            <w:pPr>
              <w:keepNext w:val="0"/>
              <w:keepLines w:val="0"/>
              <w:pageBreakBefore w:val="0"/>
              <w:widowControl/>
              <w:kinsoku w:val="0"/>
              <w:wordWrap/>
              <w:overflowPunct/>
              <w:topLinePunct w:val="0"/>
              <w:autoSpaceDE w:val="0"/>
              <w:autoSpaceDN w:val="0"/>
              <w:bidi w:val="0"/>
              <w:adjustRightInd w:val="0"/>
              <w:snapToGrid w:val="0"/>
              <w:spacing w:after="0" w:line="340" w:lineRule="exact"/>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3.起止点：省-市（具体各条链路部署位置由采购人指定）。</w:t>
            </w:r>
          </w:p>
          <w:p w14:paraId="1CE08A4F">
            <w:pPr>
              <w:keepNext w:val="0"/>
              <w:keepLines w:val="0"/>
              <w:pageBreakBefore w:val="0"/>
              <w:widowControl/>
              <w:kinsoku w:val="0"/>
              <w:wordWrap/>
              <w:overflowPunct/>
              <w:topLinePunct w:val="0"/>
              <w:autoSpaceDE w:val="0"/>
              <w:autoSpaceDN w:val="0"/>
              <w:bidi w:val="0"/>
              <w:adjustRightInd w:val="0"/>
              <w:snapToGrid w:val="0"/>
              <w:spacing w:after="0" w:line="340" w:lineRule="exact"/>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4.保证线路连通，供应商负责在采购人指定使用网络设备之前的所有网络设备和线缆。</w:t>
            </w:r>
          </w:p>
          <w:p w14:paraId="06A58023">
            <w:pPr>
              <w:keepNext w:val="0"/>
              <w:keepLines w:val="0"/>
              <w:pageBreakBefore w:val="0"/>
              <w:widowControl/>
              <w:kinsoku w:val="0"/>
              <w:wordWrap/>
              <w:overflowPunct/>
              <w:topLinePunct w:val="0"/>
              <w:autoSpaceDE w:val="0"/>
              <w:autoSpaceDN w:val="0"/>
              <w:bidi w:val="0"/>
              <w:adjustRightInd w:val="0"/>
              <w:snapToGrid w:val="0"/>
              <w:spacing w:after="0" w:line="340" w:lineRule="exact"/>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5.平均时延：市域线路小于3ms；省域线路小于10ms；由于故障抢修导致的链路延时增加，不应大于150ms，且应在24小时内将延时恢复到正常值。</w:t>
            </w:r>
          </w:p>
          <w:p w14:paraId="1DF67A0F">
            <w:pPr>
              <w:keepNext w:val="0"/>
              <w:keepLines w:val="0"/>
              <w:pageBreakBefore w:val="0"/>
              <w:widowControl/>
              <w:kinsoku w:val="0"/>
              <w:wordWrap/>
              <w:overflowPunct/>
              <w:topLinePunct w:val="0"/>
              <w:autoSpaceDE w:val="0"/>
              <w:autoSpaceDN w:val="0"/>
              <w:bidi w:val="0"/>
              <w:adjustRightInd w:val="0"/>
              <w:snapToGrid w:val="0"/>
              <w:spacing w:after="0" w:line="340" w:lineRule="exact"/>
              <w:jc w:val="both"/>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6.线路可用率：≥99.95%</w:t>
            </w:r>
            <w:r>
              <w:rPr>
                <w:rFonts w:hint="eastAsia" w:ascii="宋体" w:hAnsi="宋体" w:eastAsia="宋体" w:cs="宋体"/>
                <w:color w:val="auto"/>
                <w:sz w:val="24"/>
                <w:szCs w:val="24"/>
                <w:highlight w:val="none"/>
                <w:lang w:eastAsia="zh-CN"/>
              </w:rPr>
              <w:t>。</w:t>
            </w:r>
          </w:p>
          <w:p w14:paraId="40CD25B5">
            <w:pPr>
              <w:keepNext w:val="0"/>
              <w:keepLines w:val="0"/>
              <w:pageBreakBefore w:val="0"/>
              <w:widowControl/>
              <w:kinsoku w:val="0"/>
              <w:wordWrap/>
              <w:overflowPunct/>
              <w:topLinePunct w:val="0"/>
              <w:autoSpaceDE w:val="0"/>
              <w:autoSpaceDN w:val="0"/>
              <w:bidi w:val="0"/>
              <w:adjustRightInd w:val="0"/>
              <w:snapToGrid w:val="0"/>
              <w:spacing w:after="0" w:line="340" w:lineRule="exact"/>
              <w:jc w:val="both"/>
              <w:textAlignment w:val="baseline"/>
              <w:rPr>
                <w:rFonts w:hint="eastAsia" w:ascii="宋体" w:hAnsi="宋体" w:eastAsia="宋体" w:cs="宋体"/>
                <w:color w:val="auto"/>
                <w:kern w:val="0"/>
                <w:sz w:val="24"/>
                <w:szCs w:val="24"/>
                <w:highlight w:val="none"/>
                <w:lang w:eastAsia="zh-CN"/>
              </w:rPr>
            </w:pPr>
            <w:r>
              <w:rPr>
                <w:rFonts w:hint="eastAsia" w:ascii="宋体" w:hAnsi="宋体" w:eastAsia="宋体" w:cs="宋体"/>
                <w:color w:val="auto"/>
                <w:sz w:val="24"/>
                <w:szCs w:val="24"/>
                <w:highlight w:val="none"/>
              </w:rPr>
              <w:t>7.每条线路最大传输单元（MTU）值：≥1542</w:t>
            </w:r>
            <w:r>
              <w:rPr>
                <w:rFonts w:hint="eastAsia" w:ascii="宋体" w:hAnsi="宋体" w:eastAsia="宋体" w:cs="宋体"/>
                <w:color w:val="auto"/>
                <w:sz w:val="24"/>
                <w:szCs w:val="24"/>
                <w:highlight w:val="none"/>
                <w:lang w:eastAsia="zh-CN"/>
              </w:rPr>
              <w:t>。</w:t>
            </w:r>
          </w:p>
        </w:tc>
        <w:tc>
          <w:tcPr>
            <w:tcW w:w="731" w:type="dxa"/>
            <w:shd w:val="clear" w:color="auto" w:fill="auto"/>
            <w:vAlign w:val="center"/>
          </w:tcPr>
          <w:p w14:paraId="6C504645">
            <w:pPr>
              <w:keepNext w:val="0"/>
              <w:keepLines w:val="0"/>
              <w:pageBreakBefore w:val="0"/>
              <w:widowControl/>
              <w:kinsoku w:val="0"/>
              <w:wordWrap/>
              <w:overflowPunct/>
              <w:topLinePunct w:val="0"/>
              <w:autoSpaceDE w:val="0"/>
              <w:autoSpaceDN w:val="0"/>
              <w:bidi w:val="0"/>
              <w:adjustRightInd w:val="0"/>
              <w:snapToGrid w:val="0"/>
              <w:spacing w:after="0" w:line="460" w:lineRule="exact"/>
              <w:jc w:val="center"/>
              <w:textAlignment w:val="baseline"/>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11</w:t>
            </w:r>
          </w:p>
        </w:tc>
        <w:tc>
          <w:tcPr>
            <w:tcW w:w="721" w:type="dxa"/>
            <w:shd w:val="clear" w:color="auto" w:fill="auto"/>
            <w:vAlign w:val="center"/>
          </w:tcPr>
          <w:p w14:paraId="696F4B70">
            <w:pPr>
              <w:keepNext w:val="0"/>
              <w:keepLines w:val="0"/>
              <w:pageBreakBefore w:val="0"/>
              <w:widowControl/>
              <w:kinsoku w:val="0"/>
              <w:wordWrap/>
              <w:overflowPunct/>
              <w:topLinePunct w:val="0"/>
              <w:autoSpaceDE w:val="0"/>
              <w:autoSpaceDN w:val="0"/>
              <w:bidi w:val="0"/>
              <w:adjustRightInd w:val="0"/>
              <w:snapToGrid w:val="0"/>
              <w:spacing w:after="0" w:line="460" w:lineRule="exact"/>
              <w:jc w:val="center"/>
              <w:textAlignment w:val="baseline"/>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条</w:t>
            </w:r>
          </w:p>
        </w:tc>
      </w:tr>
      <w:tr w14:paraId="4656DC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3" w:type="dxa"/>
            <w:shd w:val="clear" w:color="auto" w:fill="auto"/>
            <w:vAlign w:val="center"/>
          </w:tcPr>
          <w:p w14:paraId="673AF13E">
            <w:pPr>
              <w:keepNext w:val="0"/>
              <w:keepLines w:val="0"/>
              <w:pageBreakBefore w:val="0"/>
              <w:widowControl/>
              <w:kinsoku w:val="0"/>
              <w:wordWrap/>
              <w:overflowPunct/>
              <w:topLinePunct w:val="0"/>
              <w:autoSpaceDE w:val="0"/>
              <w:autoSpaceDN w:val="0"/>
              <w:bidi w:val="0"/>
              <w:adjustRightInd w:val="0"/>
              <w:snapToGrid w:val="0"/>
              <w:spacing w:after="0" w:line="460" w:lineRule="exact"/>
              <w:jc w:val="center"/>
              <w:textAlignment w:val="baseline"/>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rPr>
              <w:t>2</w:t>
            </w:r>
          </w:p>
        </w:tc>
        <w:tc>
          <w:tcPr>
            <w:tcW w:w="1199" w:type="dxa"/>
            <w:shd w:val="clear" w:color="auto" w:fill="auto"/>
            <w:vAlign w:val="center"/>
          </w:tcPr>
          <w:p w14:paraId="74D6CFD8">
            <w:pPr>
              <w:keepNext w:val="0"/>
              <w:keepLines w:val="0"/>
              <w:pageBreakBefore w:val="0"/>
              <w:widowControl/>
              <w:kinsoku w:val="0"/>
              <w:wordWrap/>
              <w:overflowPunct/>
              <w:topLinePunct w:val="0"/>
              <w:autoSpaceDE w:val="0"/>
              <w:autoSpaceDN w:val="0"/>
              <w:bidi w:val="0"/>
              <w:adjustRightInd w:val="0"/>
              <w:snapToGrid w:val="0"/>
              <w:spacing w:after="0" w:line="460" w:lineRule="exact"/>
              <w:jc w:val="center"/>
              <w:textAlignment w:val="baseline"/>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color w:val="auto"/>
                <w:sz w:val="24"/>
                <w:szCs w:val="24"/>
                <w:highlight w:val="none"/>
              </w:rPr>
              <w:t>省至市</w:t>
            </w:r>
            <w:r>
              <w:rPr>
                <w:rFonts w:hint="eastAsia" w:ascii="宋体" w:hAnsi="宋体" w:eastAsia="宋体" w:cs="宋体"/>
                <w:color w:val="auto"/>
                <w:sz w:val="24"/>
                <w:szCs w:val="24"/>
                <w:highlight w:val="none"/>
                <w:lang w:val="en-US" w:eastAsia="zh-CN"/>
              </w:rPr>
              <w:t>备用</w:t>
            </w:r>
            <w:r>
              <w:rPr>
                <w:rFonts w:hint="eastAsia" w:ascii="宋体" w:hAnsi="宋体" w:eastAsia="宋体" w:cs="宋体"/>
                <w:color w:val="auto"/>
                <w:sz w:val="24"/>
                <w:szCs w:val="24"/>
                <w:highlight w:val="none"/>
              </w:rPr>
              <w:t>广域网线路</w:t>
            </w:r>
            <w:r>
              <w:rPr>
                <w:rFonts w:hint="eastAsia" w:ascii="宋体" w:hAnsi="宋体" w:eastAsia="宋体" w:cs="宋体"/>
                <w:color w:val="auto"/>
                <w:sz w:val="24"/>
                <w:szCs w:val="24"/>
                <w:highlight w:val="none"/>
                <w:lang w:val="en-US" w:eastAsia="zh-CN"/>
              </w:rPr>
              <w:t>带宽扩容</w:t>
            </w:r>
          </w:p>
        </w:tc>
        <w:tc>
          <w:tcPr>
            <w:tcW w:w="5244" w:type="dxa"/>
            <w:shd w:val="clear" w:color="auto" w:fill="auto"/>
            <w:vAlign w:val="center"/>
          </w:tcPr>
          <w:p w14:paraId="42B6673F">
            <w:pPr>
              <w:keepNext w:val="0"/>
              <w:keepLines w:val="0"/>
              <w:pageBreakBefore w:val="0"/>
              <w:widowControl/>
              <w:kinsoku w:val="0"/>
              <w:wordWrap/>
              <w:overflowPunct/>
              <w:topLinePunct w:val="0"/>
              <w:autoSpaceDE w:val="0"/>
              <w:autoSpaceDN w:val="0"/>
              <w:bidi w:val="0"/>
              <w:adjustRightInd w:val="0"/>
              <w:snapToGrid w:val="0"/>
              <w:spacing w:after="0" w:line="340" w:lineRule="exact"/>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1.线路带宽：通过迭代升级等方式，最终形成各条链路带宽均达到</w:t>
            </w:r>
            <w:r>
              <w:rPr>
                <w:rFonts w:hint="eastAsia" w:ascii="宋体" w:hAnsi="宋体" w:eastAsia="宋体" w:cs="宋体"/>
                <w:color w:val="auto"/>
                <w:sz w:val="24"/>
                <w:szCs w:val="24"/>
                <w:highlight w:val="none"/>
                <w:lang w:val="en-US" w:eastAsia="zh-CN"/>
              </w:rPr>
              <w:t>10G</w:t>
            </w:r>
            <w:r>
              <w:rPr>
                <w:rFonts w:hint="eastAsia" w:ascii="宋体" w:hAnsi="宋体" w:eastAsia="宋体" w:cs="宋体"/>
                <w:color w:val="auto"/>
                <w:sz w:val="24"/>
                <w:szCs w:val="24"/>
                <w:highlight w:val="none"/>
              </w:rPr>
              <w:t>。</w:t>
            </w:r>
          </w:p>
          <w:p w14:paraId="75B4CC4A">
            <w:pPr>
              <w:keepNext w:val="0"/>
              <w:keepLines w:val="0"/>
              <w:pageBreakBefore w:val="0"/>
              <w:widowControl/>
              <w:kinsoku w:val="0"/>
              <w:wordWrap/>
              <w:overflowPunct/>
              <w:topLinePunct w:val="0"/>
              <w:autoSpaceDE w:val="0"/>
              <w:autoSpaceDN w:val="0"/>
              <w:bidi w:val="0"/>
              <w:adjustRightInd w:val="0"/>
              <w:snapToGrid w:val="0"/>
              <w:spacing w:after="0" w:line="340" w:lineRule="exact"/>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2.模式：OTN波分线路。</w:t>
            </w:r>
          </w:p>
          <w:p w14:paraId="466A88C8">
            <w:pPr>
              <w:keepNext w:val="0"/>
              <w:keepLines w:val="0"/>
              <w:pageBreakBefore w:val="0"/>
              <w:widowControl/>
              <w:kinsoku w:val="0"/>
              <w:wordWrap/>
              <w:overflowPunct/>
              <w:topLinePunct w:val="0"/>
              <w:autoSpaceDE w:val="0"/>
              <w:autoSpaceDN w:val="0"/>
              <w:bidi w:val="0"/>
              <w:adjustRightInd w:val="0"/>
              <w:snapToGrid w:val="0"/>
              <w:spacing w:after="0" w:line="340" w:lineRule="exact"/>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3.起止点：省-市（具体各条链路部署位置由采购人指定）。</w:t>
            </w:r>
          </w:p>
          <w:p w14:paraId="01D9E9DE">
            <w:pPr>
              <w:keepNext w:val="0"/>
              <w:keepLines w:val="0"/>
              <w:pageBreakBefore w:val="0"/>
              <w:widowControl/>
              <w:kinsoku w:val="0"/>
              <w:wordWrap/>
              <w:overflowPunct/>
              <w:topLinePunct w:val="0"/>
              <w:autoSpaceDE w:val="0"/>
              <w:autoSpaceDN w:val="0"/>
              <w:bidi w:val="0"/>
              <w:adjustRightInd w:val="0"/>
              <w:snapToGrid w:val="0"/>
              <w:spacing w:after="0" w:line="340" w:lineRule="exact"/>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4.保证线路连通，供应商负责在采购人指定使用网络设备之前的所有网络设备和线缆。</w:t>
            </w:r>
          </w:p>
          <w:p w14:paraId="1EBF7BBB">
            <w:pPr>
              <w:keepNext w:val="0"/>
              <w:keepLines w:val="0"/>
              <w:pageBreakBefore w:val="0"/>
              <w:widowControl/>
              <w:kinsoku w:val="0"/>
              <w:wordWrap/>
              <w:overflowPunct/>
              <w:topLinePunct w:val="0"/>
              <w:autoSpaceDE w:val="0"/>
              <w:autoSpaceDN w:val="0"/>
              <w:bidi w:val="0"/>
              <w:adjustRightInd w:val="0"/>
              <w:snapToGrid w:val="0"/>
              <w:spacing w:after="0" w:line="340" w:lineRule="exact"/>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5.平均时延：市域线路小于3ms；省域线路小于10ms；由于故障抢修导致的链路延时增加，不应大于150ms，且应在24小时内将延时恢复到正常值。</w:t>
            </w:r>
          </w:p>
          <w:p w14:paraId="3A610FCB">
            <w:pPr>
              <w:keepNext w:val="0"/>
              <w:keepLines w:val="0"/>
              <w:pageBreakBefore w:val="0"/>
              <w:widowControl/>
              <w:kinsoku w:val="0"/>
              <w:wordWrap/>
              <w:overflowPunct/>
              <w:topLinePunct w:val="0"/>
              <w:autoSpaceDE w:val="0"/>
              <w:autoSpaceDN w:val="0"/>
              <w:bidi w:val="0"/>
              <w:adjustRightInd w:val="0"/>
              <w:snapToGrid w:val="0"/>
              <w:spacing w:after="0" w:line="340" w:lineRule="exact"/>
              <w:jc w:val="both"/>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6.线路可用率：≥99.95%</w:t>
            </w:r>
            <w:r>
              <w:rPr>
                <w:rFonts w:hint="eastAsia" w:ascii="宋体" w:hAnsi="宋体" w:eastAsia="宋体" w:cs="宋体"/>
                <w:color w:val="auto"/>
                <w:sz w:val="24"/>
                <w:szCs w:val="24"/>
                <w:highlight w:val="none"/>
                <w:lang w:eastAsia="zh-CN"/>
              </w:rPr>
              <w:t>。</w:t>
            </w:r>
          </w:p>
          <w:p w14:paraId="275B36A3">
            <w:pPr>
              <w:keepNext w:val="0"/>
              <w:keepLines w:val="0"/>
              <w:pageBreakBefore w:val="0"/>
              <w:widowControl/>
              <w:kinsoku w:val="0"/>
              <w:wordWrap/>
              <w:overflowPunct/>
              <w:topLinePunct w:val="0"/>
              <w:autoSpaceDE w:val="0"/>
              <w:autoSpaceDN w:val="0"/>
              <w:bidi w:val="0"/>
              <w:adjustRightInd w:val="0"/>
              <w:snapToGrid w:val="0"/>
              <w:spacing w:after="0" w:line="340" w:lineRule="exact"/>
              <w:jc w:val="both"/>
              <w:textAlignment w:val="baseline"/>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color w:val="auto"/>
                <w:sz w:val="24"/>
                <w:szCs w:val="24"/>
                <w:highlight w:val="none"/>
              </w:rPr>
              <w:t>7.每条线路最大传输单元（MTU）值：≥1542</w:t>
            </w:r>
            <w:r>
              <w:rPr>
                <w:rFonts w:hint="eastAsia" w:ascii="宋体" w:hAnsi="宋体" w:eastAsia="宋体" w:cs="宋体"/>
                <w:color w:val="auto"/>
                <w:sz w:val="24"/>
                <w:szCs w:val="24"/>
                <w:highlight w:val="none"/>
                <w:lang w:eastAsia="zh-CN"/>
              </w:rPr>
              <w:t>。</w:t>
            </w:r>
          </w:p>
        </w:tc>
        <w:tc>
          <w:tcPr>
            <w:tcW w:w="731" w:type="dxa"/>
            <w:shd w:val="clear" w:color="auto" w:fill="auto"/>
            <w:vAlign w:val="center"/>
          </w:tcPr>
          <w:p w14:paraId="33583A4E">
            <w:pPr>
              <w:keepNext w:val="0"/>
              <w:keepLines w:val="0"/>
              <w:pageBreakBefore w:val="0"/>
              <w:widowControl/>
              <w:kinsoku w:val="0"/>
              <w:wordWrap/>
              <w:overflowPunct/>
              <w:topLinePunct w:val="0"/>
              <w:autoSpaceDE w:val="0"/>
              <w:autoSpaceDN w:val="0"/>
              <w:bidi w:val="0"/>
              <w:adjustRightInd w:val="0"/>
              <w:snapToGrid w:val="0"/>
              <w:spacing w:after="0" w:line="460" w:lineRule="exact"/>
              <w:jc w:val="center"/>
              <w:textAlignment w:val="baseline"/>
              <w:rPr>
                <w:rFonts w:hint="eastAsia" w:ascii="宋体" w:hAnsi="宋体" w:eastAsia="宋体" w:cs="宋体"/>
                <w:snapToGrid w:val="0"/>
                <w:color w:val="auto"/>
                <w:kern w:val="0"/>
                <w:sz w:val="24"/>
                <w:szCs w:val="24"/>
                <w:highlight w:val="none"/>
                <w:lang w:val="en-US" w:eastAsia="en-US" w:bidi="ar-SA"/>
              </w:rPr>
            </w:pPr>
            <w:r>
              <w:rPr>
                <w:rFonts w:hint="eastAsia" w:ascii="宋体" w:hAnsi="宋体" w:eastAsia="宋体" w:cs="宋体"/>
                <w:color w:val="auto"/>
                <w:kern w:val="0"/>
                <w:sz w:val="24"/>
                <w:szCs w:val="24"/>
                <w:highlight w:val="none"/>
              </w:rPr>
              <w:t>11</w:t>
            </w:r>
          </w:p>
        </w:tc>
        <w:tc>
          <w:tcPr>
            <w:tcW w:w="721" w:type="dxa"/>
            <w:shd w:val="clear" w:color="auto" w:fill="auto"/>
            <w:vAlign w:val="center"/>
          </w:tcPr>
          <w:p w14:paraId="4504B3D4">
            <w:pPr>
              <w:keepNext w:val="0"/>
              <w:keepLines w:val="0"/>
              <w:pageBreakBefore w:val="0"/>
              <w:widowControl/>
              <w:kinsoku w:val="0"/>
              <w:wordWrap/>
              <w:overflowPunct/>
              <w:topLinePunct w:val="0"/>
              <w:autoSpaceDE w:val="0"/>
              <w:autoSpaceDN w:val="0"/>
              <w:bidi w:val="0"/>
              <w:adjustRightInd w:val="0"/>
              <w:snapToGrid w:val="0"/>
              <w:spacing w:after="0" w:line="460" w:lineRule="exact"/>
              <w:jc w:val="center"/>
              <w:textAlignment w:val="baseline"/>
              <w:rPr>
                <w:rFonts w:hint="eastAsia" w:ascii="宋体" w:hAnsi="宋体" w:eastAsia="宋体" w:cs="宋体"/>
                <w:snapToGrid w:val="0"/>
                <w:color w:val="auto"/>
                <w:kern w:val="0"/>
                <w:sz w:val="24"/>
                <w:szCs w:val="24"/>
                <w:highlight w:val="none"/>
                <w:lang w:val="en-US" w:eastAsia="en-US" w:bidi="ar-SA"/>
              </w:rPr>
            </w:pPr>
            <w:r>
              <w:rPr>
                <w:rFonts w:hint="eastAsia" w:ascii="宋体" w:hAnsi="宋体" w:eastAsia="宋体" w:cs="宋体"/>
                <w:color w:val="auto"/>
                <w:kern w:val="0"/>
                <w:sz w:val="24"/>
                <w:szCs w:val="24"/>
                <w:highlight w:val="none"/>
              </w:rPr>
              <w:t>条</w:t>
            </w:r>
          </w:p>
        </w:tc>
      </w:tr>
      <w:tr w14:paraId="6EA960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3" w:type="dxa"/>
            <w:shd w:val="clear" w:color="auto" w:fill="auto"/>
            <w:vAlign w:val="center"/>
          </w:tcPr>
          <w:p w14:paraId="65337825">
            <w:pPr>
              <w:keepNext w:val="0"/>
              <w:keepLines w:val="0"/>
              <w:pageBreakBefore w:val="0"/>
              <w:widowControl/>
              <w:kinsoku w:val="0"/>
              <w:wordWrap/>
              <w:overflowPunct/>
              <w:topLinePunct w:val="0"/>
              <w:autoSpaceDE w:val="0"/>
              <w:autoSpaceDN w:val="0"/>
              <w:bidi w:val="0"/>
              <w:adjustRightInd w:val="0"/>
              <w:snapToGrid w:val="0"/>
              <w:spacing w:after="0" w:line="460" w:lineRule="exact"/>
              <w:jc w:val="center"/>
              <w:textAlignment w:val="baseline"/>
              <w:rPr>
                <w:rFonts w:hint="eastAsia" w:ascii="宋体" w:hAnsi="宋体" w:eastAsia="宋体" w:cs="宋体"/>
                <w:color w:val="auto"/>
                <w:kern w:val="0"/>
                <w:sz w:val="24"/>
                <w:szCs w:val="24"/>
                <w:highlight w:val="none"/>
                <w:lang w:eastAsia="zh-CN"/>
              </w:rPr>
            </w:pPr>
            <w:r>
              <w:rPr>
                <w:rFonts w:hint="eastAsia" w:ascii="宋体" w:hAnsi="宋体" w:eastAsia="宋体" w:cs="宋体"/>
                <w:color w:val="auto"/>
                <w:kern w:val="0"/>
                <w:sz w:val="24"/>
                <w:szCs w:val="24"/>
                <w:highlight w:val="none"/>
                <w:lang w:val="en-US" w:eastAsia="zh-CN"/>
              </w:rPr>
              <w:t>3</w:t>
            </w:r>
          </w:p>
        </w:tc>
        <w:tc>
          <w:tcPr>
            <w:tcW w:w="1199" w:type="dxa"/>
            <w:shd w:val="clear" w:color="auto" w:fill="auto"/>
            <w:vAlign w:val="center"/>
          </w:tcPr>
          <w:p w14:paraId="532AE08F">
            <w:pPr>
              <w:keepNext w:val="0"/>
              <w:keepLines w:val="0"/>
              <w:pageBreakBefore w:val="0"/>
              <w:widowControl/>
              <w:kinsoku w:val="0"/>
              <w:wordWrap/>
              <w:overflowPunct/>
              <w:topLinePunct w:val="0"/>
              <w:autoSpaceDE w:val="0"/>
              <w:autoSpaceDN w:val="0"/>
              <w:bidi w:val="0"/>
              <w:adjustRightInd w:val="0"/>
              <w:snapToGrid w:val="0"/>
              <w:spacing w:after="0" w:line="460" w:lineRule="exact"/>
              <w:jc w:val="center"/>
              <w:textAlignment w:val="baseline"/>
              <w:rPr>
                <w:rFonts w:hint="eastAsia" w:ascii="宋体" w:hAnsi="宋体" w:eastAsia="宋体" w:cs="宋体"/>
                <w:color w:val="auto"/>
                <w:kern w:val="0"/>
                <w:sz w:val="24"/>
                <w:szCs w:val="24"/>
                <w:highlight w:val="none"/>
              </w:rPr>
            </w:pPr>
            <w:r>
              <w:rPr>
                <w:rFonts w:hint="eastAsia" w:ascii="宋体" w:hAnsi="宋体" w:eastAsia="宋体" w:cs="宋体"/>
                <w:color w:val="auto"/>
                <w:sz w:val="24"/>
                <w:szCs w:val="24"/>
                <w:highlight w:val="none"/>
              </w:rPr>
              <w:t>市至县</w:t>
            </w:r>
            <w:r>
              <w:rPr>
                <w:rFonts w:hint="eastAsia" w:ascii="宋体" w:hAnsi="宋体" w:eastAsia="宋体" w:cs="宋体"/>
                <w:color w:val="auto"/>
                <w:sz w:val="24"/>
                <w:szCs w:val="24"/>
                <w:highlight w:val="none"/>
                <w:lang w:val="en-US" w:eastAsia="zh-CN"/>
              </w:rPr>
              <w:t>主用</w:t>
            </w:r>
            <w:r>
              <w:rPr>
                <w:rFonts w:hint="eastAsia" w:ascii="宋体" w:hAnsi="宋体" w:eastAsia="宋体" w:cs="宋体"/>
                <w:color w:val="auto"/>
                <w:sz w:val="24"/>
                <w:szCs w:val="24"/>
                <w:highlight w:val="none"/>
              </w:rPr>
              <w:t>广域网线路</w:t>
            </w:r>
          </w:p>
        </w:tc>
        <w:tc>
          <w:tcPr>
            <w:tcW w:w="5244" w:type="dxa"/>
            <w:shd w:val="clear" w:color="auto" w:fill="auto"/>
            <w:vAlign w:val="center"/>
          </w:tcPr>
          <w:p w14:paraId="1163253F">
            <w:pPr>
              <w:keepNext w:val="0"/>
              <w:keepLines w:val="0"/>
              <w:pageBreakBefore w:val="0"/>
              <w:widowControl/>
              <w:kinsoku w:val="0"/>
              <w:wordWrap/>
              <w:overflowPunct/>
              <w:topLinePunct w:val="0"/>
              <w:autoSpaceDE w:val="0"/>
              <w:autoSpaceDN w:val="0"/>
              <w:bidi w:val="0"/>
              <w:adjustRightInd w:val="0"/>
              <w:snapToGrid w:val="0"/>
              <w:spacing w:after="0" w:line="340" w:lineRule="exact"/>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1.线路带宽：通过迭代升级等方式，最终形成各条链路带宽均达到</w:t>
            </w:r>
            <w:r>
              <w:rPr>
                <w:rFonts w:hint="eastAsia" w:ascii="宋体" w:hAnsi="宋体" w:eastAsia="宋体" w:cs="宋体"/>
                <w:color w:val="auto"/>
                <w:sz w:val="24"/>
                <w:szCs w:val="24"/>
                <w:highlight w:val="none"/>
                <w:lang w:val="en-US" w:eastAsia="zh-CN"/>
              </w:rPr>
              <w:t>1G</w:t>
            </w:r>
            <w:r>
              <w:rPr>
                <w:rFonts w:hint="eastAsia" w:ascii="宋体" w:hAnsi="宋体" w:eastAsia="宋体" w:cs="宋体"/>
                <w:color w:val="auto"/>
                <w:sz w:val="24"/>
                <w:szCs w:val="24"/>
                <w:highlight w:val="none"/>
              </w:rPr>
              <w:t>。</w:t>
            </w:r>
          </w:p>
          <w:p w14:paraId="519A9B4B">
            <w:pPr>
              <w:keepNext w:val="0"/>
              <w:keepLines w:val="0"/>
              <w:pageBreakBefore w:val="0"/>
              <w:widowControl/>
              <w:kinsoku w:val="0"/>
              <w:wordWrap/>
              <w:overflowPunct/>
              <w:topLinePunct w:val="0"/>
              <w:autoSpaceDE w:val="0"/>
              <w:autoSpaceDN w:val="0"/>
              <w:bidi w:val="0"/>
              <w:adjustRightInd w:val="0"/>
              <w:snapToGrid w:val="0"/>
              <w:spacing w:after="0" w:line="340" w:lineRule="exact"/>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2.模式：OTN波分线路。</w:t>
            </w:r>
          </w:p>
          <w:p w14:paraId="77FE58BD">
            <w:pPr>
              <w:keepNext w:val="0"/>
              <w:keepLines w:val="0"/>
              <w:pageBreakBefore w:val="0"/>
              <w:widowControl/>
              <w:kinsoku w:val="0"/>
              <w:wordWrap/>
              <w:overflowPunct/>
              <w:topLinePunct w:val="0"/>
              <w:autoSpaceDE w:val="0"/>
              <w:autoSpaceDN w:val="0"/>
              <w:bidi w:val="0"/>
              <w:adjustRightInd w:val="0"/>
              <w:snapToGrid w:val="0"/>
              <w:spacing w:after="0" w:line="340" w:lineRule="exact"/>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3.起止点：市-县（具体各条链路部署位置由采购人指定）。</w:t>
            </w:r>
          </w:p>
          <w:p w14:paraId="6F6EF1E9">
            <w:pPr>
              <w:keepNext w:val="0"/>
              <w:keepLines w:val="0"/>
              <w:pageBreakBefore w:val="0"/>
              <w:widowControl/>
              <w:kinsoku w:val="0"/>
              <w:wordWrap/>
              <w:overflowPunct/>
              <w:topLinePunct w:val="0"/>
              <w:autoSpaceDE w:val="0"/>
              <w:autoSpaceDN w:val="0"/>
              <w:bidi w:val="0"/>
              <w:adjustRightInd w:val="0"/>
              <w:snapToGrid w:val="0"/>
              <w:spacing w:after="0" w:line="340" w:lineRule="exact"/>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4.保证线路连通，供应商负责在采购人指定使用网络设备之前的所有网络设备和线缆。</w:t>
            </w:r>
          </w:p>
          <w:p w14:paraId="749BEADF">
            <w:pPr>
              <w:keepNext w:val="0"/>
              <w:keepLines w:val="0"/>
              <w:pageBreakBefore w:val="0"/>
              <w:widowControl/>
              <w:kinsoku w:val="0"/>
              <w:wordWrap/>
              <w:overflowPunct/>
              <w:topLinePunct w:val="0"/>
              <w:autoSpaceDE w:val="0"/>
              <w:autoSpaceDN w:val="0"/>
              <w:bidi w:val="0"/>
              <w:adjustRightInd w:val="0"/>
              <w:snapToGrid w:val="0"/>
              <w:spacing w:after="0" w:line="340" w:lineRule="exact"/>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5.平均时延：市域线路小于3ms；省域线路小于10ms；由于故障抢修导致的链路延时增加，不应大于150ms，且应在24小时内将延时恢复到正常值。</w:t>
            </w:r>
          </w:p>
          <w:p w14:paraId="15FE4320">
            <w:pPr>
              <w:keepNext w:val="0"/>
              <w:keepLines w:val="0"/>
              <w:pageBreakBefore w:val="0"/>
              <w:widowControl/>
              <w:kinsoku w:val="0"/>
              <w:wordWrap/>
              <w:overflowPunct/>
              <w:topLinePunct w:val="0"/>
              <w:autoSpaceDE w:val="0"/>
              <w:autoSpaceDN w:val="0"/>
              <w:bidi w:val="0"/>
              <w:adjustRightInd w:val="0"/>
              <w:snapToGrid w:val="0"/>
              <w:spacing w:after="0" w:line="340" w:lineRule="exact"/>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6.线路可用率：≥99.95%</w:t>
            </w:r>
            <w:r>
              <w:rPr>
                <w:rFonts w:hint="eastAsia" w:ascii="宋体" w:hAnsi="宋体" w:eastAsia="宋体" w:cs="宋体"/>
                <w:color w:val="auto"/>
                <w:sz w:val="24"/>
                <w:szCs w:val="24"/>
                <w:highlight w:val="none"/>
                <w:lang w:eastAsia="zh-CN"/>
              </w:rPr>
              <w:t>。</w:t>
            </w:r>
          </w:p>
          <w:p w14:paraId="38CBF00D">
            <w:pPr>
              <w:keepNext w:val="0"/>
              <w:keepLines w:val="0"/>
              <w:pageBreakBefore w:val="0"/>
              <w:widowControl/>
              <w:kinsoku w:val="0"/>
              <w:wordWrap/>
              <w:overflowPunct/>
              <w:topLinePunct w:val="0"/>
              <w:autoSpaceDE w:val="0"/>
              <w:autoSpaceDN w:val="0"/>
              <w:bidi w:val="0"/>
              <w:adjustRightInd w:val="0"/>
              <w:snapToGrid w:val="0"/>
              <w:spacing w:after="0" w:line="340" w:lineRule="exact"/>
              <w:jc w:val="both"/>
              <w:textAlignment w:val="baseline"/>
              <w:rPr>
                <w:rFonts w:hint="eastAsia" w:ascii="宋体" w:hAnsi="宋体" w:eastAsia="宋体" w:cs="宋体"/>
                <w:color w:val="auto"/>
                <w:kern w:val="0"/>
                <w:sz w:val="24"/>
                <w:szCs w:val="24"/>
                <w:highlight w:val="none"/>
                <w:lang w:eastAsia="zh-CN"/>
              </w:rPr>
            </w:pPr>
            <w:r>
              <w:rPr>
                <w:rFonts w:hint="eastAsia" w:ascii="宋体" w:hAnsi="宋体" w:eastAsia="宋体" w:cs="宋体"/>
                <w:color w:val="auto"/>
                <w:sz w:val="24"/>
                <w:szCs w:val="24"/>
                <w:highlight w:val="none"/>
              </w:rPr>
              <w:t>7.每条线路最大传输单元（MTU）值：≥1542</w:t>
            </w:r>
            <w:r>
              <w:rPr>
                <w:rFonts w:hint="eastAsia" w:ascii="宋体" w:hAnsi="宋体" w:eastAsia="宋体" w:cs="宋体"/>
                <w:color w:val="auto"/>
                <w:sz w:val="24"/>
                <w:szCs w:val="24"/>
                <w:highlight w:val="none"/>
                <w:lang w:eastAsia="zh-CN"/>
              </w:rPr>
              <w:t>。</w:t>
            </w:r>
          </w:p>
        </w:tc>
        <w:tc>
          <w:tcPr>
            <w:tcW w:w="731" w:type="dxa"/>
            <w:shd w:val="clear" w:color="auto" w:fill="auto"/>
            <w:vAlign w:val="center"/>
          </w:tcPr>
          <w:p w14:paraId="2798ED62">
            <w:pPr>
              <w:keepNext w:val="0"/>
              <w:keepLines w:val="0"/>
              <w:pageBreakBefore w:val="0"/>
              <w:widowControl/>
              <w:kinsoku w:val="0"/>
              <w:wordWrap/>
              <w:overflowPunct/>
              <w:topLinePunct w:val="0"/>
              <w:autoSpaceDE w:val="0"/>
              <w:autoSpaceDN w:val="0"/>
              <w:bidi w:val="0"/>
              <w:adjustRightInd w:val="0"/>
              <w:snapToGrid w:val="0"/>
              <w:spacing w:after="0" w:line="460" w:lineRule="exact"/>
              <w:jc w:val="center"/>
              <w:textAlignment w:val="baseline"/>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126</w:t>
            </w:r>
          </w:p>
        </w:tc>
        <w:tc>
          <w:tcPr>
            <w:tcW w:w="721" w:type="dxa"/>
            <w:shd w:val="clear" w:color="auto" w:fill="auto"/>
            <w:vAlign w:val="center"/>
          </w:tcPr>
          <w:p w14:paraId="0E06ABA5">
            <w:pPr>
              <w:keepNext w:val="0"/>
              <w:keepLines w:val="0"/>
              <w:pageBreakBefore w:val="0"/>
              <w:widowControl/>
              <w:kinsoku w:val="0"/>
              <w:wordWrap/>
              <w:overflowPunct/>
              <w:topLinePunct w:val="0"/>
              <w:autoSpaceDE w:val="0"/>
              <w:autoSpaceDN w:val="0"/>
              <w:bidi w:val="0"/>
              <w:adjustRightInd w:val="0"/>
              <w:snapToGrid w:val="0"/>
              <w:spacing w:after="0" w:line="460" w:lineRule="exact"/>
              <w:jc w:val="center"/>
              <w:textAlignment w:val="baseline"/>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条</w:t>
            </w:r>
          </w:p>
        </w:tc>
      </w:tr>
      <w:tr w14:paraId="3D9232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3" w:type="dxa"/>
            <w:shd w:val="clear" w:color="auto" w:fill="auto"/>
            <w:vAlign w:val="center"/>
          </w:tcPr>
          <w:p w14:paraId="32ED69E8">
            <w:pPr>
              <w:keepNext w:val="0"/>
              <w:keepLines w:val="0"/>
              <w:pageBreakBefore w:val="0"/>
              <w:widowControl/>
              <w:kinsoku w:val="0"/>
              <w:wordWrap/>
              <w:overflowPunct/>
              <w:topLinePunct w:val="0"/>
              <w:autoSpaceDE w:val="0"/>
              <w:autoSpaceDN w:val="0"/>
              <w:bidi w:val="0"/>
              <w:adjustRightInd w:val="0"/>
              <w:snapToGrid w:val="0"/>
              <w:spacing w:after="0" w:line="460" w:lineRule="exact"/>
              <w:jc w:val="center"/>
              <w:textAlignment w:val="baseline"/>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rPr>
              <w:t>4</w:t>
            </w:r>
          </w:p>
        </w:tc>
        <w:tc>
          <w:tcPr>
            <w:tcW w:w="1199" w:type="dxa"/>
            <w:shd w:val="clear" w:color="auto" w:fill="auto"/>
            <w:vAlign w:val="center"/>
          </w:tcPr>
          <w:p w14:paraId="2C8E614F">
            <w:pPr>
              <w:keepNext w:val="0"/>
              <w:keepLines w:val="0"/>
              <w:pageBreakBefore w:val="0"/>
              <w:widowControl/>
              <w:kinsoku w:val="0"/>
              <w:wordWrap/>
              <w:overflowPunct/>
              <w:topLinePunct w:val="0"/>
              <w:autoSpaceDE w:val="0"/>
              <w:autoSpaceDN w:val="0"/>
              <w:bidi w:val="0"/>
              <w:adjustRightInd w:val="0"/>
              <w:snapToGrid w:val="0"/>
              <w:spacing w:after="0" w:line="460" w:lineRule="exact"/>
              <w:jc w:val="center"/>
              <w:textAlignment w:val="baseline"/>
              <w:rPr>
                <w:rFonts w:hint="eastAsia" w:ascii="宋体" w:hAnsi="宋体" w:eastAsia="宋体" w:cs="宋体"/>
                <w:snapToGrid w:val="0"/>
                <w:color w:val="auto"/>
                <w:kern w:val="0"/>
                <w:sz w:val="24"/>
                <w:szCs w:val="24"/>
                <w:highlight w:val="none"/>
                <w:lang w:val="en-US" w:eastAsia="en-US" w:bidi="ar-SA"/>
              </w:rPr>
            </w:pPr>
            <w:r>
              <w:rPr>
                <w:rFonts w:hint="eastAsia" w:ascii="宋体" w:hAnsi="宋体" w:eastAsia="宋体" w:cs="宋体"/>
                <w:color w:val="auto"/>
                <w:sz w:val="24"/>
                <w:szCs w:val="24"/>
                <w:highlight w:val="none"/>
              </w:rPr>
              <w:t>市至县</w:t>
            </w:r>
            <w:r>
              <w:rPr>
                <w:rFonts w:hint="eastAsia" w:ascii="宋体" w:hAnsi="宋体" w:eastAsia="宋体" w:cs="宋体"/>
                <w:color w:val="auto"/>
                <w:sz w:val="24"/>
                <w:szCs w:val="24"/>
                <w:highlight w:val="none"/>
                <w:lang w:val="en-US" w:eastAsia="zh-CN"/>
              </w:rPr>
              <w:t>备用</w:t>
            </w:r>
            <w:r>
              <w:rPr>
                <w:rFonts w:hint="eastAsia" w:ascii="宋体" w:hAnsi="宋体" w:eastAsia="宋体" w:cs="宋体"/>
                <w:color w:val="auto"/>
                <w:sz w:val="24"/>
                <w:szCs w:val="24"/>
                <w:highlight w:val="none"/>
              </w:rPr>
              <w:t>广域网线路</w:t>
            </w:r>
          </w:p>
        </w:tc>
        <w:tc>
          <w:tcPr>
            <w:tcW w:w="5244" w:type="dxa"/>
            <w:shd w:val="clear" w:color="auto" w:fill="auto"/>
            <w:vAlign w:val="center"/>
          </w:tcPr>
          <w:p w14:paraId="23E8328F">
            <w:pPr>
              <w:keepNext w:val="0"/>
              <w:keepLines w:val="0"/>
              <w:pageBreakBefore w:val="0"/>
              <w:widowControl/>
              <w:kinsoku w:val="0"/>
              <w:wordWrap/>
              <w:overflowPunct/>
              <w:topLinePunct w:val="0"/>
              <w:autoSpaceDE w:val="0"/>
              <w:autoSpaceDN w:val="0"/>
              <w:bidi w:val="0"/>
              <w:adjustRightInd w:val="0"/>
              <w:snapToGrid w:val="0"/>
              <w:spacing w:after="0" w:line="340" w:lineRule="exact"/>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1.线路带宽：通过迭代升级等方式，最终形成各条链路带宽均达到</w:t>
            </w:r>
            <w:r>
              <w:rPr>
                <w:rFonts w:hint="eastAsia" w:ascii="宋体" w:hAnsi="宋体" w:eastAsia="宋体" w:cs="宋体"/>
                <w:color w:val="auto"/>
                <w:sz w:val="24"/>
                <w:szCs w:val="24"/>
                <w:highlight w:val="none"/>
                <w:lang w:val="en-US" w:eastAsia="zh-CN"/>
              </w:rPr>
              <w:t>1G</w:t>
            </w:r>
            <w:r>
              <w:rPr>
                <w:rFonts w:hint="eastAsia" w:ascii="宋体" w:hAnsi="宋体" w:eastAsia="宋体" w:cs="宋体"/>
                <w:color w:val="auto"/>
                <w:sz w:val="24"/>
                <w:szCs w:val="24"/>
                <w:highlight w:val="none"/>
              </w:rPr>
              <w:t>。</w:t>
            </w:r>
          </w:p>
          <w:p w14:paraId="3FAC63D8">
            <w:pPr>
              <w:keepNext w:val="0"/>
              <w:keepLines w:val="0"/>
              <w:pageBreakBefore w:val="0"/>
              <w:widowControl/>
              <w:kinsoku w:val="0"/>
              <w:wordWrap/>
              <w:overflowPunct/>
              <w:topLinePunct w:val="0"/>
              <w:autoSpaceDE w:val="0"/>
              <w:autoSpaceDN w:val="0"/>
              <w:bidi w:val="0"/>
              <w:adjustRightInd w:val="0"/>
              <w:snapToGrid w:val="0"/>
              <w:spacing w:after="0" w:line="340" w:lineRule="exact"/>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2.模式：OTN波分线路。</w:t>
            </w:r>
          </w:p>
          <w:p w14:paraId="28D382F4">
            <w:pPr>
              <w:keepNext w:val="0"/>
              <w:keepLines w:val="0"/>
              <w:pageBreakBefore w:val="0"/>
              <w:widowControl/>
              <w:kinsoku w:val="0"/>
              <w:wordWrap/>
              <w:overflowPunct/>
              <w:topLinePunct w:val="0"/>
              <w:autoSpaceDE w:val="0"/>
              <w:autoSpaceDN w:val="0"/>
              <w:bidi w:val="0"/>
              <w:adjustRightInd w:val="0"/>
              <w:snapToGrid w:val="0"/>
              <w:spacing w:after="0" w:line="340" w:lineRule="exact"/>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3.起止点：市-县（具体各条链路部署位置由采购人指定）。</w:t>
            </w:r>
          </w:p>
          <w:p w14:paraId="6BC7A5B3">
            <w:pPr>
              <w:keepNext w:val="0"/>
              <w:keepLines w:val="0"/>
              <w:pageBreakBefore w:val="0"/>
              <w:widowControl/>
              <w:kinsoku w:val="0"/>
              <w:wordWrap/>
              <w:overflowPunct/>
              <w:topLinePunct w:val="0"/>
              <w:autoSpaceDE w:val="0"/>
              <w:autoSpaceDN w:val="0"/>
              <w:bidi w:val="0"/>
              <w:adjustRightInd w:val="0"/>
              <w:snapToGrid w:val="0"/>
              <w:spacing w:after="0" w:line="340" w:lineRule="exact"/>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4.保证线路连通，供应商负责在采购人指定使用网络设备之前的所有网络设备和线缆。</w:t>
            </w:r>
          </w:p>
          <w:p w14:paraId="03F7E712">
            <w:pPr>
              <w:keepNext w:val="0"/>
              <w:keepLines w:val="0"/>
              <w:pageBreakBefore w:val="0"/>
              <w:widowControl/>
              <w:kinsoku w:val="0"/>
              <w:wordWrap/>
              <w:overflowPunct/>
              <w:topLinePunct w:val="0"/>
              <w:autoSpaceDE w:val="0"/>
              <w:autoSpaceDN w:val="0"/>
              <w:bidi w:val="0"/>
              <w:adjustRightInd w:val="0"/>
              <w:snapToGrid w:val="0"/>
              <w:spacing w:after="0" w:line="340" w:lineRule="exact"/>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5.平均时延：市域线路小于3ms；省域线路小于10ms；由于故障抢修导致的链路延时增加，不应大于150ms，且应在24小时内将延时恢复到正常值。</w:t>
            </w:r>
          </w:p>
          <w:p w14:paraId="7F770183">
            <w:pPr>
              <w:keepNext w:val="0"/>
              <w:keepLines w:val="0"/>
              <w:pageBreakBefore w:val="0"/>
              <w:widowControl/>
              <w:kinsoku w:val="0"/>
              <w:wordWrap/>
              <w:overflowPunct/>
              <w:topLinePunct w:val="0"/>
              <w:autoSpaceDE w:val="0"/>
              <w:autoSpaceDN w:val="0"/>
              <w:bidi w:val="0"/>
              <w:adjustRightInd w:val="0"/>
              <w:snapToGrid w:val="0"/>
              <w:spacing w:after="0" w:line="340" w:lineRule="exact"/>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6.线路可用率：≥99.95%</w:t>
            </w:r>
            <w:r>
              <w:rPr>
                <w:rFonts w:hint="eastAsia" w:ascii="宋体" w:hAnsi="宋体" w:eastAsia="宋体" w:cs="宋体"/>
                <w:color w:val="auto"/>
                <w:sz w:val="24"/>
                <w:szCs w:val="24"/>
                <w:highlight w:val="none"/>
                <w:lang w:eastAsia="zh-CN"/>
              </w:rPr>
              <w:t>。</w:t>
            </w:r>
          </w:p>
          <w:p w14:paraId="4A6DD805">
            <w:pPr>
              <w:keepNext w:val="0"/>
              <w:keepLines w:val="0"/>
              <w:pageBreakBefore w:val="0"/>
              <w:widowControl/>
              <w:kinsoku w:val="0"/>
              <w:wordWrap/>
              <w:overflowPunct/>
              <w:topLinePunct w:val="0"/>
              <w:autoSpaceDE w:val="0"/>
              <w:autoSpaceDN w:val="0"/>
              <w:bidi w:val="0"/>
              <w:adjustRightInd w:val="0"/>
              <w:snapToGrid w:val="0"/>
              <w:spacing w:after="0" w:line="340" w:lineRule="exact"/>
              <w:jc w:val="both"/>
              <w:textAlignment w:val="baseline"/>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color w:val="auto"/>
                <w:sz w:val="24"/>
                <w:szCs w:val="24"/>
                <w:highlight w:val="none"/>
              </w:rPr>
              <w:t>7.每条线路最大传输单元（MTU）值：≥1542</w:t>
            </w:r>
            <w:r>
              <w:rPr>
                <w:rFonts w:hint="eastAsia" w:ascii="宋体" w:hAnsi="宋体" w:eastAsia="宋体" w:cs="宋体"/>
                <w:color w:val="auto"/>
                <w:sz w:val="24"/>
                <w:szCs w:val="24"/>
                <w:highlight w:val="none"/>
                <w:lang w:eastAsia="zh-CN"/>
              </w:rPr>
              <w:t>。</w:t>
            </w:r>
          </w:p>
        </w:tc>
        <w:tc>
          <w:tcPr>
            <w:tcW w:w="731" w:type="dxa"/>
            <w:shd w:val="clear" w:color="auto" w:fill="auto"/>
            <w:vAlign w:val="center"/>
          </w:tcPr>
          <w:p w14:paraId="1C3EB55E">
            <w:pPr>
              <w:keepNext w:val="0"/>
              <w:keepLines w:val="0"/>
              <w:pageBreakBefore w:val="0"/>
              <w:widowControl/>
              <w:kinsoku w:val="0"/>
              <w:wordWrap/>
              <w:overflowPunct/>
              <w:topLinePunct w:val="0"/>
              <w:autoSpaceDE w:val="0"/>
              <w:autoSpaceDN w:val="0"/>
              <w:bidi w:val="0"/>
              <w:adjustRightInd w:val="0"/>
              <w:snapToGrid w:val="0"/>
              <w:spacing w:after="0" w:line="460" w:lineRule="exact"/>
              <w:jc w:val="center"/>
              <w:textAlignment w:val="baseline"/>
              <w:rPr>
                <w:rFonts w:hint="eastAsia" w:ascii="宋体" w:hAnsi="宋体" w:eastAsia="宋体" w:cs="宋体"/>
                <w:snapToGrid w:val="0"/>
                <w:color w:val="auto"/>
                <w:kern w:val="0"/>
                <w:sz w:val="24"/>
                <w:szCs w:val="24"/>
                <w:highlight w:val="none"/>
                <w:lang w:val="en-US" w:eastAsia="en-US" w:bidi="ar-SA"/>
              </w:rPr>
            </w:pPr>
            <w:r>
              <w:rPr>
                <w:rFonts w:hint="eastAsia" w:ascii="宋体" w:hAnsi="宋体" w:eastAsia="宋体" w:cs="宋体"/>
                <w:color w:val="auto"/>
                <w:kern w:val="0"/>
                <w:sz w:val="24"/>
                <w:szCs w:val="24"/>
                <w:highlight w:val="none"/>
              </w:rPr>
              <w:t>126</w:t>
            </w:r>
          </w:p>
        </w:tc>
        <w:tc>
          <w:tcPr>
            <w:tcW w:w="721" w:type="dxa"/>
            <w:shd w:val="clear" w:color="auto" w:fill="auto"/>
            <w:vAlign w:val="center"/>
          </w:tcPr>
          <w:p w14:paraId="04BD3679">
            <w:pPr>
              <w:keepNext w:val="0"/>
              <w:keepLines w:val="0"/>
              <w:pageBreakBefore w:val="0"/>
              <w:widowControl/>
              <w:kinsoku w:val="0"/>
              <w:wordWrap/>
              <w:overflowPunct/>
              <w:topLinePunct w:val="0"/>
              <w:autoSpaceDE w:val="0"/>
              <w:autoSpaceDN w:val="0"/>
              <w:bidi w:val="0"/>
              <w:adjustRightInd w:val="0"/>
              <w:snapToGrid w:val="0"/>
              <w:spacing w:after="0" w:line="460" w:lineRule="exact"/>
              <w:jc w:val="center"/>
              <w:textAlignment w:val="baseline"/>
              <w:rPr>
                <w:rFonts w:hint="eastAsia" w:ascii="宋体" w:hAnsi="宋体" w:eastAsia="宋体" w:cs="宋体"/>
                <w:snapToGrid w:val="0"/>
                <w:color w:val="auto"/>
                <w:kern w:val="0"/>
                <w:sz w:val="24"/>
                <w:szCs w:val="24"/>
                <w:highlight w:val="none"/>
                <w:lang w:val="en-US" w:eastAsia="en-US" w:bidi="ar-SA"/>
              </w:rPr>
            </w:pPr>
            <w:r>
              <w:rPr>
                <w:rFonts w:hint="eastAsia" w:ascii="宋体" w:hAnsi="宋体" w:eastAsia="宋体" w:cs="宋体"/>
                <w:color w:val="auto"/>
                <w:kern w:val="0"/>
                <w:sz w:val="24"/>
                <w:szCs w:val="24"/>
                <w:highlight w:val="none"/>
              </w:rPr>
              <w:t>条</w:t>
            </w:r>
          </w:p>
        </w:tc>
      </w:tr>
      <w:tr w14:paraId="690A08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3" w:type="dxa"/>
            <w:shd w:val="clear" w:color="auto" w:fill="auto"/>
            <w:vAlign w:val="center"/>
          </w:tcPr>
          <w:p w14:paraId="4F4BE793">
            <w:pPr>
              <w:keepNext w:val="0"/>
              <w:keepLines w:val="0"/>
              <w:pageBreakBefore w:val="0"/>
              <w:widowControl/>
              <w:kinsoku w:val="0"/>
              <w:wordWrap/>
              <w:overflowPunct/>
              <w:topLinePunct w:val="0"/>
              <w:autoSpaceDE w:val="0"/>
              <w:autoSpaceDN w:val="0"/>
              <w:bidi w:val="0"/>
              <w:adjustRightInd w:val="0"/>
              <w:snapToGrid w:val="0"/>
              <w:spacing w:after="0" w:line="460" w:lineRule="exact"/>
              <w:jc w:val="center"/>
              <w:textAlignment w:val="baseline"/>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5</w:t>
            </w:r>
          </w:p>
        </w:tc>
        <w:tc>
          <w:tcPr>
            <w:tcW w:w="1199" w:type="dxa"/>
            <w:shd w:val="clear" w:color="auto" w:fill="auto"/>
            <w:vAlign w:val="center"/>
          </w:tcPr>
          <w:p w14:paraId="429B4606">
            <w:pPr>
              <w:keepNext w:val="0"/>
              <w:keepLines w:val="0"/>
              <w:pageBreakBefore w:val="0"/>
              <w:widowControl/>
              <w:kinsoku w:val="0"/>
              <w:wordWrap/>
              <w:overflowPunct/>
              <w:topLinePunct w:val="0"/>
              <w:autoSpaceDE w:val="0"/>
              <w:autoSpaceDN w:val="0"/>
              <w:bidi w:val="0"/>
              <w:adjustRightInd w:val="0"/>
              <w:snapToGrid w:val="0"/>
              <w:spacing w:after="0" w:line="460" w:lineRule="exact"/>
              <w:jc w:val="center"/>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市至市数据备份线路</w:t>
            </w:r>
          </w:p>
        </w:tc>
        <w:tc>
          <w:tcPr>
            <w:tcW w:w="5244" w:type="dxa"/>
            <w:shd w:val="clear" w:color="auto" w:fill="auto"/>
            <w:vAlign w:val="center"/>
          </w:tcPr>
          <w:p w14:paraId="14F85948">
            <w:pPr>
              <w:keepNext w:val="0"/>
              <w:keepLines w:val="0"/>
              <w:pageBreakBefore w:val="0"/>
              <w:widowControl/>
              <w:kinsoku w:val="0"/>
              <w:wordWrap/>
              <w:overflowPunct/>
              <w:topLinePunct w:val="0"/>
              <w:autoSpaceDE w:val="0"/>
              <w:autoSpaceDN w:val="0"/>
              <w:bidi w:val="0"/>
              <w:adjustRightInd w:val="0"/>
              <w:snapToGrid w:val="0"/>
              <w:spacing w:after="0" w:line="340" w:lineRule="exact"/>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1.线路带宽：</w:t>
            </w:r>
            <w:r>
              <w:rPr>
                <w:rFonts w:hint="eastAsia" w:ascii="宋体" w:hAnsi="宋体" w:eastAsia="宋体" w:cs="宋体"/>
                <w:color w:val="auto"/>
                <w:sz w:val="24"/>
                <w:szCs w:val="24"/>
                <w:highlight w:val="none"/>
                <w:lang w:val="en-US" w:eastAsia="zh-CN"/>
              </w:rPr>
              <w:t>1G</w:t>
            </w:r>
            <w:r>
              <w:rPr>
                <w:rFonts w:hint="eastAsia" w:ascii="宋体" w:hAnsi="宋体" w:eastAsia="宋体" w:cs="宋体"/>
                <w:color w:val="auto"/>
                <w:sz w:val="24"/>
                <w:szCs w:val="24"/>
                <w:highlight w:val="none"/>
              </w:rPr>
              <w:t>。</w:t>
            </w:r>
          </w:p>
          <w:p w14:paraId="47EE0DD8">
            <w:pPr>
              <w:keepNext w:val="0"/>
              <w:keepLines w:val="0"/>
              <w:pageBreakBefore w:val="0"/>
              <w:widowControl/>
              <w:kinsoku w:val="0"/>
              <w:wordWrap/>
              <w:overflowPunct/>
              <w:topLinePunct w:val="0"/>
              <w:autoSpaceDE w:val="0"/>
              <w:autoSpaceDN w:val="0"/>
              <w:bidi w:val="0"/>
              <w:adjustRightInd w:val="0"/>
              <w:snapToGrid w:val="0"/>
              <w:spacing w:after="0" w:line="340" w:lineRule="exact"/>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2.模式：OTN波分线路。</w:t>
            </w:r>
          </w:p>
          <w:p w14:paraId="6664D124">
            <w:pPr>
              <w:keepNext w:val="0"/>
              <w:keepLines w:val="0"/>
              <w:pageBreakBefore w:val="0"/>
              <w:widowControl/>
              <w:kinsoku w:val="0"/>
              <w:wordWrap/>
              <w:overflowPunct/>
              <w:topLinePunct w:val="0"/>
              <w:autoSpaceDE w:val="0"/>
              <w:autoSpaceDN w:val="0"/>
              <w:bidi w:val="0"/>
              <w:adjustRightInd w:val="0"/>
              <w:snapToGrid w:val="0"/>
              <w:spacing w:after="0" w:line="340" w:lineRule="exact"/>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3.起止点：市-</w:t>
            </w:r>
            <w:r>
              <w:rPr>
                <w:rFonts w:hint="eastAsia" w:ascii="宋体" w:hAnsi="宋体" w:eastAsia="宋体" w:cs="宋体"/>
                <w:color w:val="auto"/>
                <w:sz w:val="24"/>
                <w:szCs w:val="24"/>
                <w:highlight w:val="none"/>
                <w:lang w:val="en-US" w:eastAsia="zh-CN"/>
              </w:rPr>
              <w:t>市</w:t>
            </w:r>
            <w:r>
              <w:rPr>
                <w:rFonts w:hint="eastAsia" w:ascii="宋体" w:hAnsi="宋体" w:eastAsia="宋体" w:cs="宋体"/>
                <w:color w:val="auto"/>
                <w:sz w:val="24"/>
                <w:szCs w:val="24"/>
                <w:highlight w:val="none"/>
              </w:rPr>
              <w:t>（具体各条链路部署位置由采购人指定）。</w:t>
            </w:r>
          </w:p>
          <w:p w14:paraId="517167DB">
            <w:pPr>
              <w:keepNext w:val="0"/>
              <w:keepLines w:val="0"/>
              <w:pageBreakBefore w:val="0"/>
              <w:widowControl/>
              <w:kinsoku w:val="0"/>
              <w:wordWrap/>
              <w:overflowPunct/>
              <w:topLinePunct w:val="0"/>
              <w:autoSpaceDE w:val="0"/>
              <w:autoSpaceDN w:val="0"/>
              <w:bidi w:val="0"/>
              <w:adjustRightInd w:val="0"/>
              <w:snapToGrid w:val="0"/>
              <w:spacing w:after="0" w:line="340" w:lineRule="exact"/>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4.保证线路连通，供应商负责在采购人指定使用网络设备之前的所有网络设备和线缆。</w:t>
            </w:r>
          </w:p>
          <w:p w14:paraId="22919780">
            <w:pPr>
              <w:keepNext w:val="0"/>
              <w:keepLines w:val="0"/>
              <w:pageBreakBefore w:val="0"/>
              <w:widowControl/>
              <w:kinsoku w:val="0"/>
              <w:wordWrap/>
              <w:overflowPunct/>
              <w:topLinePunct w:val="0"/>
              <w:autoSpaceDE w:val="0"/>
              <w:autoSpaceDN w:val="0"/>
              <w:bidi w:val="0"/>
              <w:adjustRightInd w:val="0"/>
              <w:snapToGrid w:val="0"/>
              <w:spacing w:after="0" w:line="340" w:lineRule="exact"/>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5.平均时延：市域线路小于3ms；省域线路小于10ms；由于故障抢修导致的链路延时增加，不应大于150ms，且应在24小时内将延时恢复到正常值。</w:t>
            </w:r>
          </w:p>
          <w:p w14:paraId="7CC9A2C9">
            <w:pPr>
              <w:keepNext w:val="0"/>
              <w:keepLines w:val="0"/>
              <w:pageBreakBefore w:val="0"/>
              <w:widowControl/>
              <w:kinsoku w:val="0"/>
              <w:wordWrap/>
              <w:overflowPunct/>
              <w:topLinePunct w:val="0"/>
              <w:autoSpaceDE w:val="0"/>
              <w:autoSpaceDN w:val="0"/>
              <w:bidi w:val="0"/>
              <w:adjustRightInd w:val="0"/>
              <w:snapToGrid w:val="0"/>
              <w:spacing w:after="0" w:line="340" w:lineRule="exact"/>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6.线路可用率：≥99.95%</w:t>
            </w:r>
            <w:r>
              <w:rPr>
                <w:rFonts w:hint="eastAsia" w:ascii="宋体" w:hAnsi="宋体" w:eastAsia="宋体" w:cs="宋体"/>
                <w:color w:val="auto"/>
                <w:sz w:val="24"/>
                <w:szCs w:val="24"/>
                <w:highlight w:val="none"/>
                <w:lang w:eastAsia="zh-CN"/>
              </w:rPr>
              <w:t>。</w:t>
            </w:r>
          </w:p>
          <w:p w14:paraId="701A695D">
            <w:pPr>
              <w:keepNext w:val="0"/>
              <w:keepLines w:val="0"/>
              <w:pageBreakBefore w:val="0"/>
              <w:widowControl/>
              <w:kinsoku w:val="0"/>
              <w:wordWrap/>
              <w:overflowPunct/>
              <w:topLinePunct w:val="0"/>
              <w:autoSpaceDE w:val="0"/>
              <w:autoSpaceDN w:val="0"/>
              <w:bidi w:val="0"/>
              <w:adjustRightInd w:val="0"/>
              <w:snapToGrid w:val="0"/>
              <w:spacing w:after="0" w:line="340" w:lineRule="exact"/>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7.每条线路最大传输单元（MTU）值：≥1542</w:t>
            </w:r>
            <w:r>
              <w:rPr>
                <w:rFonts w:hint="eastAsia" w:ascii="宋体" w:hAnsi="宋体" w:eastAsia="宋体" w:cs="宋体"/>
                <w:color w:val="auto"/>
                <w:sz w:val="24"/>
                <w:szCs w:val="24"/>
                <w:highlight w:val="none"/>
                <w:lang w:eastAsia="zh-CN"/>
              </w:rPr>
              <w:t>。</w:t>
            </w:r>
          </w:p>
        </w:tc>
        <w:tc>
          <w:tcPr>
            <w:tcW w:w="731" w:type="dxa"/>
            <w:shd w:val="clear" w:color="auto" w:fill="auto"/>
            <w:vAlign w:val="center"/>
          </w:tcPr>
          <w:p w14:paraId="2BC5CDEA">
            <w:pPr>
              <w:keepNext w:val="0"/>
              <w:keepLines w:val="0"/>
              <w:pageBreakBefore w:val="0"/>
              <w:widowControl/>
              <w:kinsoku w:val="0"/>
              <w:wordWrap/>
              <w:overflowPunct/>
              <w:topLinePunct w:val="0"/>
              <w:autoSpaceDE w:val="0"/>
              <w:autoSpaceDN w:val="0"/>
              <w:bidi w:val="0"/>
              <w:adjustRightInd w:val="0"/>
              <w:snapToGrid w:val="0"/>
              <w:spacing w:after="0" w:line="460" w:lineRule="exact"/>
              <w:jc w:val="center"/>
              <w:textAlignment w:val="baseline"/>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10</w:t>
            </w:r>
          </w:p>
        </w:tc>
        <w:tc>
          <w:tcPr>
            <w:tcW w:w="721" w:type="dxa"/>
            <w:shd w:val="clear" w:color="auto" w:fill="auto"/>
            <w:vAlign w:val="center"/>
          </w:tcPr>
          <w:p w14:paraId="307C315E">
            <w:pPr>
              <w:keepNext w:val="0"/>
              <w:keepLines w:val="0"/>
              <w:pageBreakBefore w:val="0"/>
              <w:widowControl/>
              <w:kinsoku w:val="0"/>
              <w:wordWrap/>
              <w:overflowPunct/>
              <w:topLinePunct w:val="0"/>
              <w:autoSpaceDE w:val="0"/>
              <w:autoSpaceDN w:val="0"/>
              <w:bidi w:val="0"/>
              <w:adjustRightInd w:val="0"/>
              <w:snapToGrid w:val="0"/>
              <w:spacing w:after="0" w:line="460" w:lineRule="exact"/>
              <w:jc w:val="center"/>
              <w:textAlignment w:val="baseline"/>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条</w:t>
            </w:r>
          </w:p>
        </w:tc>
      </w:tr>
      <w:tr w14:paraId="7B6E9D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3" w:type="dxa"/>
            <w:shd w:val="clear" w:color="auto" w:fill="auto"/>
            <w:vAlign w:val="center"/>
          </w:tcPr>
          <w:p w14:paraId="3B88F945">
            <w:pPr>
              <w:keepNext w:val="0"/>
              <w:keepLines w:val="0"/>
              <w:pageBreakBefore w:val="0"/>
              <w:widowControl/>
              <w:kinsoku w:val="0"/>
              <w:wordWrap/>
              <w:overflowPunct/>
              <w:topLinePunct w:val="0"/>
              <w:autoSpaceDE w:val="0"/>
              <w:autoSpaceDN w:val="0"/>
              <w:bidi w:val="0"/>
              <w:adjustRightInd w:val="0"/>
              <w:snapToGrid w:val="0"/>
              <w:spacing w:after="0" w:line="460" w:lineRule="exact"/>
              <w:jc w:val="center"/>
              <w:textAlignment w:val="baseline"/>
              <w:rPr>
                <w:rFonts w:hint="eastAsia" w:ascii="宋体" w:hAnsi="宋体" w:eastAsia="宋体" w:cs="宋体"/>
                <w:color w:val="auto"/>
                <w:kern w:val="0"/>
                <w:sz w:val="24"/>
                <w:szCs w:val="24"/>
                <w:highlight w:val="none"/>
                <w:lang w:eastAsia="zh-CN"/>
              </w:rPr>
            </w:pPr>
            <w:r>
              <w:rPr>
                <w:rFonts w:hint="eastAsia" w:ascii="宋体" w:hAnsi="宋体" w:eastAsia="宋体" w:cs="宋体"/>
                <w:color w:val="auto"/>
                <w:kern w:val="0"/>
                <w:sz w:val="24"/>
                <w:szCs w:val="24"/>
                <w:highlight w:val="none"/>
                <w:lang w:val="en-US" w:eastAsia="zh-CN"/>
              </w:rPr>
              <w:t>6</w:t>
            </w:r>
          </w:p>
        </w:tc>
        <w:tc>
          <w:tcPr>
            <w:tcW w:w="1199" w:type="dxa"/>
            <w:shd w:val="clear" w:color="auto" w:fill="auto"/>
            <w:vAlign w:val="center"/>
          </w:tcPr>
          <w:p w14:paraId="1643022A">
            <w:pPr>
              <w:keepNext w:val="0"/>
              <w:keepLines w:val="0"/>
              <w:pageBreakBefore w:val="0"/>
              <w:widowControl/>
              <w:kinsoku w:val="0"/>
              <w:wordWrap/>
              <w:overflowPunct/>
              <w:topLinePunct w:val="0"/>
              <w:autoSpaceDE w:val="0"/>
              <w:autoSpaceDN w:val="0"/>
              <w:bidi w:val="0"/>
              <w:adjustRightInd w:val="0"/>
              <w:snapToGrid w:val="0"/>
              <w:spacing w:after="0" w:line="460" w:lineRule="exact"/>
              <w:jc w:val="center"/>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互联网线路</w:t>
            </w:r>
          </w:p>
        </w:tc>
        <w:tc>
          <w:tcPr>
            <w:tcW w:w="5244" w:type="dxa"/>
            <w:shd w:val="clear" w:color="auto" w:fill="auto"/>
            <w:vAlign w:val="center"/>
          </w:tcPr>
          <w:p w14:paraId="566623DA">
            <w:pPr>
              <w:keepNext w:val="0"/>
              <w:keepLines w:val="0"/>
              <w:pageBreakBefore w:val="0"/>
              <w:widowControl/>
              <w:kinsoku w:val="0"/>
              <w:wordWrap/>
              <w:overflowPunct/>
              <w:topLinePunct w:val="0"/>
              <w:autoSpaceDE w:val="0"/>
              <w:autoSpaceDN w:val="0"/>
              <w:bidi w:val="0"/>
              <w:adjustRightInd w:val="0"/>
              <w:snapToGrid w:val="0"/>
              <w:spacing w:after="0" w:line="340" w:lineRule="exact"/>
              <w:jc w:val="both"/>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1.线路带宽：</w:t>
            </w:r>
            <w:r>
              <w:rPr>
                <w:rFonts w:hint="eastAsia" w:ascii="宋体" w:hAnsi="宋体" w:eastAsia="宋体" w:cs="宋体"/>
                <w:color w:val="auto"/>
                <w:sz w:val="24"/>
                <w:szCs w:val="24"/>
                <w:highlight w:val="none"/>
                <w:lang w:val="en-US" w:eastAsia="zh-CN"/>
              </w:rPr>
              <w:t>6</w:t>
            </w:r>
            <w:r>
              <w:rPr>
                <w:rFonts w:hint="eastAsia" w:ascii="宋体" w:hAnsi="宋体" w:eastAsia="宋体" w:cs="宋体"/>
                <w:color w:val="auto"/>
                <w:sz w:val="24"/>
                <w:szCs w:val="24"/>
                <w:highlight w:val="none"/>
              </w:rPr>
              <w:t>G</w:t>
            </w:r>
            <w:r>
              <w:rPr>
                <w:rFonts w:hint="eastAsia" w:ascii="宋体" w:hAnsi="宋体" w:eastAsia="宋体" w:cs="宋体"/>
                <w:color w:val="auto"/>
                <w:sz w:val="24"/>
                <w:szCs w:val="24"/>
                <w:highlight w:val="none"/>
                <w:lang w:eastAsia="zh-CN"/>
              </w:rPr>
              <w:t>。</w:t>
            </w:r>
          </w:p>
          <w:p w14:paraId="6F3CF38C">
            <w:pPr>
              <w:keepNext w:val="0"/>
              <w:keepLines w:val="0"/>
              <w:pageBreakBefore w:val="0"/>
              <w:widowControl/>
              <w:kinsoku w:val="0"/>
              <w:wordWrap/>
              <w:overflowPunct/>
              <w:topLinePunct w:val="0"/>
              <w:autoSpaceDE w:val="0"/>
              <w:autoSpaceDN w:val="0"/>
              <w:bidi w:val="0"/>
              <w:adjustRightInd w:val="0"/>
              <w:snapToGrid w:val="0"/>
              <w:spacing w:after="0" w:line="340" w:lineRule="exact"/>
              <w:jc w:val="both"/>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2.光缆收发光功率光衰范围：-5至-19db</w:t>
            </w:r>
            <w:r>
              <w:rPr>
                <w:rFonts w:hint="eastAsia" w:ascii="宋体" w:hAnsi="宋体" w:eastAsia="宋体" w:cs="宋体"/>
                <w:color w:val="auto"/>
                <w:sz w:val="24"/>
                <w:szCs w:val="24"/>
                <w:highlight w:val="none"/>
                <w:lang w:eastAsia="zh-CN"/>
              </w:rPr>
              <w:t>。</w:t>
            </w:r>
          </w:p>
          <w:p w14:paraId="3B9DA0D7">
            <w:pPr>
              <w:keepNext w:val="0"/>
              <w:keepLines w:val="0"/>
              <w:pageBreakBefore w:val="0"/>
              <w:widowControl/>
              <w:kinsoku w:val="0"/>
              <w:wordWrap/>
              <w:overflowPunct/>
              <w:topLinePunct w:val="0"/>
              <w:autoSpaceDE w:val="0"/>
              <w:autoSpaceDN w:val="0"/>
              <w:bidi w:val="0"/>
              <w:adjustRightInd w:val="0"/>
              <w:snapToGrid w:val="0"/>
              <w:spacing w:after="0" w:line="340" w:lineRule="exact"/>
              <w:jc w:val="both"/>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3.专线丢包率≦0.1%</w:t>
            </w:r>
            <w:r>
              <w:rPr>
                <w:rFonts w:hint="eastAsia" w:ascii="宋体" w:hAnsi="宋体" w:eastAsia="宋体" w:cs="宋体"/>
                <w:color w:val="auto"/>
                <w:sz w:val="24"/>
                <w:szCs w:val="24"/>
                <w:highlight w:val="none"/>
                <w:lang w:eastAsia="zh-CN"/>
              </w:rPr>
              <w:t>。</w:t>
            </w:r>
          </w:p>
          <w:p w14:paraId="3A3C46EA">
            <w:pPr>
              <w:keepNext w:val="0"/>
              <w:keepLines w:val="0"/>
              <w:pageBreakBefore w:val="0"/>
              <w:widowControl/>
              <w:kinsoku w:val="0"/>
              <w:wordWrap/>
              <w:overflowPunct/>
              <w:topLinePunct w:val="0"/>
              <w:autoSpaceDE w:val="0"/>
              <w:autoSpaceDN w:val="0"/>
              <w:bidi w:val="0"/>
              <w:adjustRightInd w:val="0"/>
              <w:snapToGrid w:val="0"/>
              <w:spacing w:after="0" w:line="340" w:lineRule="exact"/>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4.提供不少于</w:t>
            </w:r>
            <w:r>
              <w:rPr>
                <w:rFonts w:hint="eastAsia" w:ascii="宋体" w:hAnsi="宋体" w:eastAsia="宋体" w:cs="宋体"/>
                <w:color w:val="auto"/>
                <w:sz w:val="24"/>
                <w:szCs w:val="24"/>
                <w:highlight w:val="none"/>
                <w:lang w:val="en-US" w:eastAsia="zh-CN"/>
              </w:rPr>
              <w:t>512</w:t>
            </w:r>
            <w:r>
              <w:rPr>
                <w:rFonts w:hint="eastAsia" w:ascii="宋体" w:hAnsi="宋体" w:eastAsia="宋体" w:cs="宋体"/>
                <w:color w:val="auto"/>
                <w:sz w:val="24"/>
                <w:szCs w:val="24"/>
                <w:highlight w:val="none"/>
              </w:rPr>
              <w:t>个互联网公网IPv4地址和不少于</w:t>
            </w:r>
            <w:r>
              <w:rPr>
                <w:rFonts w:hint="eastAsia" w:ascii="宋体" w:hAnsi="宋体" w:eastAsia="宋体" w:cs="宋体"/>
                <w:color w:val="auto"/>
                <w:sz w:val="24"/>
                <w:szCs w:val="24"/>
                <w:highlight w:val="none"/>
                <w:lang w:val="en-US" w:eastAsia="zh-CN"/>
              </w:rPr>
              <w:t>256段</w:t>
            </w:r>
            <w:r>
              <w:rPr>
                <w:rFonts w:hint="eastAsia" w:ascii="宋体" w:hAnsi="宋体" w:eastAsia="宋体" w:cs="宋体"/>
                <w:color w:val="auto"/>
                <w:sz w:val="24"/>
                <w:szCs w:val="24"/>
                <w:highlight w:val="none"/>
              </w:rPr>
              <w:t>::/64个IPv6地址。</w:t>
            </w:r>
          </w:p>
          <w:p w14:paraId="0F92A5D6">
            <w:pPr>
              <w:keepNext w:val="0"/>
              <w:keepLines w:val="0"/>
              <w:pageBreakBefore w:val="0"/>
              <w:widowControl/>
              <w:kinsoku w:val="0"/>
              <w:wordWrap/>
              <w:overflowPunct/>
              <w:topLinePunct w:val="0"/>
              <w:autoSpaceDE w:val="0"/>
              <w:autoSpaceDN w:val="0"/>
              <w:bidi w:val="0"/>
              <w:adjustRightInd w:val="0"/>
              <w:snapToGrid w:val="0"/>
              <w:spacing w:after="0" w:line="340" w:lineRule="exact"/>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5.每条线路同时提供IPv4和IPv6双栈访问服务。</w:t>
            </w:r>
          </w:p>
        </w:tc>
        <w:tc>
          <w:tcPr>
            <w:tcW w:w="731" w:type="dxa"/>
            <w:shd w:val="clear" w:color="auto" w:fill="auto"/>
            <w:vAlign w:val="center"/>
          </w:tcPr>
          <w:p w14:paraId="6B9A415D">
            <w:pPr>
              <w:keepNext w:val="0"/>
              <w:keepLines w:val="0"/>
              <w:pageBreakBefore w:val="0"/>
              <w:widowControl/>
              <w:kinsoku w:val="0"/>
              <w:wordWrap/>
              <w:overflowPunct/>
              <w:topLinePunct w:val="0"/>
              <w:autoSpaceDE w:val="0"/>
              <w:autoSpaceDN w:val="0"/>
              <w:bidi w:val="0"/>
              <w:adjustRightInd w:val="0"/>
              <w:snapToGrid w:val="0"/>
              <w:spacing w:after="0" w:line="460" w:lineRule="exact"/>
              <w:jc w:val="center"/>
              <w:textAlignment w:val="baseline"/>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1</w:t>
            </w:r>
          </w:p>
        </w:tc>
        <w:tc>
          <w:tcPr>
            <w:tcW w:w="721" w:type="dxa"/>
            <w:shd w:val="clear" w:color="auto" w:fill="auto"/>
            <w:vAlign w:val="center"/>
          </w:tcPr>
          <w:p w14:paraId="5EA135C0">
            <w:pPr>
              <w:keepNext w:val="0"/>
              <w:keepLines w:val="0"/>
              <w:pageBreakBefore w:val="0"/>
              <w:widowControl/>
              <w:kinsoku w:val="0"/>
              <w:wordWrap/>
              <w:overflowPunct/>
              <w:topLinePunct w:val="0"/>
              <w:autoSpaceDE w:val="0"/>
              <w:autoSpaceDN w:val="0"/>
              <w:bidi w:val="0"/>
              <w:adjustRightInd w:val="0"/>
              <w:snapToGrid w:val="0"/>
              <w:spacing w:after="0" w:line="460" w:lineRule="exact"/>
              <w:jc w:val="center"/>
              <w:textAlignment w:val="baseline"/>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项</w:t>
            </w:r>
          </w:p>
        </w:tc>
      </w:tr>
    </w:tbl>
    <w:p w14:paraId="0F57BDD5">
      <w:pPr>
        <w:rPr>
          <w:lang w:eastAsia="zh-CN"/>
        </w:rPr>
      </w:pPr>
      <w:bookmarkStart w:id="0" w:name="_GoBack"/>
      <w:bookmarkEnd w:id="0"/>
    </w:p>
    <w:sectPr>
      <w:footerReference r:id="rId5" w:type="default"/>
      <w:pgSz w:w="11906" w:h="16839"/>
      <w:pgMar w:top="1009" w:right="1310" w:bottom="1043" w:left="1307" w:header="0" w:footer="994"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embedRegular r:id="rId1" w:fontKey="{D1B237E5-F2FE-46BA-9DF8-2B0CF153D5C5}"/>
  </w:font>
  <w:font w:name="微软雅黑">
    <w:panose1 w:val="020B0503020204020204"/>
    <w:charset w:val="86"/>
    <w:family w:val="swiss"/>
    <w:pitch w:val="default"/>
    <w:sig w:usb0="80000287" w:usb1="280F3C52" w:usb2="00000016" w:usb3="00000000" w:csb0="0004001F" w:csb1="00000000"/>
  </w:font>
  <w:font w:name="Cambria">
    <w:panose1 w:val="02040503050406030204"/>
    <w:charset w:val="00"/>
    <w:family w:val="roman"/>
    <w:pitch w:val="default"/>
    <w:sig w:usb0="E00002FF" w:usb1="400004FF" w:usb2="00000000" w:usb3="00000000" w:csb0="2000019F" w:csb1="00000000"/>
  </w:font>
  <w:font w:name="楷体">
    <w:panose1 w:val="02010609060101010101"/>
    <w:charset w:val="86"/>
    <w:family w:val="modern"/>
    <w:pitch w:val="default"/>
    <w:sig w:usb0="800002BF" w:usb1="38CF7CFA" w:usb2="00000016" w:usb3="00000000" w:csb0="00040001" w:csb1="00000000"/>
  </w:font>
  <w:font w:name="Arial Unicode MS">
    <w:panose1 w:val="020B0604020202020204"/>
    <w:charset w:val="86"/>
    <w:family w:val="swiss"/>
    <w:pitch w:val="default"/>
    <w:sig w:usb0="FFFFFFFF" w:usb1="E9FFFFFF" w:usb2="0000003F" w:usb3="00000000" w:csb0="603F01FF" w:csb1="FFFF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9189BD">
    <w:pPr>
      <w:pStyle w:val="15"/>
      <w:rPr>
        <w:lang w:eastAsia="zh-CN"/>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50" name="文本框 15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8383289">
                          <w:pPr>
                            <w:pStyle w:val="15"/>
                          </w:pPr>
                          <w:r>
                            <w:fldChar w:fldCharType="begin"/>
                          </w:r>
                          <w:r>
                            <w:instrText xml:space="preserve"> PAGE  \* MERGEFORMAT </w:instrText>
                          </w:r>
                          <w:r>
                            <w:fldChar w:fldCharType="separate"/>
                          </w:r>
                          <w:r>
                            <w:t>57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RDAAKKwIAAFkEAAAOAAAAAAAAAAEAIAAAAB8BAABkcnMvZTJvRG9jLnhtbFBLBQYAAAAABgAG&#10;AFkBAAC8BQAAAAA=&#10;">
              <v:fill on="f" focussize="0,0"/>
              <v:stroke on="f" weight="0.5pt"/>
              <v:imagedata o:title=""/>
              <o:lock v:ext="edit" aspectratio="f"/>
              <v:textbox inset="0mm,0mm,0mm,0mm" style="mso-fit-shape-to-text:t;">
                <w:txbxContent>
                  <w:p w14:paraId="78383289">
                    <w:pPr>
                      <w:pStyle w:val="15"/>
                    </w:pPr>
                    <w:r>
                      <w:fldChar w:fldCharType="begin"/>
                    </w:r>
                    <w:r>
                      <w:instrText xml:space="preserve"> PAGE  \* MERGEFORMAT </w:instrText>
                    </w:r>
                    <w:r>
                      <w:fldChar w:fldCharType="separate"/>
                    </w:r>
                    <w:r>
                      <w:t>57</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72C54A4"/>
    <w:multiLevelType w:val="multilevel"/>
    <w:tmpl w:val="372C54A4"/>
    <w:lvl w:ilvl="0" w:tentative="0">
      <w:start w:val="1"/>
      <w:numFmt w:val="decimal"/>
      <w:suff w:val="nothing"/>
      <w:lvlText w:val="%1 "/>
      <w:lvlJc w:val="left"/>
      <w:pPr>
        <w:ind w:left="0" w:firstLine="0"/>
      </w:pPr>
      <w:rPr>
        <w:rFonts w:hint="eastAsia"/>
      </w:rPr>
    </w:lvl>
    <w:lvl w:ilvl="1" w:tentative="0">
      <w:start w:val="1"/>
      <w:numFmt w:val="decimal"/>
      <w:isLgl/>
      <w:suff w:val="nothing"/>
      <w:lvlText w:val="%1.%2 "/>
      <w:lvlJc w:val="left"/>
      <w:pPr>
        <w:ind w:left="0" w:firstLine="0"/>
      </w:pPr>
      <w:rPr>
        <w:rFonts w:hint="eastAsia"/>
      </w:rPr>
    </w:lvl>
    <w:lvl w:ilvl="2" w:tentative="0">
      <w:start w:val="1"/>
      <w:numFmt w:val="decimal"/>
      <w:isLgl/>
      <w:suff w:val="nothing"/>
      <w:lvlText w:val="%1.%2.%3 "/>
      <w:lvlJc w:val="left"/>
      <w:pPr>
        <w:ind w:left="0" w:firstLine="0"/>
      </w:pPr>
      <w:rPr>
        <w:rFonts w:hint="default" w:ascii="Times New Roman" w:hAnsi="Times New Roman" w:cs="Times New Roman"/>
      </w:rPr>
    </w:lvl>
    <w:lvl w:ilvl="3" w:tentative="0">
      <w:start w:val="1"/>
      <w:numFmt w:val="decimal"/>
      <w:isLgl/>
      <w:suff w:val="nothing"/>
      <w:lvlText w:val="%1.%2.%3.%4 "/>
      <w:lvlJc w:val="left"/>
      <w:pPr>
        <w:ind w:left="0" w:firstLine="0"/>
      </w:pPr>
      <w:rPr>
        <w:rFonts w:hint="eastAsia"/>
      </w:rPr>
    </w:lvl>
    <w:lvl w:ilvl="4" w:tentative="0">
      <w:start w:val="1"/>
      <w:numFmt w:val="decimal"/>
      <w:isLgl/>
      <w:suff w:val="nothing"/>
      <w:lvlText w:val="%1.%2.%3.%4.%5 "/>
      <w:lvlJc w:val="left"/>
      <w:pPr>
        <w:ind w:left="0" w:firstLine="0"/>
      </w:pPr>
      <w:rPr>
        <w:rFonts w:hint="eastAsia"/>
      </w:rPr>
    </w:lvl>
    <w:lvl w:ilvl="5" w:tentative="0">
      <w:start w:val="1"/>
      <w:numFmt w:val="decimal"/>
      <w:pStyle w:val="6"/>
      <w:isLgl/>
      <w:suff w:val="nothing"/>
      <w:lvlText w:val="%1.%2.%3.%4.%5.%6 "/>
      <w:lvlJc w:val="left"/>
      <w:pPr>
        <w:ind w:left="0" w:firstLine="0"/>
      </w:pPr>
      <w:rPr>
        <w:rFonts w:hint="eastAsia"/>
      </w:rPr>
    </w:lvl>
    <w:lvl w:ilvl="6" w:tentative="0">
      <w:start w:val="1"/>
      <w:numFmt w:val="decimal"/>
      <w:pStyle w:val="7"/>
      <w:isLgl/>
      <w:suff w:val="nothing"/>
      <w:lvlText w:val="%1.%2.%3.%4.%5.%6.%7 "/>
      <w:lvlJc w:val="left"/>
      <w:pPr>
        <w:ind w:left="0" w:firstLine="0"/>
      </w:pPr>
      <w:rPr>
        <w:rFonts w:hint="eastAsia"/>
      </w:rPr>
    </w:lvl>
    <w:lvl w:ilvl="7" w:tentative="0">
      <w:start w:val="1"/>
      <w:numFmt w:val="decimal"/>
      <w:lvlRestart w:val="1"/>
      <w:pStyle w:val="8"/>
      <w:isLgl/>
      <w:lvlText w:val="表%1-%8 "/>
      <w:lvlJc w:val="left"/>
      <w:pPr>
        <w:ind w:left="0" w:firstLine="0"/>
      </w:pPr>
      <w:rPr>
        <w:rFonts w:hint="default" w:ascii="Times New Roman" w:hAnsi="Times New Roman" w:eastAsia="宋体" w:cs="Times New Roman"/>
        <w:b w:val="0"/>
        <w:bCs w:val="0"/>
        <w:i w:val="0"/>
        <w:iCs w:val="0"/>
        <w:caps w:val="0"/>
        <w:smallCaps w:val="0"/>
        <w:strike w:val="0"/>
        <w:dstrike w:val="0"/>
        <w:vanish w:val="0"/>
        <w:spacing w:val="0"/>
        <w:position w:val="0"/>
        <w:sz w:val="24"/>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8" w:tentative="0">
      <w:start w:val="1"/>
      <w:numFmt w:val="decimal"/>
      <w:lvlRestart w:val="1"/>
      <w:pStyle w:val="9"/>
      <w:isLgl/>
      <w:lvlText w:val="图%1-%9"/>
      <w:lvlJc w:val="left"/>
      <w:pPr>
        <w:ind w:left="0" w:firstLine="0"/>
      </w:pPr>
      <w:rPr>
        <w:rFonts w:hint="default" w:ascii="Times New Roman" w:hAnsi="Times New Roman" w:eastAsia="宋体"/>
        <w:sz w:val="24"/>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isplayBackgroundShape w:val="1"/>
  <w:embedTrueTypeFonts/>
  <w:saveSubsetFonts/>
  <w:bordersDoNotSurroundHeader w:val="0"/>
  <w:bordersDoNotSurroundFooter w:val="0"/>
  <w:documentProtection w:enforcement="0"/>
  <w:defaultTabStop w:val="420"/>
  <w:displayHorizontalDrawingGridEvery w:val="1"/>
  <w:displayVerticalDrawingGridEvery w:val="1"/>
  <w:noPunctuationKerning w:val="1"/>
  <w:characterSpacingControl w:val="doNotCompress"/>
  <w:footnotePr>
    <w:footnote w:id="0"/>
    <w:footnote w:id="1"/>
  </w:footnotePr>
  <w:endnotePr>
    <w:endnote w:id="0"/>
    <w:endnote w:id="1"/>
  </w:endnotePr>
  <w:compat>
    <w:spaceForUL/>
    <w:ulTrailSpace/>
    <w:doNotExpandShiftReturn/>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mQ1M2IwZTUyMDQ1NGQwYjA1ZjExM2FlODA3YjQ0MzEifQ=="/>
  </w:docVars>
  <w:rsids>
    <w:rsidRoot w:val="00F72BE7"/>
    <w:rsid w:val="00004343"/>
    <w:rsid w:val="00084BDE"/>
    <w:rsid w:val="00102876"/>
    <w:rsid w:val="0016554B"/>
    <w:rsid w:val="001816CA"/>
    <w:rsid w:val="00190A8D"/>
    <w:rsid w:val="00190D98"/>
    <w:rsid w:val="001A3CCF"/>
    <w:rsid w:val="001B26BC"/>
    <w:rsid w:val="001B3A1B"/>
    <w:rsid w:val="001D632A"/>
    <w:rsid w:val="0020624B"/>
    <w:rsid w:val="0024072C"/>
    <w:rsid w:val="00262EE0"/>
    <w:rsid w:val="002E4ECA"/>
    <w:rsid w:val="00303EF9"/>
    <w:rsid w:val="00313E38"/>
    <w:rsid w:val="00327265"/>
    <w:rsid w:val="003308E2"/>
    <w:rsid w:val="003E254F"/>
    <w:rsid w:val="003F5F69"/>
    <w:rsid w:val="003F7260"/>
    <w:rsid w:val="004045F0"/>
    <w:rsid w:val="00416E6A"/>
    <w:rsid w:val="004865B4"/>
    <w:rsid w:val="004B4E81"/>
    <w:rsid w:val="005147A6"/>
    <w:rsid w:val="006308AB"/>
    <w:rsid w:val="0065245F"/>
    <w:rsid w:val="00662C35"/>
    <w:rsid w:val="0067317D"/>
    <w:rsid w:val="0067453C"/>
    <w:rsid w:val="00675ABF"/>
    <w:rsid w:val="0068305D"/>
    <w:rsid w:val="00691DAC"/>
    <w:rsid w:val="006B1E4A"/>
    <w:rsid w:val="006D5315"/>
    <w:rsid w:val="0073156A"/>
    <w:rsid w:val="00742C8B"/>
    <w:rsid w:val="00763BFF"/>
    <w:rsid w:val="007A055F"/>
    <w:rsid w:val="007B05CC"/>
    <w:rsid w:val="00830C08"/>
    <w:rsid w:val="008468FB"/>
    <w:rsid w:val="00847DE1"/>
    <w:rsid w:val="00850715"/>
    <w:rsid w:val="00852B4F"/>
    <w:rsid w:val="00935FB0"/>
    <w:rsid w:val="009A3586"/>
    <w:rsid w:val="00A12110"/>
    <w:rsid w:val="00A143AD"/>
    <w:rsid w:val="00A24211"/>
    <w:rsid w:val="00AA0070"/>
    <w:rsid w:val="00AC5B63"/>
    <w:rsid w:val="00AD0953"/>
    <w:rsid w:val="00AF59BE"/>
    <w:rsid w:val="00AF799F"/>
    <w:rsid w:val="00B10967"/>
    <w:rsid w:val="00B3013A"/>
    <w:rsid w:val="00B379DE"/>
    <w:rsid w:val="00C112EE"/>
    <w:rsid w:val="00C12985"/>
    <w:rsid w:val="00C32B7B"/>
    <w:rsid w:val="00C814CA"/>
    <w:rsid w:val="00CB5734"/>
    <w:rsid w:val="00CD47AB"/>
    <w:rsid w:val="00CD7103"/>
    <w:rsid w:val="00D55D26"/>
    <w:rsid w:val="00D6521D"/>
    <w:rsid w:val="00D73B2F"/>
    <w:rsid w:val="00DF5C35"/>
    <w:rsid w:val="00E63F2C"/>
    <w:rsid w:val="00E7580D"/>
    <w:rsid w:val="00E80370"/>
    <w:rsid w:val="00EB2538"/>
    <w:rsid w:val="00ED5D3E"/>
    <w:rsid w:val="00EE6D39"/>
    <w:rsid w:val="00F160D0"/>
    <w:rsid w:val="00F66D27"/>
    <w:rsid w:val="00F72BE7"/>
    <w:rsid w:val="00FA3601"/>
    <w:rsid w:val="014546DD"/>
    <w:rsid w:val="014707D5"/>
    <w:rsid w:val="0183453D"/>
    <w:rsid w:val="01A9154F"/>
    <w:rsid w:val="01C17C92"/>
    <w:rsid w:val="01F176F8"/>
    <w:rsid w:val="02E64D83"/>
    <w:rsid w:val="02F62DEB"/>
    <w:rsid w:val="032C1B81"/>
    <w:rsid w:val="0336275A"/>
    <w:rsid w:val="03894D4E"/>
    <w:rsid w:val="03A14F29"/>
    <w:rsid w:val="03C903E6"/>
    <w:rsid w:val="04352637"/>
    <w:rsid w:val="044D1E30"/>
    <w:rsid w:val="0451447E"/>
    <w:rsid w:val="04F64D19"/>
    <w:rsid w:val="052B325D"/>
    <w:rsid w:val="05447ECE"/>
    <w:rsid w:val="054933A7"/>
    <w:rsid w:val="05AB0237"/>
    <w:rsid w:val="05CC7E39"/>
    <w:rsid w:val="05F07017"/>
    <w:rsid w:val="06163C44"/>
    <w:rsid w:val="062D088E"/>
    <w:rsid w:val="064211DF"/>
    <w:rsid w:val="06E94E42"/>
    <w:rsid w:val="070D307B"/>
    <w:rsid w:val="075067E0"/>
    <w:rsid w:val="075134A1"/>
    <w:rsid w:val="07673982"/>
    <w:rsid w:val="07EE250C"/>
    <w:rsid w:val="081F5E69"/>
    <w:rsid w:val="08585DDB"/>
    <w:rsid w:val="08D800EA"/>
    <w:rsid w:val="08F4242E"/>
    <w:rsid w:val="093D11EF"/>
    <w:rsid w:val="098C4275"/>
    <w:rsid w:val="099C3EDE"/>
    <w:rsid w:val="0A2C4173"/>
    <w:rsid w:val="0A492F46"/>
    <w:rsid w:val="0A575D9F"/>
    <w:rsid w:val="0A5F7AD5"/>
    <w:rsid w:val="0A630BD7"/>
    <w:rsid w:val="0A6779EA"/>
    <w:rsid w:val="0AAA50E9"/>
    <w:rsid w:val="0AAF351F"/>
    <w:rsid w:val="0ABB6AF5"/>
    <w:rsid w:val="0B185698"/>
    <w:rsid w:val="0B500317"/>
    <w:rsid w:val="0B6E1EE8"/>
    <w:rsid w:val="0B9C2CEA"/>
    <w:rsid w:val="0BA5688F"/>
    <w:rsid w:val="0BB9031B"/>
    <w:rsid w:val="0BCE5A19"/>
    <w:rsid w:val="0BD25EA5"/>
    <w:rsid w:val="0BEC0E5A"/>
    <w:rsid w:val="0C027923"/>
    <w:rsid w:val="0C832B66"/>
    <w:rsid w:val="0D3F1705"/>
    <w:rsid w:val="0D7B409F"/>
    <w:rsid w:val="0DB63714"/>
    <w:rsid w:val="0DBF7C0D"/>
    <w:rsid w:val="0DCA3406"/>
    <w:rsid w:val="0DD809E2"/>
    <w:rsid w:val="0E045967"/>
    <w:rsid w:val="0E0E108A"/>
    <w:rsid w:val="0E306947"/>
    <w:rsid w:val="0E3746E5"/>
    <w:rsid w:val="0F8346BB"/>
    <w:rsid w:val="0FAD17DF"/>
    <w:rsid w:val="107F306E"/>
    <w:rsid w:val="10D31145"/>
    <w:rsid w:val="10FD2C02"/>
    <w:rsid w:val="110272DF"/>
    <w:rsid w:val="11130D98"/>
    <w:rsid w:val="114948FA"/>
    <w:rsid w:val="116457F1"/>
    <w:rsid w:val="11AF263B"/>
    <w:rsid w:val="12653C2C"/>
    <w:rsid w:val="126757A9"/>
    <w:rsid w:val="129C0FBA"/>
    <w:rsid w:val="12EA54DC"/>
    <w:rsid w:val="13383132"/>
    <w:rsid w:val="139D0552"/>
    <w:rsid w:val="14290F74"/>
    <w:rsid w:val="143E0B0F"/>
    <w:rsid w:val="147E317A"/>
    <w:rsid w:val="1538599A"/>
    <w:rsid w:val="158B0678"/>
    <w:rsid w:val="15E248D7"/>
    <w:rsid w:val="15E25A94"/>
    <w:rsid w:val="164356BF"/>
    <w:rsid w:val="16991702"/>
    <w:rsid w:val="16A356CC"/>
    <w:rsid w:val="170A3E0F"/>
    <w:rsid w:val="173418E5"/>
    <w:rsid w:val="17342109"/>
    <w:rsid w:val="173B5246"/>
    <w:rsid w:val="179F0C8E"/>
    <w:rsid w:val="17D60801"/>
    <w:rsid w:val="182E6B2B"/>
    <w:rsid w:val="186009B5"/>
    <w:rsid w:val="18846779"/>
    <w:rsid w:val="18C97898"/>
    <w:rsid w:val="18E84F59"/>
    <w:rsid w:val="18F643B3"/>
    <w:rsid w:val="19241D0A"/>
    <w:rsid w:val="193E2DCB"/>
    <w:rsid w:val="196206F1"/>
    <w:rsid w:val="19B60034"/>
    <w:rsid w:val="19F33BB6"/>
    <w:rsid w:val="1A071B72"/>
    <w:rsid w:val="1A4C2048"/>
    <w:rsid w:val="1A4C3396"/>
    <w:rsid w:val="1A7A1022"/>
    <w:rsid w:val="1AC905BF"/>
    <w:rsid w:val="1AF44F33"/>
    <w:rsid w:val="1B0C5B55"/>
    <w:rsid w:val="1B4548E5"/>
    <w:rsid w:val="1B965141"/>
    <w:rsid w:val="1BCF2401"/>
    <w:rsid w:val="1C1A5889"/>
    <w:rsid w:val="1C9E6BD6"/>
    <w:rsid w:val="1CCC6940"/>
    <w:rsid w:val="1CD001DE"/>
    <w:rsid w:val="1CFD32C0"/>
    <w:rsid w:val="1D085BCA"/>
    <w:rsid w:val="1D74500E"/>
    <w:rsid w:val="1D7539C6"/>
    <w:rsid w:val="1DC51960"/>
    <w:rsid w:val="1E7B23CC"/>
    <w:rsid w:val="1ED1023E"/>
    <w:rsid w:val="1ED84340"/>
    <w:rsid w:val="1F1B6FE3"/>
    <w:rsid w:val="1F6B239A"/>
    <w:rsid w:val="1F7E7FC4"/>
    <w:rsid w:val="1FAB6CE1"/>
    <w:rsid w:val="20851D82"/>
    <w:rsid w:val="209A6EE6"/>
    <w:rsid w:val="20A8088C"/>
    <w:rsid w:val="20E40660"/>
    <w:rsid w:val="21097A35"/>
    <w:rsid w:val="213A566A"/>
    <w:rsid w:val="22072FB3"/>
    <w:rsid w:val="22256EC5"/>
    <w:rsid w:val="22791318"/>
    <w:rsid w:val="228F594C"/>
    <w:rsid w:val="229C5ECA"/>
    <w:rsid w:val="22C83AD9"/>
    <w:rsid w:val="22FD3CF7"/>
    <w:rsid w:val="23056708"/>
    <w:rsid w:val="23274F5A"/>
    <w:rsid w:val="23746473"/>
    <w:rsid w:val="23A635FF"/>
    <w:rsid w:val="23B337F3"/>
    <w:rsid w:val="23C04A55"/>
    <w:rsid w:val="23C06F33"/>
    <w:rsid w:val="24565806"/>
    <w:rsid w:val="24BE361B"/>
    <w:rsid w:val="25823163"/>
    <w:rsid w:val="25BF341B"/>
    <w:rsid w:val="25E2090D"/>
    <w:rsid w:val="25E5790C"/>
    <w:rsid w:val="25F37706"/>
    <w:rsid w:val="261D48D9"/>
    <w:rsid w:val="268838E2"/>
    <w:rsid w:val="26DA723D"/>
    <w:rsid w:val="26F15921"/>
    <w:rsid w:val="27457A1B"/>
    <w:rsid w:val="27711B25"/>
    <w:rsid w:val="279C2686"/>
    <w:rsid w:val="27ED701E"/>
    <w:rsid w:val="27EF1D1C"/>
    <w:rsid w:val="280660E7"/>
    <w:rsid w:val="281C3134"/>
    <w:rsid w:val="28702875"/>
    <w:rsid w:val="28A67EF7"/>
    <w:rsid w:val="28BC726A"/>
    <w:rsid w:val="290A5002"/>
    <w:rsid w:val="291013D4"/>
    <w:rsid w:val="292F1C01"/>
    <w:rsid w:val="29944B54"/>
    <w:rsid w:val="29D87370"/>
    <w:rsid w:val="2A46584F"/>
    <w:rsid w:val="2AC1385C"/>
    <w:rsid w:val="2AC967C3"/>
    <w:rsid w:val="2ADF205D"/>
    <w:rsid w:val="2B064FB4"/>
    <w:rsid w:val="2B3B06C4"/>
    <w:rsid w:val="2BC46A77"/>
    <w:rsid w:val="2BDA2720"/>
    <w:rsid w:val="2BDB047B"/>
    <w:rsid w:val="2BE93C1A"/>
    <w:rsid w:val="2C3B7D1E"/>
    <w:rsid w:val="2C695F59"/>
    <w:rsid w:val="2C7A0E10"/>
    <w:rsid w:val="2C9C00DD"/>
    <w:rsid w:val="2CA90A4C"/>
    <w:rsid w:val="2CE00DF7"/>
    <w:rsid w:val="2CF55C1F"/>
    <w:rsid w:val="2D4B565F"/>
    <w:rsid w:val="2D665E74"/>
    <w:rsid w:val="2D99286E"/>
    <w:rsid w:val="2D9B4376"/>
    <w:rsid w:val="2DAA05D8"/>
    <w:rsid w:val="2DB52697"/>
    <w:rsid w:val="2DF41412"/>
    <w:rsid w:val="2E234DC0"/>
    <w:rsid w:val="2E575FCC"/>
    <w:rsid w:val="2E6611AB"/>
    <w:rsid w:val="2E693B84"/>
    <w:rsid w:val="2EB108A7"/>
    <w:rsid w:val="2F0E7054"/>
    <w:rsid w:val="2F194461"/>
    <w:rsid w:val="2F483F47"/>
    <w:rsid w:val="2F7866FD"/>
    <w:rsid w:val="2F912348"/>
    <w:rsid w:val="2FB63E0A"/>
    <w:rsid w:val="2FC17E5A"/>
    <w:rsid w:val="30481513"/>
    <w:rsid w:val="304C5C8C"/>
    <w:rsid w:val="305E1890"/>
    <w:rsid w:val="30734F38"/>
    <w:rsid w:val="307956ED"/>
    <w:rsid w:val="30A610B9"/>
    <w:rsid w:val="30AE6631"/>
    <w:rsid w:val="30BC469E"/>
    <w:rsid w:val="312A215B"/>
    <w:rsid w:val="31526CE7"/>
    <w:rsid w:val="318178A1"/>
    <w:rsid w:val="319C0B7F"/>
    <w:rsid w:val="31C55E0D"/>
    <w:rsid w:val="31DB7CFA"/>
    <w:rsid w:val="31EB1C57"/>
    <w:rsid w:val="31FE5396"/>
    <w:rsid w:val="329A3D4F"/>
    <w:rsid w:val="32BC25BC"/>
    <w:rsid w:val="32BE2A91"/>
    <w:rsid w:val="32F3467E"/>
    <w:rsid w:val="33136C1F"/>
    <w:rsid w:val="335214F5"/>
    <w:rsid w:val="335E399B"/>
    <w:rsid w:val="33F26834"/>
    <w:rsid w:val="34205B4A"/>
    <w:rsid w:val="342F5CDB"/>
    <w:rsid w:val="34325184"/>
    <w:rsid w:val="34B601B7"/>
    <w:rsid w:val="350629FC"/>
    <w:rsid w:val="350C6E7D"/>
    <w:rsid w:val="35A969B2"/>
    <w:rsid w:val="35B02CE0"/>
    <w:rsid w:val="36184132"/>
    <w:rsid w:val="36497729"/>
    <w:rsid w:val="36597105"/>
    <w:rsid w:val="36F17277"/>
    <w:rsid w:val="377D6D5D"/>
    <w:rsid w:val="37CF537F"/>
    <w:rsid w:val="37F963E3"/>
    <w:rsid w:val="39D30F8F"/>
    <w:rsid w:val="39D96E5F"/>
    <w:rsid w:val="3A3C3FDD"/>
    <w:rsid w:val="3A6B125E"/>
    <w:rsid w:val="3AC71EE3"/>
    <w:rsid w:val="3AD00B10"/>
    <w:rsid w:val="3B0752BB"/>
    <w:rsid w:val="3B163B4E"/>
    <w:rsid w:val="3B2319C9"/>
    <w:rsid w:val="3B487C06"/>
    <w:rsid w:val="3B7E51F7"/>
    <w:rsid w:val="3B8811A4"/>
    <w:rsid w:val="3BAC10D3"/>
    <w:rsid w:val="3C0F220A"/>
    <w:rsid w:val="3C1C6307"/>
    <w:rsid w:val="3C504A40"/>
    <w:rsid w:val="3C85113B"/>
    <w:rsid w:val="3CB902E7"/>
    <w:rsid w:val="3D0165AF"/>
    <w:rsid w:val="3D2C2400"/>
    <w:rsid w:val="3D36354C"/>
    <w:rsid w:val="3D74475E"/>
    <w:rsid w:val="3D7F2D19"/>
    <w:rsid w:val="3D881B77"/>
    <w:rsid w:val="3DB24214"/>
    <w:rsid w:val="3DBB413B"/>
    <w:rsid w:val="3DC93A44"/>
    <w:rsid w:val="3E1F3CAD"/>
    <w:rsid w:val="3E292C29"/>
    <w:rsid w:val="3E4141B1"/>
    <w:rsid w:val="3E6C06B0"/>
    <w:rsid w:val="3E78615B"/>
    <w:rsid w:val="3E7C1411"/>
    <w:rsid w:val="3E7E5894"/>
    <w:rsid w:val="3E8E35FE"/>
    <w:rsid w:val="3F07755C"/>
    <w:rsid w:val="3F19434D"/>
    <w:rsid w:val="3F3D2CE8"/>
    <w:rsid w:val="3F650EDC"/>
    <w:rsid w:val="3F984C13"/>
    <w:rsid w:val="3FBD7E2D"/>
    <w:rsid w:val="3FE1257F"/>
    <w:rsid w:val="403F2E01"/>
    <w:rsid w:val="40583C67"/>
    <w:rsid w:val="407231D7"/>
    <w:rsid w:val="41082FF8"/>
    <w:rsid w:val="41083B0D"/>
    <w:rsid w:val="411F6A9D"/>
    <w:rsid w:val="41465248"/>
    <w:rsid w:val="41984EBF"/>
    <w:rsid w:val="41B25C87"/>
    <w:rsid w:val="42B20B36"/>
    <w:rsid w:val="42FB66C8"/>
    <w:rsid w:val="43192944"/>
    <w:rsid w:val="43394480"/>
    <w:rsid w:val="43865CFC"/>
    <w:rsid w:val="4398205A"/>
    <w:rsid w:val="448B4C1F"/>
    <w:rsid w:val="44B21E06"/>
    <w:rsid w:val="44BA7230"/>
    <w:rsid w:val="44CE27B1"/>
    <w:rsid w:val="44DE0126"/>
    <w:rsid w:val="453A628D"/>
    <w:rsid w:val="45402EBF"/>
    <w:rsid w:val="454B2248"/>
    <w:rsid w:val="45B61DB8"/>
    <w:rsid w:val="45D70058"/>
    <w:rsid w:val="45EE0F95"/>
    <w:rsid w:val="45F42F70"/>
    <w:rsid w:val="45F85626"/>
    <w:rsid w:val="4692195B"/>
    <w:rsid w:val="46D051BB"/>
    <w:rsid w:val="46E60E0B"/>
    <w:rsid w:val="46EF3B39"/>
    <w:rsid w:val="46FA073D"/>
    <w:rsid w:val="470E15D4"/>
    <w:rsid w:val="47234C6F"/>
    <w:rsid w:val="474D04FA"/>
    <w:rsid w:val="47906273"/>
    <w:rsid w:val="47E36768"/>
    <w:rsid w:val="48643D4D"/>
    <w:rsid w:val="486F37EB"/>
    <w:rsid w:val="487D7E3E"/>
    <w:rsid w:val="488533D9"/>
    <w:rsid w:val="48967192"/>
    <w:rsid w:val="48BD520B"/>
    <w:rsid w:val="492265CB"/>
    <w:rsid w:val="49291D26"/>
    <w:rsid w:val="4949445D"/>
    <w:rsid w:val="49B51BAE"/>
    <w:rsid w:val="49B614F4"/>
    <w:rsid w:val="4A2268D5"/>
    <w:rsid w:val="4A442B3D"/>
    <w:rsid w:val="4A5E47CC"/>
    <w:rsid w:val="4A882A4B"/>
    <w:rsid w:val="4A884CC6"/>
    <w:rsid w:val="4AA55BC3"/>
    <w:rsid w:val="4ABC7D85"/>
    <w:rsid w:val="4AEC6877"/>
    <w:rsid w:val="4B83595C"/>
    <w:rsid w:val="4B8D5369"/>
    <w:rsid w:val="4C0F5D7E"/>
    <w:rsid w:val="4C6A1EDD"/>
    <w:rsid w:val="4CAD0B35"/>
    <w:rsid w:val="4CEC044C"/>
    <w:rsid w:val="4D07114B"/>
    <w:rsid w:val="4D621716"/>
    <w:rsid w:val="4D954046"/>
    <w:rsid w:val="4DFF3E40"/>
    <w:rsid w:val="4E202AF3"/>
    <w:rsid w:val="4E9D2106"/>
    <w:rsid w:val="4F203B82"/>
    <w:rsid w:val="4F282F37"/>
    <w:rsid w:val="4FAA2095"/>
    <w:rsid w:val="4FB04984"/>
    <w:rsid w:val="4FC72EBA"/>
    <w:rsid w:val="4FEE57DE"/>
    <w:rsid w:val="4FF52C71"/>
    <w:rsid w:val="503A7A08"/>
    <w:rsid w:val="5055041F"/>
    <w:rsid w:val="50577A75"/>
    <w:rsid w:val="509E3ED1"/>
    <w:rsid w:val="50EC48E0"/>
    <w:rsid w:val="514E559A"/>
    <w:rsid w:val="515661D0"/>
    <w:rsid w:val="51C63383"/>
    <w:rsid w:val="51E92988"/>
    <w:rsid w:val="52416ED0"/>
    <w:rsid w:val="528312E8"/>
    <w:rsid w:val="52B50FFA"/>
    <w:rsid w:val="52C34CFF"/>
    <w:rsid w:val="52CA0C50"/>
    <w:rsid w:val="52D23FA9"/>
    <w:rsid w:val="52E468A6"/>
    <w:rsid w:val="52E8669F"/>
    <w:rsid w:val="530F22F4"/>
    <w:rsid w:val="531F42E7"/>
    <w:rsid w:val="53886AD3"/>
    <w:rsid w:val="53AA5D25"/>
    <w:rsid w:val="53D6797D"/>
    <w:rsid w:val="541D1254"/>
    <w:rsid w:val="544A6647"/>
    <w:rsid w:val="54660E4D"/>
    <w:rsid w:val="54815451"/>
    <w:rsid w:val="54824C71"/>
    <w:rsid w:val="54BC690A"/>
    <w:rsid w:val="54FD5330"/>
    <w:rsid w:val="55132EB9"/>
    <w:rsid w:val="55E101CF"/>
    <w:rsid w:val="566B62A7"/>
    <w:rsid w:val="567244B1"/>
    <w:rsid w:val="5698153C"/>
    <w:rsid w:val="56AD697C"/>
    <w:rsid w:val="56B8447F"/>
    <w:rsid w:val="56CE0C2A"/>
    <w:rsid w:val="56E5591B"/>
    <w:rsid w:val="56E73AEE"/>
    <w:rsid w:val="575B547C"/>
    <w:rsid w:val="57631674"/>
    <w:rsid w:val="57A500D0"/>
    <w:rsid w:val="57C351F2"/>
    <w:rsid w:val="57D37FDB"/>
    <w:rsid w:val="580F71F2"/>
    <w:rsid w:val="58234D9B"/>
    <w:rsid w:val="58532224"/>
    <w:rsid w:val="586903C5"/>
    <w:rsid w:val="593212FE"/>
    <w:rsid w:val="59590F80"/>
    <w:rsid w:val="59A909E1"/>
    <w:rsid w:val="59BC7C61"/>
    <w:rsid w:val="59C3464B"/>
    <w:rsid w:val="59DE2BBE"/>
    <w:rsid w:val="5A410A6F"/>
    <w:rsid w:val="5A9655C2"/>
    <w:rsid w:val="5ADC5A6C"/>
    <w:rsid w:val="5B9462A0"/>
    <w:rsid w:val="5B9D00F7"/>
    <w:rsid w:val="5BB75AA0"/>
    <w:rsid w:val="5C65447A"/>
    <w:rsid w:val="5CC62662"/>
    <w:rsid w:val="5CCF6FC5"/>
    <w:rsid w:val="5CE05C01"/>
    <w:rsid w:val="5CF22F4E"/>
    <w:rsid w:val="5DD20F4D"/>
    <w:rsid w:val="5E171218"/>
    <w:rsid w:val="5E830269"/>
    <w:rsid w:val="5EEC5CA6"/>
    <w:rsid w:val="5F096FA4"/>
    <w:rsid w:val="5F8B5C0B"/>
    <w:rsid w:val="60E02D11"/>
    <w:rsid w:val="60E92BEA"/>
    <w:rsid w:val="611C2FBF"/>
    <w:rsid w:val="613D03AF"/>
    <w:rsid w:val="61A059DE"/>
    <w:rsid w:val="61E92D75"/>
    <w:rsid w:val="622149A9"/>
    <w:rsid w:val="62840C9B"/>
    <w:rsid w:val="62932D27"/>
    <w:rsid w:val="62E53885"/>
    <w:rsid w:val="6329237C"/>
    <w:rsid w:val="63753EA0"/>
    <w:rsid w:val="63923347"/>
    <w:rsid w:val="63A60D41"/>
    <w:rsid w:val="63B51413"/>
    <w:rsid w:val="63C45248"/>
    <w:rsid w:val="63C6035F"/>
    <w:rsid w:val="64045B99"/>
    <w:rsid w:val="64686F2A"/>
    <w:rsid w:val="649A1D1D"/>
    <w:rsid w:val="64B20D48"/>
    <w:rsid w:val="64BC23C3"/>
    <w:rsid w:val="64C2203D"/>
    <w:rsid w:val="64CF0348"/>
    <w:rsid w:val="64E04304"/>
    <w:rsid w:val="659B022A"/>
    <w:rsid w:val="659B691E"/>
    <w:rsid w:val="65D242C5"/>
    <w:rsid w:val="65F10142"/>
    <w:rsid w:val="66124991"/>
    <w:rsid w:val="662A0A0D"/>
    <w:rsid w:val="66391FE9"/>
    <w:rsid w:val="66487257"/>
    <w:rsid w:val="677A31D7"/>
    <w:rsid w:val="67D2438B"/>
    <w:rsid w:val="6875202E"/>
    <w:rsid w:val="68B46274"/>
    <w:rsid w:val="68D47A7B"/>
    <w:rsid w:val="68DF193E"/>
    <w:rsid w:val="68E84E3F"/>
    <w:rsid w:val="691B0A9F"/>
    <w:rsid w:val="69455133"/>
    <w:rsid w:val="697649DB"/>
    <w:rsid w:val="69CE10E5"/>
    <w:rsid w:val="6A044377"/>
    <w:rsid w:val="6A1F767C"/>
    <w:rsid w:val="6A701523"/>
    <w:rsid w:val="6B2D62D6"/>
    <w:rsid w:val="6BC22AA0"/>
    <w:rsid w:val="6BDD42B9"/>
    <w:rsid w:val="6BF312EF"/>
    <w:rsid w:val="6C085287"/>
    <w:rsid w:val="6C254F52"/>
    <w:rsid w:val="6C401523"/>
    <w:rsid w:val="6C545490"/>
    <w:rsid w:val="6CD00EA6"/>
    <w:rsid w:val="6CE6131C"/>
    <w:rsid w:val="6D1E0748"/>
    <w:rsid w:val="6D313420"/>
    <w:rsid w:val="6D8D0DA1"/>
    <w:rsid w:val="6DDD5A51"/>
    <w:rsid w:val="6DE51FC5"/>
    <w:rsid w:val="6EA15698"/>
    <w:rsid w:val="6EA231BA"/>
    <w:rsid w:val="6F0A08FB"/>
    <w:rsid w:val="6F5568C5"/>
    <w:rsid w:val="6F7E0AE1"/>
    <w:rsid w:val="6F9D1C0D"/>
    <w:rsid w:val="6FA523D2"/>
    <w:rsid w:val="6FB1521A"/>
    <w:rsid w:val="6FB26FA2"/>
    <w:rsid w:val="6FCF7E4E"/>
    <w:rsid w:val="701045B5"/>
    <w:rsid w:val="703D37EB"/>
    <w:rsid w:val="704A55BF"/>
    <w:rsid w:val="706F478E"/>
    <w:rsid w:val="70874686"/>
    <w:rsid w:val="70D13AF1"/>
    <w:rsid w:val="712D6B22"/>
    <w:rsid w:val="715B4B81"/>
    <w:rsid w:val="71A45995"/>
    <w:rsid w:val="72851CAC"/>
    <w:rsid w:val="72A41B58"/>
    <w:rsid w:val="7301390F"/>
    <w:rsid w:val="73335AB7"/>
    <w:rsid w:val="739F35DC"/>
    <w:rsid w:val="73B07EB2"/>
    <w:rsid w:val="73CF1BB8"/>
    <w:rsid w:val="73ED585D"/>
    <w:rsid w:val="73F21E51"/>
    <w:rsid w:val="741E6BF6"/>
    <w:rsid w:val="742B1F7F"/>
    <w:rsid w:val="747405C4"/>
    <w:rsid w:val="74885165"/>
    <w:rsid w:val="749C3ABE"/>
    <w:rsid w:val="74A715D2"/>
    <w:rsid w:val="75084176"/>
    <w:rsid w:val="757A7E5C"/>
    <w:rsid w:val="761E0576"/>
    <w:rsid w:val="768C7E47"/>
    <w:rsid w:val="76A1735D"/>
    <w:rsid w:val="76D56593"/>
    <w:rsid w:val="77630FAB"/>
    <w:rsid w:val="776A2771"/>
    <w:rsid w:val="77B41C25"/>
    <w:rsid w:val="77C460AF"/>
    <w:rsid w:val="78443973"/>
    <w:rsid w:val="78760DAF"/>
    <w:rsid w:val="78B07C22"/>
    <w:rsid w:val="792F71B0"/>
    <w:rsid w:val="79475EB1"/>
    <w:rsid w:val="798756C5"/>
    <w:rsid w:val="7A43426E"/>
    <w:rsid w:val="7AE829EE"/>
    <w:rsid w:val="7B294B89"/>
    <w:rsid w:val="7B4B6523"/>
    <w:rsid w:val="7BD07335"/>
    <w:rsid w:val="7BD227A0"/>
    <w:rsid w:val="7C2D5E41"/>
    <w:rsid w:val="7CA010C3"/>
    <w:rsid w:val="7CAD6847"/>
    <w:rsid w:val="7CCE6A29"/>
    <w:rsid w:val="7CF33270"/>
    <w:rsid w:val="7D02603F"/>
    <w:rsid w:val="7D2C2B03"/>
    <w:rsid w:val="7D4A280A"/>
    <w:rsid w:val="7DB0228A"/>
    <w:rsid w:val="7DBB54B6"/>
    <w:rsid w:val="7DFC0E94"/>
    <w:rsid w:val="7E146C66"/>
    <w:rsid w:val="7E467AEB"/>
    <w:rsid w:val="7E6D786D"/>
    <w:rsid w:val="7E9C0E44"/>
    <w:rsid w:val="7F051133"/>
    <w:rsid w:val="7F150C8C"/>
    <w:rsid w:val="7F5A7CF2"/>
    <w:rsid w:val="7F61079B"/>
    <w:rsid w:val="D4FFDFDD"/>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qFormat="1" w:unhideWhenUsed="0" w:uiPriority="39"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99"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spacing w:after="160" w:line="259" w:lineRule="auto"/>
      <w:textAlignment w:val="baseline"/>
    </w:pPr>
    <w:rPr>
      <w:rFonts w:ascii="Arial" w:hAnsi="Arial" w:eastAsia="Arial" w:cs="Arial"/>
      <w:snapToGrid w:val="0"/>
      <w:color w:val="000000"/>
      <w:sz w:val="21"/>
      <w:szCs w:val="21"/>
      <w:lang w:val="en-US" w:eastAsia="en-US" w:bidi="ar-SA"/>
    </w:rPr>
  </w:style>
  <w:style w:type="paragraph" w:styleId="3">
    <w:name w:val="heading 1"/>
    <w:basedOn w:val="1"/>
    <w:next w:val="1"/>
    <w:qFormat/>
    <w:uiPriority w:val="0"/>
    <w:pPr>
      <w:keepNext/>
      <w:keepLines/>
      <w:widowControl w:val="0"/>
      <w:spacing w:before="340" w:after="330" w:line="578" w:lineRule="auto"/>
      <w:jc w:val="both"/>
      <w:outlineLvl w:val="0"/>
    </w:pPr>
    <w:rPr>
      <w:rFonts w:ascii="Times New Roman" w:hAnsi="Times New Roman" w:eastAsia="宋体" w:cs="Times New Roman"/>
      <w:b/>
      <w:bCs/>
      <w:kern w:val="44"/>
      <w:sz w:val="44"/>
      <w:szCs w:val="24"/>
    </w:rPr>
  </w:style>
  <w:style w:type="paragraph" w:styleId="4">
    <w:name w:val="heading 2"/>
    <w:basedOn w:val="1"/>
    <w:next w:val="1"/>
    <w:qFormat/>
    <w:uiPriority w:val="0"/>
    <w:pPr>
      <w:keepNext/>
      <w:keepLines/>
      <w:spacing w:before="260" w:after="260" w:line="413" w:lineRule="auto"/>
      <w:outlineLvl w:val="1"/>
    </w:pPr>
    <w:rPr>
      <w:rFonts w:eastAsia="黑体"/>
      <w:b/>
      <w:bCs/>
      <w:sz w:val="32"/>
      <w:szCs w:val="32"/>
    </w:rPr>
  </w:style>
  <w:style w:type="paragraph" w:styleId="5">
    <w:name w:val="heading 4"/>
    <w:basedOn w:val="1"/>
    <w:next w:val="1"/>
    <w:link w:val="34"/>
    <w:semiHidden/>
    <w:unhideWhenUsed/>
    <w:qFormat/>
    <w:uiPriority w:val="0"/>
    <w:pPr>
      <w:keepNext/>
      <w:keepLines/>
      <w:spacing w:before="280" w:after="290" w:line="372" w:lineRule="auto"/>
      <w:outlineLvl w:val="3"/>
    </w:pPr>
    <w:rPr>
      <w:rFonts w:eastAsia="黑体"/>
      <w:b/>
      <w:sz w:val="28"/>
    </w:rPr>
  </w:style>
  <w:style w:type="paragraph" w:styleId="6">
    <w:name w:val="heading 6"/>
    <w:basedOn w:val="1"/>
    <w:next w:val="1"/>
    <w:qFormat/>
    <w:uiPriority w:val="0"/>
    <w:pPr>
      <w:keepNext/>
      <w:keepLines/>
      <w:widowControl/>
      <w:numPr>
        <w:ilvl w:val="5"/>
        <w:numId w:val="1"/>
      </w:numPr>
      <w:tabs>
        <w:tab w:val="left" w:pos="1560"/>
      </w:tabs>
      <w:spacing w:before="120" w:after="120"/>
      <w:ind w:firstLineChars="0"/>
      <w:outlineLvl w:val="5"/>
    </w:pPr>
    <w:rPr>
      <w:rFonts w:eastAsia="黑体"/>
      <w:bCs/>
      <w:kern w:val="44"/>
      <w:szCs w:val="28"/>
    </w:rPr>
  </w:style>
  <w:style w:type="paragraph" w:styleId="7">
    <w:name w:val="heading 7"/>
    <w:basedOn w:val="1"/>
    <w:next w:val="1"/>
    <w:qFormat/>
    <w:uiPriority w:val="0"/>
    <w:pPr>
      <w:keepNext/>
      <w:keepLines/>
      <w:widowControl/>
      <w:numPr>
        <w:ilvl w:val="6"/>
        <w:numId w:val="1"/>
      </w:numPr>
      <w:spacing w:before="120" w:after="120"/>
      <w:ind w:firstLineChars="0"/>
      <w:outlineLvl w:val="6"/>
    </w:pPr>
    <w:rPr>
      <w:rFonts w:eastAsia="黑体"/>
      <w:bCs/>
      <w:kern w:val="44"/>
      <w:szCs w:val="28"/>
    </w:rPr>
  </w:style>
  <w:style w:type="paragraph" w:styleId="8">
    <w:name w:val="heading 8"/>
    <w:basedOn w:val="1"/>
    <w:next w:val="1"/>
    <w:qFormat/>
    <w:uiPriority w:val="0"/>
    <w:pPr>
      <w:keepNext/>
      <w:keepLines/>
      <w:widowControl/>
      <w:numPr>
        <w:ilvl w:val="7"/>
        <w:numId w:val="1"/>
      </w:numPr>
      <w:ind w:firstLineChars="0"/>
      <w:jc w:val="center"/>
      <w:outlineLvl w:val="7"/>
    </w:pPr>
  </w:style>
  <w:style w:type="paragraph" w:styleId="9">
    <w:name w:val="heading 9"/>
    <w:basedOn w:val="1"/>
    <w:next w:val="1"/>
    <w:qFormat/>
    <w:uiPriority w:val="0"/>
    <w:pPr>
      <w:keepLines/>
      <w:widowControl/>
      <w:numPr>
        <w:ilvl w:val="8"/>
        <w:numId w:val="1"/>
      </w:numPr>
      <w:ind w:firstLineChars="0"/>
      <w:jc w:val="center"/>
      <w:outlineLvl w:val="8"/>
    </w:p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2">
    <w:name w:val="Normal Indent"/>
    <w:basedOn w:val="1"/>
    <w:qFormat/>
    <w:uiPriority w:val="99"/>
    <w:pPr>
      <w:ind w:firstLine="420"/>
    </w:pPr>
  </w:style>
  <w:style w:type="paragraph" w:styleId="10">
    <w:name w:val="annotation text"/>
    <w:basedOn w:val="1"/>
    <w:qFormat/>
    <w:uiPriority w:val="0"/>
  </w:style>
  <w:style w:type="paragraph" w:styleId="11">
    <w:name w:val="Body Text"/>
    <w:basedOn w:val="1"/>
    <w:next w:val="1"/>
    <w:semiHidden/>
    <w:qFormat/>
    <w:uiPriority w:val="0"/>
    <w:rPr>
      <w:rFonts w:ascii="仿宋" w:hAnsi="仿宋" w:eastAsia="仿宋" w:cs="仿宋"/>
      <w:sz w:val="30"/>
      <w:szCs w:val="30"/>
    </w:rPr>
  </w:style>
  <w:style w:type="paragraph" w:styleId="12">
    <w:name w:val="Body Text Indent"/>
    <w:basedOn w:val="1"/>
    <w:unhideWhenUsed/>
    <w:qFormat/>
    <w:uiPriority w:val="99"/>
    <w:pPr>
      <w:spacing w:after="120"/>
      <w:ind w:left="420" w:leftChars="200"/>
    </w:pPr>
    <w:rPr>
      <w:rFonts w:eastAsia="微软雅黑"/>
      <w:sz w:val="24"/>
      <w:szCs w:val="20"/>
    </w:rPr>
  </w:style>
  <w:style w:type="paragraph" w:styleId="13">
    <w:name w:val="toc 5"/>
    <w:basedOn w:val="1"/>
    <w:next w:val="1"/>
    <w:qFormat/>
    <w:uiPriority w:val="39"/>
    <w:pPr>
      <w:ind w:left="1680" w:leftChars="800"/>
    </w:pPr>
    <w:rPr>
      <w:szCs w:val="24"/>
    </w:rPr>
  </w:style>
  <w:style w:type="paragraph" w:styleId="14">
    <w:name w:val="Plain Text"/>
    <w:basedOn w:val="1"/>
    <w:qFormat/>
    <w:uiPriority w:val="0"/>
    <w:rPr>
      <w:rFonts w:ascii="宋体" w:hAnsi="Courier New"/>
      <w:sz w:val="20"/>
    </w:rPr>
  </w:style>
  <w:style w:type="paragraph" w:styleId="15">
    <w:name w:val="footer"/>
    <w:basedOn w:val="1"/>
    <w:qFormat/>
    <w:uiPriority w:val="0"/>
    <w:pPr>
      <w:tabs>
        <w:tab w:val="center" w:pos="4153"/>
        <w:tab w:val="right" w:pos="8306"/>
      </w:tabs>
    </w:pPr>
    <w:rPr>
      <w:sz w:val="18"/>
    </w:rPr>
  </w:style>
  <w:style w:type="paragraph" w:styleId="1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styleId="17">
    <w:name w:val="toc 1"/>
    <w:basedOn w:val="1"/>
    <w:next w:val="1"/>
    <w:qFormat/>
    <w:uiPriority w:val="0"/>
  </w:style>
  <w:style w:type="paragraph" w:styleId="18">
    <w:name w:val="Subtitle"/>
    <w:basedOn w:val="1"/>
    <w:next w:val="1"/>
    <w:qFormat/>
    <w:uiPriority w:val="0"/>
    <w:pPr>
      <w:spacing w:before="240" w:after="60" w:line="312" w:lineRule="auto"/>
      <w:jc w:val="center"/>
      <w:outlineLvl w:val="1"/>
    </w:pPr>
    <w:rPr>
      <w:rFonts w:ascii="Cambria" w:hAnsi="Cambria"/>
      <w:b/>
      <w:bCs/>
      <w:kern w:val="28"/>
      <w:sz w:val="32"/>
      <w:szCs w:val="32"/>
    </w:rPr>
  </w:style>
  <w:style w:type="paragraph" w:styleId="19">
    <w:name w:val="HTML Preformatted"/>
    <w:basedOn w:val="1"/>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kern w:val="0"/>
      <w:sz w:val="24"/>
      <w:szCs w:val="24"/>
    </w:rPr>
  </w:style>
  <w:style w:type="paragraph" w:styleId="20">
    <w:name w:val="Normal (Web)"/>
    <w:basedOn w:val="1"/>
    <w:qFormat/>
    <w:uiPriority w:val="0"/>
    <w:pPr>
      <w:spacing w:before="100" w:beforeAutospacing="1" w:after="100" w:afterAutospacing="1"/>
    </w:pPr>
    <w:rPr>
      <w:rFonts w:ascii="宋体" w:hAnsi="宋体" w:eastAsia="宋体" w:cs="宋体"/>
      <w:sz w:val="24"/>
    </w:rPr>
  </w:style>
  <w:style w:type="paragraph" w:styleId="21">
    <w:name w:val="Body Text First Indent"/>
    <w:basedOn w:val="11"/>
    <w:qFormat/>
    <w:uiPriority w:val="0"/>
    <w:pPr>
      <w:ind w:firstLine="420" w:firstLineChars="100"/>
    </w:pPr>
  </w:style>
  <w:style w:type="table" w:styleId="23">
    <w:name w:val="Table Grid"/>
    <w:basedOn w:val="2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5">
    <w:name w:val="Emphasis"/>
    <w:qFormat/>
    <w:uiPriority w:val="0"/>
  </w:style>
  <w:style w:type="character" w:styleId="26">
    <w:name w:val="Hyperlink"/>
    <w:basedOn w:val="24"/>
    <w:qFormat/>
    <w:uiPriority w:val="0"/>
    <w:rPr>
      <w:color w:val="0000FF"/>
      <w:u w:val="single"/>
    </w:rPr>
  </w:style>
  <w:style w:type="character" w:styleId="27">
    <w:name w:val="annotation reference"/>
    <w:unhideWhenUsed/>
    <w:qFormat/>
    <w:uiPriority w:val="0"/>
    <w:rPr>
      <w:sz w:val="21"/>
      <w:szCs w:val="21"/>
    </w:rPr>
  </w:style>
  <w:style w:type="paragraph" w:customStyle="1" w:styleId="28">
    <w:name w:val="Normal Indent1"/>
    <w:basedOn w:val="1"/>
    <w:qFormat/>
    <w:uiPriority w:val="0"/>
    <w:pPr>
      <w:ind w:firstLine="420" w:firstLineChars="200"/>
    </w:pPr>
  </w:style>
  <w:style w:type="table" w:customStyle="1" w:styleId="29">
    <w:name w:val="Table Normal1"/>
    <w:semiHidden/>
    <w:unhideWhenUsed/>
    <w:qFormat/>
    <w:uiPriority w:val="0"/>
    <w:tblPr>
      <w:tblCellMar>
        <w:top w:w="0" w:type="dxa"/>
        <w:left w:w="0" w:type="dxa"/>
        <w:bottom w:w="0" w:type="dxa"/>
        <w:right w:w="0" w:type="dxa"/>
      </w:tblCellMar>
    </w:tblPr>
  </w:style>
  <w:style w:type="paragraph" w:customStyle="1" w:styleId="30">
    <w:name w:val="Table Text"/>
    <w:basedOn w:val="1"/>
    <w:semiHidden/>
    <w:qFormat/>
    <w:uiPriority w:val="0"/>
  </w:style>
  <w:style w:type="paragraph" w:customStyle="1" w:styleId="31">
    <w:name w:val="Heading #2|1"/>
    <w:basedOn w:val="1"/>
    <w:qFormat/>
    <w:uiPriority w:val="0"/>
    <w:pPr>
      <w:widowControl w:val="0"/>
      <w:spacing w:after="580" w:line="634" w:lineRule="exact"/>
      <w:jc w:val="center"/>
      <w:outlineLvl w:val="1"/>
    </w:pPr>
    <w:rPr>
      <w:rFonts w:ascii="宋体" w:hAnsi="宋体" w:eastAsia="宋体" w:cs="宋体"/>
      <w:sz w:val="44"/>
      <w:szCs w:val="44"/>
      <w:lang w:val="zh-TW" w:eastAsia="zh-TW" w:bidi="zh-TW"/>
    </w:rPr>
  </w:style>
  <w:style w:type="paragraph" w:customStyle="1" w:styleId="32">
    <w:name w:val="Body text|1"/>
    <w:basedOn w:val="1"/>
    <w:qFormat/>
    <w:uiPriority w:val="0"/>
    <w:pPr>
      <w:widowControl w:val="0"/>
      <w:spacing w:line="432" w:lineRule="auto"/>
      <w:ind w:firstLine="400"/>
    </w:pPr>
    <w:rPr>
      <w:rFonts w:ascii="宋体" w:hAnsi="宋体" w:eastAsia="宋体" w:cs="宋体"/>
      <w:sz w:val="30"/>
      <w:szCs w:val="30"/>
      <w:lang w:val="zh-TW" w:eastAsia="zh-TW" w:bidi="zh-TW"/>
    </w:rPr>
  </w:style>
  <w:style w:type="paragraph" w:customStyle="1" w:styleId="33">
    <w:name w:val="Body text|2"/>
    <w:basedOn w:val="1"/>
    <w:qFormat/>
    <w:uiPriority w:val="0"/>
    <w:pPr>
      <w:widowControl w:val="0"/>
    </w:pPr>
    <w:rPr>
      <w:rFonts w:ascii="宋体" w:hAnsi="宋体" w:eastAsia="宋体" w:cs="宋体"/>
      <w:sz w:val="26"/>
      <w:szCs w:val="26"/>
      <w:lang w:val="zh-TW" w:eastAsia="zh-TW" w:bidi="zh-TW"/>
    </w:rPr>
  </w:style>
  <w:style w:type="character" w:customStyle="1" w:styleId="34">
    <w:name w:val="标题 4 字符"/>
    <w:link w:val="5"/>
    <w:qFormat/>
    <w:uiPriority w:val="0"/>
    <w:rPr>
      <w:rFonts w:ascii="Arial" w:hAnsi="Arial" w:eastAsia="黑体"/>
      <w:b/>
      <w:sz w:val="28"/>
    </w:rPr>
  </w:style>
  <w:style w:type="paragraph" w:customStyle="1" w:styleId="35">
    <w:name w:val="正文_0_1"/>
    <w:qFormat/>
    <w:uiPriority w:val="0"/>
    <w:pPr>
      <w:widowControl w:val="0"/>
      <w:spacing w:after="160" w:line="259" w:lineRule="auto"/>
      <w:jc w:val="both"/>
    </w:pPr>
    <w:rPr>
      <w:rFonts w:ascii="Times New Roman" w:hAnsi="Times New Roman" w:eastAsia="宋体" w:cs="Times New Roman"/>
      <w:kern w:val="2"/>
      <w:sz w:val="21"/>
      <w:szCs w:val="22"/>
      <w:lang w:val="en-US" w:eastAsia="zh-CN" w:bidi="ar-SA"/>
    </w:rPr>
  </w:style>
  <w:style w:type="paragraph" w:customStyle="1" w:styleId="36">
    <w:name w:val="样式1"/>
    <w:basedOn w:val="3"/>
    <w:qFormat/>
    <w:uiPriority w:val="0"/>
    <w:pPr>
      <w:spacing w:before="240" w:after="240" w:line="440" w:lineRule="exact"/>
      <w:jc w:val="center"/>
    </w:pPr>
    <w:rPr>
      <w:rFonts w:eastAsia="楷体"/>
      <w:sz w:val="36"/>
      <w:szCs w:val="28"/>
    </w:rPr>
  </w:style>
  <w:style w:type="character" w:customStyle="1" w:styleId="37">
    <w:name w:val="font31"/>
    <w:qFormat/>
    <w:uiPriority w:val="0"/>
    <w:rPr>
      <w:rFonts w:hint="eastAsia" w:ascii="宋体" w:hAnsi="宋体" w:eastAsia="宋体" w:cs="宋体"/>
      <w:color w:val="000000"/>
      <w:sz w:val="21"/>
      <w:szCs w:val="21"/>
      <w:u w:val="none"/>
    </w:rPr>
  </w:style>
  <w:style w:type="paragraph" w:customStyle="1" w:styleId="38">
    <w:name w:val="Default"/>
    <w:qFormat/>
    <w:uiPriority w:val="0"/>
    <w:pPr>
      <w:widowControl w:val="0"/>
      <w:autoSpaceDE w:val="0"/>
      <w:autoSpaceDN w:val="0"/>
      <w:adjustRightInd w:val="0"/>
      <w:spacing w:after="160" w:line="259" w:lineRule="auto"/>
    </w:pPr>
    <w:rPr>
      <w:rFonts w:ascii="Times New Roman" w:hAnsi="Times New Roman" w:eastAsia="宋体" w:cs="Times New Roman"/>
      <w:color w:val="000000"/>
      <w:sz w:val="24"/>
      <w:szCs w:val="24"/>
      <w:lang w:val="en-US" w:eastAsia="zh-CN" w:bidi="ar-SA"/>
    </w:rPr>
  </w:style>
  <w:style w:type="paragraph" w:customStyle="1" w:styleId="39">
    <w:name w:val="Table Paragraph"/>
    <w:basedOn w:val="1"/>
    <w:qFormat/>
    <w:uiPriority w:val="1"/>
    <w:pPr>
      <w:jc w:val="left"/>
    </w:pPr>
    <w:rPr>
      <w:kern w:val="0"/>
      <w:sz w:val="22"/>
      <w:szCs w:val="22"/>
      <w:lang w:eastAsia="en-US"/>
    </w:rPr>
  </w:style>
  <w:style w:type="paragraph" w:customStyle="1" w:styleId="40">
    <w:name w:val="表格内容五号"/>
    <w:basedOn w:val="1"/>
    <w:autoRedefine/>
    <w:qFormat/>
    <w:uiPriority w:val="0"/>
    <w:pPr>
      <w:spacing w:line="240" w:lineRule="auto"/>
      <w:ind w:firstLine="0" w:firstLineChars="0"/>
      <w:jc w:val="center"/>
    </w:pPr>
    <w:rPr>
      <w:rFonts w:eastAsia="楷体" w:cs="Arial Unicode MS"/>
      <w:kern w:val="0"/>
      <w:sz w:val="21"/>
    </w:rPr>
  </w:style>
  <w:style w:type="paragraph" w:customStyle="1" w:styleId="41">
    <w:name w:val="WPSOffice手动目录 1"/>
    <w:qFormat/>
    <w:uiPriority w:val="0"/>
    <w:pPr>
      <w:ind w:leftChars="0"/>
    </w:pPr>
    <w:rPr>
      <w:rFonts w:ascii="Times New Roman" w:hAnsi="Times New Roman" w:eastAsia="宋体" w:cs="Times New Roman"/>
      <w:sz w:val="20"/>
      <w:szCs w:val="20"/>
    </w:rPr>
  </w:style>
  <w:style w:type="paragraph" w:customStyle="1" w:styleId="42">
    <w:name w:val="WPSOffice手动目录 2"/>
    <w:qFormat/>
    <w:uiPriority w:val="0"/>
    <w:pPr>
      <w:ind w:leftChars="200"/>
    </w:pPr>
    <w:rPr>
      <w:rFonts w:ascii="Times New Roman" w:hAnsi="Times New Roman" w:eastAsia="宋体" w:cs="Times New Roman"/>
      <w:sz w:val="20"/>
      <w:szCs w:val="20"/>
    </w:rPr>
  </w:style>
  <w:style w:type="paragraph" w:customStyle="1" w:styleId="43">
    <w:name w:val="WPSOffice手动目录 3"/>
    <w:qFormat/>
    <w:uiPriority w:val="0"/>
    <w:pPr>
      <w:ind w:leftChars="400"/>
    </w:pPr>
    <w:rPr>
      <w:rFonts w:ascii="Times New Roman" w:hAnsi="Times New Roman" w:eastAsia="宋体" w:cs="Times New Roman"/>
      <w:sz w:val="20"/>
      <w:szCs w:val="20"/>
    </w:rPr>
  </w:style>
  <w:style w:type="paragraph" w:styleId="44">
    <w:name w:val="List Paragraph"/>
    <w:basedOn w:val="1"/>
    <w:unhideWhenUsed/>
    <w:qFormat/>
    <w:uiPriority w:val="99"/>
    <w:pPr>
      <w:ind w:firstLine="420" w:firstLineChars="200"/>
    </w:pPr>
  </w:style>
  <w:style w:type="table" w:customStyle="1" w:styleId="45">
    <w:name w:val="Table Normal"/>
    <w:semiHidden/>
    <w:unhideWhenUsed/>
    <w:qFormat/>
    <w:uiPriority w:val="2"/>
    <w:pPr>
      <w:widowControl w:val="0"/>
      <w:autoSpaceDE w:val="0"/>
      <w:autoSpaceDN w:val="0"/>
    </w:pPr>
    <w:rPr>
      <w:sz w:val="22"/>
      <w:lang w:eastAsia="en-US"/>
    </w:rPr>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Pages>
  <Words>10762</Words>
  <Characters>11681</Characters>
  <Lines>1270</Lines>
  <Paragraphs>1348</Paragraphs>
  <TotalTime>0</TotalTime>
  <ScaleCrop>false</ScaleCrop>
  <LinksUpToDate>false</LinksUpToDate>
  <CharactersWithSpaces>12033</CharactersWithSpaces>
  <Application>WPS Office_12.8.2.18913_F1E327BC-269C-435d-A152-05C5408002CA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2023-09-05T12:49:00Z</dcterms:created>
  <dc:creator>hxw</dc:creator>
  <cp:lastModifiedBy>lenovo</cp:lastModifiedBy>
  <cp:lastPrinted>2026-05-21T02:36:00Z</cp:lastPrinted>
  <dcterms:modified xsi:type="dcterms:W3CDTF">2026-05-22T09:10:31Z</dcterms:modified>
  <dc:title>政府采购招标文件</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2023-09-01T08:44:53Z</vt:filetime>
  </property>
  <property fmtid="{D5CDD505-2E9C-101B-9397-08002B2CF9AE}" pid="4" name="KSOProductBuildVer">
    <vt:lpwstr>2052-12.8.2.18913</vt:lpwstr>
  </property>
  <property fmtid="{D5CDD505-2E9C-101B-9397-08002B2CF9AE}" pid="5" name="ICV">
    <vt:lpwstr>0ABC830DB69A428B9F66D49DDFBA48A0_13</vt:lpwstr>
  </property>
  <property fmtid="{D5CDD505-2E9C-101B-9397-08002B2CF9AE}" pid="6" name="KSOTemplateDocerSaveRecord">
    <vt:lpwstr>eyJoZGlkIjoiNWQxOTI4YjAwNzJkNDNhYWFmMzgzOTA2MmE0ODcyZmMiLCJ1c2VySWQiOiIyNTQ4MjExODEifQ==</vt:lpwstr>
  </property>
  <property fmtid="{D5CDD505-2E9C-101B-9397-08002B2CF9AE}" pid="7" name="woTemplateTypoMode" linkTarget="0">
    <vt:lpwstr>web</vt:lpwstr>
  </property>
  <property fmtid="{D5CDD505-2E9C-101B-9397-08002B2CF9AE}" pid="8" name="woTemplate" linkTarget="0">
    <vt:i4>1</vt:i4>
  </property>
</Properties>
</file>