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01D18A">
      <w:pPr>
        <w:pageBreakBefore w:val="0"/>
        <w:widowControl w:val="0"/>
        <w:wordWrap/>
        <w:overflowPunct/>
        <w:topLinePunct w:val="0"/>
        <w:bidi w:val="0"/>
        <w:spacing w:before="47" w:line="219" w:lineRule="auto"/>
        <w:jc w:val="center"/>
        <w:outlineLvl w:val="1"/>
        <w:rPr>
          <w:color w:val="auto"/>
          <w:spacing w:val="0"/>
          <w:w w:val="100"/>
          <w:position w:val="0"/>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p>
    <w:p w14:paraId="50EC529F">
      <w:pPr>
        <w:pageBreakBefore w:val="0"/>
        <w:widowControl w:val="0"/>
        <w:wordWrap/>
        <w:overflowPunct/>
        <w:topLinePunct w:val="0"/>
        <w:bidi w:val="0"/>
        <w:spacing w:line="258" w:lineRule="auto"/>
        <w:rPr>
          <w:color w:val="auto"/>
          <w:spacing w:val="0"/>
          <w:w w:val="100"/>
          <w:position w:val="0"/>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p w14:paraId="27A5C741">
      <w:pPr>
        <w:pageBreakBefore w:val="0"/>
        <w:widowControl w:val="0"/>
        <w:wordWrap/>
        <w:overflowPunct/>
        <w:topLinePunct w:val="0"/>
        <w:bidi w:val="0"/>
        <w:spacing w:line="242" w:lineRule="auto"/>
        <w:rPr>
          <w:color w:val="auto"/>
          <w:spacing w:val="0"/>
          <w:w w:val="100"/>
          <w:position w:val="0"/>
        </w:rPr>
      </w:pPr>
    </w:p>
    <w:p w14:paraId="1A54ECE3">
      <w:pPr>
        <w:spacing w:line="360" w:lineRule="auto"/>
        <w:jc w:val="left"/>
        <w:rPr>
          <w:rFonts w:ascii="宋体" w:hAnsi="宋体"/>
          <w:color w:val="auto"/>
          <w:sz w:val="24"/>
          <w:highlight w:val="none"/>
        </w:rPr>
      </w:pPr>
      <w:r>
        <w:rPr>
          <w:rFonts w:hint="eastAsia" w:ascii="宋体" w:hAnsi="宋体" w:cs="宋体"/>
          <w:color w:val="auto"/>
          <w:sz w:val="24"/>
          <w:highlight w:val="none"/>
        </w:rPr>
        <w:t>（1）本项目为交钥匙工程。报价内容包含招标文件规定的货物附属售后服务，标准附件、辅材备品备件，专用工具</w:t>
      </w:r>
      <w:r>
        <w:rPr>
          <w:rFonts w:hint="eastAsia" w:ascii="宋体" w:hAnsi="宋体" w:cs="宋体"/>
          <w:color w:val="auto"/>
          <w:sz w:val="24"/>
          <w:highlight w:val="none"/>
          <w:lang w:val="en-US" w:eastAsia="zh-CN"/>
        </w:rPr>
        <w:t>；</w:t>
      </w:r>
      <w:r>
        <w:rPr>
          <w:rFonts w:hint="eastAsia" w:ascii="宋体" w:hAnsi="宋体" w:cs="宋体"/>
          <w:color w:val="auto"/>
          <w:sz w:val="24"/>
          <w:highlight w:val="none"/>
        </w:rPr>
        <w:t>安装、调试、检验，培训，技术服务，三通一平、运至最终目的地的运费和保险费等完成本项目所需的全部费用及相关税费。采购人不支付其他费用。</w:t>
      </w:r>
    </w:p>
    <w:p w14:paraId="52257552">
      <w:pPr>
        <w:spacing w:line="360" w:lineRule="auto"/>
        <w:rPr>
          <w:rFonts w:hAnsi="宋体" w:cs="宋体"/>
          <w:color w:val="auto"/>
          <w:sz w:val="24"/>
          <w:highlight w:val="none"/>
        </w:rPr>
      </w:pPr>
      <w:r>
        <w:rPr>
          <w:rFonts w:hint="eastAsia" w:ascii="宋体" w:hAnsi="宋体" w:cs="宋体"/>
          <w:color w:val="auto"/>
          <w:sz w:val="24"/>
          <w:highlight w:val="none"/>
        </w:rPr>
        <w:t>（</w:t>
      </w:r>
      <w:r>
        <w:rPr>
          <w:rFonts w:hint="eastAsia" w:ascii="宋体" w:hAnsi="宋体" w:cs="宋体"/>
          <w:color w:val="auto"/>
          <w:sz w:val="24"/>
          <w:highlight w:val="none"/>
          <w:lang w:val="en-US" w:eastAsia="zh-CN"/>
        </w:rPr>
        <w:t>2</w:t>
      </w:r>
      <w:r>
        <w:rPr>
          <w:rFonts w:hint="eastAsia" w:ascii="宋体" w:hAnsi="宋体" w:cs="宋体"/>
          <w:color w:val="auto"/>
          <w:sz w:val="24"/>
          <w:highlight w:val="none"/>
        </w:rPr>
        <w:t>）</w:t>
      </w:r>
      <w:r>
        <w:rPr>
          <w:rFonts w:hint="eastAsia" w:hAnsi="宋体" w:cs="宋体"/>
          <w:color w:val="auto"/>
          <w:sz w:val="24"/>
          <w:highlight w:val="none"/>
        </w:rPr>
        <w:t>采购标的名称、技术参数要求及数量（包括主件及附件，含安装）</w:t>
      </w:r>
    </w:p>
    <w:tbl>
      <w:tblPr>
        <w:tblStyle w:val="3"/>
        <w:tblpPr w:leftFromText="180" w:rightFromText="180" w:vertAnchor="text" w:horzAnchor="page" w:tblpXSpec="center" w:tblpY="458"/>
        <w:tblOverlap w:val="never"/>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8"/>
        <w:gridCol w:w="2416"/>
        <w:gridCol w:w="4127"/>
        <w:gridCol w:w="659"/>
        <w:gridCol w:w="659"/>
      </w:tblGrid>
      <w:tr w14:paraId="53323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FB831E">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序号</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A314FFC">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名称</w:t>
            </w:r>
          </w:p>
        </w:tc>
        <w:tc>
          <w:tcPr>
            <w:tcW w:w="2430"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1D7E389">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基础参数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9AD6CC">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单位</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148111">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数量</w:t>
            </w:r>
          </w:p>
        </w:tc>
      </w:tr>
      <w:tr w14:paraId="02EB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000" w:type="pct"/>
            <w:gridSpan w:val="5"/>
            <w:tcBorders>
              <w:top w:val="single" w:color="000000" w:sz="8" w:space="0"/>
              <w:left w:val="single" w:color="000000" w:sz="8" w:space="0"/>
              <w:bottom w:val="single" w:color="000000" w:sz="8" w:space="0"/>
              <w:right w:val="single" w:color="000000" w:sz="8" w:space="0"/>
            </w:tcBorders>
            <w:shd w:val="clear" w:color="auto" w:fill="auto"/>
            <w:noWrap/>
            <w:vAlign w:val="center"/>
          </w:tcPr>
          <w:p w14:paraId="5C61C4CE">
            <w:pPr>
              <w:keepNext w:val="0"/>
              <w:keepLines w:val="0"/>
              <w:widowControl/>
              <w:suppressLineNumbers w:val="0"/>
              <w:jc w:val="left"/>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一、五期智能化系统</w:t>
            </w:r>
          </w:p>
        </w:tc>
      </w:tr>
      <w:tr w14:paraId="31BD7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C03D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FF03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室外枪型摄像机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518347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400万双光筒型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像素:400万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最高分辨率:2560*1440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焦距:4.0 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补光模式:红外补光，暖光补光，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智能双光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补光距离:红外补光≥50m，暖光补光≥10米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宽动态:数字宽动态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最大实况流路数:≥6路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测光模式:中央权重、区域测光、点测光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音频编码格式:G.711A、G.711U</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周界布防:越界检测、区域入侵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兼容接入:ONVIF;API;GB/T 28181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国标:支持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防水防尘:IP67</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4726EB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8C303C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53</w:t>
            </w:r>
          </w:p>
        </w:tc>
      </w:tr>
      <w:tr w14:paraId="5E0DA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548D6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1217F3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半球摄像机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FFC47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400万双光警戒碟形半球网络摄像机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传感器靶面:1/3.0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光圈:F1.6</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焦距:2.8 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补光距离:红外补光≥30m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宽动态:光学宽动态≥120dB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视频编码格式:超级265;H.265;H.264;MJPEG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最大实况流路数:20路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音频编码格式:G.711U、G.711A、AAC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内置扬声器:1个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运动检测:支持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音频输入:1路音频输入；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输入口：阻抗35KΩ，幅值2V[p-p]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音频输出:1路音频输出；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输出口：阻抗600Ω，幅值2V[p-p]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SD卡接口:Micro SD插槽*1,最大支持512GB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RTC:支持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复位按键:支持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外壳材质:塑胶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F88A7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71780C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r>
      <w:tr w14:paraId="23B8A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E88932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AD0CD2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高清电梯专用摄像机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2D225A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400万双光警戒碟形半球网络摄像机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补光距离:红外补光≥30m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宽动态:光学宽动态≥120dB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视频编码格式:超级265;H.265;H.264;MJPEG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区域增强:≥4个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最大实况流路数:20路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音频编码格式:G.711U、G.711A、AAC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内置扬声器:1个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运动检测:支持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音频输入:1路音频输入；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输入口：阻抗35KΩ，幅值2V[p-p]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音频输出:1路音频输出；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输出口：阻抗600Ω，幅值2V[p-p]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SD卡接口:Micro SD插槽*1,最大支持512GB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RTC:支持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复位按键:支持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外壳材质:塑胶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CE1FC4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74ACD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0D678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FEDEB9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4AC096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6寸筒机壁装支架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075A78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6寸筒机壁装支架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使用环境:室内、室外</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尺寸:193mmx60mmx77mm(7.6”x 2.4”x 3.0”)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重量:0.2kg(0.384lb)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材质:铝合金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使用范围:筒机壁装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调节范围:水平：360°，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垂直：90°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1E02E0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C6BC8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68</w:t>
            </w:r>
          </w:p>
        </w:tc>
      </w:tr>
      <w:tr w14:paraId="5DC98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4D62A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FF8FEE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监控立杆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CCB92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3.5米室外立杆含地笼、防水箱、支臂</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35FBB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9FCD8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35058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A9E18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6B541A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16口POE交换机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845F8D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1、端口：≥16个千兆电口+2个千兆光口；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2、支持POE+，整机POE功率≥250W；</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3、支持静态MAC配置，MAC地址学习数目限制(MAC地址深度最大支持8K)；</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4、支持黑洞MAC；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5、无风扇设计，自然散热；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6、防雷等级≥6KV。</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094A3C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C6A05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r>
      <w:tr w14:paraId="34E2E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7E67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18F5FE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24口POE交换机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7A0805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1、接口类型：≥24个GE端口，≥2个千兆SFP口（非复用）；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2、支持PoE+供电，整机POE输出功率≥370W；</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3、支持802.1Q(最大4K个VLAN)、支持基于协议的VLAN、IP子网的VLAN、MAC的VLAN；</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4、动态链路聚合(802.3ad)/静态端口聚合、802.1p、802.1Q、电缆诊断；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5、支持STP(802.1D)/RSTP(802.1w)/MSTP(802.1s)；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6、支持Diff</w:t>
            </w:r>
            <w:r>
              <w:rPr>
                <w:rStyle w:val="7"/>
                <w:rFonts w:eastAsia="宋体"/>
                <w:color w:val="auto"/>
                <w:lang w:val="en-US" w:eastAsia="zh-CN" w:bidi="ar"/>
              </w:rPr>
              <w:t xml:space="preserve"> </w:t>
            </w:r>
            <w:r>
              <w:rPr>
                <w:rStyle w:val="8"/>
                <w:color w:val="auto"/>
                <w:lang w:val="en-US" w:eastAsia="zh-CN" w:bidi="ar"/>
              </w:rPr>
              <w:t>Serv QoS、支持SP/WRR/SP+WRR；</w:t>
            </w:r>
            <w:r>
              <w:rPr>
                <w:rStyle w:val="8"/>
                <w:color w:val="auto"/>
                <w:lang w:val="en-US" w:eastAsia="zh-CN" w:bidi="ar"/>
              </w:rPr>
              <w:br w:type="textWrapping"/>
            </w:r>
            <w:r>
              <w:rPr>
                <w:rStyle w:val="8"/>
                <w:rFonts w:hint="eastAsia"/>
                <w:color w:val="auto"/>
                <w:lang w:val="en-US" w:eastAsia="zh-CN" w:bidi="ar"/>
              </w:rPr>
              <w:t>7</w:t>
            </w:r>
            <w:r>
              <w:rPr>
                <w:rStyle w:val="8"/>
                <w:color w:val="auto"/>
                <w:lang w:val="en-US" w:eastAsia="zh-CN" w:bidi="ar"/>
              </w:rPr>
              <w:t>、支持流控(802.3x)、支持绿色以太网（EEE）、端口自动节能；</w:t>
            </w:r>
            <w:r>
              <w:rPr>
                <w:rStyle w:val="8"/>
                <w:color w:val="auto"/>
                <w:lang w:val="en-US" w:eastAsia="zh-CN" w:bidi="ar"/>
              </w:rPr>
              <w:br w:type="textWrapping"/>
            </w:r>
            <w:r>
              <w:rPr>
                <w:rStyle w:val="8"/>
                <w:rFonts w:hint="eastAsia"/>
                <w:color w:val="auto"/>
                <w:lang w:val="en-US" w:eastAsia="zh-CN" w:bidi="ar"/>
              </w:rPr>
              <w:t>8</w:t>
            </w:r>
            <w:r>
              <w:rPr>
                <w:rStyle w:val="8"/>
                <w:color w:val="auto"/>
                <w:lang w:val="en-US" w:eastAsia="zh-CN" w:bidi="ar"/>
              </w:rPr>
              <w:t>、支持多种DoS攻击检测功能，ARP防攻击、TCP攻击防御、端口安全功能；</w:t>
            </w:r>
            <w:r>
              <w:rPr>
                <w:rStyle w:val="8"/>
                <w:color w:val="auto"/>
                <w:lang w:val="en-US" w:eastAsia="zh-CN" w:bidi="ar"/>
              </w:rPr>
              <w:br w:type="textWrapping"/>
            </w:r>
            <w:r>
              <w:rPr>
                <w:rStyle w:val="8"/>
                <w:rFonts w:hint="eastAsia"/>
                <w:color w:val="auto"/>
                <w:lang w:val="en-US" w:eastAsia="zh-CN" w:bidi="ar"/>
              </w:rPr>
              <w:t>9</w:t>
            </w:r>
            <w:r>
              <w:rPr>
                <w:rStyle w:val="8"/>
                <w:color w:val="auto"/>
                <w:lang w:val="en-US" w:eastAsia="zh-CN" w:bidi="ar"/>
              </w:rPr>
              <w:t>、支持≥6KV业务端口防雷能力；</w:t>
            </w:r>
            <w:r>
              <w:rPr>
                <w:rStyle w:val="8"/>
                <w:color w:val="auto"/>
                <w:lang w:val="en-US" w:eastAsia="zh-CN" w:bidi="ar"/>
              </w:rPr>
              <w:br w:type="textWrapping"/>
            </w:r>
            <w:r>
              <w:rPr>
                <w:rStyle w:val="8"/>
                <w:color w:val="auto"/>
                <w:lang w:val="en-US" w:eastAsia="zh-CN" w:bidi="ar"/>
              </w:rPr>
              <w:t>1</w:t>
            </w:r>
            <w:r>
              <w:rPr>
                <w:rStyle w:val="8"/>
                <w:rFonts w:hint="eastAsia"/>
                <w:color w:val="auto"/>
                <w:lang w:val="en-US" w:eastAsia="zh-CN" w:bidi="ar"/>
              </w:rPr>
              <w:t>0</w:t>
            </w:r>
            <w:r>
              <w:rPr>
                <w:rStyle w:val="8"/>
                <w:color w:val="auto"/>
                <w:lang w:val="en-US" w:eastAsia="zh-CN" w:bidi="ar"/>
              </w:rPr>
              <w:t>、支持中文WEB管理、支持SNMP协议管理。</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05980C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250BF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56058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E442C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C349AD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核心交换机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094D54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1、端口：≥24个千兆光口（其中8个Combo口）+4个万兆SFP光，1个业务扩展槽口，≥1个micro USB+1USB；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2、硬件可靠：支持可热插拔模块电源冗余和可热插拔模块化风扇冗余；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3、支持STP、RSTP、MSTP；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4、支持DHCP Server、DHCP Relay、DHCP Snooping；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5、支持WRR、WFQ、SP+WRR、WDRR、SP+WDRR、SP+WFQ；</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6、支持本地端口镜像和远程端口镜像RSPAN；支持静态路由、RIPv1/v2、RIPng、OSPFv1/v2、OSPFv3、BGP4、BGP4+for IPv6、等价路由、策略路由；</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7、支持VRRP、VRRPv3、802.1X认证、集中式MAC地址认证、支持PORTAL认证、动态ARP检测、防止中间人攻击和ARP拒绝服务；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8、支持基于第二层、第三层和第四层的ACL，整机提供ACl条目数≥3000条；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9、符合IEEE 802.3az（EEE）节能标准，支持端口休眠，关闭没有应用的端口，节省能源；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10、本次实配双电源+双风扇冗余。</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EF9CBB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E740D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5C6E6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407637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88D645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模块(模块箱）</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E8A3E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光模块-SFP-GE-单模模块nm,10km,LC)-(1310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E2F42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D95DD0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r>
      <w:tr w14:paraId="76079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1C8797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57872D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无线网桥</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196A1D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无线网桥,单频2.4G,1个百兆自适应网口,无线速率300M,最大传输距离500米,支持DC/24V PoE供电，防水防尘等级IP64。</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套装，包含发射端和接收端两个设备，出厂默认配对。</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E005B7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A6FC0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73FAA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435752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9FBA6F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双绞线缆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E8CBD2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符合标准：ANSI∕TIA-568.2-D，ISO/IEC 11801、YD/T926.2-2009</w:t>
            </w:r>
          </w:p>
          <w:p w14:paraId="370A1B0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1.成卷方式采用专用八字打卷设备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2.外箱带有出线口，无需拆箱即可进行布线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3.软圆铜线：0.52±0.01mm，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4.绝缘：HDPE 0.9±0.05mm，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5.高纯度无氧铜（纯度99.99%）十字骨架设计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6.传输延时差：≤45ns/100m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7.护套材料：PVC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8.护套外径：5.6±0.2mm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9.敷设方式：钢管或阻燃硬质PVC管内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10.安装温度：0℃～+50℃，工作温度：-20℃～+75℃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2E4BA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nil"/>
              <w:left w:val="nil"/>
              <w:bottom w:val="nil"/>
              <w:right w:val="nil"/>
            </w:tcBorders>
            <w:shd w:val="clear" w:color="auto" w:fill="auto"/>
            <w:noWrap/>
            <w:vAlign w:val="center"/>
          </w:tcPr>
          <w:p w14:paraId="4B67758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3660</w:t>
            </w:r>
          </w:p>
        </w:tc>
      </w:tr>
      <w:tr w14:paraId="0A93F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CB0EC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F897E6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8芯室外单模光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纤</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81A4E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1.参考标准：YD/T769-2018</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2.将单模光纤套入PBT松套管中，套管内填充防水化合物</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3.松套管外用一层双面涂塑钢带（PSP）纵包，钢带和松套管之间加阻水材料以保证光缆的紧凑和纵向阻水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4.两侧放置两根平行钢丝后聚乙烯（PE）护套</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5.全截面阻水结构，松套管填充特种油膏，确保良好的阻水防潮性能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6.敷设方式：管道、非自承架空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7.安装温度：＞-15℃，工作温度：-30℃～+60℃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C60B68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EBC39A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2000</w:t>
            </w:r>
          </w:p>
        </w:tc>
      </w:tr>
      <w:tr w14:paraId="5D8B9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578976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7FD75C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F586DD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含24个LC耦合器，24条LC尾纤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1、符合标准：YD/T 778-2011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2、19英寸机架式，1.2mm冷扎板材料，静电喷涂，全密封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5、规格可选1U：24-48芯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6、适配器可选:ST、FC、SC、LC双联、SC双联机架固定式、集光缆、尾纤接续、尾纤、跳线收容等功能为一体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7、绝缘电阻：光缆终端和金属构件与光缆金属加强芯之间、光缆金属构件之间、光缆金属构件与地之间的绝缘电阻应大于2×104MΩ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8、抗电强度：光缆终端和金属构件与光缆金属加强芯之间、光缆金属构件之间、光缆金属构件与地之间在15kV直流电压作用下，1min不飞狐。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9、工作温度：-40℃～+85℃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3E676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5D570D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239B6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19D4CE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8A4D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室外防水设备柜</w:t>
            </w:r>
          </w:p>
        </w:tc>
        <w:tc>
          <w:tcPr>
            <w:tcW w:w="2430"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F97DBF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尺寸：800*600*200mm源空开、插排等</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3529F8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9E31C3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r>
      <w:tr w14:paraId="23782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CC5DB8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358DEF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弱电壁挂设备箱</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A93AA5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弱电壁挂设备箱，包含电源空开、插排</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B21E6D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E6051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r>
      <w:tr w14:paraId="5F231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4D699A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5A73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机柜、机架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44D463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600*1200/42U</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314AD3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5853A1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79EE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6BD6D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17</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6811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6AB167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管内穿线RVV3*2.5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1E211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6C8E08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800</w:t>
            </w:r>
          </w:p>
        </w:tc>
      </w:tr>
      <w:tr w14:paraId="7F98B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9392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395A3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4842A6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管内穿线穿动力线铜芯导线截面(mm2)≤4 RVV3*4</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7B7F9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E7D957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1000</w:t>
            </w:r>
          </w:p>
        </w:tc>
      </w:tr>
      <w:tr w14:paraId="34A83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8D01C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19</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D07E5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配管</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FF3BA1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KBG20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9D5B3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E3AF7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w:t>
            </w:r>
          </w:p>
        </w:tc>
      </w:tr>
      <w:tr w14:paraId="225AE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E510AD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07123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光纤连接</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EE11B6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光纤连接熔接法单模</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AE1CA9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芯</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F29A5C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112</w:t>
            </w:r>
          </w:p>
        </w:tc>
      </w:tr>
      <w:tr w14:paraId="4193E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885FD9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75455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人(手）孔砌筑</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FE6C95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砖砌400*500*500内外粉刷</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1DF05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56A6E8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r>
      <w:tr w14:paraId="58E95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A91EFE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1C2BD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挖沟槽土方</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AA7996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反铲挖掘机(斗容量1.0m3)不装车三类土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54990C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3</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D403A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160</w:t>
            </w:r>
          </w:p>
        </w:tc>
      </w:tr>
      <w:tr w14:paraId="3D0E8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B6798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8409BF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回填方</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979292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机械填土夯实槽、坑</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5F676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3</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989717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160</w:t>
            </w:r>
          </w:p>
        </w:tc>
      </w:tr>
      <w:tr w14:paraId="74610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96E7B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89E27D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调试</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9A8C6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安全防范分系统调试统调试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459D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AC8EE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2FBE2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12FB6D3">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95E30F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五期五方通话系统</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B004D1A">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0F942C">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468F6D8">
            <w:pPr>
              <w:jc w:val="center"/>
              <w:rPr>
                <w:rFonts w:hint="eastAsia" w:ascii="宋体" w:hAnsi="宋体" w:eastAsia="宋体" w:cs="宋体"/>
                <w:i w:val="0"/>
                <w:iCs w:val="0"/>
                <w:color w:val="auto"/>
                <w:sz w:val="20"/>
                <w:szCs w:val="20"/>
                <w:u w:val="none"/>
              </w:rPr>
            </w:pPr>
          </w:p>
        </w:tc>
      </w:tr>
      <w:tr w14:paraId="5D2AC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A2808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B55B90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CF2075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电缆产品名称:RVVP</w:t>
            </w:r>
          </w:p>
          <w:p w14:paraId="21687E05">
            <w:pPr>
              <w:keepNext w:val="0"/>
              <w:keepLines w:val="0"/>
              <w:widowControl/>
              <w:suppressLineNumbers w:val="0"/>
              <w:jc w:val="left"/>
              <w:rPr>
                <w:rFonts w:hint="eastAsia" w:ascii="宋体" w:hAnsi="宋体" w:eastAsia="宋体" w:cs="宋体"/>
                <w:i w:val="0"/>
                <w:iCs w:val="0"/>
                <w:color w:val="auto"/>
                <w:sz w:val="20"/>
                <w:szCs w:val="20"/>
                <w:u w:val="none"/>
              </w:rPr>
            </w:pPr>
            <w:r>
              <w:rPr>
                <w:rFonts w:hint="eastAsia" w:ascii="宋体" w:hAnsi="宋体" w:eastAsia="宋体" w:cs="宋体"/>
                <w:snapToGrid w:val="0"/>
                <w:color w:val="auto"/>
                <w:kern w:val="0"/>
                <w:sz w:val="22"/>
                <w:szCs w:val="22"/>
                <w:highlight w:val="none"/>
                <w:lang w:val="en-US" w:eastAsia="zh-CN" w:bidi="ar"/>
              </w:rPr>
              <w:t>规格：RVVP4*1.0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护套线产品颜色:黑色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导体材料:无氧铜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绝缘材料:聚氯乙烯(PVC)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屏蔽:镀锡铜丝编制屏蔽</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BE031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8146CB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1600</w:t>
            </w:r>
          </w:p>
        </w:tc>
      </w:tr>
      <w:tr w14:paraId="0F60B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F7E9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26</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651DFF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配管</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0CFEB1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KBG20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B8243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18D69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250</w:t>
            </w:r>
          </w:p>
        </w:tc>
      </w:tr>
      <w:tr w14:paraId="6A759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9ED59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27</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9BC0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扩声系统试运行</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0293ED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五方通话设备系统调试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B378F6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0E964B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53E05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AF17B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6BC8AC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脚手架搭拆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27CCB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EF889F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1AF64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5DBDD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5000" w:type="pct"/>
            <w:gridSpan w:val="5"/>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5230C3">
            <w:pPr>
              <w:keepNext w:val="0"/>
              <w:keepLines w:val="0"/>
              <w:widowControl/>
              <w:suppressLineNumbers w:val="0"/>
              <w:jc w:val="left"/>
              <w:textAlignment w:val="center"/>
              <w:rPr>
                <w:rFonts w:hint="eastAsia" w:ascii="宋体" w:hAnsi="宋体" w:eastAsia="宋体" w:cs="宋体"/>
                <w:b/>
                <w:bCs/>
                <w:i w:val="0"/>
                <w:iCs w:val="0"/>
                <w:color w:val="auto"/>
                <w:sz w:val="20"/>
                <w:szCs w:val="20"/>
                <w:u w:val="none"/>
              </w:rPr>
            </w:pPr>
            <w:r>
              <w:rPr>
                <w:rFonts w:hint="eastAsia" w:ascii="宋体" w:hAnsi="宋体" w:eastAsia="宋体" w:cs="宋体"/>
                <w:b/>
                <w:bCs/>
                <w:i w:val="0"/>
                <w:iCs w:val="0"/>
                <w:color w:val="auto"/>
                <w:kern w:val="0"/>
                <w:sz w:val="20"/>
                <w:szCs w:val="20"/>
                <w:u w:val="none"/>
                <w:lang w:val="en-US" w:eastAsia="zh-CN" w:bidi="ar"/>
              </w:rPr>
              <w:t>二、六期智能化系统</w:t>
            </w:r>
          </w:p>
        </w:tc>
      </w:tr>
      <w:tr w14:paraId="7D297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D523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2D0FC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室外枪型摄像机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35E600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400万双光筒型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像素:400万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最高分辨率:2560*1440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焦距:4.0 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补光模式:红外补光，暖光补光，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智能双光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补光距离:红外补光≥50m，暖光补光≥10米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宽动态:数字宽动态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最大实况流路数:≥6路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测光模式:中央权重、区域测光、点测光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音频编码格式:G.711A、G.711U</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周界布防:越界检测、区域入侵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兼容接入:ONVIF;API;GB/T 28181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国标:支持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防水防尘:IP67</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72A2B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7E8FA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54</w:t>
            </w:r>
          </w:p>
        </w:tc>
      </w:tr>
      <w:tr w14:paraId="311FD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AF633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A2C24F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半球摄像机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5F6501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400万双光警戒碟形半球网络摄像机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传感器靶面:1/3.0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光圈:F1.6</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焦距:2.8 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补光距离:红外补光≥30m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宽动态:光学宽动态≥120dB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视频编码格式:超级265;H.265;H.264;MJPEG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OSD数量:最大8行</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最大实况流路数:20路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音频编码格式:G.711U、G.711A、AAC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内置扬声器:1个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运动检测:支持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音频输入:1路音频输入；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输入口：阻抗35KΩ，幅值2V[p-p]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音频输出:1路音频输出；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输出口：阻抗600Ω，幅值2V[p-p]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SD卡接口:Micro SD插槽*1,最大支持512GB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RTC:支持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复位按键:支持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外壳材质:塑胶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8D0AA2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135AE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r>
      <w:tr w14:paraId="5A81D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AA643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BB17D1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室外热成像摄像机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30B35B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热成像双光谱筒型网络摄像机</w:t>
            </w:r>
          </w:p>
          <w:p w14:paraId="3F1BA37B">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像素:400万</w:t>
            </w:r>
          </w:p>
          <w:p w14:paraId="1489210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传感器靶面:1/2.9</w:t>
            </w:r>
          </w:p>
          <w:p w14:paraId="17DB76A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原始分辨率-热成像:256*192</w:t>
            </w:r>
          </w:p>
          <w:p w14:paraId="2EE9529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像元尺寸-热成像:≥12μm</w:t>
            </w:r>
          </w:p>
          <w:p w14:paraId="7BAD880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测温精度:±8℃或±8%(取大值)</w:t>
            </w:r>
          </w:p>
          <w:p w14:paraId="6388DCD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测温范围:-20℃~150℃，100℃~550℃，两档可选</w:t>
            </w:r>
          </w:p>
          <w:p w14:paraId="786A34B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视场角-热成像:58.0°*42.5°</w:t>
            </w:r>
          </w:p>
          <w:p w14:paraId="35D92F6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水平视场角:±74.9°</w:t>
            </w:r>
          </w:p>
          <w:p w14:paraId="356D7D2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垂直视场角:±44.4°</w:t>
            </w:r>
          </w:p>
          <w:p w14:paraId="040E4A7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补光模式:红外补光</w:t>
            </w:r>
          </w:p>
          <w:p w14:paraId="108E440B">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补光距离:≥40m</w:t>
            </w:r>
          </w:p>
          <w:p w14:paraId="693FE50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周界布防:支持双通道周界布防，包括越界检测、区域入侵、进入区域、离开区域； 可见光通道支持机动车、非机动车、行人目标分类检测抓拍及布防 热成像通道支持机动车、行人目标分类检测抓拍及布防，目标报警过滤功能检验：可对触发高温报警的目标进行识别和过滤可过滤的目标类型包括卡车、吊车。</w:t>
            </w:r>
          </w:p>
          <w:p w14:paraId="04B8F39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烟雾检测:可见光支持烟火检测，可识别环境中的烟雾，实现单独或者辅助热成像火点进行告警，提高准确性</w:t>
            </w:r>
          </w:p>
          <w:p w14:paraId="346CB6E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吸烟报警:仅热成像通道支持： 支持检测出环境中吸烟行为，并支持联动报警</w:t>
            </w:r>
          </w:p>
          <w:p w14:paraId="0451D24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火点检测:仅热成像通道支持： 支持检测环境中多个火点，并支持联动报警；  支持多火点检测区域屏蔽功能，同时检测火点≥10个，火点检测距离:≥13m（目标尺寸0.1m×0.1m）</w:t>
            </w:r>
          </w:p>
          <w:p w14:paraId="1FD53BE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温度检测:仅热成像通道支持： 支持规则测温，支持以点、线、多边形来设置测温规则，最多支持同时设置12个规则； 支持联动声光告警，告警支持上报平台，告警图片可叠加温度信息； 支持在规则画面中实时显示最高温、最低温和平均温</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A732CF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A745E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r>
      <w:tr w14:paraId="5A883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FF4F5D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85C855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高清电梯专用摄像机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AEF4A3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400万双光警戒碟形半球网络摄像机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补光模式:红外补光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补光距离:红外补光≥30m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宽动态:光学宽动态≥120dB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视频编码格式:超级265;H.265;H.264;MJPEG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OSD字库:点阵字库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隐私遮盖区域数目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区域增强:≥4个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最大实况流路数:20路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音频编码格式:G.711U、G.711A、AAC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内置扬声器:1个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运动检测:支持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音频输入:1路音频输入；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输入口：阻抗35KΩ，幅值2V[p-p]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音频输出:1路音频输出；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输出口：阻抗600Ω，幅值2V[p-p]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SD卡接口:Micro SD插槽*1,最大支持512GB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RTC:支持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复位按键:支持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外壳材质:塑胶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9E258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09ED6C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r>
      <w:tr w14:paraId="52D6C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14EE1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83E6B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人脸识别摄像机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E377BE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400万全彩定焦智能抓拍筒型网络摄像机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像素:400万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最高分辨率:2688*1520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焦距:6.0 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变焦方式:定焦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光圈:F1.0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水平视场角:±52.1°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垂直视场角:±29.4°</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补光距离:≥10m人脸补光、≥50m普通监控</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最低照度:0.0003lux（F1.0，AGC ON，彩色），0.0002lux（F1.0，AGC ON，黑白）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视频编码格式:超级265;H.265;</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H.264;MJPEG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视频参数:主码流：2688*1520，2560*1440，2304*1296，1920*1080，1280*720，D1，640*360，2CIF，CIF；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辅码流：1920*1080，1280*720，D1，640*360，2CIF，CIF；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第三流：D1，640*360，2CIF，CIF；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最高帧率:≥30帧</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最大实况流路数:≥35路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内置Mic:≥2个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内置扬声器:≥1个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人脸检测:最多可同时检测≥40个人脸目标；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支持效果优先、速度优先、周期优选三种人脸抓拍优选模式，支持人脸角度过滤；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支持人脸、人体抓拍及关联，支持人脸、人体属性提取；</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人脸属性：性别、年龄段、戴眼镜、戴口罩、帽子款式、帽子颜色；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人体属性：性别、年龄段、戴口罩、上衣颜色、下衣颜色、上衣款式、下衣款式、上衣纹理、携包、身姿、鞋子、发型、移动方向；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混行检测:支持机动车、非机动车、行人、人脸检测抓拍及布防；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机动车属性：车牌号码、车牌颜色、车牌类型；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周界布防:支持越界检测、区域入侵、进入区域、离开区域；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支持机动车、非机动车、行人目标分类检测抓拍及布防；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人数统计:人流量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统计：支持总人数、进入人数、离开人数统计，支持滞留人数三级报警，支持人数统计清零；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人员密度检测：支持人员密度三级报警；</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道路监控:支持车道设置，可分车道检测抓拍机非人不同类别目标；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支持高低杆设置切换：高杆适用于道路卡口抓拍，低杆适用于园区出入口抓拍；</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机动车属性：车牌号码、车牌颜色、车牌种类、车辆类型、车身颜色、车辆品牌、车款；</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普通事件:运动检测;遮挡检测;声音检测;报警输入;报警输出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兼容接入:ONVIF;GB/T 28181;GA/T 1400;API</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SD卡接口:MicroSD插槽*1,最大支持256GB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告警输入:1入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告警输出:1出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网口:RJ45 10M/100M自适应以太网电口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电源:DC12V±25%;POE(IEEE802.3af)</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电源反送:支持（DC12V，100mA）</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防水防尘:IP67</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温度:-30℃~60℃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828AB8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A062A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6F635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4739F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22861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摄像机支架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7C8B4F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摄像机支架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4845E7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A471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76</w:t>
            </w:r>
          </w:p>
        </w:tc>
      </w:tr>
      <w:tr w14:paraId="41A8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1C04F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43FF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监控立杆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43C7F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3.5米室外立杆含地笼、防水箱、支臂</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44ADA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59A82B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2BAF7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A36FBB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196EA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智慧物联综合管理一体机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FC7882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智慧物联综合管理一体机融视频、人行、车行、运维、安保、智能等各类管理业务于一体；</w:t>
            </w:r>
          </w:p>
          <w:p w14:paraId="1336E08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支持局域网接入并管理IPC、NVR、AIBox智能分析盒、解码器、人脸门禁、通用门禁、可视对讲设备、出入口设备、巡更设备、消防主机报警、动环主机报警、访客设备、雷达设备、第三方厂商（报警、门禁）设备；</w:t>
            </w:r>
          </w:p>
          <w:p w14:paraId="7CA9C78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支持云端设备接入：IPC、NVR和人脸门禁；</w:t>
            </w:r>
          </w:p>
          <w:p w14:paraId="0E1EFC2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支持私有协议、GB/T28181国标协议、GA/T1400视图库协议、ONVIF标准协议；</w:t>
            </w:r>
          </w:p>
          <w:p w14:paraId="4DCAE21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支持实况、回放、轮巡、视图、电视墙、电子地图、语音对讲、语音广播、报警联动等基础功能，还支持门禁控制、访客管理、园区车辆业务、人员管理业务、客流统计、停车管理、报警系统、运维等扩展功能；</w:t>
            </w:r>
          </w:p>
          <w:p w14:paraId="2A0FE56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支持大屏控制，可对大屏进行分屏、拼接、开窗、窗口漫游的操作，通过客户端支持电视墙开窗后支持分割，并可将大屏分屏配置另保存为场景，支持监控点上墙、拼接、分屏、漫游、预案切换等操作.</w:t>
            </w:r>
          </w:p>
          <w:p w14:paraId="4E7703B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支持第三方厂商报警、门禁、访客机等各类设备对接协议套数限制3套，包含2套SDK；</w:t>
            </w:r>
          </w:p>
          <w:p w14:paraId="62A9013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支持IPSAN管理，管理设备数5台;</w:t>
            </w:r>
          </w:p>
          <w:p w14:paraId="5A0FA23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转码能力：国标流转RTSP带宽（Mbps）200、RTSP转国标流带宽（Mbps）200；</w:t>
            </w:r>
          </w:p>
          <w:p w14:paraId="7AC9EB8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国标GB/T28181互联能力：下级域视频设备接入数下级域视频设备接入数：≥1000；下级域告警事件（条/秒）≥50；视音频接入带宽≥400（Mbps）、视音频转发带宽≥400（Mbps）；</w:t>
            </w:r>
          </w:p>
          <w:p w14:paraId="40EC87E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视图库GA/T1400互联能力：注册路数≥1000、带宽≥130（Mbps）；</w:t>
            </w:r>
          </w:p>
          <w:p w14:paraId="54E0DD1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P2P能力：转发带宽≥200（Mbps）、接入带宽≥200（Mbps）；</w:t>
            </w:r>
          </w:p>
          <w:p w14:paraId="3BAF083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支持设备主从扩展，转发性能、存储容量线性增加；</w:t>
            </w:r>
          </w:p>
          <w:p w14:paraId="1ADB868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支持PC客户端（C/S、B/S）、移动客户端（iOS、Android）；</w:t>
            </w:r>
          </w:p>
          <w:p w14:paraId="1FF2145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支持网络容错、负载均衡、多IP设定、安全密码、IP地址过滤；</w:t>
            </w:r>
          </w:p>
          <w:p w14:paraId="35AE3FA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支持查看服务器状态、设备通道在线情况、在线用户、带宽统计、日志查询等运维统计功能；</w:t>
            </w:r>
          </w:p>
          <w:p w14:paraId="261B870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内存：≥16GB；系统盘：SSD ≥128GB；存储盘：SATA槽位 x 8</w:t>
            </w:r>
          </w:p>
          <w:p w14:paraId="5EC631C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eSATA槽位 x 1；</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84EA9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E0E3C4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3ABB1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32AA4B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64EA8D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存储服务器</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14E727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磁盘通道数：</w:t>
            </w:r>
            <w:r>
              <w:rPr>
                <w:rFonts w:hint="eastAsia" w:ascii="宋体" w:hAnsi="宋体" w:eastAsia="宋体" w:cs="宋体"/>
                <w:i w:val="0"/>
                <w:iCs w:val="0"/>
                <w:color w:val="auto"/>
                <w:kern w:val="0"/>
                <w:sz w:val="20"/>
                <w:szCs w:val="20"/>
                <w:u w:val="none"/>
                <w:lang w:val="en-US" w:eastAsia="zh-CN" w:bidi="ar"/>
              </w:rPr>
              <w:t>≥</w:t>
            </w:r>
            <w:r>
              <w:rPr>
                <w:rFonts w:hint="eastAsia" w:ascii="宋体" w:hAnsi="宋体" w:eastAsia="宋体" w:cs="宋体"/>
                <w:i w:val="0"/>
                <w:iCs w:val="0"/>
                <w:color w:val="auto"/>
                <w:sz w:val="20"/>
                <w:szCs w:val="20"/>
                <w:u w:val="none"/>
              </w:rPr>
              <w:t>24，磁盘类型：SATA/SSD，磁盘容量：4TB~20TB</w:t>
            </w:r>
          </w:p>
          <w:p w14:paraId="3F54AFE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磁盘阵列级别：支持JBOD、RAID 0、1、5、6</w:t>
            </w:r>
          </w:p>
          <w:p w14:paraId="5090D4C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标配1个RS232串口/CONSOLE接口，1个VGA接口，1个HDMI接口，1个USB2.0接口，1个USB3.0接口，1个2.5G网口，1个2.5G管理网口，1个Esata接口，支持PCIe插槽，采用可热插拔1+1AC220V电源.</w:t>
            </w:r>
          </w:p>
          <w:p w14:paraId="4D84BF2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支持自动空白盘全局热备、专有热备等多种热备方式</w:t>
            </w:r>
          </w:p>
          <w:p w14:paraId="469C71E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控制器个数：</w:t>
            </w:r>
            <w:r>
              <w:rPr>
                <w:rFonts w:hint="eastAsia" w:ascii="宋体" w:hAnsi="宋体" w:eastAsia="宋体" w:cs="宋体"/>
                <w:i w:val="0"/>
                <w:iCs w:val="0"/>
                <w:color w:val="auto"/>
                <w:kern w:val="0"/>
                <w:sz w:val="20"/>
                <w:szCs w:val="20"/>
                <w:u w:val="none"/>
                <w:lang w:val="en-US" w:eastAsia="zh-CN" w:bidi="ar"/>
              </w:rPr>
              <w:t>≥</w:t>
            </w:r>
            <w:r>
              <w:rPr>
                <w:rFonts w:hint="eastAsia" w:ascii="宋体" w:hAnsi="宋体" w:eastAsia="宋体" w:cs="宋体"/>
                <w:i w:val="0"/>
                <w:iCs w:val="0"/>
                <w:color w:val="auto"/>
                <w:sz w:val="20"/>
                <w:szCs w:val="20"/>
                <w:u w:val="none"/>
              </w:rPr>
              <w:t>1</w:t>
            </w:r>
          </w:p>
          <w:p w14:paraId="3F73588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CPU处理器：Intel 64位多核处理器，CPU主频：4核2.0GHz</w:t>
            </w:r>
          </w:p>
          <w:p w14:paraId="7838E0C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内存：</w:t>
            </w:r>
            <w:r>
              <w:rPr>
                <w:rFonts w:hint="eastAsia" w:ascii="宋体" w:hAnsi="宋体" w:eastAsia="宋体" w:cs="宋体"/>
                <w:i w:val="0"/>
                <w:iCs w:val="0"/>
                <w:color w:val="auto"/>
                <w:kern w:val="0"/>
                <w:sz w:val="20"/>
                <w:szCs w:val="20"/>
                <w:u w:val="none"/>
                <w:lang w:val="en-US" w:eastAsia="zh-CN" w:bidi="ar"/>
              </w:rPr>
              <w:t>≥</w:t>
            </w:r>
            <w:r>
              <w:rPr>
                <w:rFonts w:hint="eastAsia" w:ascii="宋体" w:hAnsi="宋体" w:eastAsia="宋体" w:cs="宋体"/>
                <w:i w:val="0"/>
                <w:iCs w:val="0"/>
                <w:color w:val="auto"/>
                <w:sz w:val="20"/>
                <w:szCs w:val="20"/>
                <w:u w:val="none"/>
              </w:rPr>
              <w:t>4GB，内存类型：DDR4</w:t>
            </w:r>
          </w:p>
          <w:p w14:paraId="413D31B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网络接口：</w:t>
            </w:r>
            <w:r>
              <w:rPr>
                <w:rFonts w:hint="eastAsia" w:ascii="宋体" w:hAnsi="宋体" w:eastAsia="宋体" w:cs="宋体"/>
                <w:i w:val="0"/>
                <w:iCs w:val="0"/>
                <w:color w:val="auto"/>
                <w:kern w:val="0"/>
                <w:sz w:val="20"/>
                <w:szCs w:val="20"/>
                <w:u w:val="none"/>
                <w:lang w:val="en-US" w:eastAsia="zh-CN" w:bidi="ar"/>
              </w:rPr>
              <w:t>≥</w:t>
            </w:r>
            <w:r>
              <w:rPr>
                <w:rFonts w:hint="eastAsia" w:ascii="宋体" w:hAnsi="宋体" w:eastAsia="宋体" w:cs="宋体"/>
                <w:i w:val="0"/>
                <w:iCs w:val="0"/>
                <w:color w:val="auto"/>
                <w:sz w:val="20"/>
                <w:szCs w:val="20"/>
                <w:u w:val="none"/>
              </w:rPr>
              <w:t>3个千兆以太网接口</w:t>
            </w:r>
          </w:p>
          <w:p w14:paraId="3AA81A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客户端操作系统类型：Windows、Linux、AIX、HP-UNIX、Solaris、VMware等</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B92AC7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1AD0E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139FE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AE4C6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55DC1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视频传输设备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02FE8E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输入路数:2路HDMI</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视频输入分辨率:1920*1080（1080P）@60Hz、1920*1080（1080P）@50Hz、1600*1200（UXGA）@60Hz、1440*900（WXGA）@60Hz、1280*1024（SXGA）@60Hz、1280*720（720P）@60Hz、1280*720（720P）@50Hz、1024*768（</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XGA）@60Hz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输出路数:6路HDMI</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视频输出分辨率:4K</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接口：3840*2160（4K）@60Hz、3840*2160（4K）@30Hz、1920*1080（1080P）@60Hz、1600*1200（UXGA）@60Hz、1440x900（WXGA+）@60Hz、1280*1024（SXGA）@60Hz、1280*720（720P）@60Hz、1024*768（XGA）@60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1080P接口:1920*1080（1080P）@60Hz、1600*1200（UXGA）@60Hz、1440x900（WXGA+）@60Hz、1280*1024（SXGA）@60Hz、1280*720（720P）@60Hz、1024*768（XGA）@60Hz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解码能力:6*800W@30Hz、24*1080P@30Hz、54*720P@30Hz、96*D1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音频输入:1路凤凰端子音频输入（预留）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1路3.5mm音频输入（预留）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音频输出:1路3.5mm音频输出，支持G.711A、G.711U的音频格式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告警输入:6路凤凰端子告警输入（预留）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告警输出:3路凤凰端子告警输出（预留）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串口:1个RJ45接口的RS232串口，1个RJ45接口的RS485接口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网络接口:1个RJ45接口的半双工/全双工以太网接口，支持10M/100M/1000M Base</w:t>
            </w:r>
            <w:r>
              <w:rPr>
                <w:rStyle w:val="7"/>
                <w:rFonts w:eastAsia="宋体"/>
                <w:color w:val="auto"/>
                <w:lang w:val="en-US" w:eastAsia="zh-CN" w:bidi="ar"/>
              </w:rPr>
              <w:t xml:space="preserve"> </w:t>
            </w:r>
            <w:r>
              <w:rPr>
                <w:rStyle w:val="8"/>
                <w:color w:val="auto"/>
                <w:lang w:val="en-US" w:eastAsia="zh-CN" w:bidi="ar"/>
              </w:rPr>
              <w:t>T自适应</w:t>
            </w:r>
            <w:r>
              <w:rPr>
                <w:rStyle w:val="8"/>
                <w:color w:val="auto"/>
                <w:lang w:val="en-US" w:eastAsia="zh-CN" w:bidi="ar"/>
              </w:rPr>
              <w:br w:type="textWrapping"/>
            </w:r>
            <w:r>
              <w:rPr>
                <w:rStyle w:val="8"/>
                <w:color w:val="auto"/>
                <w:lang w:val="en-US" w:eastAsia="zh-CN" w:bidi="ar"/>
              </w:rPr>
              <w:t>USB接口:1个USB 3.0接口</w:t>
            </w:r>
          </w:p>
        </w:tc>
        <w:tc>
          <w:tcPr>
            <w:tcW w:w="385" w:type="pct"/>
            <w:tcBorders>
              <w:top w:val="single" w:color="000000" w:sz="8" w:space="0"/>
              <w:left w:val="single" w:color="000000" w:sz="8" w:space="0"/>
              <w:bottom w:val="single" w:color="auto" w:sz="4" w:space="0"/>
              <w:right w:val="single" w:color="000000" w:sz="8" w:space="0"/>
            </w:tcBorders>
            <w:shd w:val="clear" w:color="auto" w:fill="auto"/>
            <w:noWrap/>
            <w:vAlign w:val="center"/>
          </w:tcPr>
          <w:p w14:paraId="3A3906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auto" w:sz="4" w:space="0"/>
              <w:right w:val="single" w:color="000000" w:sz="8" w:space="0"/>
            </w:tcBorders>
            <w:shd w:val="clear" w:color="auto" w:fill="auto"/>
            <w:noWrap/>
            <w:vAlign w:val="center"/>
          </w:tcPr>
          <w:p w14:paraId="00A2182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6DF75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D2867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11</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CD442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存储设备</w:t>
            </w:r>
          </w:p>
        </w:tc>
        <w:tc>
          <w:tcPr>
            <w:tcW w:w="2430" w:type="pct"/>
            <w:tcBorders>
              <w:top w:val="single" w:color="000000" w:sz="8" w:space="0"/>
              <w:left w:val="single" w:color="000000" w:sz="8" w:space="0"/>
              <w:bottom w:val="single" w:color="000000" w:sz="8" w:space="0"/>
              <w:right w:val="single" w:color="auto" w:sz="4" w:space="0"/>
            </w:tcBorders>
            <w:shd w:val="clear" w:color="auto" w:fill="auto"/>
            <w:vAlign w:val="center"/>
          </w:tcPr>
          <w:p w14:paraId="0BA4837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容量:≥6TB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转速:≥5400转</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缓存:≥256M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接口类型:SATA</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6Gb/SRAID:支持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SMR:否</w:t>
            </w:r>
          </w:p>
        </w:tc>
        <w:tc>
          <w:tcPr>
            <w:tcW w:w="38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2FE6A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160088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34</w:t>
            </w:r>
          </w:p>
        </w:tc>
      </w:tr>
      <w:tr w14:paraId="72CEE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94A3CC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869D2B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录像设备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03E795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屏幕尺寸:4英寸</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摇杆:四维摇杆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串口:1个RS232串口（DB9，预留）、2个RS485串口（半双工，预留）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Console接口:1个RJ45接口（Console/RS485复用）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USB接口:2个USB接口（预留）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网络接口:1个RJ45接口，支持10M/100M/1000M Base-T自适应</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复位按键:1个RST按键</w:t>
            </w:r>
          </w:p>
        </w:tc>
        <w:tc>
          <w:tcPr>
            <w:tcW w:w="385" w:type="pct"/>
            <w:tcBorders>
              <w:top w:val="single" w:color="auto" w:sz="4" w:space="0"/>
              <w:left w:val="single" w:color="000000" w:sz="8" w:space="0"/>
              <w:bottom w:val="single" w:color="000000" w:sz="8" w:space="0"/>
              <w:right w:val="single" w:color="000000" w:sz="8" w:space="0"/>
            </w:tcBorders>
            <w:shd w:val="clear" w:color="auto" w:fill="auto"/>
            <w:noWrap/>
            <w:vAlign w:val="center"/>
          </w:tcPr>
          <w:p w14:paraId="348ED33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auto" w:sz="4" w:space="0"/>
              <w:left w:val="single" w:color="000000" w:sz="8" w:space="0"/>
              <w:bottom w:val="single" w:color="000000" w:sz="8" w:space="0"/>
              <w:right w:val="single" w:color="000000" w:sz="8" w:space="0"/>
            </w:tcBorders>
            <w:shd w:val="clear" w:color="auto" w:fill="auto"/>
            <w:noWrap/>
            <w:vAlign w:val="center"/>
          </w:tcPr>
          <w:p w14:paraId="49955ED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0AFA0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09E22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13</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871011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16口POE交换机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CDA795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1、端口：≥16个千兆电口+2个千兆光口；</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2、支持POE+，整机POE功率≥250W；</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3、支持静态MAC配置，MAC地址学习数目限制(MAC地址深度最大支持8K)；</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4、支持黑洞MAC；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5、无风扇设计，自然散热；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6、防雷等级≥6KV。</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3308FF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173DB7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w:t>
            </w:r>
          </w:p>
        </w:tc>
      </w:tr>
      <w:tr w14:paraId="55D8F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AE7A15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92CBE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24口POE交换机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6C9824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1、接口类型：≥24个GE端口，≥2个千兆SFP口（非复用）；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2、支持PoE+供电，整机POE输出功率≥370W；</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3、支持802.1Q(最大4K个VLAN)、支持基于协议的VLAN、IP子网的VLAN、MAC的VLAN；</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4、动态链路聚合(802.3ad)/静态端口聚合、802.1p、802.1Q、电缆诊断；</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5、支持STP(802.1D)/RSTP(802.1w)/MSTP(802.1s)；</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6、支持Diff</w:t>
            </w:r>
            <w:r>
              <w:rPr>
                <w:rStyle w:val="7"/>
                <w:rFonts w:eastAsia="宋体"/>
                <w:color w:val="auto"/>
                <w:lang w:val="en-US" w:eastAsia="zh-CN" w:bidi="ar"/>
              </w:rPr>
              <w:t xml:space="preserve"> </w:t>
            </w:r>
            <w:r>
              <w:rPr>
                <w:rStyle w:val="8"/>
                <w:color w:val="auto"/>
                <w:lang w:val="en-US" w:eastAsia="zh-CN" w:bidi="ar"/>
              </w:rPr>
              <w:t>Serv QoS、支持SP/WRR/SP+WRR；</w:t>
            </w:r>
            <w:r>
              <w:rPr>
                <w:rStyle w:val="8"/>
                <w:color w:val="auto"/>
                <w:lang w:val="en-US" w:eastAsia="zh-CN" w:bidi="ar"/>
              </w:rPr>
              <w:br w:type="textWrapping"/>
            </w:r>
            <w:r>
              <w:rPr>
                <w:rStyle w:val="8"/>
                <w:rFonts w:hint="eastAsia"/>
                <w:color w:val="auto"/>
                <w:lang w:val="en-US" w:eastAsia="zh-CN" w:bidi="ar"/>
              </w:rPr>
              <w:t>7</w:t>
            </w:r>
            <w:r>
              <w:rPr>
                <w:rStyle w:val="8"/>
                <w:color w:val="auto"/>
                <w:lang w:val="en-US" w:eastAsia="zh-CN" w:bidi="ar"/>
              </w:rPr>
              <w:t>、支持流控(802.3x)、支持绿色以太网（EEE）、端口自动节能；</w:t>
            </w:r>
            <w:r>
              <w:rPr>
                <w:rStyle w:val="8"/>
                <w:color w:val="auto"/>
                <w:lang w:val="en-US" w:eastAsia="zh-CN" w:bidi="ar"/>
              </w:rPr>
              <w:br w:type="textWrapping"/>
            </w:r>
            <w:r>
              <w:rPr>
                <w:rStyle w:val="8"/>
                <w:rFonts w:hint="eastAsia"/>
                <w:color w:val="auto"/>
                <w:lang w:val="en-US" w:eastAsia="zh-CN" w:bidi="ar"/>
              </w:rPr>
              <w:t>8</w:t>
            </w:r>
            <w:r>
              <w:rPr>
                <w:rStyle w:val="8"/>
                <w:color w:val="auto"/>
                <w:lang w:val="en-US" w:eastAsia="zh-CN" w:bidi="ar"/>
              </w:rPr>
              <w:t>、支持多种DoS攻击检测功能，ARP防攻击、TCP攻击防御、端口安全功能；</w:t>
            </w:r>
            <w:r>
              <w:rPr>
                <w:rStyle w:val="8"/>
                <w:color w:val="auto"/>
                <w:lang w:val="en-US" w:eastAsia="zh-CN" w:bidi="ar"/>
              </w:rPr>
              <w:br w:type="textWrapping"/>
            </w:r>
            <w:r>
              <w:rPr>
                <w:rStyle w:val="8"/>
                <w:rFonts w:hint="eastAsia"/>
                <w:color w:val="auto"/>
                <w:lang w:val="en-US" w:eastAsia="zh-CN" w:bidi="ar"/>
              </w:rPr>
              <w:t>9</w:t>
            </w:r>
            <w:r>
              <w:rPr>
                <w:rStyle w:val="8"/>
                <w:color w:val="auto"/>
                <w:lang w:val="en-US" w:eastAsia="zh-CN" w:bidi="ar"/>
              </w:rPr>
              <w:t>、支持≥6KV业务端口防雷能力；</w:t>
            </w:r>
            <w:r>
              <w:rPr>
                <w:rStyle w:val="8"/>
                <w:color w:val="auto"/>
                <w:lang w:val="en-US" w:eastAsia="zh-CN" w:bidi="ar"/>
              </w:rPr>
              <w:br w:type="textWrapping"/>
            </w:r>
            <w:r>
              <w:rPr>
                <w:rStyle w:val="8"/>
                <w:color w:val="auto"/>
                <w:lang w:val="en-US" w:eastAsia="zh-CN" w:bidi="ar"/>
              </w:rPr>
              <w:t>1</w:t>
            </w:r>
            <w:r>
              <w:rPr>
                <w:rStyle w:val="8"/>
                <w:rFonts w:hint="eastAsia"/>
                <w:color w:val="auto"/>
                <w:lang w:val="en-US" w:eastAsia="zh-CN" w:bidi="ar"/>
              </w:rPr>
              <w:t>0</w:t>
            </w:r>
            <w:r>
              <w:rPr>
                <w:rStyle w:val="8"/>
                <w:color w:val="auto"/>
                <w:lang w:val="en-US" w:eastAsia="zh-CN" w:bidi="ar"/>
              </w:rPr>
              <w:t>、支持中文WEB管理、支持SNMP协议管理。</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A18FC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9C79A2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r>
      <w:tr w14:paraId="750A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5C1F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15</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836CA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核心交换机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52F4D0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1、端口：≥24个千兆光口（其中8个Combo口）+4个万兆SFP光，1个业务扩展槽口，≥1个micro USB+1USB；</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2、硬件可靠：支持可热插拔模块电源冗余和可热插拔模块化风扇冗余；</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3、支持STP、RSTP、MSTP；</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4、支持DHCP Server、DHCP Relay、DHCP Snooping；</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5、支持WRR、WFQ、SP+WRR、WDRR、SP+WDRR、SP+WFQ；</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6、支持本地端口镜像和远程端口镜像RSPAN；支持静态路由、RIPv1/v2、RIPng、OSPFv1/v2、OSPFv3、BGP4、BGP4+for IPv6、等价路由、策略路由；</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7、支持VRRP、VRRPv3、802.1X认证、集中式MAC地址认证、支持PORTAL认证、动态ARP检测、防止中间人攻击和ARP拒绝服务；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8、支持基于第二层、第三层和第四层的ACL，整机提供ACl条目数≥3000条；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9、符合IEEE 802.3az（EEE）节能标准，支持端口休眠，关闭没有应用的端口，节省能源；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10、本次实配双电源+双风扇冗余。</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6B4A77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E7287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37D90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D81795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16</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57BC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模块(模块箱）</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0E5F0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光模块-SFP-GE-单模模块-(1310nm,10km,LC)</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9118F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A49D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r>
      <w:tr w14:paraId="52802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4507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17</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E1AB1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无线网桥</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ED528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无线网桥,单频2.4G,1个百兆自适应网口,无线速率300M,最大传输距离500米,支持DC/24V PoE供电，防水防尘等级IP64。</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套装，包含发射端和接收端两个设备，出厂默认配对。</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CD462F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756F97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r>
      <w:tr w14:paraId="4A61E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FCC67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3E7E2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控制电脑</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C9393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12代酷睿i5-12450H/16G内存/512G固态出厂标配</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D7E48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B37071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4D34E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FA26E1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19</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796E43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双绞线缆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FDCB56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符合标准：ANSI∕TIA-568.2-D，ISO/IEC 11801、YD/T926.2-2009</w:t>
            </w:r>
          </w:p>
          <w:p w14:paraId="11EF1C0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1.成卷方式采用专用八字打卷设备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2.外箱带有出线口，无需拆箱即可进行布线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3.软圆铜线：0.52±0.01mm，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4.绝缘：HDPE 0.9±0.05mm，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5.高纯度无氧铜（纯度99.99%）十字骨架设计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6.传输延时差：≤45ns/100m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7.护套材料：PVC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8.护套外径：5.6±0.2mm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9.敷设方式：钢管或阻燃硬质PVC管内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10.安装温度：0℃～+50℃，工作温度：-20℃～+75℃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BF2DB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DC509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4880</w:t>
            </w:r>
          </w:p>
        </w:tc>
      </w:tr>
      <w:tr w14:paraId="2A1FD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C75E55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5A2D3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8芯室外单模光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纤</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BF6E0E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1.参考标准：YD/T769-2018</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2.将单模光纤套入PBT松套管中，套管内填充防水化合物</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3.松套管外用一层双面涂塑钢带（PSP）纵包，钢带和松套管之间加阻水材料以保证光缆的紧凑和纵向阻水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4.两侧放置两根平行钢丝后聚乙烯（PE）护套</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5.全截面阻水结构，松套管填充特种油膏，确保良好的阻水防潮性能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6.敷设方式：管道、非自承架空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7.安装温度：＞-15℃，工作温度：-30℃～+60℃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01063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ED3DD6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3000</w:t>
            </w:r>
          </w:p>
        </w:tc>
      </w:tr>
      <w:tr w14:paraId="364D9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5280A7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c>
          <w:tcPr>
            <w:tcW w:w="1413" w:type="pct"/>
            <w:tcBorders>
              <w:top w:val="nil"/>
              <w:left w:val="nil"/>
              <w:bottom w:val="nil"/>
              <w:right w:val="nil"/>
            </w:tcBorders>
            <w:shd w:val="clear" w:color="auto" w:fill="auto"/>
            <w:noWrap/>
            <w:vAlign w:val="center"/>
          </w:tcPr>
          <w:p w14:paraId="078904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8A118B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含24个LC耦合器，24条LC尾纤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1、符合标准：YD/T 778-2011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2、19英寸机架式，1.2mm冷扎板材料，静电喷涂，全密封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5、规格可选1U：24-48芯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6、适配器可选:ST、FC、SC、LC双联、SC双联机架固定式、集光缆、尾纤接续、尾纤、跳线收容等功能为一体</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7、绝缘电阻：光缆终端和金属构件与光缆金属加强芯之间、光缆金属构件之间、光缆金属构件与地之间的绝缘电阻应大于2×104MΩ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8、抗电强度：光缆终端和金属构件与光缆金属加强芯之间、光缆金属构件之间、光缆金属构件与地之间在15kV直流电压作用下，1min不飞狐。</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9、工作温度：-40℃～+85℃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D2A65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119B12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w:t>
            </w:r>
          </w:p>
        </w:tc>
      </w:tr>
      <w:tr w14:paraId="7C3A6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67CA15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22</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346B02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室外防水设备柜</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BED6E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尺寸：800*600*200mm源空开、插排等</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4DD2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7083D8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w:t>
            </w:r>
          </w:p>
        </w:tc>
      </w:tr>
      <w:tr w14:paraId="12007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5C81F0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23</w:t>
            </w:r>
          </w:p>
        </w:tc>
        <w:tc>
          <w:tcPr>
            <w:tcW w:w="1413"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74F4AD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机柜、机架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2838D7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600*1200/42U</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F199E1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ACC3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4154A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AD2E89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C3482D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弱电壁挂设备箱</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81950D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弱电壁挂设备箱，包含电源空开、插排</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E1ABD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1A2A65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r>
      <w:tr w14:paraId="7D573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22A1A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73F3C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8B06A8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管内穿线RVV3*2.5</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1、符合标准：GB/T 5023.5-2008、JB/T 8734.3-2016、</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2、导体为多芯退火裸铜绞合</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3、绝缘；聚氯乙烯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4、护套；聚氯乙烯</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5、护套颜色：黑色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6、正常工作温度不超过70℃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7、电缆敷设温度应不低于0℃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8、额定电压为300/300V、300/500V</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9、100m/卷、200m/卷或按用户要求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10、产品通过3C认证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11、静态最小弯曲半径：6D</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12、安装温度：0℃~+50℃，工作温度：-15℃~+60℃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82225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17C50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700</w:t>
            </w:r>
          </w:p>
        </w:tc>
      </w:tr>
      <w:tr w14:paraId="5A9C5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693F4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26</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65094F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557B41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管内穿线穿动力线铜芯导线截面(mm2)≤4 RVV3*4</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1F35C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85A9EA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1800</w:t>
            </w:r>
          </w:p>
        </w:tc>
      </w:tr>
      <w:tr w14:paraId="0C0B8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19478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27</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ED7C4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配管</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F05B3F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KBG20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320E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D00BE9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800</w:t>
            </w:r>
          </w:p>
        </w:tc>
      </w:tr>
      <w:tr w14:paraId="2C7BE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AAC83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9C6EC7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光纤连接</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68950D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光纤连接熔接法单模</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0626E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芯</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51770C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144</w:t>
            </w:r>
          </w:p>
        </w:tc>
      </w:tr>
      <w:tr w14:paraId="21AC2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539B7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29</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ECF69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视频系统设备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B6C180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55寸高清监控专用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基本参数：面板尺寸（寸）55；分辨率1920×1080；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物理拼缝(mm)≤1.8；</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色彩数16.7M；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亮度(cd/m2)500；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对比度1200:1；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视频输入1个</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DVI接口，1个HDMI接口；控制接口1个输入RS-232接口，1个输出RS-232接口，1个红外接口.采用工业级面板，高可靠性一体化设计,长时间稳定运行</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直下式LED背光源，显示单元亮度更加均匀，无边界暗影现象支持白平衡调整，画面细腻，色彩丰富超宽视角，视角可达178°内置图像拼接</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显示功能支持屏幕防灼，图像翻转，横屏竖屏兼容支持通电后延时启动功能先进局部背光控光技术，低功耗，节能省电金属外壳，防辐射、防磁场、防强电场干</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EFF7BC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BE74D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9</w:t>
            </w:r>
          </w:p>
        </w:tc>
      </w:tr>
      <w:tr w14:paraId="5BB1B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B388F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5CB4D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设备支架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C1E346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55寸后维护配套壁挂支架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A13830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套</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28E23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CF01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FE13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31</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0C234B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跳线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E5561C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HDMI电缆,,黑色,仅限国内使用端子镀金，耐氧化，阻抗小，信号传输更稳定。</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即插即用，无需驱动程序。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环保加厚外被，耐磨不易破裂，经久耐用。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产品经过多项专业测试，有品质保证。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产品特性接口类型：HDMI</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视频版本：HDMI 1.3，长度15m/条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支持最大分辨率：1080P 60Hz</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线缆类型（音视频线）：铜缆</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504AF6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条</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D8E0FB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52C6C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3F8003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3FB12B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控制设备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3FB8CD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三位操作台1800*900*750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62EF1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44C079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1AAF3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A0444F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8A16A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人(手）孔砌筑</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599D8F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砖砌400*500*500内外粉刷</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94FE9B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6D47A8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w:t>
            </w:r>
          </w:p>
        </w:tc>
      </w:tr>
      <w:tr w14:paraId="1EFC8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D4FF87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A050DA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挖沟槽土方</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04577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反铲挖掘机(斗容量1.0m3)不装车三类土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B05800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3</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325BC8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240</w:t>
            </w:r>
          </w:p>
        </w:tc>
      </w:tr>
      <w:tr w14:paraId="13749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37764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51FED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回填方</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265EC7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机械填土夯实槽、坑</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ACB51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3</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C5DBD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240</w:t>
            </w:r>
          </w:p>
        </w:tc>
      </w:tr>
      <w:tr w14:paraId="75740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1B878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36</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ABDA8F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调试</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29C80D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安全防范分系统调试统调试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7A0B1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83018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3649F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B74A9D2">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980A33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六期一卡通系统</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383A83">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8CB2761">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5A7D817">
            <w:pPr>
              <w:jc w:val="center"/>
              <w:rPr>
                <w:rFonts w:hint="eastAsia" w:ascii="宋体" w:hAnsi="宋体" w:eastAsia="宋体" w:cs="宋体"/>
                <w:i w:val="0"/>
                <w:iCs w:val="0"/>
                <w:color w:val="auto"/>
                <w:sz w:val="20"/>
                <w:szCs w:val="20"/>
                <w:u w:val="none"/>
              </w:rPr>
            </w:pPr>
          </w:p>
        </w:tc>
      </w:tr>
      <w:tr w14:paraId="74F03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139526A">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AD5F9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车辆出入口</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D8C89DD">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3168D27">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3FFD2B1">
            <w:pPr>
              <w:jc w:val="center"/>
              <w:rPr>
                <w:rFonts w:hint="eastAsia" w:ascii="宋体" w:hAnsi="宋体" w:eastAsia="宋体" w:cs="宋体"/>
                <w:i w:val="0"/>
                <w:iCs w:val="0"/>
                <w:color w:val="auto"/>
                <w:sz w:val="20"/>
                <w:szCs w:val="20"/>
                <w:u w:val="none"/>
              </w:rPr>
            </w:pPr>
          </w:p>
        </w:tc>
      </w:tr>
      <w:tr w14:paraId="27014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33827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37</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1BDE6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停车场管理设备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3BB371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3秒快速开闸，配≤4米直杆,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电机功率：AC 300W,</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电源电压：AC220V±10%,50Hz,闸杆起落时间小于6秒,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使用温度：-25℃～+65℃,</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相对湿度：小于95%,车辆防砸,双重机械自锁,断电手动开闸功能</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B8142D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926FB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0E590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FB6E46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F34557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停车场管理设备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218A0B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含设备箱体、电源、控制系统、语音模块、车辆检测器、高清车牌识别一体机、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摄像机固定支架、LED补光灯、户外信息显示屏</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EAEEE3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2F850A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5B5E2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7C21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39</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F45C40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停车场管理设备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7A26E6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工作在77-81GHz频段，线性调频4G带宽，距离分辨率≥4cm，测距精度≥2cm，收发天线采用多发多收方式，具有极高的角度分辨</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DC7AF6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BD77BF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5563E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034F3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CE440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软件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49A250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嵌入式B/S架构，无需客户端，远程升级；</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安装位数简单；支持多种收费模式：出口收费、中央收费、缴费机、移动客户端缴费；</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支持线上应用如移动支付、车位预定、车位共享等</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5373C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套</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557B8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21A62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FAB58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41</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A1795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交换机</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DAAA87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1、端口：≥16*千兆电口+2*千兆光；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2、支持共享缓存架构（4M），支持拨码开关一键模式切换，支持“标准交换、网络克隆、汇聚上联、端口隔离”四种工作模式；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3、支持≥6KV端口防雷，自然散热无风扇设计。</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CE7779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5A4DA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835B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39315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48835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控制电脑</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06E41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12代酷睿i5-12450H/16G内存/512G固态出厂标配</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D3BC3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A0D5FC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4C084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370A2A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657E16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双绞线缆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091FE2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符合标准：ANSI∕TIA-568.2-D，ISO/IEC 11801、YD/T926.2-2009</w:t>
            </w:r>
          </w:p>
          <w:p w14:paraId="605AB72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1.成卷方式采用专用八字打卷设备</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2.外箱带有出线口，无需拆箱即可进行布线</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3.软圆铜线：0.52±0.01mm，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4.绝缘：HDPE 0.9±0.05mm，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5.高纯度无氧铜（纯度99.99%）十字骨架设计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6.传输延时差：≤45ns/100m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7.护套材料：PVC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8.护套外径：5.6±0.2mm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9.敷设方式：钢管或阻燃硬质PVC管内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10.安装温度：0℃～+50℃，工作温度：-20℃～+75℃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90880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6C486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305</w:t>
            </w:r>
          </w:p>
        </w:tc>
      </w:tr>
      <w:tr w14:paraId="53F0B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B530B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56FF94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1124F1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管内穿线RVV3*2.5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221FA5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2C8451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200</w:t>
            </w:r>
          </w:p>
        </w:tc>
      </w:tr>
      <w:tr w14:paraId="560DF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EED9A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2683DF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凿（压)槽</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5C61A8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凿（压)槽基础辅助工程凿混凝土槽(管径mm)≤40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BEC2F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5B5569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r>
      <w:tr w14:paraId="790E7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6DADCD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46</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9F518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安全岛</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F2A29A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长3.5米宽50公分米高20公分</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88D716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2050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06B5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3F1E8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47</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1E0A84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调试</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98EA1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停车场智能停车系统调试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0DA768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7E3E1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565BC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B85DB1">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1FB920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人行通道</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D6EF86F">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B2C9008">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23C9604">
            <w:pPr>
              <w:jc w:val="center"/>
              <w:rPr>
                <w:rFonts w:hint="eastAsia" w:ascii="宋体" w:hAnsi="宋体" w:eastAsia="宋体" w:cs="宋体"/>
                <w:i w:val="0"/>
                <w:iCs w:val="0"/>
                <w:color w:val="auto"/>
                <w:sz w:val="20"/>
                <w:szCs w:val="20"/>
                <w:u w:val="none"/>
              </w:rPr>
            </w:pPr>
          </w:p>
        </w:tc>
      </w:tr>
      <w:tr w14:paraId="12D1C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4DFA1D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9ADD8C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人行门</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B25548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1、支持延时关门功能；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2、支持外置雷达感应</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3、支持智能遇阻、推门反转保护；</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4、支持最大功率、防夹灵敏度设置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5、支持关门力度、开门保持时间调节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6、开门方式；可通过遥控器、按钮、刷卡、人脸组件等方式控制广告门开关；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广告门各结构功能：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1）主立柱：作为广告门承重体，上方包括控制装置及传动装置；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广告门各结构功能：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2）副立柱：副立柱上有电磁铁，起到与门吸合的作用；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广告门各结构功能：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3）中框：广告纸载体，内含灯条；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广告门各结构功能：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4）护栏：起到阻挡作用，可以通过改变伸缩杆的长度改变门的宽度。</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374D59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7653DD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ABF9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D946F4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49</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1483C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出入口目标识别</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设备</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460BF3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操作系统：嵌入式Linux操作系统；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屏幕参数：≥7英寸触摸显示屏，屏幕比例9:16，屏幕分辨率600*1024；</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摄像头参数：采用宽动态200万双目摄像头；</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认证方式：支持人脸、刷卡（IC卡、手机NFC卡、CPU卡序列号/内容、身份证卡序列号）、密码认证方式，可外接身份证、指纹、蓝牙、二维码功能模块；</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人脸验证：采用深度学习算法，支持单人或多人识别（最多5人同时认证）功能；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支持照片、视频防假；1:N人脸验证速度≤0.2s，人脸验证准确率≥99%；</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存储容量：本地支持≥10000人脸库、≥50000张卡，≥15万条事件记录；</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硬件接口：LAN*1、RS485*1、Wiegand*1(支持双向)、typeC类型USB接口*1、电锁*1、门磁*1、报警输入*2、报警输出*1、开门按钮*1、SD卡槽*1（最大支持512GB）、3.5mm音频输出接口*1；</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通信方式及网络协议：有线网络；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使用环境：IP65，室内外环境（室外使用必须搭配遮阳罩）；</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安装方式：壁挂安装（标配挂板，适配86底盒）；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功能介绍：</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可视对讲：支持和云平台、客户端、室内机、管理机进行可视对讲；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支持配置一键呼叫室内机或管理机；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支持副门口机或围墙机模式；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视频预览：支持管理中心远程视频预览，支持接入NVR设备，实现视频录像，编码格式H.264；</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口罩检测：支持口罩检测模式，可配置提醒戴口罩模式、强制戴口罩模式，关联门禁控制；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安全帽检测：支持工地安全帽检测功能，可配置提醒安全帽模式、强制戴安全帽模式，关联门禁控制；</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识别界面可配：识别主界面的“呼叫”、“二维码”、“密码”的按键图标可分别配置是否显示；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认证结果显示可配：支持认证成功界面的“照片”、“姓名”、“工号”信息可配置是否显示；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认证结果语音自定义：集成文字转语音（TTS）和语音合成技术，认证成功和认证失败的语音可以分别配置4个时间段进行自定义播报，同时认证成功的语音可叠加播报姓名；</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工作模式：支持广告模式、简洁模式主题模式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外接安全模块：支持通过RS485接入门控安全模块，防止主机被恶意破坏的情况下，门锁不被打开；</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外接读卡器：支持通过RS485或韦根（W26/W34）接口外接1个读卡器，同时可实现单门反潜回功能；</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读卡器模式：支持通过RS485或韦根（W26/W34）接入门禁控制器，作为读卡器模式使用；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门禁计划模板：支持255组计划模板管理，128个周计划，1024个假日计划；</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支持常开、常闭时段管理；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组合认证：刷卡+密码、刷卡+人脸、人脸+密码等组合认证方式</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多重认证：支持多个人员认证（人脸、刷卡等）通过后才开门；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报警功能：设备支持防拆报警、门被外力开起报警、胁迫卡和胁迫密码报警等；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事件上传：在线状态下将设备认证结果信息及联动抓拍照片实时上传给平台，支持断网续传功能，设备离线状态下产生事件在与平台连接后会重新上传；</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单机使用：设备可进行本地管理，支持本地注册人脸、查询、设置、管理设备参数等；</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WEB管理：支持Web端管理，可进行人员管理、参数配置、事件查询、系统维护等操作。</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6D01AF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24266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24CA7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95349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F574FD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遮阳罩</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FDC6B9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遮阳罩</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9D859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740CF4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58795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26A21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51</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8088E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调试</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8B9935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安全防范分系统调试系统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7376B0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3D2172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6668E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E3AFF8F">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A4B1F8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六期五方通话系统</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4C0172D">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ADC842C">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3B185A8">
            <w:pPr>
              <w:jc w:val="center"/>
              <w:rPr>
                <w:rFonts w:hint="eastAsia" w:ascii="宋体" w:hAnsi="宋体" w:eastAsia="宋体" w:cs="宋体"/>
                <w:i w:val="0"/>
                <w:iCs w:val="0"/>
                <w:color w:val="auto"/>
                <w:sz w:val="20"/>
                <w:szCs w:val="20"/>
                <w:u w:val="none"/>
              </w:rPr>
            </w:pPr>
          </w:p>
        </w:tc>
      </w:tr>
      <w:tr w14:paraId="52D6C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686899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592124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2C9A80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电缆产品名称:RVVP</w:t>
            </w:r>
          </w:p>
          <w:p w14:paraId="4CD3235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snapToGrid w:val="0"/>
                <w:color w:val="auto"/>
                <w:kern w:val="0"/>
                <w:sz w:val="22"/>
                <w:szCs w:val="22"/>
                <w:highlight w:val="none"/>
                <w:lang w:val="en-US" w:eastAsia="zh-CN" w:bidi="ar"/>
              </w:rPr>
              <w:t>规格：RVVP4*1.0</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护套线产品颜色:黑色</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导体材料:无氧铜</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绝缘材料:聚氯乙烯(PVC)</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屏蔽:镀锡铜丝编制屏蔽</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28231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5AB606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2400</w:t>
            </w:r>
          </w:p>
        </w:tc>
      </w:tr>
      <w:tr w14:paraId="34214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2847AB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EBA848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配管</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87144B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KBG20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D30BA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F9E2F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400</w:t>
            </w:r>
          </w:p>
        </w:tc>
      </w:tr>
      <w:tr w14:paraId="5AF03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34C52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CB23BB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扩声系统试运行</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15EE12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五方通话设备系统调试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DEE92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A13E87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0F07C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36D2EEE">
            <w:pPr>
              <w:jc w:val="center"/>
              <w:rPr>
                <w:rFonts w:hint="eastAsia" w:ascii="宋体" w:hAnsi="宋体" w:eastAsia="宋体" w:cs="宋体"/>
                <w:i w:val="0"/>
                <w:iCs w:val="0"/>
                <w:color w:val="auto"/>
                <w:sz w:val="20"/>
                <w:szCs w:val="20"/>
                <w:u w:val="none"/>
              </w:rPr>
            </w:pP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22A1CD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六期机房工程</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AF68607">
            <w:pPr>
              <w:jc w:val="left"/>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248E0D1">
            <w:pPr>
              <w:jc w:val="center"/>
              <w:rPr>
                <w:rFonts w:hint="eastAsia" w:ascii="宋体" w:hAnsi="宋体" w:eastAsia="宋体" w:cs="宋体"/>
                <w:i w:val="0"/>
                <w:iCs w:val="0"/>
                <w:color w:val="auto"/>
                <w:sz w:val="20"/>
                <w:szCs w:val="20"/>
                <w:u w:val="none"/>
              </w:rPr>
            </w:pP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EFF031E">
            <w:pPr>
              <w:jc w:val="center"/>
              <w:rPr>
                <w:rFonts w:hint="eastAsia" w:ascii="宋体" w:hAnsi="宋体" w:eastAsia="宋体" w:cs="宋体"/>
                <w:i w:val="0"/>
                <w:iCs w:val="0"/>
                <w:color w:val="auto"/>
                <w:sz w:val="20"/>
                <w:szCs w:val="20"/>
                <w:u w:val="none"/>
              </w:rPr>
            </w:pPr>
          </w:p>
        </w:tc>
      </w:tr>
      <w:tr w14:paraId="2EE79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78B58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793D7F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配电箱</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D3A8AC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输入300A4P ATS电源双路自动切换、电量仪、输出空开100A3P3位、63A3P2位、32A3P1位、32A1P8位，含一级防雷空开德力西</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64B594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F9113E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BF35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6A7B47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56</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EE24B7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不间断电源</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BDDD09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UPS类型在线式额定容量30KVA整机效率输入输出≥95%输入配线三相五线</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84978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196288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5EA8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5D3F2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57</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E1E664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UPS电池</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FE57EE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12V/200AH</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自放电小：≦3%</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/月密封反应效率：≥98%；</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充电接受能力强：电池充电接受能力强，低电流状况下电池也可以充饱电</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工作温度范围宽：0-40℃使用说明</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E91A11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节</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88D9A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32</w:t>
            </w:r>
          </w:p>
        </w:tc>
      </w:tr>
      <w:tr w14:paraId="137EF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643854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A4062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蓄电池屏（柜）</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E8D247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C-32</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E65AD5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FC1C9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262A8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CF8949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59</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0B323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电池柜底座支架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D750C5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1A2C8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台</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33D4CB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D287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D5D976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77A226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电力电缆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F16754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YJV4*35+1*16</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97672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6CB67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100</w:t>
            </w:r>
          </w:p>
        </w:tc>
      </w:tr>
      <w:tr w14:paraId="52BAD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DA36D9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61</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E94CDF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电力电缆头</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5EE6E9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电力电缆终端头制作与安装1kV以下室内干包式铜芯电力电缆电缆截面(mm2)≤35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F7D4B2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D879EE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10</w:t>
            </w:r>
          </w:p>
        </w:tc>
      </w:tr>
      <w:tr w14:paraId="1F8F1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1BDF16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8A46A9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微孔铝扣板吊顶</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BFDE3A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微孔铝扣板吊顶600*600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2889E9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2</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CF17D4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20</w:t>
            </w:r>
          </w:p>
        </w:tc>
      </w:tr>
      <w:tr w14:paraId="38904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987551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9904A9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金属踢脚线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237E38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不锈钢踢脚线10CM*1CM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8346FE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2</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2722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5C908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DC71B1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64</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F0E1B0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普通灯具</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19A7D66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600*600/25W</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660908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套</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B6A5B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r>
      <w:tr w14:paraId="38CCA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7F987D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65</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CAF24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防静电活动地板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E35353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铝合金防静电活动地板安装600*600*35MM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D2A93B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2</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4A96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21</w:t>
            </w:r>
          </w:p>
        </w:tc>
      </w:tr>
      <w:tr w14:paraId="7950C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6EC58B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66</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5116C3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接地母线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03677F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铜条4*40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C10655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BA7EB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35</w:t>
            </w:r>
          </w:p>
        </w:tc>
      </w:tr>
      <w:tr w14:paraId="26A88D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39CCAE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67</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9794B0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002ACAD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BVR6接地线/16M²</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2A398AE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D717F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w:t>
            </w:r>
          </w:p>
        </w:tc>
      </w:tr>
      <w:tr w14:paraId="6F92C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12E44E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68</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C3B138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配线</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1ADA01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BV-2.5</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E92F1D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00358E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w:t>
            </w:r>
          </w:p>
        </w:tc>
      </w:tr>
      <w:tr w14:paraId="2BE58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FD2336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69</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4867B7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钢质防火门</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897FDD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钢质防火门单开900*2400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8DB677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r>
              <w:rPr>
                <w:rStyle w:val="9"/>
                <w:color w:val="auto"/>
                <w:lang w:val="en-US" w:eastAsia="zh-CN" w:bidi="ar"/>
              </w:rPr>
              <w:t>2</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C09680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r>
      <w:tr w14:paraId="2D86D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115DB4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70</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89D4F3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配管</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65DA209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套接紧定式镀锌钢导管(JDG)敷设砖、混凝土结构暗配外径(mm)20</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920277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m</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896640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50</w:t>
            </w:r>
          </w:p>
        </w:tc>
      </w:tr>
      <w:tr w14:paraId="7FFD7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7D47552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71</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BF2C65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接地装置</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2F4130D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接地系统测试</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55A29A3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A0835D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1B4AD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D6943C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72</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7B4AF56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不间断电源</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330E0BB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保安电源系统调试不间断电源</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6ECEB1A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系统</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14A4B47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r w14:paraId="7E62B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35F9B91E">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73</w:t>
            </w:r>
          </w:p>
        </w:tc>
        <w:tc>
          <w:tcPr>
            <w:tcW w:w="1413" w:type="pct"/>
            <w:tcBorders>
              <w:top w:val="single" w:color="000000" w:sz="8" w:space="0"/>
              <w:left w:val="single" w:color="000000" w:sz="8" w:space="0"/>
              <w:bottom w:val="single" w:color="000000" w:sz="8" w:space="0"/>
              <w:right w:val="single" w:color="000000" w:sz="8" w:space="0"/>
            </w:tcBorders>
            <w:shd w:val="clear" w:color="auto" w:fill="auto"/>
            <w:vAlign w:val="center"/>
          </w:tcPr>
          <w:p w14:paraId="4E61EB5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脚手架搭拆</w:t>
            </w:r>
          </w:p>
        </w:tc>
        <w:tc>
          <w:tcPr>
            <w:tcW w:w="2430" w:type="pct"/>
            <w:tcBorders>
              <w:top w:val="single" w:color="000000" w:sz="8" w:space="0"/>
              <w:left w:val="single" w:color="000000" w:sz="8" w:space="0"/>
              <w:bottom w:val="single" w:color="000000" w:sz="8" w:space="0"/>
              <w:right w:val="single" w:color="000000" w:sz="8" w:space="0"/>
            </w:tcBorders>
            <w:shd w:val="clear" w:color="auto" w:fill="auto"/>
            <w:vAlign w:val="center"/>
          </w:tcPr>
          <w:p w14:paraId="5B7EBD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定制</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00833D2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项</w:t>
            </w:r>
          </w:p>
        </w:tc>
        <w:tc>
          <w:tcPr>
            <w:tcW w:w="385" w:type="pct"/>
            <w:tcBorders>
              <w:top w:val="single" w:color="000000" w:sz="8" w:space="0"/>
              <w:left w:val="single" w:color="000000" w:sz="8" w:space="0"/>
              <w:bottom w:val="single" w:color="000000" w:sz="8" w:space="0"/>
              <w:right w:val="single" w:color="000000" w:sz="8" w:space="0"/>
            </w:tcBorders>
            <w:shd w:val="clear" w:color="auto" w:fill="auto"/>
            <w:noWrap/>
            <w:vAlign w:val="center"/>
          </w:tcPr>
          <w:p w14:paraId="4214ACEC">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w:t>
            </w:r>
          </w:p>
        </w:tc>
      </w:tr>
    </w:tbl>
    <w:p w14:paraId="086B10A9">
      <w:pPr>
        <w:pageBreakBefore w:val="0"/>
        <w:widowControl w:val="0"/>
        <w:wordWrap/>
        <w:overflowPunct/>
        <w:topLinePunct w:val="0"/>
        <w:bidi w:val="0"/>
        <w:spacing w:line="242" w:lineRule="auto"/>
        <w:rPr>
          <w:color w:val="auto"/>
          <w:spacing w:val="0"/>
          <w:w w:val="100"/>
          <w:position w:val="0"/>
        </w:rPr>
      </w:pPr>
    </w:p>
    <w:p w14:paraId="76CCB456">
      <w:pPr>
        <w:pageBreakBefore w:val="0"/>
        <w:widowControl w:val="0"/>
        <w:wordWrap/>
        <w:overflowPunct/>
        <w:topLinePunct w:val="0"/>
        <w:bidi w:val="0"/>
        <w:spacing w:line="245" w:lineRule="auto"/>
        <w:rPr>
          <w:color w:val="auto"/>
          <w:spacing w:val="0"/>
          <w:w w:val="100"/>
          <w:position w:val="0"/>
          <w:lang w:eastAsia="zh-CN"/>
        </w:rPr>
      </w:pPr>
    </w:p>
    <w:p w14:paraId="1D00DCAA">
      <w:pPr>
        <w:pageBreakBefore w:val="0"/>
        <w:widowControl w:val="0"/>
        <w:wordWrap/>
        <w:overflowPunct/>
        <w:topLinePunct w:val="0"/>
        <w:bidi w:val="0"/>
        <w:spacing w:line="245" w:lineRule="auto"/>
        <w:rPr>
          <w:color w:val="auto"/>
          <w:spacing w:val="0"/>
          <w:w w:val="100"/>
          <w:position w:val="0"/>
          <w:lang w:eastAsia="zh-CN"/>
        </w:rPr>
      </w:pP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696743E1">
      <w:pPr>
        <w:pageBreakBefore w:val="0"/>
        <w:widowControl w:val="0"/>
        <w:wordWrap/>
        <w:overflowPunct/>
        <w:topLinePunct w:val="0"/>
        <w:bidi w:val="0"/>
        <w:spacing w:line="249" w:lineRule="auto"/>
        <w:rPr>
          <w:color w:val="auto"/>
          <w:spacing w:val="0"/>
          <w:w w:val="100"/>
          <w:position w:val="0"/>
          <w:lang w:eastAsia="zh-CN"/>
        </w:rPr>
      </w:pPr>
    </w:p>
    <w:p w14:paraId="7B7B7D78">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1、交货地点、时间：</w:t>
      </w:r>
    </w:p>
    <w:p w14:paraId="5C38B912">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（1）交货地点：采购人指定地点。</w:t>
      </w:r>
    </w:p>
    <w:p w14:paraId="5EBF6179">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（2）交货时间：合同签订后</w:t>
      </w:r>
      <w:r>
        <w:rPr>
          <w:rFonts w:hint="eastAsia" w:ascii="宋体" w:hAnsi="宋体" w:cs="宋体"/>
          <w:color w:val="auto"/>
          <w:sz w:val="24"/>
          <w:highlight w:val="none"/>
          <w:lang w:val="en-US" w:eastAsia="zh-CN"/>
        </w:rPr>
        <w:t>3</w:t>
      </w:r>
      <w:r>
        <w:rPr>
          <w:rFonts w:hint="eastAsia" w:ascii="宋体" w:hAnsi="宋体" w:cs="宋体"/>
          <w:color w:val="auto"/>
          <w:sz w:val="24"/>
          <w:highlight w:val="none"/>
          <w:lang w:eastAsia="zh-CN"/>
        </w:rPr>
        <w:t>个月内完成所有设备的供货及安装调试。</w:t>
      </w:r>
    </w:p>
    <w:p w14:paraId="4D103337">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2、采购合同签订：</w:t>
      </w:r>
    </w:p>
    <w:p w14:paraId="3C6374C2">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采购人与中标供应商应在中标结果公告发出之日起5个工作日内，按照采购文件中的采购需求、拟签订的合同文本及投标文件确定的事项，签订政府采购合同，不得向中标供应商提出超出采购文件确定事项的其他要求作为签订合同的条件。同时，将合同信息在地方政府采购信息统计管理系统中进行录入，否则当事方将承担由此引起的相关法律责任和后果。</w:t>
      </w:r>
    </w:p>
    <w:p w14:paraId="7B5DA4A3">
      <w:pPr>
        <w:spacing w:line="360" w:lineRule="auto"/>
        <w:jc w:val="left"/>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3、货款支付方式：</w:t>
      </w:r>
    </w:p>
    <w:p w14:paraId="190055BF">
      <w:pPr>
        <w:spacing w:line="360" w:lineRule="auto"/>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合同签订且设备到场并初验合格后支付70%，项目整体竣工验收合格后支付至合同金额的 97%，剩余尾款3%，待质保期（12个月）满后一次性付清。</w:t>
      </w:r>
    </w:p>
    <w:p w14:paraId="6543EB4C">
      <w:pPr>
        <w:spacing w:line="360" w:lineRule="auto"/>
        <w:rPr>
          <w:rFonts w:ascii="宋体" w:hAnsi="宋体" w:cs="宋体"/>
          <w:color w:val="auto"/>
          <w:sz w:val="24"/>
          <w:highlight w:val="none"/>
        </w:rPr>
      </w:pPr>
      <w:r>
        <w:rPr>
          <w:rFonts w:hint="eastAsia" w:ascii="宋体" w:hAnsi="宋体" w:cs="宋体"/>
          <w:color w:val="auto"/>
          <w:sz w:val="24"/>
          <w:highlight w:val="none"/>
        </w:rPr>
        <w:t>4、包装和运输：</w:t>
      </w:r>
    </w:p>
    <w:p w14:paraId="203684E2">
      <w:pPr>
        <w:spacing w:line="360" w:lineRule="auto"/>
        <w:rPr>
          <w:rFonts w:ascii="宋体" w:hAnsi="宋体" w:cs="宋体"/>
          <w:color w:val="auto"/>
          <w:sz w:val="24"/>
          <w:highlight w:val="none"/>
        </w:rPr>
      </w:pPr>
      <w:r>
        <w:rPr>
          <w:rFonts w:hint="eastAsia" w:ascii="宋体" w:hAnsi="宋体" w:cs="宋体"/>
          <w:color w:val="auto"/>
          <w:sz w:val="24"/>
          <w:highlight w:val="none"/>
        </w:rPr>
        <w:t>（1）除合同另有规定外，中标供应商提供的全部货物，均应采用国家或专业标准保护措施进行包装，包装应适应于海运或空运或陆上长距离运输，并有良好的防潮、防震、防锈和防粗暴装卸等保护措施，确保货物安全无损运抵现场。由于包装不善所引起的货物锈蚀、损坏和损失等后果均由中标供应商承担；</w:t>
      </w:r>
    </w:p>
    <w:p w14:paraId="2BA2B554">
      <w:pPr>
        <w:spacing w:line="360" w:lineRule="auto"/>
        <w:rPr>
          <w:rFonts w:ascii="宋体" w:hAnsi="宋体" w:cs="宋体"/>
          <w:color w:val="auto"/>
          <w:sz w:val="24"/>
          <w:highlight w:val="none"/>
        </w:rPr>
      </w:pPr>
      <w:r>
        <w:rPr>
          <w:rFonts w:hint="eastAsia" w:ascii="宋体" w:hAnsi="宋体" w:cs="宋体"/>
          <w:color w:val="auto"/>
          <w:sz w:val="24"/>
          <w:highlight w:val="none"/>
        </w:rPr>
        <w:t>（2）每件包装箱内应附一份详细装箱单和质量合格证；</w:t>
      </w:r>
    </w:p>
    <w:p w14:paraId="6F7B0CA1">
      <w:pPr>
        <w:spacing w:line="360" w:lineRule="auto"/>
        <w:rPr>
          <w:rFonts w:ascii="宋体" w:hAnsi="宋体" w:cs="宋体"/>
          <w:color w:val="auto"/>
          <w:sz w:val="24"/>
          <w:highlight w:val="none"/>
        </w:rPr>
      </w:pPr>
      <w:r>
        <w:rPr>
          <w:rFonts w:hint="eastAsia" w:ascii="宋体" w:hAnsi="宋体" w:cs="宋体"/>
          <w:color w:val="auto"/>
          <w:sz w:val="24"/>
          <w:highlight w:val="none"/>
        </w:rPr>
        <w:t>（</w:t>
      </w:r>
      <w:r>
        <w:rPr>
          <w:rFonts w:hint="eastAsia" w:ascii="宋体" w:hAnsi="宋体" w:eastAsia="宋体" w:cs="宋体"/>
          <w:color w:val="auto"/>
          <w:sz w:val="24"/>
          <w:highlight w:val="none"/>
          <w:lang w:val="en-US" w:eastAsia="zh-CN"/>
        </w:rPr>
        <w:t>3</w:t>
      </w:r>
      <w:r>
        <w:rPr>
          <w:rFonts w:hint="eastAsia" w:ascii="宋体" w:hAnsi="宋体" w:cs="宋体"/>
          <w:color w:val="auto"/>
          <w:sz w:val="24"/>
          <w:highlight w:val="none"/>
        </w:rPr>
        <w:t>）货物包装要求坚固、完好、轻便，产品包装要求需符合《商品包装政府采购需求标准（试行）》标准要求；</w:t>
      </w:r>
    </w:p>
    <w:p w14:paraId="13233364">
      <w:pPr>
        <w:spacing w:line="360" w:lineRule="auto"/>
        <w:rPr>
          <w:rFonts w:ascii="宋体" w:hAnsi="宋体" w:cs="宋体"/>
          <w:color w:val="auto"/>
          <w:sz w:val="24"/>
          <w:highlight w:val="none"/>
        </w:rPr>
      </w:pPr>
      <w:r>
        <w:rPr>
          <w:rFonts w:hint="eastAsia" w:ascii="宋体" w:hAnsi="宋体" w:cs="宋体"/>
          <w:color w:val="auto"/>
          <w:sz w:val="24"/>
          <w:highlight w:val="none"/>
        </w:rPr>
        <w:t>（</w:t>
      </w:r>
      <w:r>
        <w:rPr>
          <w:rFonts w:hint="eastAsia" w:ascii="宋体" w:hAnsi="宋体" w:eastAsia="宋体" w:cs="宋体"/>
          <w:color w:val="auto"/>
          <w:sz w:val="24"/>
          <w:highlight w:val="none"/>
          <w:lang w:val="en-US" w:eastAsia="zh-CN"/>
        </w:rPr>
        <w:t>4</w:t>
      </w:r>
      <w:r>
        <w:rPr>
          <w:rFonts w:hint="eastAsia" w:ascii="宋体" w:hAnsi="宋体" w:cs="宋体"/>
          <w:color w:val="auto"/>
          <w:sz w:val="24"/>
          <w:highlight w:val="none"/>
        </w:rPr>
        <w:t>）运输：在一般运输过程中能防止包装破裂、内件漏出散失；不准夹带禁止运输或控制运输的物品、危险品。如行业或国家另有规定的从其规定；</w:t>
      </w:r>
    </w:p>
    <w:p w14:paraId="4102EA95">
      <w:pPr>
        <w:spacing w:line="360" w:lineRule="auto"/>
        <w:rPr>
          <w:rFonts w:ascii="宋体" w:hAnsi="宋体" w:cs="宋体"/>
          <w:color w:val="auto"/>
          <w:sz w:val="24"/>
          <w:highlight w:val="none"/>
        </w:rPr>
      </w:pPr>
      <w:r>
        <w:rPr>
          <w:rFonts w:hint="eastAsia" w:ascii="宋体" w:hAnsi="宋体" w:cs="宋体"/>
          <w:color w:val="auto"/>
          <w:sz w:val="24"/>
          <w:highlight w:val="none"/>
        </w:rPr>
        <w:t>（</w:t>
      </w:r>
      <w:r>
        <w:rPr>
          <w:rFonts w:hint="eastAsia" w:ascii="宋体" w:hAnsi="宋体" w:eastAsia="宋体" w:cs="宋体"/>
          <w:color w:val="auto"/>
          <w:sz w:val="24"/>
          <w:highlight w:val="none"/>
          <w:lang w:val="en-US" w:eastAsia="zh-CN"/>
        </w:rPr>
        <w:t>5</w:t>
      </w:r>
      <w:r>
        <w:rPr>
          <w:rFonts w:hint="eastAsia" w:ascii="宋体" w:hAnsi="宋体" w:cs="宋体"/>
          <w:color w:val="auto"/>
          <w:sz w:val="24"/>
          <w:highlight w:val="none"/>
        </w:rPr>
        <w:t>）货物从制造商到采购人最终指定安装地点所发生的运输、保险等一切费用由中标供应商承担。中标供应商自行对提供的货物在购置、运输、存放及交货过程中的丢失和损坏等办理保险。如不投保，中标供应商须承担交付前可能发生的一切费用及风险。</w:t>
      </w:r>
    </w:p>
    <w:p w14:paraId="30C80591">
      <w:pPr>
        <w:spacing w:line="360" w:lineRule="auto"/>
        <w:rPr>
          <w:rFonts w:hint="default" w:ascii="宋体" w:hAnsi="宋体" w:cs="宋体"/>
          <w:color w:val="auto"/>
          <w:sz w:val="24"/>
          <w:highlight w:val="none"/>
          <w:lang w:val="en-US" w:eastAsia="zh-CN"/>
        </w:rPr>
      </w:pPr>
      <w:r>
        <w:rPr>
          <w:rFonts w:hint="eastAsia" w:ascii="宋体" w:hAnsi="宋体" w:cs="宋体"/>
          <w:color w:val="auto"/>
          <w:sz w:val="24"/>
          <w:highlight w:val="none"/>
          <w:lang w:val="en-US" w:eastAsia="zh-CN"/>
        </w:rPr>
        <w:t>5、质 保 期：</w:t>
      </w:r>
      <w:r>
        <w:rPr>
          <w:rFonts w:hint="eastAsia" w:ascii="宋体" w:hAnsi="宋体" w:cs="宋体"/>
          <w:color w:val="auto"/>
          <w:sz w:val="24"/>
          <w:szCs w:val="24"/>
          <w:highlight w:val="none"/>
          <w:lang w:val="en-US" w:eastAsia="zh-CN"/>
        </w:rPr>
        <w:t>整体竣工验收合格之日起算12个月。</w:t>
      </w:r>
    </w:p>
    <w:p w14:paraId="7B359E1B">
      <w:pPr>
        <w:spacing w:line="360" w:lineRule="auto"/>
        <w:rPr>
          <w:rFonts w:hint="eastAsia" w:ascii="宋体" w:hAnsi="宋体" w:cs="宋体"/>
          <w:color w:val="auto"/>
          <w:sz w:val="24"/>
          <w:highlight w:val="none"/>
        </w:rPr>
      </w:pPr>
      <w:r>
        <w:rPr>
          <w:rFonts w:hint="eastAsia" w:ascii="宋体" w:hAnsi="宋体" w:cs="宋体"/>
          <w:color w:val="auto"/>
          <w:sz w:val="24"/>
          <w:highlight w:val="none"/>
          <w:lang w:val="en-US" w:eastAsia="zh-CN"/>
        </w:rPr>
        <w:t>6</w:t>
      </w:r>
      <w:r>
        <w:rPr>
          <w:rFonts w:hint="eastAsia" w:ascii="宋体" w:hAnsi="宋体" w:cs="宋体"/>
          <w:color w:val="auto"/>
          <w:sz w:val="24"/>
          <w:highlight w:val="none"/>
        </w:rPr>
        <w:t>、违约责任与解决争议的方法：</w:t>
      </w:r>
    </w:p>
    <w:p w14:paraId="2A58EE80">
      <w:pPr>
        <w:spacing w:line="360" w:lineRule="auto"/>
        <w:rPr>
          <w:rFonts w:hint="eastAsia" w:ascii="宋体" w:hAnsi="宋体" w:cs="宋体"/>
          <w:color w:val="auto"/>
          <w:sz w:val="24"/>
          <w:highlight w:val="none"/>
        </w:rPr>
      </w:pPr>
      <w:r>
        <w:rPr>
          <w:rFonts w:hint="eastAsia" w:ascii="宋体" w:hAnsi="宋体" w:cs="宋体"/>
          <w:color w:val="auto"/>
          <w:sz w:val="24"/>
          <w:highlight w:val="none"/>
        </w:rPr>
        <w:t>（1）中标人必须按照约定时间和内容交货，未按时交货每逾期一天按合同总价3‰支付违约金，未按约定履行义务，按标的价承担违约责任；</w:t>
      </w:r>
    </w:p>
    <w:p w14:paraId="64B04520">
      <w:pPr>
        <w:spacing w:line="360" w:lineRule="auto"/>
        <w:rPr>
          <w:rFonts w:hint="eastAsia" w:ascii="宋体" w:hAnsi="宋体" w:cs="宋体"/>
          <w:color w:val="auto"/>
          <w:sz w:val="24"/>
          <w:highlight w:val="none"/>
        </w:rPr>
      </w:pPr>
      <w:r>
        <w:rPr>
          <w:rFonts w:hint="eastAsia" w:ascii="宋体" w:hAnsi="宋体" w:cs="宋体"/>
          <w:color w:val="auto"/>
          <w:sz w:val="24"/>
          <w:highlight w:val="none"/>
        </w:rPr>
        <w:t>（2）买卖双方应通过友好协商，解决在执行本合同中所发生的或与本合同有关的一切争端，如果协商仍得不到解决，任何一方均可按《中华人民共和国民法典》规定提交调解和仲裁；</w:t>
      </w:r>
    </w:p>
    <w:p w14:paraId="30DE4B8D">
      <w:pPr>
        <w:spacing w:line="360" w:lineRule="auto"/>
        <w:rPr>
          <w:rFonts w:hint="eastAsia" w:ascii="宋体" w:hAnsi="宋体" w:cs="宋体"/>
          <w:color w:val="auto"/>
          <w:sz w:val="24"/>
          <w:highlight w:val="none"/>
        </w:rPr>
      </w:pPr>
      <w:r>
        <w:rPr>
          <w:rFonts w:hint="eastAsia" w:ascii="宋体" w:hAnsi="宋体" w:cs="宋体"/>
          <w:color w:val="auto"/>
          <w:sz w:val="24"/>
          <w:highlight w:val="none"/>
        </w:rPr>
        <w:t>（3）仲裁裁决应为终局裁决，对双方均具有约束力；</w:t>
      </w:r>
    </w:p>
    <w:p w14:paraId="614CA7D5">
      <w:pPr>
        <w:spacing w:line="360" w:lineRule="auto"/>
        <w:rPr>
          <w:rFonts w:hint="eastAsia" w:ascii="宋体" w:hAnsi="宋体" w:cs="宋体"/>
          <w:color w:val="auto"/>
          <w:sz w:val="24"/>
          <w:highlight w:val="none"/>
        </w:rPr>
      </w:pPr>
      <w:r>
        <w:rPr>
          <w:rFonts w:hint="eastAsia" w:ascii="宋体" w:hAnsi="宋体" w:cs="宋体"/>
          <w:color w:val="auto"/>
          <w:sz w:val="24"/>
          <w:highlight w:val="none"/>
        </w:rPr>
        <w:t>（4）仲裁费除仲裁机构另有裁决外应由败诉方负担；</w:t>
      </w:r>
    </w:p>
    <w:p w14:paraId="170EA4B1">
      <w:pPr>
        <w:spacing w:line="360" w:lineRule="auto"/>
        <w:rPr>
          <w:rFonts w:hint="eastAsia" w:ascii="宋体" w:hAnsi="宋体" w:cs="宋体"/>
          <w:color w:val="auto"/>
          <w:sz w:val="24"/>
          <w:highlight w:val="none"/>
        </w:rPr>
      </w:pPr>
      <w:r>
        <w:rPr>
          <w:rFonts w:hint="eastAsia" w:ascii="宋体" w:hAnsi="宋体" w:cs="宋体"/>
          <w:color w:val="auto"/>
          <w:sz w:val="24"/>
          <w:highlight w:val="none"/>
        </w:rPr>
        <w:t>（5）仲裁机构为合同履行地经济仲裁机构；</w:t>
      </w:r>
    </w:p>
    <w:p w14:paraId="3409B3A7">
      <w:pPr>
        <w:spacing w:line="360" w:lineRule="auto"/>
        <w:rPr>
          <w:rFonts w:hint="eastAsia" w:ascii="宋体" w:hAnsi="宋体" w:cs="宋体"/>
          <w:color w:val="auto"/>
          <w:sz w:val="24"/>
          <w:highlight w:val="none"/>
        </w:rPr>
      </w:pPr>
      <w:r>
        <w:rPr>
          <w:rFonts w:hint="eastAsia" w:ascii="宋体" w:hAnsi="宋体" w:cs="宋体"/>
          <w:color w:val="auto"/>
          <w:sz w:val="24"/>
          <w:highlight w:val="none"/>
        </w:rPr>
        <w:t>（6）在仲裁期间，除正在进行仲裁的部分外，本合同其它部分应继续执行。</w:t>
      </w:r>
    </w:p>
    <w:p w14:paraId="4B07C079">
      <w:pPr>
        <w:spacing w:line="360" w:lineRule="auto"/>
        <w:rPr>
          <w:rFonts w:ascii="宋体" w:hAnsi="宋体" w:cs="宋体"/>
          <w:color w:val="auto"/>
          <w:sz w:val="24"/>
          <w:highlight w:val="none"/>
        </w:rPr>
      </w:pPr>
      <w:r>
        <w:rPr>
          <w:rFonts w:hint="eastAsia" w:ascii="宋体" w:hAnsi="宋体" w:cs="宋体"/>
          <w:color w:val="auto"/>
          <w:sz w:val="24"/>
          <w:highlight w:val="none"/>
          <w:lang w:val="en-US" w:eastAsia="zh-CN"/>
        </w:rPr>
        <w:t>7</w:t>
      </w:r>
      <w:r>
        <w:rPr>
          <w:rFonts w:hint="eastAsia" w:ascii="宋体" w:hAnsi="宋体" w:cs="宋体"/>
          <w:color w:val="auto"/>
          <w:sz w:val="24"/>
          <w:highlight w:val="none"/>
        </w:rPr>
        <w:t>、不可抗力事件处理：</w:t>
      </w:r>
    </w:p>
    <w:p w14:paraId="12E5AA2A">
      <w:pPr>
        <w:spacing w:line="360" w:lineRule="auto"/>
        <w:rPr>
          <w:rFonts w:ascii="宋体" w:hAnsi="宋体" w:cs="宋体"/>
          <w:color w:val="auto"/>
          <w:sz w:val="24"/>
          <w:highlight w:val="none"/>
        </w:rPr>
      </w:pPr>
      <w:r>
        <w:rPr>
          <w:rFonts w:hint="eastAsia" w:ascii="宋体" w:hAnsi="宋体" w:cs="宋体"/>
          <w:color w:val="auto"/>
          <w:sz w:val="24"/>
          <w:highlight w:val="none"/>
        </w:rPr>
        <w:t>不可抗力事件系指签约双方在缔结合同时所不能预见的，并且它的发生及其后果是无法避免和无法克服的事件，诸如战争、洪水、台风、地震等。</w:t>
      </w:r>
    </w:p>
    <w:p w14:paraId="1B7D069F">
      <w:pPr>
        <w:spacing w:line="360" w:lineRule="auto"/>
        <w:rPr>
          <w:rFonts w:ascii="宋体" w:hAnsi="宋体" w:cs="宋体"/>
          <w:color w:val="auto"/>
          <w:sz w:val="24"/>
          <w:highlight w:val="none"/>
        </w:rPr>
      </w:pPr>
      <w:r>
        <w:rPr>
          <w:rFonts w:hint="eastAsia" w:ascii="宋体" w:hAnsi="宋体" w:cs="宋体"/>
          <w:color w:val="auto"/>
          <w:sz w:val="24"/>
          <w:highlight w:val="none"/>
        </w:rPr>
        <w:t>（1）在合同有效期限内，任何一方因不可抗力事件导致不能履行合同，则合同履行期可延长，其延长期与不可抗力影响期相同；</w:t>
      </w:r>
    </w:p>
    <w:p w14:paraId="194C28E2">
      <w:pPr>
        <w:spacing w:line="360" w:lineRule="auto"/>
        <w:rPr>
          <w:rFonts w:ascii="宋体" w:hAnsi="宋体" w:cs="宋体"/>
          <w:color w:val="auto"/>
          <w:sz w:val="24"/>
          <w:highlight w:val="none"/>
        </w:rPr>
      </w:pPr>
      <w:r>
        <w:rPr>
          <w:rFonts w:hint="eastAsia" w:ascii="宋体" w:hAnsi="宋体" w:cs="宋体"/>
          <w:color w:val="auto"/>
          <w:sz w:val="24"/>
          <w:highlight w:val="none"/>
        </w:rPr>
        <w:t>（2）因不可抗力不能履行义务的一方，在不可抗力事件发生后应当立即通知对方，并寄送有关权威机构出具的证明；</w:t>
      </w:r>
    </w:p>
    <w:p w14:paraId="454F8C98">
      <w:pPr>
        <w:spacing w:line="360" w:lineRule="auto"/>
        <w:rPr>
          <w:rFonts w:ascii="宋体" w:hAnsi="宋体" w:cs="宋体"/>
          <w:color w:val="auto"/>
          <w:sz w:val="24"/>
          <w:highlight w:val="none"/>
        </w:rPr>
      </w:pPr>
      <w:r>
        <w:rPr>
          <w:rFonts w:hint="eastAsia" w:ascii="宋体" w:hAnsi="宋体" w:cs="宋体"/>
          <w:color w:val="auto"/>
          <w:sz w:val="24"/>
          <w:highlight w:val="none"/>
        </w:rPr>
        <w:t>（3）如果不可抗力事件延续并超过30天，双方应通过友好协商，确定是否继续履行合同；</w:t>
      </w:r>
    </w:p>
    <w:p w14:paraId="2C2DDE97">
      <w:pPr>
        <w:spacing w:line="360" w:lineRule="auto"/>
        <w:rPr>
          <w:rFonts w:ascii="宋体" w:hAnsi="宋体" w:cs="宋体"/>
          <w:color w:val="auto"/>
          <w:sz w:val="24"/>
          <w:highlight w:val="none"/>
        </w:rPr>
      </w:pPr>
      <w:r>
        <w:rPr>
          <w:rFonts w:hint="eastAsia" w:ascii="宋体" w:hAnsi="宋体" w:cs="宋体"/>
          <w:color w:val="auto"/>
          <w:sz w:val="24"/>
          <w:highlight w:val="none"/>
        </w:rPr>
        <w:t>（4）因合同一方延迟履行合同后发生不可抗力的，不能免除延迟履行方相应的责任；</w:t>
      </w:r>
    </w:p>
    <w:p w14:paraId="720372FA">
      <w:pPr>
        <w:spacing w:line="360" w:lineRule="auto"/>
        <w:rPr>
          <w:rFonts w:ascii="宋体" w:hAnsi="宋体" w:cs="宋体"/>
          <w:color w:val="auto"/>
          <w:sz w:val="24"/>
          <w:highlight w:val="none"/>
        </w:rPr>
      </w:pPr>
      <w:r>
        <w:rPr>
          <w:rFonts w:hint="eastAsia" w:ascii="宋体" w:hAnsi="宋体" w:cs="宋体"/>
          <w:color w:val="auto"/>
          <w:sz w:val="24"/>
          <w:highlight w:val="none"/>
        </w:rPr>
        <w:t>（5）双方确定，因发生不可抗力致使本合同的履行成为不必要或不可能的，一方可以通知另一方解除本合同。</w:t>
      </w:r>
    </w:p>
    <w:p w14:paraId="7EFBC246">
      <w:pPr>
        <w:spacing w:line="360" w:lineRule="auto"/>
        <w:rPr>
          <w:rFonts w:ascii="宋体" w:hAnsi="宋体" w:cs="宋体"/>
          <w:color w:val="auto"/>
          <w:sz w:val="24"/>
          <w:highlight w:val="none"/>
        </w:rPr>
      </w:pPr>
      <w:r>
        <w:rPr>
          <w:rFonts w:hint="eastAsia" w:ascii="宋体" w:hAnsi="宋体" w:cs="宋体"/>
          <w:color w:val="auto"/>
          <w:sz w:val="24"/>
          <w:highlight w:val="none"/>
          <w:lang w:val="en-US" w:eastAsia="zh-CN"/>
        </w:rPr>
        <w:t>8</w:t>
      </w:r>
      <w:r>
        <w:rPr>
          <w:rFonts w:hint="eastAsia" w:ascii="宋体" w:hAnsi="宋体" w:cs="宋体"/>
          <w:color w:val="auto"/>
          <w:sz w:val="24"/>
          <w:highlight w:val="none"/>
        </w:rPr>
        <w:t>、权利保证：</w:t>
      </w:r>
    </w:p>
    <w:p w14:paraId="549F8E81">
      <w:pPr>
        <w:spacing w:line="360" w:lineRule="auto"/>
        <w:rPr>
          <w:rFonts w:ascii="宋体" w:hAnsi="宋体" w:cs="宋体"/>
          <w:color w:val="auto"/>
          <w:sz w:val="24"/>
          <w:highlight w:val="none"/>
        </w:rPr>
      </w:pPr>
      <w:r>
        <w:rPr>
          <w:rFonts w:hint="eastAsia" w:ascii="宋体" w:hAnsi="宋体" w:cs="宋体"/>
          <w:color w:val="auto"/>
          <w:sz w:val="24"/>
          <w:highlight w:val="none"/>
        </w:rPr>
        <w:t>中标供应商应保护采购人在使用该货物或其任何一部分时不受第三方提出侵犯所有权、工业产权、专利权、商标权、著作权或其它知识产权起诉的指控。如果任何第三方提出侵权指控，中标供应商须与第三方交涉并承担可能发生的一切法律责任和费用。若采购人先行向第三方权利人赔付，则中标供应商在采购人赔付范围内承担全部清偿责任，同时承担因此给采购人造成的其他损失（包括但不限于诉讼费、保全费、律师费、鉴定费等）。</w:t>
      </w:r>
    </w:p>
    <w:p w14:paraId="418EA8E4">
      <w:pPr>
        <w:spacing w:line="360" w:lineRule="auto"/>
        <w:rPr>
          <w:rFonts w:ascii="宋体" w:hAnsi="宋体" w:cs="宋体"/>
          <w:color w:val="auto"/>
          <w:sz w:val="24"/>
          <w:highlight w:val="none"/>
        </w:rPr>
      </w:pPr>
      <w:r>
        <w:rPr>
          <w:rFonts w:hint="eastAsia" w:ascii="宋体" w:hAnsi="宋体" w:cs="宋体"/>
          <w:color w:val="auto"/>
          <w:sz w:val="24"/>
          <w:highlight w:val="none"/>
          <w:lang w:val="en-US" w:eastAsia="zh-CN"/>
        </w:rPr>
        <w:t>9</w:t>
      </w:r>
      <w:r>
        <w:rPr>
          <w:rFonts w:hint="eastAsia" w:ascii="宋体" w:hAnsi="宋体" w:cs="宋体"/>
          <w:color w:val="auto"/>
          <w:sz w:val="24"/>
          <w:highlight w:val="none"/>
        </w:rPr>
        <w:t>、验收方案：</w:t>
      </w:r>
    </w:p>
    <w:p w14:paraId="29DDAE84">
      <w:pPr>
        <w:spacing w:line="360" w:lineRule="auto"/>
        <w:rPr>
          <w:rFonts w:ascii="宋体" w:hAnsi="宋体" w:cs="宋体"/>
          <w:color w:val="auto"/>
          <w:sz w:val="24"/>
          <w:highlight w:val="none"/>
        </w:rPr>
      </w:pPr>
      <w:r>
        <w:rPr>
          <w:rFonts w:hint="eastAsia" w:ascii="宋体" w:hAnsi="宋体" w:cs="宋体"/>
          <w:color w:val="auto"/>
          <w:sz w:val="24"/>
          <w:highlight w:val="none"/>
        </w:rPr>
        <w:t>采购人按照相关规定组织验收工作，中标供应商为验收提供必要的条件及承担相关验收、检测费用等，对产品技术性能指标验收不合格的，采购人将按国家相关法律法规对中标供应商进行违约处理。</w:t>
      </w:r>
    </w:p>
    <w:p w14:paraId="6C3CBE46">
      <w:pPr>
        <w:spacing w:line="360" w:lineRule="auto"/>
        <w:rPr>
          <w:rFonts w:ascii="宋体" w:hAnsi="宋体" w:cs="宋体"/>
          <w:color w:val="auto"/>
          <w:sz w:val="24"/>
          <w:highlight w:val="none"/>
        </w:rPr>
      </w:pPr>
      <w:r>
        <w:rPr>
          <w:rFonts w:hint="eastAsia" w:ascii="宋体" w:hAnsi="宋体" w:cs="宋体"/>
          <w:color w:val="auto"/>
          <w:sz w:val="24"/>
          <w:highlight w:val="none"/>
        </w:rPr>
        <w:t>（1）验收标准</w:t>
      </w:r>
    </w:p>
    <w:p w14:paraId="28504DE4">
      <w:pPr>
        <w:spacing w:line="360" w:lineRule="auto"/>
        <w:rPr>
          <w:rFonts w:ascii="宋体" w:hAnsi="宋体" w:cs="宋体"/>
          <w:color w:val="auto"/>
          <w:sz w:val="24"/>
          <w:highlight w:val="none"/>
        </w:rPr>
      </w:pPr>
      <w:r>
        <w:rPr>
          <w:rFonts w:hint="eastAsia" w:ascii="宋体" w:hAnsi="宋体" w:cs="宋体"/>
          <w:color w:val="auto"/>
          <w:sz w:val="24"/>
          <w:highlight w:val="none"/>
        </w:rPr>
        <w:t>符合相关国家标准、行业标准、地方标准、本项目招标文件、签订的合同和中标供应商投标文件的承诺等。</w:t>
      </w:r>
    </w:p>
    <w:p w14:paraId="4F953227">
      <w:pPr>
        <w:spacing w:line="360" w:lineRule="auto"/>
        <w:rPr>
          <w:rFonts w:ascii="宋体" w:hAnsi="宋体" w:cs="宋体"/>
          <w:color w:val="auto"/>
          <w:sz w:val="24"/>
          <w:highlight w:val="none"/>
        </w:rPr>
      </w:pPr>
      <w:r>
        <w:rPr>
          <w:rFonts w:hint="eastAsia" w:ascii="宋体" w:hAnsi="宋体" w:cs="宋体"/>
          <w:color w:val="auto"/>
          <w:sz w:val="24"/>
          <w:highlight w:val="none"/>
        </w:rPr>
        <w:t>（2）货物质量</w:t>
      </w:r>
    </w:p>
    <w:p w14:paraId="42D46BB3">
      <w:pPr>
        <w:spacing w:line="360" w:lineRule="auto"/>
        <w:rPr>
          <w:rFonts w:ascii="宋体" w:hAnsi="宋体" w:cs="宋体"/>
          <w:color w:val="auto"/>
          <w:sz w:val="24"/>
          <w:highlight w:val="none"/>
        </w:rPr>
      </w:pPr>
      <w:r>
        <w:rPr>
          <w:rFonts w:hint="eastAsia" w:ascii="宋体" w:hAnsi="宋体" w:cs="宋体"/>
          <w:color w:val="auto"/>
          <w:sz w:val="24"/>
          <w:highlight w:val="none"/>
        </w:rPr>
        <w:t>1）中标供应商须提供全新的、符合国家有关质量标准和规范、环保要求的货物，其质量、规格及技术特征符合招标文件要求；</w:t>
      </w:r>
    </w:p>
    <w:p w14:paraId="1338B5BF">
      <w:pPr>
        <w:spacing w:line="360" w:lineRule="auto"/>
        <w:rPr>
          <w:rFonts w:ascii="宋体" w:hAnsi="宋体" w:cs="宋体"/>
          <w:color w:val="auto"/>
          <w:sz w:val="24"/>
          <w:highlight w:val="none"/>
        </w:rPr>
      </w:pPr>
      <w:r>
        <w:rPr>
          <w:rFonts w:hint="eastAsia" w:ascii="宋体" w:hAnsi="宋体" w:cs="宋体"/>
          <w:color w:val="auto"/>
          <w:sz w:val="24"/>
          <w:highlight w:val="none"/>
        </w:rPr>
        <w:t>2）货物必须具备出厂合格证和原厂保修卡。中标供应商应将所提供货物的装箱清单、用户手册、原厂保修卡、随机资料及配件、随机工具等交付给采购人。中标供应商不能完整交付货物及本款规定的单证和工具的，视为未按合同约定付货，中标供应商必须负责补齐，因此导致逾期交付的，由中标供应商承担相关的违约责任；</w:t>
      </w:r>
    </w:p>
    <w:p w14:paraId="308F9910">
      <w:pPr>
        <w:spacing w:line="360" w:lineRule="auto"/>
        <w:rPr>
          <w:rFonts w:ascii="宋体" w:hAnsi="宋体" w:cs="宋体"/>
          <w:color w:val="auto"/>
          <w:sz w:val="24"/>
          <w:highlight w:val="none"/>
        </w:rPr>
      </w:pPr>
      <w:r>
        <w:rPr>
          <w:rFonts w:hint="eastAsia" w:ascii="宋体" w:hAnsi="宋体" w:cs="宋体"/>
          <w:color w:val="auto"/>
          <w:sz w:val="24"/>
          <w:highlight w:val="none"/>
        </w:rPr>
        <w:t>3）合同验收完成后，质量保证期内，货物出现质量问题，中标供应商应负责三包（包修、包换、包退），费用由中标供应商负责；</w:t>
      </w:r>
    </w:p>
    <w:p w14:paraId="21E1DB8D">
      <w:pPr>
        <w:spacing w:line="360" w:lineRule="auto"/>
        <w:rPr>
          <w:rFonts w:ascii="宋体" w:hAnsi="宋体" w:cs="宋体"/>
          <w:color w:val="auto"/>
          <w:sz w:val="24"/>
          <w:highlight w:val="none"/>
        </w:rPr>
      </w:pPr>
      <w:r>
        <w:rPr>
          <w:rFonts w:hint="eastAsia" w:ascii="宋体" w:hAnsi="宋体" w:cs="宋体"/>
          <w:color w:val="auto"/>
          <w:sz w:val="24"/>
          <w:highlight w:val="none"/>
        </w:rPr>
        <w:t>4）货物交付后中标供应商应对货物如何保管进行明确的书面提示告知，在中标供应商已经提示告知采购人保管注意事项后由于采购人保管不当造成的问题，中标供应商亦应负责修理，但费用由采购人负担。</w:t>
      </w:r>
    </w:p>
    <w:p w14:paraId="11586D87">
      <w:pPr>
        <w:spacing w:line="360" w:lineRule="auto"/>
        <w:rPr>
          <w:rFonts w:ascii="宋体" w:hAnsi="宋体" w:cs="宋体"/>
          <w:color w:val="auto"/>
          <w:sz w:val="24"/>
          <w:highlight w:val="none"/>
        </w:rPr>
      </w:pPr>
      <w:r>
        <w:rPr>
          <w:rFonts w:hint="eastAsia" w:ascii="宋体" w:hAnsi="宋体" w:cs="宋体"/>
          <w:color w:val="auto"/>
          <w:sz w:val="24"/>
          <w:highlight w:val="none"/>
        </w:rPr>
        <w:t>（3）到货验收</w:t>
      </w:r>
    </w:p>
    <w:p w14:paraId="29E3743E">
      <w:pPr>
        <w:spacing w:line="360" w:lineRule="auto"/>
        <w:rPr>
          <w:rFonts w:ascii="宋体" w:hAnsi="宋体" w:cs="宋体"/>
          <w:color w:val="auto"/>
          <w:sz w:val="24"/>
          <w:highlight w:val="none"/>
        </w:rPr>
      </w:pPr>
      <w:r>
        <w:rPr>
          <w:rFonts w:hint="eastAsia" w:ascii="宋体" w:hAnsi="宋体" w:cs="宋体"/>
          <w:color w:val="auto"/>
          <w:sz w:val="24"/>
          <w:highlight w:val="none"/>
        </w:rPr>
        <w:t>采购人根据与中标供应商所签订的合同内容组织到货验收，对货物的型号规格、数量、附件及备件等是否齐全进行核验，确认无误后进行到货验收。</w:t>
      </w:r>
    </w:p>
    <w:p w14:paraId="15DEDF13">
      <w:pPr>
        <w:spacing w:line="360" w:lineRule="auto"/>
        <w:rPr>
          <w:rFonts w:ascii="宋体" w:hAnsi="宋体" w:cs="宋体"/>
          <w:color w:val="auto"/>
          <w:sz w:val="24"/>
          <w:highlight w:val="none"/>
        </w:rPr>
      </w:pPr>
      <w:r>
        <w:rPr>
          <w:rFonts w:hint="eastAsia" w:ascii="宋体" w:hAnsi="宋体" w:cs="宋体"/>
          <w:color w:val="auto"/>
          <w:sz w:val="24"/>
          <w:highlight w:val="none"/>
          <w:lang w:val="en-US" w:eastAsia="zh-CN"/>
        </w:rPr>
        <w:t>10</w:t>
      </w:r>
      <w:r>
        <w:rPr>
          <w:rFonts w:hint="eastAsia" w:ascii="宋体" w:hAnsi="宋体" w:cs="宋体"/>
          <w:color w:val="auto"/>
          <w:sz w:val="24"/>
          <w:highlight w:val="none"/>
        </w:rPr>
        <w:t>、供应商在项目实施或服务过程中发生的重大人员、产品质量事故，或因供应商企业管理不善等原因造成的人员伤亡等责任事故均由供应商负责，采购人不承担任何法律及经济责任。</w:t>
      </w:r>
    </w:p>
    <w:p w14:paraId="7434A1A7">
      <w:pPr>
        <w:spacing w:line="360" w:lineRule="auto"/>
        <w:rPr>
          <w:rFonts w:hint="default" w:ascii="宋体" w:hAnsi="宋体" w:cs="宋体"/>
          <w:color w:val="auto"/>
          <w:sz w:val="24"/>
          <w:highlight w:val="none"/>
          <w:lang w:val="en-US" w:eastAsia="zh-CN"/>
        </w:rPr>
      </w:pPr>
      <w:r>
        <w:rPr>
          <w:rFonts w:hint="eastAsia" w:ascii="宋体" w:hAnsi="宋体" w:cs="宋体"/>
          <w:color w:val="auto"/>
          <w:sz w:val="24"/>
          <w:highlight w:val="none"/>
          <w:lang w:val="en-US" w:eastAsia="zh-CN"/>
        </w:rPr>
        <w:t>11、其他未尽事宜，双方在合同中约定。</w:t>
      </w:r>
    </w:p>
    <w:p w14:paraId="5F3D6A64">
      <w:r>
        <w:rPr>
          <w:rFonts w:hint="eastAsia" w:ascii="宋体" w:hAnsi="宋体" w:cs="宋体"/>
          <w:b/>
          <w:color w:val="auto"/>
          <w:sz w:val="28"/>
          <w:szCs w:val="28"/>
          <w:highlight w:val="none"/>
        </w:rPr>
        <w:t>注：以上技术及商务要求均不允许负偏离，否则按无效响应处理。</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val="bestFit" w:percent="1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1B7F08"/>
    <w:rsid w:val="471E3E51"/>
    <w:rsid w:val="56743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customStyle="1" w:styleId="5">
    <w:name w:val="Table Text"/>
    <w:basedOn w:val="1"/>
    <w:semiHidden/>
    <w:qFormat/>
    <w:uiPriority w:val="0"/>
    <w:rPr>
      <w:rFonts w:ascii="宋体" w:hAnsi="宋体" w:eastAsia="宋体" w:cs="宋体"/>
      <w:sz w:val="24"/>
      <w:szCs w:val="24"/>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 w:type="character" w:customStyle="1" w:styleId="7">
    <w:name w:val="font91"/>
    <w:basedOn w:val="4"/>
    <w:qFormat/>
    <w:uiPriority w:val="0"/>
    <w:rPr>
      <w:rFonts w:ascii="Arial" w:hAnsi="Arial" w:cs="Arial"/>
      <w:color w:val="000000"/>
      <w:sz w:val="20"/>
      <w:szCs w:val="20"/>
      <w:u w:val="none"/>
    </w:rPr>
  </w:style>
  <w:style w:type="character" w:customStyle="1" w:styleId="8">
    <w:name w:val="font101"/>
    <w:basedOn w:val="4"/>
    <w:qFormat/>
    <w:uiPriority w:val="0"/>
    <w:rPr>
      <w:rFonts w:hint="eastAsia" w:ascii="宋体" w:hAnsi="宋体" w:eastAsia="宋体" w:cs="宋体"/>
      <w:color w:val="000000"/>
      <w:sz w:val="20"/>
      <w:szCs w:val="20"/>
      <w:u w:val="none"/>
    </w:rPr>
  </w:style>
  <w:style w:type="character" w:customStyle="1" w:styleId="9">
    <w:name w:val="font112"/>
    <w:basedOn w:val="4"/>
    <w:qFormat/>
    <w:uiPriority w:val="0"/>
    <w:rPr>
      <w:rFonts w:hint="eastAsia" w:ascii="宋体" w:hAnsi="宋体" w:eastAsia="宋体" w:cs="宋体"/>
      <w:color w:val="000000"/>
      <w:sz w:val="20"/>
      <w:szCs w:val="20"/>
      <w:u w:val="none"/>
      <w:vertAlign w:val="superscript"/>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212</Words>
  <Characters>253</Characters>
  <Lines>0</Lines>
  <Paragraphs>0</Paragraphs>
  <TotalTime>0</TotalTime>
  <ScaleCrop>false</ScaleCrop>
  <LinksUpToDate>false</LinksUpToDate>
  <CharactersWithSpaces>253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2026-05-19T08:33:00Z</dcterms:created>
  <dc:creator>circle</dc:creator>
  <cp:lastModifiedBy>circle</cp:lastModifiedBy>
  <dcterms:modified xsi:type="dcterms:W3CDTF">2026-05-22T09:49:37Z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eyJoZGlkIjoiMDkwOTMwYmZkOTY3YWVmMDhiNmUwNjE0MGEwMjNiMTMiLCJ1c2VySWQiOiIxMDQ3MTk5NzQwIn0=</vt:lpwstr>
  </property>
  <property fmtid="{D5CDD505-2E9C-101B-9397-08002B2CF9AE}" pid="4" name="ICV">
    <vt:lpwstr>45ED4097FB154B9CB7CAEBFAE03790F5_12</vt:lpwstr>
  </property>
</Properties>
</file>