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pPr>
        <w:pageBreakBefore w:val="0"/>
        <w:widowControl w:val="0"/>
        <w:wordWrap/>
        <w:overflowPunct/>
        <w:topLinePunct w:val="0"/>
        <w:bidi w:val="0"/>
        <w:spacing w:before="78" w:line="220" w:lineRule="auto"/>
        <w:jc w:val="both"/>
        <w:outlineLvl w:val="1"/>
        <w:rPr>
          <w:color w:val="auto"/>
          <w:highlight w:val="none"/>
        </w:rPr>
      </w:pPr>
      <w:bookmarkStart w:id="0"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0"/>
    </w:p>
    <w:tbl>
      <w:tblPr>
        <w:tblStyle w:val="10"/>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56"/>
        <w:gridCol w:w="1082"/>
        <w:gridCol w:w="626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2" w:hRule="atLeast"/>
        </w:trPr>
        <w:tc>
          <w:tcPr>
            <w:tcW w:w="1756" w:type="dxa"/>
            <w:tcBorders>
              <w:right w:val="nil"/>
            </w:tcBorders>
          </w:tcPr>
          <w:p>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bookmarkStart w:id="4" w:name="_GoBack"/>
            <w:r>
              <w:rPr>
                <w:color w:val="auto"/>
                <w:highlight w:val="none"/>
              </w:rPr>
              <w:drawing>
                <wp:anchor distT="0" distB="0" distL="0" distR="0" simplePos="0" relativeHeight="251679744"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76730" cy="1456690"/>
                          </a:xfrm>
                          <a:prstGeom prst="rect">
                            <a:avLst/>
                          </a:prstGeom>
                        </pic:spPr>
                      </pic:pic>
                    </a:graphicData>
                  </a:graphic>
                </wp:anchor>
              </w:drawing>
            </w:r>
            <w:bookmarkEnd w:id="4"/>
            <w:r>
              <w:rPr>
                <w:rFonts w:ascii="宋体" w:hAnsi="宋体" w:eastAsia="宋体" w:cs="宋体"/>
                <w:color w:val="auto"/>
                <w:sz w:val="24"/>
                <w:szCs w:val="24"/>
                <w:highlight w:val="none"/>
              </w:rPr>
              <w:t>名</w:t>
            </w:r>
          </w:p>
          <w:p>
            <w:pPr>
              <w:pStyle w:val="11"/>
              <w:pageBreakBefore w:val="0"/>
              <w:widowControl w:val="0"/>
              <w:wordWrap/>
              <w:overflowPunct/>
              <w:topLinePunct w:val="0"/>
              <w:bidi w:val="0"/>
              <w:spacing w:line="245" w:lineRule="auto"/>
              <w:rPr>
                <w:color w:val="auto"/>
                <w:highlight w:val="none"/>
              </w:rPr>
            </w:pPr>
          </w:p>
          <w:p>
            <w:pPr>
              <w:pStyle w:val="11"/>
              <w:pageBreakBefore w:val="0"/>
              <w:widowControl w:val="0"/>
              <w:wordWrap/>
              <w:overflowPunct/>
              <w:topLinePunct w:val="0"/>
              <w:bidi w:val="0"/>
              <w:spacing w:line="246" w:lineRule="auto"/>
              <w:rPr>
                <w:color w:val="auto"/>
                <w:highlight w:val="none"/>
              </w:rPr>
            </w:pPr>
          </w:p>
          <w:p>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pPr>
              <w:pStyle w:val="11"/>
              <w:pageBreakBefore w:val="0"/>
              <w:widowControl w:val="0"/>
              <w:wordWrap/>
              <w:overflowPunct/>
              <w:topLinePunct w:val="0"/>
              <w:bidi w:val="0"/>
              <w:spacing w:line="338" w:lineRule="auto"/>
              <w:rPr>
                <w:color w:val="auto"/>
                <w:highlight w:val="none"/>
              </w:rPr>
            </w:pPr>
          </w:p>
          <w:p>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082" w:type="dxa"/>
            <w:tcBorders>
              <w:left w:val="nil"/>
            </w:tcBorders>
          </w:tcPr>
          <w:p>
            <w:pPr>
              <w:pStyle w:val="11"/>
              <w:pageBreakBefore w:val="0"/>
              <w:widowControl w:val="0"/>
              <w:wordWrap/>
              <w:overflowPunct/>
              <w:topLinePunct w:val="0"/>
              <w:bidi w:val="0"/>
              <w:spacing w:line="263" w:lineRule="auto"/>
              <w:rPr>
                <w:color w:val="auto"/>
                <w:highlight w:val="none"/>
              </w:rPr>
            </w:pPr>
          </w:p>
          <w:p>
            <w:pPr>
              <w:pStyle w:val="11"/>
              <w:pageBreakBefore w:val="0"/>
              <w:widowControl w:val="0"/>
              <w:wordWrap/>
              <w:overflowPunct/>
              <w:topLinePunct w:val="0"/>
              <w:bidi w:val="0"/>
              <w:spacing w:line="263" w:lineRule="auto"/>
              <w:rPr>
                <w:color w:val="auto"/>
                <w:highlight w:val="none"/>
              </w:rPr>
            </w:pPr>
          </w:p>
          <w:p>
            <w:pPr>
              <w:pStyle w:val="11"/>
              <w:pageBreakBefore w:val="0"/>
              <w:widowControl w:val="0"/>
              <w:wordWrap/>
              <w:overflowPunct/>
              <w:topLinePunct w:val="0"/>
              <w:bidi w:val="0"/>
              <w:spacing w:line="264" w:lineRule="auto"/>
              <w:rPr>
                <w:color w:val="auto"/>
                <w:highlight w:val="none"/>
              </w:rPr>
            </w:pPr>
          </w:p>
          <w:p>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pPr>
              <w:pStyle w:val="11"/>
              <w:pageBreakBefore w:val="0"/>
              <w:widowControl w:val="0"/>
              <w:wordWrap/>
              <w:overflowPunct/>
              <w:topLinePunct w:val="0"/>
              <w:bidi w:val="0"/>
              <w:jc w:val="center"/>
              <w:rPr>
                <w:rFonts w:hint="eastAsia" w:eastAsia="宋体"/>
                <w:color w:val="auto"/>
                <w:highlight w:val="none"/>
                <w:lang w:eastAsia="zh-CN"/>
              </w:rPr>
            </w:pPr>
            <w:r>
              <w:rPr>
                <w:rFonts w:hint="eastAsia" w:ascii="宋体" w:hAnsi="宋体" w:eastAsia="宋体" w:cs="宋体"/>
                <w:snapToGrid w:val="0"/>
                <w:color w:val="auto"/>
                <w:kern w:val="0"/>
                <w:sz w:val="24"/>
                <w:szCs w:val="24"/>
                <w:highlight w:val="none"/>
                <w:lang w:val="en-US" w:eastAsia="zh-CN" w:bidi="ar"/>
              </w:rPr>
              <w:t>遂川县三所中小学音乐、科学实验教室设备采购项目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vAlign w:val="center"/>
          </w:tcPr>
          <w:p>
            <w:pPr>
              <w:pStyle w:val="11"/>
              <w:pageBreakBefore w:val="0"/>
              <w:widowControl w:val="0"/>
              <w:wordWrap/>
              <w:overflowPunct/>
              <w:topLinePunct w:val="0"/>
              <w:bidi w:val="0"/>
              <w:jc w:val="center"/>
              <w:rPr>
                <w:rFonts w:hint="default" w:eastAsia="宋体"/>
                <w:color w:val="auto"/>
                <w:highlight w:val="none"/>
                <w:lang w:val="en-US" w:eastAsia="zh-CN"/>
              </w:rPr>
            </w:pPr>
            <w:r>
              <w:rPr>
                <w:rFonts w:hint="eastAsia" w:ascii="宋体" w:hAnsi="宋体" w:eastAsia="宋体" w:cs="宋体"/>
                <w:snapToGrid w:val="0"/>
                <w:color w:val="auto"/>
                <w:kern w:val="0"/>
                <w:sz w:val="24"/>
                <w:szCs w:val="24"/>
                <w:highlight w:val="none"/>
                <w:lang w:val="en-US" w:eastAsia="zh-CN" w:bidi="ar"/>
              </w:rPr>
              <w:t>1批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vAlign w:val="center"/>
          </w:tcPr>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合同签订生效之日起60日内供货安装调试完毕并交</w:t>
            </w:r>
          </w:p>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付使用。</w:t>
            </w:r>
          </w:p>
          <w:p>
            <w:pPr>
              <w:pStyle w:val="11"/>
              <w:pageBreakBefore w:val="0"/>
              <w:widowControl w:val="0"/>
              <w:wordWrap/>
              <w:overflowPunct/>
              <w:topLinePunct w:val="0"/>
              <w:bidi w:val="0"/>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p>
            <w:pPr>
              <w:pStyle w:val="11"/>
              <w:pageBreakBefore w:val="0"/>
              <w:widowControl w:val="0"/>
              <w:wordWrap/>
              <w:overflowPunct/>
              <w:topLinePunct w:val="0"/>
              <w:bidi w:val="0"/>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5" w:hRule="atLeast"/>
        </w:trPr>
        <w:tc>
          <w:tcPr>
            <w:tcW w:w="2838" w:type="dxa"/>
            <w:gridSpan w:val="2"/>
          </w:tcPr>
          <w:p>
            <w:pPr>
              <w:pageBreakBefore w:val="0"/>
              <w:widowControl w:val="0"/>
              <w:wordWrap/>
              <w:overflowPunct/>
              <w:topLinePunct w:val="0"/>
              <w:bidi w:val="0"/>
              <w:spacing w:before="257" w:line="22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vAlign w:val="center"/>
          </w:tcPr>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p>
            <w:pPr>
              <w:pStyle w:val="11"/>
              <w:pageBreakBefore w:val="0"/>
              <w:widowControl w:val="0"/>
              <w:wordWrap/>
              <w:overflowPunct/>
              <w:topLinePunct w:val="0"/>
              <w:bidi w:val="0"/>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9" w:hRule="atLeast"/>
        </w:trPr>
        <w:tc>
          <w:tcPr>
            <w:tcW w:w="2838" w:type="dxa"/>
            <w:gridSpan w:val="2"/>
          </w:tcPr>
          <w:p>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vAlign w:val="center"/>
          </w:tcPr>
          <w:p>
            <w:pPr>
              <w:pStyle w:val="11"/>
              <w:pageBreakBefore w:val="0"/>
              <w:widowControl w:val="0"/>
              <w:wordWrap/>
              <w:overflowPunct/>
              <w:topLinePunct w:val="0"/>
              <w:bidi w:val="0"/>
              <w:jc w:val="center"/>
              <w:rPr>
                <w:rFonts w:hint="default"/>
                <w:color w:val="auto"/>
                <w:highlight w:val="none"/>
                <w:lang w:val="en-US"/>
              </w:rPr>
            </w:pPr>
            <w:r>
              <w:rPr>
                <w:rFonts w:hint="eastAsia" w:ascii="宋体" w:hAnsi="宋体" w:eastAsia="宋体" w:cs="宋体"/>
                <w:snapToGrid w:val="0"/>
                <w:color w:val="auto"/>
                <w:kern w:val="0"/>
                <w:sz w:val="24"/>
                <w:szCs w:val="24"/>
                <w:highlight w:val="none"/>
                <w:lang w:val="en-US" w:eastAsia="zh-CN" w:bidi="ar"/>
              </w:rPr>
              <w:t xml:space="preserve"> /</w:t>
            </w:r>
          </w:p>
        </w:tc>
      </w:tr>
    </w:tbl>
    <w:p>
      <w:pPr>
        <w:pageBreakBefore w:val="0"/>
        <w:widowControl w:val="0"/>
        <w:wordWrap/>
        <w:overflowPunct/>
        <w:topLinePunct w:val="0"/>
        <w:bidi w:val="0"/>
        <w:rPr>
          <w:color w:val="auto"/>
          <w:highlight w:val="none"/>
        </w:rPr>
        <w:sectPr>
          <w:footerReference r:id="rId3" w:type="default"/>
          <w:pgSz w:w="11906" w:h="16839"/>
          <w:pgMar w:top="1429" w:right="1587" w:bottom="1429" w:left="1587" w:header="0" w:footer="994" w:gutter="0"/>
          <w:cols w:space="720" w:num="1"/>
        </w:sectPr>
      </w:pPr>
    </w:p>
    <w:p>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1" w:name="bookmark81"/>
      <w:bookmarkEnd w:id="1"/>
      <w:bookmarkStart w:id="2"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2"/>
    </w:p>
    <w:p>
      <w:pPr>
        <w:pageBreakBefore w:val="0"/>
        <w:widowControl w:val="0"/>
        <w:wordWrap/>
        <w:overflowPunct/>
        <w:topLinePunct w:val="0"/>
        <w:bidi w:val="0"/>
        <w:spacing w:line="258" w:lineRule="auto"/>
        <w:rPr>
          <w:rFonts w:hint="default" w:eastAsia="宋体"/>
          <w:color w:val="auto"/>
          <w:highlight w:val="none"/>
          <w:lang w:val="en-US" w:eastAsia="zh-CN"/>
        </w:rPr>
      </w:pPr>
      <w:r>
        <w:rPr>
          <w:rFonts w:hint="eastAsia" w:eastAsia="宋体"/>
          <w:color w:val="auto"/>
          <w:highlight w:val="none"/>
          <w:lang w:eastAsia="zh-CN"/>
        </w:rPr>
        <w:t>（</w:t>
      </w:r>
      <w:r>
        <w:rPr>
          <w:rFonts w:hint="eastAsia" w:eastAsia="宋体"/>
          <w:color w:val="auto"/>
          <w:highlight w:val="none"/>
          <w:lang w:val="en-US" w:eastAsia="zh-CN"/>
        </w:rPr>
        <w:t>一</w:t>
      </w:r>
      <w:r>
        <w:rPr>
          <w:rFonts w:hint="eastAsia" w:eastAsia="宋体"/>
          <w:color w:val="auto"/>
          <w:highlight w:val="none"/>
          <w:lang w:eastAsia="zh-CN"/>
        </w:rPr>
        <w:t>）</w:t>
      </w:r>
      <w:r>
        <w:rPr>
          <w:rFonts w:hint="eastAsia" w:eastAsia="宋体"/>
          <w:color w:val="auto"/>
          <w:highlight w:val="none"/>
          <w:lang w:val="en-US" w:eastAsia="zh-CN"/>
        </w:rPr>
        <w:t>采购清单</w:t>
      </w:r>
    </w:p>
    <w:tbl>
      <w:tblPr>
        <w:tblStyle w:val="8"/>
        <w:tblW w:w="91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78"/>
        <w:gridCol w:w="5403"/>
        <w:gridCol w:w="27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65" w:hRule="atLeast"/>
        </w:trPr>
        <w:tc>
          <w:tcPr>
            <w:tcW w:w="9100" w:type="dxa"/>
            <w:gridSpan w:val="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32"/>
                <w:szCs w:val="32"/>
                <w:highlight w:val="none"/>
                <w:u w:val="none"/>
              </w:rPr>
            </w:pPr>
            <w:r>
              <w:rPr>
                <w:rFonts w:hint="eastAsia" w:ascii="宋体" w:hAnsi="宋体" w:eastAsia="宋体" w:cs="宋体"/>
                <w:i w:val="0"/>
                <w:iCs w:val="0"/>
                <w:snapToGrid w:val="0"/>
                <w:color w:val="auto"/>
                <w:kern w:val="0"/>
                <w:sz w:val="32"/>
                <w:szCs w:val="32"/>
                <w:highlight w:val="none"/>
                <w:u w:val="none"/>
                <w:lang w:val="en-US" w:eastAsia="zh-CN" w:bidi="ar"/>
              </w:rPr>
              <w:t>遂川县三所中小学音乐、科学实验教室设备采购项目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 w:hRule="atLeast"/>
        </w:trPr>
        <w:tc>
          <w:tcPr>
            <w:tcW w:w="97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序号</w:t>
            </w:r>
          </w:p>
        </w:tc>
        <w:tc>
          <w:tcPr>
            <w:tcW w:w="540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名称</w:t>
            </w:r>
          </w:p>
        </w:tc>
        <w:tc>
          <w:tcPr>
            <w:tcW w:w="27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间（套）数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43" w:hRule="atLeast"/>
        </w:trPr>
        <w:tc>
          <w:tcPr>
            <w:tcW w:w="97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2"/>
                <w:szCs w:val="22"/>
                <w:highlight w:val="none"/>
                <w:u w:val="none"/>
              </w:rPr>
            </w:pPr>
          </w:p>
        </w:tc>
        <w:tc>
          <w:tcPr>
            <w:tcW w:w="540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2"/>
                <w:szCs w:val="22"/>
                <w:highlight w:val="none"/>
                <w:u w:val="none"/>
              </w:rPr>
            </w:pPr>
          </w:p>
        </w:tc>
        <w:tc>
          <w:tcPr>
            <w:tcW w:w="27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音乐教室装备建设方案（初中1间）</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音乐教室装备建设方案（小学1间）</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科学实验室/48座（1间标准）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小学科学准备室（新型1套标准）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科学仪器室（新型1间标准）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小学科学仪器（1套标准）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小学数学仪器（1套标准）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5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8</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汇总</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12</w:t>
            </w:r>
          </w:p>
        </w:tc>
      </w:tr>
    </w:tbl>
    <w:p>
      <w:pPr>
        <w:pStyle w:val="2"/>
        <w:numPr>
          <w:ilvl w:val="0"/>
          <w:numId w:val="0"/>
        </w:numPr>
        <w:rPr>
          <w:rFonts w:hint="eastAsia"/>
          <w:color w:val="auto"/>
          <w:highlight w:val="none"/>
        </w:rPr>
      </w:pP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440" w:lineRule="exact"/>
        <w:rPr>
          <w:rFonts w:hint="eastAsia" w:asciiTheme="minorEastAsia" w:hAnsiTheme="minorEastAsia" w:eastAsiaTheme="minorEastAsia" w:cstheme="minorEastAsia"/>
          <w:color w:val="auto"/>
          <w:spacing w:val="-5"/>
          <w:sz w:val="24"/>
          <w:szCs w:val="24"/>
          <w:highlight w:val="none"/>
        </w:rPr>
      </w:pPr>
      <w:r>
        <w:rPr>
          <w:rFonts w:hint="eastAsia" w:asciiTheme="minorEastAsia" w:hAnsiTheme="minorEastAsia" w:eastAsiaTheme="minorEastAsia" w:cstheme="minorEastAsia"/>
          <w:color w:val="auto"/>
          <w:spacing w:val="-5"/>
          <w:sz w:val="24"/>
          <w:szCs w:val="24"/>
          <w:highlight w:val="none"/>
          <w:lang w:eastAsia="zh-CN"/>
        </w:rPr>
        <w:t>（</w:t>
      </w:r>
      <w:r>
        <w:rPr>
          <w:rFonts w:hint="eastAsia" w:asciiTheme="minorEastAsia" w:hAnsiTheme="minorEastAsia" w:eastAsiaTheme="minorEastAsia" w:cstheme="minorEastAsia"/>
          <w:color w:val="auto"/>
          <w:spacing w:val="-5"/>
          <w:sz w:val="24"/>
          <w:szCs w:val="24"/>
          <w:highlight w:val="none"/>
          <w:lang w:val="en-US" w:eastAsia="zh-CN"/>
        </w:rPr>
        <w:t>二</w:t>
      </w:r>
      <w:r>
        <w:rPr>
          <w:rFonts w:hint="eastAsia" w:asciiTheme="minorEastAsia" w:hAnsiTheme="minorEastAsia" w:eastAsiaTheme="minorEastAsia" w:cstheme="minorEastAsia"/>
          <w:color w:val="auto"/>
          <w:spacing w:val="-5"/>
          <w:sz w:val="24"/>
          <w:szCs w:val="24"/>
          <w:highlight w:val="none"/>
          <w:lang w:eastAsia="zh-CN"/>
        </w:rPr>
        <w:t>）</w:t>
      </w:r>
      <w:r>
        <w:rPr>
          <w:rFonts w:hint="eastAsia" w:asciiTheme="minorEastAsia" w:hAnsiTheme="minorEastAsia" w:eastAsiaTheme="minorEastAsia" w:cstheme="minorEastAsia"/>
          <w:color w:val="auto"/>
          <w:spacing w:val="-5"/>
          <w:sz w:val="24"/>
          <w:szCs w:val="24"/>
          <w:highlight w:val="none"/>
        </w:rPr>
        <w:t>技术需求</w:t>
      </w:r>
    </w:p>
    <w:p>
      <w:pPr>
        <w:pStyle w:val="2"/>
        <w:numPr>
          <w:ilvl w:val="0"/>
          <w:numId w:val="0"/>
        </w:numPr>
        <w:rPr>
          <w:rFonts w:hint="eastAsia"/>
          <w:color w:val="auto"/>
          <w:highlight w:val="none"/>
        </w:rPr>
      </w:pPr>
    </w:p>
    <w:tbl>
      <w:tblPr>
        <w:tblStyle w:val="8"/>
        <w:tblW w:w="9216" w:type="dxa"/>
        <w:tblInd w:w="-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81"/>
        <w:gridCol w:w="405"/>
        <w:gridCol w:w="6830"/>
        <w:gridCol w:w="785"/>
        <w:gridCol w:w="7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77" w:hRule="atLeast"/>
        </w:trPr>
        <w:tc>
          <w:tcPr>
            <w:tcW w:w="8501" w:type="dxa"/>
            <w:gridSpan w:val="4"/>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1.音乐教室装备建设方案（初中1间）</w:t>
            </w:r>
          </w:p>
        </w:tc>
        <w:tc>
          <w:tcPr>
            <w:tcW w:w="715" w:type="dxa"/>
            <w:tcBorders>
              <w:top w:val="nil"/>
              <w:left w:val="nil"/>
              <w:bottom w:val="nil"/>
              <w:right w:val="nil"/>
            </w:tcBorders>
            <w:shd w:val="clear" w:color="auto" w:fill="auto"/>
            <w:noWrap/>
            <w:vAlign w:val="center"/>
          </w:tcPr>
          <w:p>
            <w:pP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2" w:hRule="atLeast"/>
        </w:trPr>
        <w:tc>
          <w:tcPr>
            <w:tcW w:w="4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4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lang w:eastAsia="zh-CN"/>
              </w:rPr>
            </w:pPr>
            <w:r>
              <w:rPr>
                <w:rFonts w:hint="eastAsia" w:ascii="宋体" w:hAnsi="宋体" w:eastAsia="宋体" w:cs="宋体"/>
                <w:b/>
                <w:bCs/>
                <w:i w:val="0"/>
                <w:iCs w:val="0"/>
                <w:color w:val="auto"/>
                <w:sz w:val="24"/>
                <w:szCs w:val="24"/>
                <w:highlight w:val="none"/>
                <w:u w:val="none"/>
                <w:lang w:eastAsia="zh-CN"/>
              </w:rPr>
              <w:t xml:space="preserve"> </w:t>
            </w:r>
          </w:p>
        </w:tc>
        <w:tc>
          <w:tcPr>
            <w:tcW w:w="4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五线谱电教板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1、五线谱电磁感应书写式电教板整体尺寸不小于1800mm×1000mm×60mm；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2、内存不少于10种调式、12种节奏、不能少于100种音色、不少于500首乐曲；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3、控制面板不低于PC膜全数字电路控制、轻触式按键；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4、LED及数码显示，双教鞭演示，任意和弦功能；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5、音准：a'=440HZ，音域G～a2，高音谱表2组，大谱表1组，带USB接口，可播放U盘的mp3格式的曲目；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6、具有录音功能，录音时间不小于15分钟，可外接麦克风、音响，110V-250V稳定工作电压。</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1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五线谱教学黑板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1、尺寸不小于2000mm×1000mm，板面厚度≥0.6mm；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2、镀锌金属背面，厚度为≥0.3mm，材质不低于2A优质纸板，铝合金边框；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3、丝网印刷，四组五线谱,书写平稳、流利。</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3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音响系统</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CD、功放、音箱、卡拉OK功能等；</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1、CD机配DVD机；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2、功放AC220V，有效输出功率≥50W+50W，扩音功率≥50W+50W。频响50HZ——15000HZ，信噪比：≥100db,4路话筒输入，≥4路线输入，2路线输出；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3、音箱，有效功率≥50W+50W，峰值功率≥300W+300W。频响30HZ——100000HZ。</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钢琴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参数：外观立式、推拉盖板、三踏板；键盘：88键第6代欧洲技术锤式触感钢琴；键盘力度：6级（5级+OFF)；显示：多功能LCD液晶显示；复音数：128；音色：594 种旋律音色（包含81 种中国民族音色）+12 组键盘打击乐（包含316 种打击乐音色）、叠加/分割、键分离、双音色；节奏：230种预置节奏(包含40种中国民族节奏)+10种用户节奏；节奏控制：启动/停止、同步启动、前奏/尾奏、插入A、插入B；速度：30-280；内置乐曲：115首预置歌曲+120歌本；演奏增强：力度响应、延音、单触键设置、双钢琴、演奏帮助、古典音律；音高调节：移调、八度、音调；音效：全局DSP数码效果、混响、合唱、和声、调音台；录音：6轨录音(5旋律轨＋1伴奏轨)+16轨MIDI通道录音、10首用户歌曲；注册记忆：32个注册记忆(8记忆库 x 4 存储)；智能学习系统：歌曲旋律关闭模式、和弦字典、节拍器；智能APP学习：通过USB接口与苹果设备连接；控制按钮：电源开关、音量旋钮、明亮度旋钮、节奏直选(调音台)、速度+/- (功能+/-)、切换、音色(演奏帮助)、节奏(示范曲)、歌曲(歌本)、指轮盘、+/是、</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谱架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1、折叠型小谱架，塑料件均做加厚加粗处理；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2、3段型高度调节管，最大高度可调至1.3m左右；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3、橡胶底脚，三支脚均为圆角管；增大接地摩擦力，整体稳定性较好。</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指挥台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1、材质：上部为不锈钢支架，底部为实木；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2、尺寸：长≥1000mm，宽度≥750mm，高度≥240mm；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3、外观：表面平整平滑无毛刺；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4、结构：不锈钢支架，各部件衔接牢固。</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合唱台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1、实木合唱台三层，120-120-60cm(长宽高)，层宽40cm，层高20cm；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2、材质采用优质泰国进口橡胶木齿接板18mm厚，硬度高不开裂特性，内部使用同等厚度板做龙骨支撑具有良好的静音和支撑能力，每层平面整体可承重500公斤以上，三层整体承重不得小于1500公斤；</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3、台阶整体式不可拆装，稳定性强，台阶边为圆边防磕碰，表面采用环保无味清漆喷涂原木色。</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六面体凳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1、六面体结构，外形尺寸不小于295×340×400mm；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2、采用模具成型软塑料边条经机械封饰、配龄合型软防滑八角；</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3、可承重不小于60kg。</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把</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4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音乐教学挂图</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1、含音乐家挂图、乐器挂图、识谱知识挂图；</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2、材质为铜版纸，100幅。</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5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音乐教学用品柜</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1、规格：1000×500×2000mm；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8、螺丝：不锈钢材质。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60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教学电子琴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1、键盘：61键力度触感标准键盘；</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2、显示：多功能LCD背光液晶显示；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3、复音数：32；</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4、音色：844种音色(包括553种旋律音色、16种民族音色和13组键盘打击乐)40个面板直选音色音色控制：调音台、延音、移调、微调、琶音、双音色；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5、踏板功能：接上多功能踏板（另配），提供七种脚踏功能选择；</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6、效果：10种混响，混响开关，13种合唱；</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7、节奏：204种节奏，包括11种民族节奏、40个面板直选节奏；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8、伴奏控制：同步启动、启动/停止、前奏/尾奏、插入、单键设置；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9、键盘控制：和弦、全和弦、分离、和声、和弦字典5种力度曲线；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10、示范曲：160首；</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11、录音功能：5轨录音/放音；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12、状态记忆：5x8组面板设定状态；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13、外置声卡：(USB音频)；</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14、其他功能：33种功能参数调节和设定，断电保存，速度/敲击、节拍器、滑音、冻结、Local开关控制；</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15、接口：电源，耳机/输出，线路输入，多功能踏板（延音、弱音、保持音、感情踏板、启动/停止、插入、存储控制），麦克风，USB接口，可连接计算机和智能手机,平板电脑。</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1、61键标准仿钢琴键盘，LED数码显示。300音色，300节奏,示范曲50首，延音、移调、颤音、滑音、前奏/尾奏、录音、放音功能；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伴奏控制：启动/停止、同步、速度控制、插入，和弦控制：单指和弦、多指和弦、和弦关闭智能教学，其它控制：电源开关、主音量控制、节奏音量控制，外接插孔：DC9V电源输入、耳机输出、话筒接口，音域：C2～C7，音准：≤5音分，随机附件：电源适配器、歌谱架、说明书。</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Z型，铁质。</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可调节可升降可折叠电子琴凳，结实耐用。</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7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教材配套音像资料</w:t>
            </w:r>
          </w:p>
        </w:tc>
        <w:tc>
          <w:tcPr>
            <w:tcW w:w="6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国家正版出版物，符合教学使用标准。</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碟</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音像教学资料</w:t>
            </w: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4"/>
                <w:szCs w:val="24"/>
                <w:highlight w:val="none"/>
                <w:u w:val="none"/>
              </w:rPr>
            </w:pP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音乐教学软件</w:t>
            </w: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4"/>
                <w:szCs w:val="24"/>
                <w:highlight w:val="none"/>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节拍器</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电子式，带拾音器、具有节拍、校音、定音等功能。</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89" w:hRule="atLeast"/>
        </w:trPr>
        <w:tc>
          <w:tcPr>
            <w:tcW w:w="9216"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2.音乐教室装备建设方案（小学1间）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74" w:hRule="atLeast"/>
        </w:trPr>
        <w:tc>
          <w:tcPr>
            <w:tcW w:w="4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4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8" w:hRule="atLeast"/>
        </w:trPr>
        <w:tc>
          <w:tcPr>
            <w:tcW w:w="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4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96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五线谱电教板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1、五线谱电磁感应书写式电教板整体尺寸不小于1800mm×1000mm×60mm；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2、内存不少于10种调式、12种节奏、不能少于100种音色、不少于500首乐曲；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3、控制面板不低于PC膜全数字电路控制、轻触式按键；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4、LED及数码显示，双教鞭演示，任意和弦功能；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5、音准：a'=440HZ，音域G～a2，高音谱表2组，大谱表1组，带USB接口，可播放U盘的mp3格式的曲目；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6、具有录音功能，录音时间不小于15分钟，可外接麦克风、音响，110V-250V稳定工作电压。</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五线谱教学黑板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1、尺寸不小于2000mm×1000mm，板面厚度≥0.6mm；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2、镀锌金属背面，厚度为≥0.3mm，材质不低于2A优质纸板，铝合金边框；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3、丝网印刷，四组五线谱,书写平稳、流利。</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2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音响系统</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CD、功放、音箱、卡拉OK功能等；</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1、CD机配DVD机；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2、功放AC220V，有效输出功率≥50W+50W，扩音功率≥50W+50W。频响50HZ——15000HZ，信噪比：≥100db,4路话筒输入，≥4路线输入，2路线输出；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3、音箱，有效功率≥50W+50W，峰值功率≥300W+300W。频响30HZ——100000HZ。</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37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钢琴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参数：外观立式、推拉盖板、三踏板；键盘：88键第6代欧洲技术锤式触感钢琴；键盘力度：6级（5级+OFF)；显示：多功能LCD液晶显示；复音数：128；音色：594 种旋律音色（包含81 种中国民族音色）+12 组键盘打击乐（包含316 种打击乐音色）、叠加/分割、键分离、双音色；节奏：230种预置节奏(包含40种中国民族节奏)+10种用户节奏；节奏控制：启动/停止、同步启动、前奏/尾奏、插入A、插入B；速度：30-280；内置乐曲：115首预置歌曲+120歌本；演奏增强：力度响应、延音、单触键设置、双钢琴、演奏帮助、古典音律；音高调节：移调、八度、音调；音效：全局DSP数码效果、混响、合唱、和声、调音台；录音：6轨录音(5旋律轨＋1伴奏轨)+16轨MIDI通道录音、10首用户歌曲；注册记忆：32个注册记忆(8记忆库 x 4 存储)；智能学习系统：歌曲旋律关闭模式、和弦字典、节拍器；智能APP学习：通过USB接口与苹果设备连接；控制按钮：电源开关、音量旋钮、明亮度旋钮、节奏直选(调音台)、速度+/- (功能+/-)、切换、音色(演奏帮助)、节奏(示范曲)、歌曲(歌本)、指轮盘、+/是、</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7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谱架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1、折叠型小谱架，塑料件均做加厚加粗处理；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2、3段型高度调节管，最大高度可调至1.3m左右；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3、橡胶底脚，三支脚均为圆角管；增大接地摩擦力，整体稳定性较好。</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指挥台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1、材质：上部为不锈钢支架，底部为实木；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2、尺寸：长≥1000mm，宽度≥750mm，高度≥240mm；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3、外观：表面平整平滑无毛刺；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4、结构：不锈钢支架，各部件衔接牢固。</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03"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合唱台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1、实木合唱台三层，120-120-60cm(长宽高)，层宽40cm，层高20cm；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2、材质采用优质泰国进口橡胶木齿接板18mm厚，硬度高不开裂特性，内部使用同等厚度板做龙骨支撑具有良好的静音和支撑能力，每层平面整体可承重500公斤以上，三层整体承重不得小于1500公斤；</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3、台阶整体式不可拆装，稳定性强，台阶边为圆边防磕碰，表面采用环保无味清漆喷涂原木色。</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3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六面体凳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1、六面体结构，外形尺寸不小于295×340×400mm；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2、采用模具成型软塑料边条经机械封饰、配龄合型软防滑八角；</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3、可承重不小于60kg。</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把</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89"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音乐教学挂图</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1、含音乐家挂图、乐器挂图、识谱知识挂图；</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2、材质为铜版纸，100幅。</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音乐教学用品柜</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1、规格：1000×500×2000mm；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8、螺丝：不锈钢材质。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88"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教学电子琴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1、键盘：61键力度触感标准键盘；</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2、显示：多功能LCD背光液晶显示；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3、复音数：32；</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4、音色：844种音色(包括553种旋律音色、16种民族音色和13组键盘打击乐)40个面板直选音色音色控制：调音台、延音、移调、微调、琶音、双音色；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5、踏板功能：接上多功能踏板（另配），提供七种脚踏功能选择；</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6、效果：10种混响，混响开关，13种合唱；</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7、节奏：204种节奏，包括11种民族节奏、40个面板直选节奏；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8、伴奏控制：同步启动、启动/停止、前奏/尾奏、插入、单键设置；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9、键盘控制：和弦、全和弦、分离、和声、和弦字典5种力度曲线；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10、示范曲：160首；</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11、录音功能：5轨录音/放音；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12、状态记忆：5x8组面板设定状态；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13、外置声卡：(USB音频)；</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14、其他功能：33种功能参数调节和设定，断电保存，速度/敲击、节拍器、滑音、冻结、Local开关控制；</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15、接口：电源，耳机/输出，线路输入，多功能踏板（延音、弱音、保持音、感情踏板、启动/停止、插入、存储控制），麦克风，USB接口，可连接计算机和智能手机,平板电脑。</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8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1、61键标准仿钢琴键盘，LED数码显示。300音色，300节奏,示范曲50首，延音、移调、颤音、滑音、前奏/尾奏、录音、放音功能；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伴奏控制：启动/停止、同步、速度控制、插入，和弦控制：单指和弦、多指和弦、和弦关闭智能教学，其它控制：电源开关、主音量控制、节奏音量控制，外接插孔：DC9V电源输入、耳机输出、话筒接口，音域：C2～C7，音准：≤5音分，随机附件：电源适配器、歌谱架、说明书。</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Z型，铁质。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可调节可升降可折叠电子琴凳，结实耐用。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教材配套音像资料</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国家正版出版物，符合教学使用标准。</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碟</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4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音像教学资料</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国家正版出版物，符合教学使用标准。</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碟</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吉他</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1、31寸，面板材质:云杉木/椴木；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2、指板材质:玫瑰木；背侧板材质:椴木；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3、品位:21；卷弦器:封闭旋钮。应符合QB/T1153-2006《吉他》的有关规定。</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把</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23"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成套打击乐器</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1、铃鼓：材质为木质圈、铃片、羊皮鼓面，规格为铃鼓直径200mm，鼓框宽度50mm，木质圈厚度5mm，单片铃片的厚度约0.5mm，共有6处响铃每处上下两对，结构由由鼓身、鼓面、小铃片组成；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2、小锣：铜锣用优质响铜制作，圆形，直径215mm，厚度约2mm，厚薄均匀，平整，无毛刺，无裂缝，表面抛光氧化处理并涂油，槌用硬杂木制成，表面无疤痕；</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3、蛙鸣器：木制，长200mm，直径60mm，手握鱼形，中间表面有螺纹，表面有两个圆孔，头部和尾部表面画有图案，配有一个刮棍；</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4、梆子：材质为原木，尺寸为170*60*40mm,敲击时发出响亮声音,带敲击锤；</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双响筒：由筒体、手柄、击槌组成，筒体全长185mm，筒体直径40mm，手柄用硬杂木制成，手柄全长155mm，击槌用硬杂木制成，击锤全长155mm，产品表面涂树脂清漆，漆层光亮、均匀，敲打双响筒时，能发出两种频率不等的声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6、挂棒：木制，长195mm，直径23mm，表面有螺纹，配有一个刮棍；</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7、响板：全长205mm，响板上片厚底8mm,由主板及两块副板连接组成，主板及副板均用实木制成，响板表面无疖疤、裂缝，漆层均匀、光亮，发音清脆响亮；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8、棒铃：全长190mm，铃铛为13铃，木质手柄；</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三角铁：产品由三角铁及击棒组成，三角铁为三边形，边长为240mm、185mm、140mm，三种，防锈，配击棒，表面镀铬，镀层均匀、光亮，有橡胶扣有利于演奏使用，击棒直径5mm，击棒长度100，表面镀铬，终端有塑料包裹，制作精美，光洁，无毛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10、沙锤：全长 270mm，沙球直径70mm，表面打磨光滑，无毛刺，无疤疖，无虫蛀，无腐蚀，无开裂，应均匀，无液体现象，演奏时，发出“唦唦”声音，声音饱满，有质感；</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11、碰铃：材质为黄铜，系丝带型，直径为45mm，高度为42mm，壁厚为2mm，两个一对，手持碰撞发声；</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12、木质沙筒：沙筒直径 38mm，高95mm，表面打磨光滑，无毛刺，无疤疖，无虫蛀，无腐蚀，无开裂，应均匀，无液体现象，演奏时，发出“唦唦”声音，声音饱满，有质感；</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单响筒：单响筒筒长100mm，筒体直径40mm，手柄全长120mm，击槌最大处直径13mm，击锤全长160mm，结构由筒体、手柄、击槌组成，这个有固定音高的打击乐器可以提高孩子的对于音乐的判断能力以及声音的辨别能力；</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14、中空注塑定位包装。</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49"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小锣</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1、由铜锣及槌组成铜锣用优质响铜制作，圆形，直径≥215mm，厚度约2mm，厚薄均匀，平整，无毛刺，无裂缝，表面抛光氧化处理并涂油；</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2、槌用硬杂木制成，表面无疤痕。</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小钹</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1、材质尺寸要求为黄铜，音色更高亢脆亮，抛光处理，制作精美，光洁，无毛刺，圆帽形，中间突起，钹体小而厚，钹面直径≥145㎜，厚度≥1mm；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2、重量约：0.4kg，碗顶钻孔系以布绳，两面为一副；</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3、产品光滑，平整，无毛刺、裂缝，周边无棱角表面抛光氧化处理并涂防锈油，声学品质及外观质量符合QB/T2175.1的相关要求；</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4、声音判断：互击时声音洪亮而强烈，穿透力很强，能烘托气氛，强烈的气势，音色高亢脆亮。</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付</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5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大钹</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1、材质：响铜；</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2、规格：直径：21CM；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3、结构：为一圆形金属板，用响铜制成，顶部钻有小孔，抛光打磨有光泽，音质响亮清脆；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4、使用方法：演奏时左右手各握一个，互击发音。</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付</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19"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小军鼓</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1、鼓圈：合金压铸，金属鼓腔；</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2、鼓腔外包高级PVC，鼓面直径为34cm，鼓皮为进口聚酯，专业打击鼓皮，配有专用小军鼓背带。</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面</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大军鼓</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1、直径：570mm；高：245mm；聚酯膜鼓皮；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2、金属鼓腔，鼓腔外包高级PVC；</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3、配：鼓槌、背带。</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面</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57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铝（钢）板琴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1、（25音）采用铝合金配上木质音箱构成/采用优质铝板制作；</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2、琴盒长约410mm，琴盒宽约290mm，琴片宽约20mm，琴片厚约2mm，声音清脆、响亮、优美；</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3、共鸣箱用优质桐木制成，音量大，余音长，音色清脆、宏亮；音锤用塑料制成。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4、用音锤敲击铝板时，发出清脆、悦耳，符合音阶要求，无噪音；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5、琴表面油漆处理，油漆覆盖层应平整清洁，色调美观，厚薄均匀，不得有流挂、针孔、气泡等缺陷。</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木琴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1、双排32音木质，架式；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2、整体结构牢固，表面平整，色泽均匀协调，缝隙均匀；</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3、双排32音(f1-c4)，琴片的尺寸不小于宽30mm，厚15mm；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4、音质要求：余音长，声音集中，高音区洪亮，中音区清脆、明亮，低音区淳厚、圆润；</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5、配敲击棰2根，升降琴架一副；</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6、其他要求：能适合演奏各种形式的音阶、琶音、滑音、颤音、滚奏音、双音、跳进乐句。</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93"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架子鼓</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1、五鼓，架子鼓由低音大鼓、踩镲、小军鼓、桶子鼓、吊镲所组成；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2、鼓的直径如下，大鼓：22"×16"、落地鼓：16"×16"、小军鼓：14"×5.5"、中音鼓：13"×10"、高音：12"×9"，镲片：踩镲：12"×2"、吊镲：(15")；</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3、质量要求：鼓腔为自然风干木材材质；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4、鼓圈：镀镍合金压铸，金属腔和木腔镶接，超强圆柱鼓耳，正品鼓皮，手工镲片。</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3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口风琴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1、37键，配2套吹嘴，一个软嘴一个硬嘴，带包；</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2、音色优美，富有感染和创造力，适合独奏，伴奏，合奏；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3、应符合QB/T2740的相关要求。</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支</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1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小号</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1.调性：Bb；2.材质：黄铜；3.表面处理：漆金/镀镍/镀银；4.号口直径：</w:t>
            </w:r>
            <w:r>
              <w:rPr>
                <w:rFonts w:ascii="东文宋体" w:hAnsi="东文宋体" w:eastAsia="东文宋体" w:cs="东文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123mm,内管尺寸：≥11.66mm，吹嘴尺寸：≥870mm，吹嘴直径：≥270mm，活塞管长：≥144mm；5.结构：号嘴、管体和机械三部分，机械部分有活塞和活塞套组成；6.音色：三键小号，音色强烈明亮，锐利，富光辉感；7.配套：配套轻体盒、手套、清洁布、管由；8.</w:t>
            </w:r>
            <w:r>
              <w:rPr>
                <w:rFonts w:ascii="东文宋体" w:hAnsi="东文宋体" w:eastAsia="东文宋体" w:cs="东文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甲醛释放量：</w:t>
            </w:r>
            <w:r>
              <w:rPr>
                <w:rFonts w:ascii="东文宋体" w:hAnsi="东文宋体" w:eastAsia="东文宋体" w:cs="东文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0.08mg/m3</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bl>
    <w:tbl>
      <w:tblPr>
        <w:tblStyle w:val="8"/>
        <w:tblpPr w:leftFromText="180" w:rightFromText="180" w:vertAnchor="text" w:horzAnchor="page" w:tblpX="873" w:tblpY="2711"/>
        <w:tblOverlap w:val="never"/>
        <w:tblW w:w="992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81"/>
        <w:gridCol w:w="777"/>
        <w:gridCol w:w="6776"/>
        <w:gridCol w:w="775"/>
        <w:gridCol w:w="7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37" w:hRule="atLeast"/>
        </w:trPr>
        <w:tc>
          <w:tcPr>
            <w:tcW w:w="9924" w:type="dxa"/>
            <w:gridSpan w:val="5"/>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3.科学实验室/48座（1间标准）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21" w:hRule="atLeast"/>
        </w:trPr>
        <w:tc>
          <w:tcPr>
            <w:tcW w:w="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tabs>
                <w:tab w:val="left" w:pos="4507"/>
                <w:tab w:val="center" w:pos="6267"/>
              </w:tabs>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36"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160" w:hRule="atLeast"/>
        </w:trPr>
        <w:tc>
          <w:tcPr>
            <w:tcW w:w="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教师演示台</w:t>
            </w:r>
          </w:p>
        </w:tc>
        <w:tc>
          <w:tcPr>
            <w:tcW w:w="6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1、规格：2400*700*850mm；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采用湛蓝色13mm厚优抗板，且依据GB/T17657-2013《人造板及饰面人造板理化性能试验方法》、GB/T4893.1-2021《家具表面漆膜理化性能试验第1部分：耐冷液测定法》、JC/T908-2013《人造石》、GB/T3854-2017《增强塑料巴柯尔硬度试验方法》、GB/T35601-2017《绿色产品评价人造板和木质地板》、GB/T32487-2016《塑料家具通用技术条件》、GB6566-2010《建筑材料放射性核素限量》、GB6675.4-2014《玩具安全第4部分：特定元素的迁移》、GB8624-2012《建筑材料及制品燃烧性能分级》、AfPS  GS 2019:01 PAK《在GS标志认证过程中多环芳香烃（PAHs）的检测和验证产品限量依据产品安全法案第三章节21（1）条款》满足如下参数要求：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表面耐污染性能：耐污染性能不少于60项试验污染物的检测，且包含：丙酮、食盐溶液（10%溶液）、氢氧化钠（25%的溶液）、双氧水（30%的溶液）、硝酸银（1%的溶液）、硝酸（65%的溶液）、硫酸（98%的溶液）、柠檬酸（10%溶液）等试剂，覆盖玻璃盖板和未覆盖玻璃盖板“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2-2、密度：≥1.48g/cm</w:t>
            </w:r>
            <w:r>
              <w:rPr>
                <w:rFonts w:ascii="方正书宋_GBK" w:hAnsi="方正书宋_GBK" w:eastAsia="方正书宋_GBK" w:cs="方正书宋_GBK"/>
                <w:i w:val="0"/>
                <w:iCs w:val="0"/>
                <w:snapToGrid w:val="0"/>
                <w:color w:val="auto"/>
                <w:kern w:val="0"/>
                <w:sz w:val="22"/>
                <w:szCs w:val="22"/>
                <w:highlight w:val="none"/>
                <w:u w:val="none"/>
                <w:lang w:val="en-US" w:eastAsia="zh-CN" w:bidi="ar"/>
              </w:rPr>
              <w:t>³</w:t>
            </w:r>
            <w:r>
              <w:rPr>
                <w:rFonts w:hint="eastAsia" w:ascii="宋体" w:hAnsi="宋体" w:eastAsia="宋体" w:cs="宋体"/>
                <w:i w:val="0"/>
                <w:iCs w:val="0"/>
                <w:snapToGrid w:val="0"/>
                <w:color w:val="auto"/>
                <w:kern w:val="0"/>
                <w:sz w:val="22"/>
                <w:szCs w:val="22"/>
                <w:highlight w:val="none"/>
                <w:u w:val="none"/>
                <w:lang w:val="en-US" w:eastAsia="zh-CN" w:bidi="ar"/>
              </w:rPr>
              <w: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2-3、24h吸水率：≤0.4%。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2-4、静曲强度：≥78.0MPa。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2-5、弹性模量：≥11480MPa。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2-6、尺寸稳定性：≤0.6%。</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2-7、耐高温性能：试件表面无裂纹。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2-8、耐光色牢度：4-5级。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2-9、表面耐水蒸气性能：5级。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2-10、表面耐龟裂性能：5级。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2-11、表面耐冷热循环性能：无裂纹、鼓泡。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2-12、表面耐划痕性能：表面无大于90%的连续划痕。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2-13、表面耐磨性能：700r（转）。</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2-14、表面耐香烟灼烧性能：5级。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2-15、表面耐干热性能：5级。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2-16、表面耐湿热性能：5级。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2-17、抗冲击性能：落球高度1000mm，压痕直径≤4.47mm，有轻微压痕。</w:t>
            </w:r>
          </w:p>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2-18、耐液性：耐酸（10%乙酸溶液）1级，耐碱（10%碳酸钠溶液）1级。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2-19、巴氏硬度：实体面材：UPR类：≥73。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2-20、含水率：≤0.7%。</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2-21、建筑材料放射性核素限量：IRa=0，Ir=0。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b/>
                <w:bCs/>
                <w:i w:val="0"/>
                <w:iCs w:val="0"/>
                <w:snapToGrid w:val="0"/>
                <w:color w:val="auto"/>
                <w:kern w:val="0"/>
                <w:sz w:val="22"/>
                <w:szCs w:val="22"/>
                <w:highlight w:val="none"/>
                <w:u w:val="none"/>
                <w:lang w:val="en-US" w:eastAsia="zh-CN" w:bidi="ar"/>
              </w:rPr>
              <w:t>2-22、品质属性：①甲醛释放量：检验结果≤0.03mg/m</w:t>
            </w:r>
            <w:r>
              <w:rPr>
                <w:rFonts w:ascii="方正书宋_GBK" w:hAnsi="方正书宋_GBK" w:eastAsia="方正书宋_GBK" w:cs="方正书宋_GBK"/>
                <w:b/>
                <w:bCs/>
                <w:i w:val="0"/>
                <w:iCs w:val="0"/>
                <w:snapToGrid w:val="0"/>
                <w:color w:val="auto"/>
                <w:kern w:val="0"/>
                <w:sz w:val="22"/>
                <w:szCs w:val="22"/>
                <w:highlight w:val="none"/>
                <w:u w:val="none"/>
                <w:lang w:val="en-US" w:eastAsia="zh-CN" w:bidi="ar"/>
              </w:rPr>
              <w:t>³</w:t>
            </w:r>
            <w:r>
              <w:rPr>
                <w:rFonts w:hint="eastAsia" w:ascii="宋体" w:hAnsi="宋体" w:eastAsia="宋体" w:cs="宋体"/>
                <w:b/>
                <w:bCs/>
                <w:i w:val="0"/>
                <w:iCs w:val="0"/>
                <w:snapToGrid w:val="0"/>
                <w:color w:val="auto"/>
                <w:kern w:val="0"/>
                <w:sz w:val="22"/>
                <w:szCs w:val="22"/>
                <w:highlight w:val="none"/>
                <w:u w:val="none"/>
                <w:lang w:val="en-US" w:eastAsia="zh-CN" w:bidi="ar"/>
              </w:rPr>
              <w:t>。②挥发性有机化合物（72h）：A、苯，检验结果为未检出。B、甲苯，检验结果为未检出。C、二甲苯，检验结果为未检出。D、总挥发性有机化合物，检验结果为未检出。（本项2-22需提供国家认可的检测机构出具的带 CMA 的检测报告扫描件佐证并加盖投标人公章）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3、桌身：整体采用1.0mm厚优质冷轧钢板，全部钢制件纳米陶瓷镀膜防锈处理；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4、结构：演示台设有储物柜，中间为演示台,设置电源主控系统、多媒体设备（主机、显示器、中控、功放、交换机）的位置预留；</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5、滑道：抽屉全部采用优质三节承重式滚珠滑道开合十万次不变形；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6、铰链：采用优质铰链，开合十万次不变形。</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99"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160" w:hRule="atLeast"/>
        </w:trPr>
        <w:tc>
          <w:tcPr>
            <w:tcW w:w="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学生实验桌</w:t>
            </w:r>
          </w:p>
        </w:tc>
        <w:tc>
          <w:tcPr>
            <w:tcW w:w="6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1"/>
              </w:numPr>
              <w:suppressLineNumbers w:val="0"/>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规格：1200*600*780mm；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采用湛蓝色12.7mm厚双面膜实芯理化板，且依据GB/T17657-2013《人造板及饰面人造板理化性能试验方法》、GB/T4893.1-2021《家具表面漆膜理化性能试验第1部分：耐冷液测定法》、JC/T908-2013《人造石》、GB/T3854-2017《增强塑料巴柯尔硬度试验方法》、GB/T35601-2017《绿色产品评价人造板和木质地板》、GB/T32487-2016《塑料家具通用技术条件》、GB6566-2010《建筑材料放射性核素限量》、GB6675.4-2014《玩具安全第4部分：特定元素的迁移》、GB8624-2012《建筑材料及制品燃烧性能分级》、GB/T20284-2006《建筑材料或制品的单体燃烧试验》、GB/T8626-2007《建筑材料可燃性试验方法》、AfPS  GS 2019:01 PAK《在GS标志认证过程中多环芳香烃（PAHs）的检测和验证产品限量依据产品安全法案第三章节21（1）条款》满足如下参数要求：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表面耐污染性能：耐污染性能不少于60项试验污染物的检测，且包含：丙酮、食盐溶液（10%溶液）、氢氧化钠（25%的溶液）、双氧水（30%的溶液）、硝酸银（1%的溶液）、硝酸（65%的溶液）、硫酸（98%的溶液）、柠檬酸（10%溶液）等试剂，覆盖玻璃盖板和未覆盖玻璃盖板“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2-2、密度：1.46g/cm³。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2-3、24h吸水率：0.3%。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2-4、静曲强度：≥81.8MPa。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2-5、弹性模量：≥12060MPa。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2-6、尺寸稳定性：0.1%。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2-7、耐高温性能：试件表面无裂纹。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2-8、耐光色牢度：4-5级。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2-9、表面耐水蒸气性能：5级。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2-10、表面耐龟裂性能：5级。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2-11、表面耐冷热循环性能：无裂纹、鼓泡。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2-12、表面耐划痕性能：表面无大于90%的连续划痕。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2-13、表面耐磨性能：≥650r（转）。</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2-14、表面耐香烟灼烧性能：5级。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2-15、表面耐干热性能：5级。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2-16、表面耐湿热性能：5级。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2-17、抗冲击性能：落球高度1000mm，压痕直径≤4.26mm，有轻微压痕。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2-18、耐液性：耐酸（10%乙酸溶液）1级，耐碱（10%碳酸钠溶液）1级。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2-19、巴氏硬度：实体面材：UPR类：检验结果≥72。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2-20、含水率：≤0.8%。</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2-21、建筑材料放射性核素限量：IRa=0，Ir=0。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b/>
                <w:bCs/>
                <w:i w:val="0"/>
                <w:iCs w:val="0"/>
                <w:snapToGrid w:val="0"/>
                <w:color w:val="auto"/>
                <w:kern w:val="0"/>
                <w:sz w:val="22"/>
                <w:szCs w:val="22"/>
                <w:highlight w:val="none"/>
                <w:u w:val="none"/>
                <w:lang w:val="en-US" w:eastAsia="zh-CN" w:bidi="ar"/>
              </w:rPr>
              <w:t>2-22、品质属性：①甲醛释放量：检验结果≤0.02mg/m³。②挥发性有机化合物（72h）：A、苯，检验结果为未检出。B、甲苯，检验结果为6ug/m³。C、二甲苯，检验结果为未检出。D、总挥发性有机化合物，检验结果为46ug/m³。（本项2-22需提供国家认可的检测机构出具的带 CMA 的检测报告扫描件佐证并加盖投标人公章。）</w:t>
            </w:r>
          </w:p>
          <w:p>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桌体采用流线型设计，支撑受力点合理布局，采用优质五金配件连接，不用胶水粘接，便于安装。外表面和内表面以可触及的隐蔽处，均无锐利的棱角、毛刺以及五金配件露出的锐利尖锐,所有接触人体的边棱均为倒圆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4、台身结构：新型塑铝结构，整体1180*570*760mm；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5、桌腿：采用工字型压铸铝一次成型，三段链接，材料表面经高压静电喷涂环氧树脂防护层，耐酸碱，耐腐蚀处理；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6、上腿规格：565*58*110mm，壁厚不小于2mm内部设有加强筋；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7、下腿规格：550*72*125mm，壁厚不小于2mm，配有M8*60mm的升降调节脚垫；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立柱：采用110×55mm，壁厚1.3mm，立柱两端内部有2个铸铝成型的螺丝链接位；内侧设有12*5mm的凹槽，使用锁拉扣链接桌体下横梁，调节方便，外侧设有装饰条。下横梁采用80*14.5mm目型铝型材制作壁厚1.2mm。前横梁采用29*27mm凹型铝型材制作壁厚1mm。中横梁采用29*31mm，D型铝型材制作壁厚1mm。后横梁：采用29*27mm，凹型铝型材制作壁厚1mm。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9、学生位设书包斗；书包斗:采用环保型ABS工程塑料一次性注塑成型。两个书包斗中间设有电源盒，方便使用。</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160"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59"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24"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功能柱</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1、功能柱:由底座、立柱、两端装饰条组成；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2、规格：长390mm宽220mm高720mm，采用环保型ABS工程塑料注塑成型；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3、底座尺寸：390*220*30mm，壁厚3mm，内部设有加强筋；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底座上设有8个螺丝口用于连接立柱和固定地面。立柱主体尺寸：340*195*690mm，上下口尺寸：300*145mm，立柱两端各设有两个螺丝固定口，装饰条用于掩盖螺丝口使其更加美观。主要功能是保护学生通风管道及电线电缆作用，配套于学生桌，美观大方。</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85"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学生电源</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1、接受教师演示台送来的交流电源；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2、低压交直流电源：交流0-24每2V一档由教师统一调节控制，低压直流可在送来交流电源范围内微调，并配有表头显示输出（短路、过载自动保护、自动复位）；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3、交流电源：每台配备220V交流输出电源，电源全部由教师台控制。</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871"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教师总控电源</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l、漏电保护开关、工作指示灯选用国产优质产品，220V交流输出插座(六孔插座)取用国产优质产品；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2、低压交流电源：2-24V可调(每档2V)，额定电流3A(短路、过载自动保护、自动复位)；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3、直流稳压电源：1.5-18V连续可调，额定电流6A，18v—24v额定电流3A，(短路、过载自动保护、自动复位)；85系指针表显示；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4、直流大电流输出：9V／40A；8秒自动断开；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5、教师插座电源：220V交流，负载电流10A。五孔(或三孔两用)交流电源插座1个。设置在演示台的中间抽屉内；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A:由教师控制学生实验台交流220V电源，每组由空气开关控制，共分四组，并配有漏电保护开关；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B:由教师统一控制学生实验台低压电源，交流每档2V,共12档。直流可以在控制范围内微调。</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910"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实验凳</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一、凳面：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1、材质：采用环保型ABS改性塑料一次性注塑成型；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2、尺寸：30cm×3cm；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3、表面防滑不发光。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二、脚钢架：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1、材质及形状：椭圆形无缝钢管；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2、尺寸:20×40×1.2mm；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3、全圆满焊接完成，结构牢固，经高温粉体烤漆处理，长时间使用也不会产生表面烤漆剥落现象；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4、脚垫材质：采用PP加耐磨纤维质塑料，实心倒勾式一体射出成型；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5、凳面可通过旋转螺杆来升降凳子高度,可调高度5cm。</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47"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教师转椅</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1、五轮气动升降转椅，椅面及靠背为高回弹高密度海绵，黑色优质网面；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2、铝合金五星脚，带扶手。</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53"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电气布线（地面以上部分）</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1、DN25mm阻燃线管；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2、2.5mm²、4mm²国标线材，符合国家标准。</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bl>
    <w:p>
      <w:pPr>
        <w:keepNext w:val="0"/>
        <w:keepLines w:val="0"/>
        <w:pageBreakBefore w:val="0"/>
        <w:widowControl w:val="0"/>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color w:val="auto"/>
          <w:sz w:val="24"/>
          <w:szCs w:val="24"/>
          <w:highlight w:val="none"/>
          <w:lang w:eastAsia="zh-CN"/>
        </w:rPr>
      </w:pPr>
    </w:p>
    <w:p>
      <w:pPr>
        <w:pStyle w:val="2"/>
        <w:ind w:left="0" w:leftChars="0" w:firstLine="0" w:firstLineChars="0"/>
        <w:rPr>
          <w:rFonts w:hint="eastAsia"/>
          <w:color w:val="auto"/>
          <w:highlight w:val="none"/>
          <w:lang w:eastAsia="zh-CN"/>
        </w:rPr>
      </w:pPr>
    </w:p>
    <w:tbl>
      <w:tblPr>
        <w:tblStyle w:val="8"/>
        <w:tblpPr w:leftFromText="180" w:rightFromText="180" w:vertAnchor="text" w:horzAnchor="page" w:tblpX="915" w:tblpY="400"/>
        <w:tblOverlap w:val="never"/>
        <w:tblW w:w="99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06"/>
        <w:gridCol w:w="653"/>
        <w:gridCol w:w="7457"/>
        <w:gridCol w:w="614"/>
        <w:gridCol w:w="7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27" w:hRule="atLeast"/>
        </w:trPr>
        <w:tc>
          <w:tcPr>
            <w:tcW w:w="9900"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4.小学科学准备室（新型1套标准）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60" w:hRule="atLeast"/>
        </w:trPr>
        <w:tc>
          <w:tcPr>
            <w:tcW w:w="4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6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74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83" w:hRule="atLeast"/>
        </w:trPr>
        <w:tc>
          <w:tcPr>
            <w:tcW w:w="4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4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410"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准备台</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1、规格：2400*1200*780mm；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2、台面：湛蓝色12.7mm厚实芯理化板，台面具耐热、耐磨、耐撞击、耐酸碱、耐腐蚀、防水等功能。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桌体采用流线型设计，支撑受力点合理布局，采用优质五金配件连接，不用胶水粘接，便于安装。外表面和内表面以可触及的隐蔽处，均无锐利的棱角、毛刺以及五金配件露出的锐利尖锐,所有接触人体的边棱均为倒圆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4、台身结构：整体1180*570四张框架对拼，新型塑铝结构，整体1180*570*760mm。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5、桌腿：采用工字型压铸铝一次成型，三段链接，材料表面经高压静电喷涂环氧树脂防护层，耐酸碱，耐腐蚀处理。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6、上腿规格：565*58*110mm，壁厚不小于2mm内部设有加强筋。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7、下腿规格：550*72*125mm，壁厚不小于2mm，配有M8*60mm的升降调节脚垫。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立柱：采用110×55mm，壁厚1.3mm，立柱两端内部有2个铸铝成型的螺丝链接位；内侧设有12*5mm的凹槽，使用锁拉扣链接桌体下横梁，调节方便，外侧设有装饰条。下横梁采用80*14.5mm目型铝型材制作壁厚1.2mm。前横梁采用29*27mm凹型铝型材制作壁厚1mm。中横梁采用29*31mmD型铝型材制作壁厚1mm。后横梁：采用29*27mm，凹型铝型材制作壁厚1mm。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9、学生位设书包斗；书包斗:采用环保型ABS工程塑料一次性注塑成型。两个书包斗中间设有电源盒，方便使用。</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330"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水槽柜</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1、柜体规格:595×400×790mm；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2、榫卯连接结构并合理布局加强筋，安装时不用胶水粘结，使用产品自身力量相互连接，产品不变形，不扭曲；用M6螺丝固定；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3、前门规格：510*365mm，主体壁厚不小于2mm背面设有厚2mm、高度不低于4.5mm的加强筋横6根竖6根；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4、前门带内凹式塑料扣手，门与整体水柜不用铰链连接，直接采用内嵌式组装。柜子整体采用环保型ABS工程塑料注塑成型；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5、水槽规格：595*400*300mm，水槽采用环保型PP材料一次性注塑成型，耐强酸碱&lt;80度有机溶剂并耐150度以下高温，壁厚3.5mm；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6、侧板规格495*550*30mm，左右侧板一致、主体壁厚不小于2.5mm、背面设有厚2mm、高度不低于5.5mm的加强筋横4根竖4根。</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59"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三联水嘴</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1、鹅颈式实验室专用优质化验水嘴：要求防酸碱、防锈、防虹吸、防阻塞，表面环氧树脂喷涂；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2、出水嘴为铜质瓷芯，高头，便于多用途使用，可拆卸清洗阻塞。出水嘴可拆卸，内有成型螺纹，可方便连接循环等特殊用水水管。</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124"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仪器柜</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1、规格：1000×500×2000mm；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8、螺丝：不锈钢材质。</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bl>
    <w:p>
      <w:pPr>
        <w:pStyle w:val="2"/>
        <w:ind w:left="0" w:leftChars="0" w:firstLine="0" w:firstLineChars="0"/>
        <w:rPr>
          <w:rFonts w:hint="eastAsia"/>
          <w:color w:val="auto"/>
          <w:highlight w:val="none"/>
          <w:lang w:eastAsia="zh-CN"/>
        </w:rPr>
      </w:pPr>
    </w:p>
    <w:tbl>
      <w:tblPr>
        <w:tblStyle w:val="8"/>
        <w:tblpPr w:leftFromText="180" w:rightFromText="180" w:vertAnchor="text" w:horzAnchor="page" w:tblpX="925" w:tblpY="466"/>
        <w:tblOverlap w:val="never"/>
        <w:tblW w:w="104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05"/>
        <w:gridCol w:w="1207"/>
        <w:gridCol w:w="6189"/>
        <w:gridCol w:w="889"/>
        <w:gridCol w:w="12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46" w:hRule="atLeast"/>
        </w:trPr>
        <w:tc>
          <w:tcPr>
            <w:tcW w:w="10400" w:type="dxa"/>
            <w:gridSpan w:val="5"/>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5.科学仪器室（新型1间标准）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 w:hRule="atLeast"/>
        </w:trPr>
        <w:tc>
          <w:tcPr>
            <w:tcW w:w="9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12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1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8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34" w:hRule="atLeast"/>
        </w:trPr>
        <w:tc>
          <w:tcPr>
            <w:tcW w:w="9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2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1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66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12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仪器柜</w:t>
            </w:r>
          </w:p>
        </w:tc>
        <w:tc>
          <w:tcPr>
            <w:tcW w:w="61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1、规格：1000×500×2000mm；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8、螺丝：不锈钢材质。</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r>
    </w:tbl>
    <w:tbl>
      <w:tblPr>
        <w:tblStyle w:val="8"/>
        <w:tblpPr w:leftFromText="180" w:rightFromText="180" w:vertAnchor="text" w:horzAnchor="page" w:tblpX="954" w:tblpY="395"/>
        <w:tblOverlap w:val="never"/>
        <w:tblW w:w="1037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2"/>
        <w:gridCol w:w="1152"/>
        <w:gridCol w:w="6425"/>
        <w:gridCol w:w="875"/>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31" w:hRule="atLeast"/>
        </w:trPr>
        <w:tc>
          <w:tcPr>
            <w:tcW w:w="10377"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6.小学科学仪器（1套标准）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7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12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16" w:hRule="atLeast"/>
        </w:trPr>
        <w:tc>
          <w:tcPr>
            <w:tcW w:w="7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2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计算器</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1、简易型；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2、10位数，单行LCD显示；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有分数计算功能、有平均数运算功能、有独立储存器功能（具备保留运算过程功能，关机后能清除原运算过程及数据）、有临时储存器功能、有普通四则运算功能、有自动关机功能、应保留普通计算器的其他功能。</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5" w:hRule="atLeast"/>
        </w:trPr>
        <w:tc>
          <w:tcPr>
            <w:tcW w:w="82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一般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1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打孔器</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1、产品为手持式打孔器，要求用优质钢材制造，刀刃硬度不低于HRC55；四件套；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2、空心结构，一端带柄，一端有刃，刃口平整、锋利；</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3、空管与手柄焊接牢固，使用中不得脱柄。</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打气筒</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产品由气筒、踏脚、活塞、活塞杆、手柄、橡胶管、气针夹等组成。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7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生物显微镜</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1、产品由镜座、镜臂、镜筒、准焦螺旋、物镜转换器、载物台、反光镜、目镜、物镜等组成；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2、除调焦手轮和镜片外，整体采用金属材料制造；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3、放大倍率：640X,总放大倍数为 40X、64X、100X、160X、400X、640X ；</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4、惠更斯目镜:10X、16X，消色差物镜:4X、10X、40X，镜头放置在专用盒内；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5、XSP系列，单目直筒可45°倾斜；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6、物镜不可有自动下滑现象，并带粗调滑座顶端限位装置；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7、反光镜直径为50mm，一面为平面，一面为凹面，镜片在镜圈内应有止挡圈；</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8、粗动调焦范围为23mm，微动调焦范围1.8-2.2mm；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9、使用物镜转换器换用不同放率的物镜时，各物镜应齐焦；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10、物镜转换器定位应准确，其最大定位误差，不大于0.03mm。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693" w:hRule="atLeast"/>
        </w:trPr>
        <w:tc>
          <w:tcPr>
            <w:tcW w:w="71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115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数码显微镜</w:t>
            </w:r>
          </w:p>
        </w:tc>
        <w:tc>
          <w:tcPr>
            <w:tcW w:w="642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1、电子目镜、USB接口，相关图像处理软件，产品由镜座、镜臂、镜筒、准焦螺旋、物镜转换器、载物台、反光镜、目镜、物镜等组成；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2、物镜系统：消色差物10×40×100×；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3、目镜系统：广角目镜WF10×；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4、放大倍数：放大1000×；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5、照明系统：充电式冷光源；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6、工作台：双层载物台；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7、调焦系统：粗微动分轴。</w:t>
            </w:r>
          </w:p>
        </w:tc>
        <w:tc>
          <w:tcPr>
            <w:tcW w:w="8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9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生物显微演示装置</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彩色，分辨率450TV线以上，放大倍数40倍～1500倍。</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学生显微镜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1、总放大倍数：200×；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2、整机结构件：绝大部分都是由铝和合金制作；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3、目镜：H12.5×并锁定于目镜筒；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4、物镜：DIN标准消色差物镜16×；</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5、镜筒：单目直筒，内置防止滑落的离合器装置。</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2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放大镜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1、由凸透镜、透镜框及手柄组成；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2、凸透镜放大倍率：5×；</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3、透镜应无明显条纹；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4、透镜框应能牢靠地夹持透镜。</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放大镜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1、由凸透镜、透镜框及手柄组成；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2、凸透镜放大倍率：3×；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3、透镜应无明显条纹；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4、透镜框应能牢靠地夹持透镜。</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天文望远镜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1、口径:50mm(2")；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2、焦距:600mm；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3、折射式配备：Φ24.5、H6mm、H20mm；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4、3×巴洛镜；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5、5×24寻星镜；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6、铝脚架；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7、泡沫彩盒包装。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酒精喷灯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结构为座式。金属制作，壁厚1mm，火焰温度可达900摄氏度。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1、主要由壶体、燃杯、壶嘴、喷管、火苗调节杆组成；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2、壶体外形尺寸：容量250ml；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3、喷管与壶体连接螺纹、壶体密封盖无漏气现象；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4、焊接部位应焊接牢固、光滑。</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bookmarkStart w:id="3" w:name="OLE_LINK2"/>
            <w:r>
              <w:rPr>
                <w:rFonts w:hint="eastAsia" w:ascii="宋体" w:hAnsi="宋体" w:eastAsia="宋体" w:cs="宋体"/>
                <w:i w:val="0"/>
                <w:iCs w:val="0"/>
                <w:snapToGrid w:val="0"/>
                <w:color w:val="auto"/>
                <w:kern w:val="0"/>
                <w:sz w:val="22"/>
                <w:szCs w:val="22"/>
                <w:highlight w:val="none"/>
                <w:u w:val="none"/>
                <w:lang w:val="en-US" w:eastAsia="zh-CN" w:bidi="ar"/>
              </w:rPr>
              <w:t>电加热器</w:t>
            </w:r>
            <w:bookmarkEnd w:id="3"/>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密封式；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1、工作电源：AC220V 50Hz；</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2、额定功率：1000W。</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8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电冰箱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1、适用于实验室设备，制取低温物品，保存生化制剂；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2、双门有效容积不小于178L。</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保温箱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1、容积：26升；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2、箱体材料：外表面是高强度工程塑料,中间保温层是高密度聚氨酯无氟发泡；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3、保温时间：2~8度能保持不少于30个小时。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听诊器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1、本产品为普通医用听诊器；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2、听诊器传音应清晰；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3、耳环弹片应用弹簧钢制成；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4、耳环的弹力应适宜，弹性良好；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5、听诊器导管材料必须用乳胶导管，抗拉强度＞17MPG，伸长率＞700％量；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6、应符合国标GB11237-89《听诊器》有关规定。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水族箱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1、过滤系统：上部过滤器15W(1000L/H)。</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2、照明系统:红、蓝、白三色可调LED光源；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3、水容量:65L。</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7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水槽</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圆形，由透明塑料注成，表面平整不变形，无毛刺。</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12" w:hRule="atLeast"/>
        </w:trPr>
        <w:tc>
          <w:tcPr>
            <w:tcW w:w="8289"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支架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方座支架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1、产品由底座、立杆及附件组成；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2、方座支架的底座钢板制成；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3、立杆直径φ9.5mm；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4、立杆长595mm，表面镀铬，立杆与方座组装后应垂直；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5、附件由大、小铁圈各一只，铁制十字夹2只，试管夹一只构成。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三脚架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1、由铁环和3只脚组成；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2、三只脚与铁环焊接紧固，脚距相等，立放台上时圆环应与台面平行，所支承的容器不得有滑动。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1、塑料制、注塑成型；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2、产品由顶板、底板、插杆组成，8孔。</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旋转架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1、仪器由底座、支杆、旋转体构成；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2、底座支杆用塑料制成，表面平整、光滑、无毛刺、无变形。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7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百叶箱支架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1、百叶箱支架采用角铁制成；高度为1200mm，窄应于百叶箱配套；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2、台面四角下方均加有角钢加固，角钢带有螺孔可将其固定于支架上，支脚为上支脚和下支脚拼接而成；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3、支架与支撑杆之间用螺丝固定。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百叶箱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1、供小学自然课教学和校内气象站使用；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2、外尺寸：330*460*590mm；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3、材质：木质单层。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7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9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学生电源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1、输出电压：1.5V－6V直流稳压输出，采用步进调节，可输出电压值应不少于1.5V、3V、4.5V、6V四档；额定电流：1.5A；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2、直流稳压输出，电压偏调：±（2％U标＋0.1V）。</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0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教学电源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1、教学电源；输出电压：交流输出，2～12V，每2V一挡；共六档；额定输出电流：5A；直流稳压输出，1.5V～12V，分1.5V、3V、4.5V、6V、9V、12V六档；额定输出电流：2A；直流大电流短时输出：40A，8秒自动关断；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2、输出端子采用Φ4mm铜芯香蕉插座或行程不小于4mm的铜接线柱；</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3、交流输出：（1）各档空载电压应不大于1.05U标＋0.3V；（2）各档满载电压应不小于0.95U标－0.3V；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4、直流稳压输出电压偏调：±（2％U标＋0、1V）；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5、直流大电流短时输出电流大于10A时，20s±2s自动关断；输出短时电流为40A+10A，8s±2自动关断；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6、过载保护：（1）电源的交流输出和直流输出电流等于或小于其额定输出电流时，电源应正常工作，当输出电流在额定输出电流值的1.05～1.5倍时，电源应能过载保护；（2）各档输出电路短路时应能自动关断；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7、连续工作时间不少于8h。</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2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电池盒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1、仪器可放置1节1号电池；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2、各触点使用镀铜材料；要求接触良好，整体结构结实牢固；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3、可串并联。</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测量</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长度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1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直尺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1、采用木制材料。木直尺漆层均匀；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2、全长500mm，尺宽24mm；尺面刻度0-500mm。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软塑，规格：1500mm，最小分度值为2mm，每厘米之间有相应的数字，刻度清晰，无形变。</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质量</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5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托盘天平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1、最大称量500g，分度值0.5g；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2、称量允许误差为±0.5d(分度值)；</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3、砝码组合的总质量（包括标尺计量值）应不小于天平的最大秤量；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4、冲压件及铸件表面应光洁平整，不应有毛刺、锋棱、裂纹和显见砂眼。</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金属钩码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1、产品为50g±0.5g×10只，定位装入塑料盒内；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2、底呈半球形，下钩位于底槽内，上下钩开口方向应垂直；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3、材料用钢材制成，外表镀铬，镀层不得有脱落，不均等现象。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5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体重计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1、整体以金属件为主，附测体高装置，体重秤最大称量160千克，最小称量5千克，最小分度值0.5千克；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2、体高计由三根不同直径的圆筒组成，最小分度值0.5cm，误差±0.5cm。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时间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2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电子停表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1、教学用电子秒表，采用电子芯片，电池电压为1.5V，0.01S,数码显示；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2、具有显示月、日、上下午时间和累计时间显示功能，秒表计时可选择简易计时。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温度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温度计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1、感温物质：红液；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2、全长：290mm；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3、测量范围：0－100℃；最小分度值：1℃；允许误差±1℃；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4、玻管要直，不得弯曲，不得崩损缺口，红液不得断线。</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温度计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1、感温物质：水银；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2、全长：290mm；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3、测量范围：0－200℃；最小分度值：1℃；允许误差±1℃，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4、玻璃应光洁透明，不得有裂痕。毛细管不得有明显的弯曲现象，其孔径应均匀，管壁内应清洁无杂质。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体温计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1、棒式，测量范围35～42℃；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2、体温计按国际实用温标刻度，稳度最小分度值为0.1℃，分度均匀，两相邻分度中心的距离应不小于0.55mm；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3、标度线、计量数字和标志颜色牢固，不允许有脱色、影响读数、颜色污迹等现象。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寒暑表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1、由塑料材料镶嵌玻璃棒芯组成；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2、面板标有：摄氏-40℃～50℃；华氏-40℉～120℉；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3、玻璃棒芯感温液，正面放大玻璃液读数。</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最高温度表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1、测量范围：-22℃～+82℃；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2、最小分度值：0.5℃；</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最低温度表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1、测量范围：-54℃～+41℃；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2、测量误差±1℃；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力</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条形盒测力计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1、产品为组装式，5N；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2、产品必配部件:壳体1个、弹簧1个、面板1块、带钩指针1个、提手1个；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3、壳体由塑料制作；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4、弹簧：由金属制成，表面防锈处理；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5、面板：由金属制成，防锈处理。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条形盒测力计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1、产品为组装式，2.5N；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2、产品必配部件:壳体1个、弹簧1个、面板1块、带钩指针1个、提手1个；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3、壳体由塑料制作；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4、弹簧：由金属制成，表面防锈处理；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5、面板：由金属制成，防锈处理。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5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条形盒测力计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1、产品为组装式，1N；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2、产品必配部件:壳体1个、弹簧1个、面板1块、带钩指针1个、提手1个；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3、壳体由塑料制作；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4、弹簧：由金属制成，表面防锈处理；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5、面板：由金属制成，防锈处理。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多用电表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1、本品为整流系，轴尖轴承支承式、指针式电表；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2、准确度等级：直流电流、电压、电阻测量档均为2.5级；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3、电压灵敏度：直流为20kΩ/V，交流为9kΩ/V；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4、阻尼时间：不超过4s；绝缘电阻不小于20MΩ；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5、转换开关各档位定位正确，无错位，转动时手感好；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7、电表指针挺直，机械调零时可在零刻度左右移动；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8、产品所附测量表笔及电池应完好有效。</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其它</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5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湿度计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1、注塑成型；为指针式，仪表盘上印有湿度标识；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2、湿度范围：20%RH-100%RH，最小标识：2%RH；</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3、测量误差：30-90%RH时＜7%；</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4、工作湿度：-20℃—+50℃；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5、可部分参考QX/T27《毛发湿度计》标准执行。</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指南针</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1、上盖为优质透明塑料，下盖内表面上标示有北、南、东、西的方位标志刻线和字母等；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2、N极涂红色，S极涂白色；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3、磁针自行停止后，准确指向北极，指向偏差符合有关要求。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肺活量计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不锈钢外桶，含5个吹嘴。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5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雨量器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承水口内径200mm；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1、雨量器的承水装置内径φ≥200mm，为圆桶金属件，应无锈蚀现象，内壁圆滑，其刃口无毛刺；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2、承水装置与筒体配合应方便，并保证盛水装置在正常使用中不因风力影响而脱开；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3、所有与水的接触面应光滑，相互配合或连接部应牢固、不得有渗水现象；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4、所有零部件保护层牢固、均匀、光洁，装配正确，无松脱、变形现象；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5、雨量器与支架安装方便、牢固，不因风力影响而脱开；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6、附小漏斗、雨量杯、储水器各一个。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风杯式风速表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产品选用塑料注塑而成，无毒、环保、性能好；风速传感器和主机可分离进行实验。</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1、风速表为三杯式结构；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2、风杯为轻质材料、为半球形、相互均布；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3、每个风杯尺寸形状相同；</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4、风杯的切口与转动平面相互垂直。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8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专用仪器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8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斜面</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1、由长面板1块、短面板1块组成；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2、长面板尺寸：500*117*16mm；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3、短面板尺寸：200*117*16mm；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4、应平整、光滑，无气泡。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压簧</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1、工作极限负荷为5N；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2、用钢丝绕成，采用优质钢材，防锈电镀处理。符合JY123－82《螺旋弹簧》的有关规定。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拉簧</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1、工作极限负荷为5N；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2、用钢丝绕成，采用优质钢材，防锈电镀处理。符合JY123－82《螺旋弹簧》的有关规定。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沉浮块</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1、由正方体3个组成；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2、正方体用塑料制成，塑料件平整，色泽均匀；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3、其中一个大正方体和一个小正方体质量与水质量基本相吻合。</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杠杆尺及支架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1、适用于小学科学实验教学用；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2、采用优质塑料制作，表面平整、挺直、均匀、无毛刺；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3、产品由杠杆尺、支架（轴）、调平装置组成，组装后放置稳定；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4、杠杆尺上等距离标有刻度线，表面应光滑，刻度清晰，工整。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滑轮组及支架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1、适用于小学科学实验教学用；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2、产品由定滑轮、动滑轮、支杆、底座等组成。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7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轮轴及支架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1、适用于小学科学实验教学用；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2、由底盖、立杆、大中小组合轮轴、线、螺钉组成；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3、塑料制品表面应平整光滑、色泽均匀。</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2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齿轮组及支架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1、产品由底座、齿轮、立杆、轴心螺钉、摇把等组成；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2、底座由ABS工程塑料制作；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3、齿轮由优质塑料制作，各齿轮可互相自由组合，整件产品啮合良好，转动灵活。</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弹簧片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小学科学试验用，物体弹性振动发声实验，金属制作，表面光滑平整、无缺口、无污点。</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小车</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本仪器为塑料制品，车体上部带有可设置重物的凹槽，能满足小学科学有关章节教学要求；其它符合JY39－84的有关要求。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1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三球仪</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1、产品由底座、太阳模型、地球模型、月球模型、四季盘、月相盘、指针、回转组件、转台、推柄等组成；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2、地球模型上能观察到七大洲、四大洋、南北极圈、南北回归线、赤道和国际日期变更线；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3、四季盘上有表示四季和二十四个节气的名称、次序和日期等标识；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4、月相盘上有月相的位置和地球上的昼夜等标识；刻度表平整不弯曲，不脱落；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5、连接部分螺母紧密，不松动和脱节；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6、转动演示准确无误月球中心高度和月球中心平均高度应与地球中心高相等；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7、地轴倾斜角度为23.5°；</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8、月球绕地球转动应呈25°左右；各部比例应协调，转动灵活，稳定性好。</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太阳高度测量器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1、小学科学教学学生测量太阳高度角用，由底座、面板、测量架、重锤等组成；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2、底座塑料制成；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3、面板为铝片；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4、测量架长度100mm，宽度15mm；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5、重锤，金属制。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风的形成实验材料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1、产品为组合式；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2、产品由塑料筒、底座、蜡烛、风叶组成。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组装风车材料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由底座、支架、轮轴、叶片组成。轴承为直径23mm圆球形塑料体，底座尺寸为63*24*20mm，立柱直径6mm，叶片6片,尺寸为30*28mm。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组装水轮材料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1、由底座、支架、轮轴、叶片组成；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2、塑料产品选用全新塑料注塑而成，无毒、环保、性能好；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3、符合JY0001－2003《教学仪器设备产品一般质量要求》的有关规定。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太阳能的应用材料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1、产品为散件盒装，由太阳能电池板1块、发光二极管1个、小电机1个、小风叶1个、蜂鸣器1个组成；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2、太阳能电池板引线焊接牢固，无虚焊；</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3、小电机为3V直流电压，轴芯与小风叶配合松紧适度；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4、发光二极管工作电压3V，功率1.5W；</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5、小电机工作电压DC3V6。</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音叉</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1、256HZ,产品由音叉、共鸣箱、音叉槌组成；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音叉用钢或合金铝加工制造，发音部分呈“U”形，“U”形下方的叉柄能插入并紧固在共鸣箱上；当敲击音叉时，音叉不能松动；音叉表面平整光滑，叉股内侧平面与底部圆弧光滑相切；每支音叉配共鸣箱一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小鼓</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木制，鼓面羊皮，尺寸：直径146mm、高70mm，木制，鼓锤长162mm。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7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组装土电话材料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小学科学教学演示实验用；由土电话筒、薄膜、导线等组成；产品符合JY0001《教学仪器产品一般质量要求》。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热传导实验材料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木、金属、塑料、玻璃、陶瓷、棉花、石棉等材料。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6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物体热涨冷缩实验材料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1、本产品供中、小学做固体热胀冷缩的演示实验用；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2、由金属球、塑料球、实验架组成。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灯座及灯泡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1、小灯座由底板、接线柱，灯座组成，接线柱固定牢固，接线时不能连轴转动，表面平整光洁，正负极接线柱为螺旋弹簧式；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2、小灯座上所有螺丝、螺母、垫片均为金属材质；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3、小电珠旋入后，应接触良好可靠，不应有接触不良或短路。</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单刀单掷开关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1、开关的最高工作电压36V，额定工作电流6A；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2、底板用塑料制作，开关闸刀与接线柱及垫片均为铁件镀铜；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3、接线柱直径为φ4mm；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4、开关的绝缘强度应能承受1200V，漏电流为5mA，频率50Hz的正弦交流。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物体导电性实验材料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本产品由电池盒及测试片(铜、铁、铝、塑料)等组成。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1、D-CG-LT-180，磁感应强度应不小于0.07T；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7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         73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1、学生用，磁感应强度应不小于0.07T；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4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蹄形磁铁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1、D-CG-LU-80型，磁感应强度应不小于0.055T；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蹄形磁铁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1、学生用，磁感应强度应不小于0.055T；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磁针</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1、翼型；底座直径70mm，磁性指针长140mm；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2、磁针体表面喷漆，漆层均匀无脱落；指北极为红色，指南极为白色或蓝色。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环形磁铁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适用于小学科学实验教学用，磁钢极性标注，指北极为红色，指南极为白色或蓝色；N、S字母的颜色为蓝色或白色。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1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电磁铁组装材料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1、产品由线圈骨架2个、铁芯2个、导线2根、小垫片若干个组成。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2、线圈骨架由塑料制作，纸盒包装。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演示用；U型铁芯1个，绕线骨架2个，长100mm导线3根；纸盒包装。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4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手摇发电机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1、用于分组实验，由小型发电机、齿轮、正负极接头、灯泡、手柄、小灯座、导线等组成。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2、空载输出电压为6V，输出电流为0.2A。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3、整体组合连接情况完整，实验效果明显。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激光笔</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1、产品由塑胶笔身和激光头、钮扣电池组成；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2、使用范围7-15m，波长650nm；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3、金属外壳，防锈处理，笔型美观。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2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小孔成像装置</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组装式，白屏1块、黑屏1块，中心有直径2mm小孔，底座尺寸63*24*20mm。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3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平面镜及支架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1、由平面镜及支架等组成；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2、平面镜平整度、镀层应符合有关要求；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3、实验效果明显。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7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曲面镜及支架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由旋转屏、曲面镜、立柱、底座组成。产品符合JY0001《教学仪器一般质量要求》的有关规定及招标文件的相关规定。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透镜、棱镜及支架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由旋转屏、凹透镜、凸透镜、三棱镜、立柱、底座组成。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8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成像屏及支架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由白屏、磨砂屏、底座组成。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昆虫观察盒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圆形，带不小于3倍的放大镜。</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动物饲养笼</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1、小学科学课分组饲养小动物用；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2、由箱体和观察面组成；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3、采用钢丝编制。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8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塑料注射器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1、30mL；塑料制品，注射管表面无缩迹、无溶迹、无毛刺；外形端正，厚薄均匀，内外表面清洁，无划伤；</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2、量值准确，刻度和数字清晰、无断线、不脱落；外筒与活塞之间配合严密，滑动自如，密封性好。</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单摆</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由钢球和线组成。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1、钢球直径≥20mm；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2、摆球沿直径方向钻孔，共穿线使用，钢球表面镀铬、抛光；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3、摆球附悬线1根。</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7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模型</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3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儿童骨骼模型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产品为男性儿童骨骼模型，串制成正常直立姿势于支架上，模具高390mm，材质采用PVC材料，金属连接件应作防锈处理，装拆方便。</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6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儿童牙列模型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附牙刷；PVC材质，有一定的韧性，不变形、不开裂，各部结构按比例放大。</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少年人体半身模型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1、产品规格：高575mm；PVC材质；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2、各器官的形态、结构、位置、毗邻关系应正确；金属连接件应防锈处理，装拆方便。</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眼构造模型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为一完整矢状切眼球模型；6倍放大，本产品采用树脂成型制作和PVC制作而成。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啄木鸟仿真模型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1、自然大小，模型应用羽毛全部覆盖成型的体架，各种羽毛的分布与着色应呈自然状，特征鲜明、逼真、形象；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2、应突出眼睛的瞳孔大，喙坚硬，末端尖锐，趾端有长而锐利的钩爪。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猫头鹰仿真模型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1、自然大小、附于一段树枝上的仿真模型，模型应用羽毛全部覆盖成型的体架，各种羽毛的分布与着色应呈自然状，特征鲜明、逼真、形象；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2、应突出眼睛的瞳孔大，喙坚硬，末端尖锐，向下钩曲，趾端有长而锐利的钩爪。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平面政区地球仪</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1、产品由球体和支架等组成；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2、球体直径为300±5mm，平面比例尺1/40000000；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3、球体通过地轴连接在支架上可以自由转动，并能停止在任一位置；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4、球体为正圆形，地轴的倾角为66.5°，并垂直于赤道面；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5、球体要做防潮处理，表面涂清漆。表面不得有裂纹、皱纹、气泡和脱落；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6、教学演示效果明显；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7、符合JY58－80《地球仪技术条件》的有关规定。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平面地形地球仪</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1、产品由球体和支架等组成；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2、球体直径为300±5mm，平面比例尺1/40000000；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3、球体通过地轴连接在支架上可以自由转动，并能停止在任一位置；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4、球体为正圆形，地轴的倾角为66.5°，并垂直于赤道面；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5、球体要做防潮处理，表面涂清漆。表面不得有裂纹、皱纹、气泡和脱落；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6、教学演示效果明显；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7、符合JY58－80《地球仪技术条件》的有关规定。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地球构造模型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1、由球体、支架（包括底座）、时区环等组成，球体材质采用高分子材料塑制，质地坚固，无开裂变形现象；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2、球体直径不小于32cm，比例尺为1：40000000；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3、涂色均匀，无流挂、皱缩、针孔、起泡现象，着色线条流畅、清晰自然。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司南模型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1、模型由底盘和勺组成；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2、外盘分层次，成十天干、十二地支、四卦标示，二十四个方位。</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月相变化演示器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产品设置的中心天体是地球，在地球的外围显示月球的公转轨道，边缘金属封边；符合JY0001－2003《教学仪器一般质量要求》的有关规定。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标本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6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蟾蜍浸制标本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1、标本由大型蟾蜍制作；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2、无影响观察的各种缺陷，液体用透明度高、无毒、无味、无害的新型液体，长期使用不变色，不腐烂，使用弹性橡胶型垫圈密封。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河蚌浸制标本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河蚌完整，无影响观察的各种缺陷，液体用透明度高、无毒、无味、无害的新型液体，长期使用不变色，不腐烂，使用弹性橡胶型垫圈密封。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爬行类动物浸制标本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1、标本由蜥蜴科中较大型的个体制作，标本应完整显示；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2、标本应完整无缺、并保持自然色；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3、整体浸制在密封包装的标本瓶内，保存液须将标本完全浸没；标本瓶不得有漏液现象。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蛙发育顺序标本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应由蛙的8个发育期组成，形体完整，姿态自然，无明显干瘪发黑现象。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昆虫标本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1、常见益虫、害虫各6种；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2、标本一般应装在无色透明面的标本盒内；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3、标本包括各昆虫的全部生长阶段；</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4、标本应形体完整、姿态自然和色泽正常。</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桑蚕生活史标本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1、由卵、幼虫（四龄）、蛹、雌雄成虫及茧组成；按生活史顺序排列；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2、蚕体洁净，茧1个，大小、色泽相似，示完整的外形。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兔外形标本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1、产品为干制标本，仿真兔，毛色正常，形态自然；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2、透明塑料袋包装。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植物种子传播方式标本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1、小学科学教学了解植物种子的传播方式用；动物传播、弹力传播、风力传播、水流传播；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2、各个组成部分直观、清晰，形态完整，制作洁净，透明塑料盒包装。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盒</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0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矿物标本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1、小学教学使用的矿物标本，包括煤、铜矿石、铁矿石、石灰石、云母、石英石。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2、各个标本的鉴定特征必须显著、清晰、易于辩别；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3、标本经过加工后，一般应成块状；标本表面应清洁、无尘土或粘附其它杂质；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4、块状标本选用没有经过风化的原产矿物，并有一个新鲜断面。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岩石标本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花岗岩、石灰岩、大理岩、页岩、石英岩、白云岩；符合JY0005-1991《矿物岩石标本》要求的晶体标本。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4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金属矿物标本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1、铜、铁、铝、钨、锡；块状标本应选用没有经过风化的原产矿物和原产岩石；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2、各个标本的鉴定特征必须显著、清晰、易于辩别。</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7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土壤标本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由红壤土、棕壤土、岩性土、水稻土、盐碱土组成，盒盖内侧贴有与各标本对应品名的定位表格，土壤标本用小玻璃瓶封装，透明塑料盒包装。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6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矿物提炼物标本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1、包括汽油、合成洗涤剂、塑料、铜矿石、铜、医药、铁矿石、铁、橡胶、铝矿石、铝。</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2、各个标本的鉴定特征必须显著、清晰、易于辩别；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3、标本表面应清洁、无尘土或粘附其它杂质；金属块状标本应无锈蚀。</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玻片标本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18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植物根尖纵切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1、标本在80×和200×学生显微镜下观察根尖的结构；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2、能看清根冠、分生区、伸长区、根毛区和原形成层等；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3、根毛与表皮细胞无间隔，可不要求看到根毛内的胞核；</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4、标本取于人工培养的玉米根，取材部位为根冠至根毛区；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5、标本的纵切面应与原形成层平行，并过原形成层。原形成层顶端至分生区顶端的距离应在基本分生组织厚度的1／3以内。如无完整根毛时，则至少应有一处表皮细胞能显示形成根毛之特征；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6、切片厚度在8μm以内，每张玻片垂放材料1～2片；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7、胞核着色明显，可见核仁，胞质着色均匀；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8、产品应符合JY68－82《植物根尖纵切》的要求。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48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木本双子叶植物茎横切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1、标本在80×和200×学生显微镜下，观察双子叶植物茎横断面的结构；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2、能看清表皮（有时可看到表皮毛）厚角组织、薄壁组织、髓及环列于茎中的维管束等；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3、能看清维管束为外韧型，分别认出韧皮纤维、筛板、筛管、形成层和木质导管等横断结构；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4、标本取材于椴木；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5、切片厚度在25μm以内；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6、表皮、厚角组织、薄壁组织和维管束等处细胞倾斜部分不超过茎横断面的1/4。形成层形态正常；</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7、标本用番红、固绿染色，导管、厚壁组织，呈红色，其它组织绿色，厚角组织、筛板等有时也可呈红色；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8、应符合JY67－82《生物玻片标本通用技术条件（试行）》的规定；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9、产品应符合JY233－87《双子叶植物茎横切》的要求。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96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草本植物茎横切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1、标本在80×和200×学生显微镜下观察单子叶植物茎横断面的结构；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2、能看清表皮、散生维管束、薄壁组织；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3、表皮为一层排列整齐的细胞，表皮下有一圈机械组织；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4、标本取材于人工培养的玉米茎，取节间部位；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5、切片厚度在25μm以内；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6、切面应与纵轴垂直，表皮、机械组织、薄壁组织、维管束等处细胞倾斜不超过茎的1／4；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7、标本用蕃红、固绿染色，木质导管、机械组织呈红色，其他组织绿色；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8、产品应符合JY72－82《单子叶植物茎横切》的要求。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洋葱表皮装片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1、标本在80×和200×学生显微镜下观察鳞片叶表皮形态和结构；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2、能看清鳞片叶表皮的长方形细胞，并具细胞核；</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3、标本取材于洋葱鳞片叶表皮。标本为平铺装片，每片材料不小于2×2mm，四周须剪整齐；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4、应符合JY67－82《生物玻片标本通用技术条件（试行）》的规定。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44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叶片横切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1、标本在80×和200×学生显微镜下，观察迎春叶横断面；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2、能看清上下表皮、气孔的断面、栅状组织、海绵组织、叶脉等；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3、在栅栏组织和海绵组织的细胞中能看清胞核和叶绿体；</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4、在主脉的横切断面上看清木质部韧皮部形成层和机械组织；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5、在主脉两侧可见到侧脉的横或纵断面，也应看清木质部和韧皮部，有时可见木质部导管的纵切面；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6、标本取材为迎春叶。作过主脉的横切片厚度为≧8微米，每张玻片横放材料一片；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7、应符合JY67－82《生物玻片标本通用技术条件（试行）》的规定。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叶片气孔装片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1、标本在80×和200×学生显微镜下观察叶下表皮形态和气孔结构；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2、能看清不规则形的下表皮细胞，及其胞核和分散在下表皮细胞间的气孔；</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3、能看清正常开放的气孔形态和新月形的保卫细胞、胞核和叶绿体；</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4、标本取材于新鲜的、气孔开放的蚕豆叶。标本为平铺装片，每片材料不小于2x2mm，四周剪切整齐；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5、材料整洁，不附带叶肉等其他组织，保卫细胞不收缩。闭合气孔不得超过2／3；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6、胞质着色均匀，胞核明显，细胞界限清晰；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7、应符合JY67－82《生物玻片标本通用技术条件（试行）》的规定；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8、产品应符合JY75－82《蚕豆叶下表皮装片》的要求。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9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动物表皮细胞装片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1、标本在80×和200×学生显微镜下观察动物表皮细胞的结构；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2、表皮为复层扁平上皮，近表面的浅层细胞有角化脱落在象；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3、应符合JY67－82《生物玻片标本通用技术条件（试行）》的规定；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4、产品应符合JY91－82《人皮过毛囊切片》的有关要求。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5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蛙卵细胞切片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1、标本在50×生物显微镜下观察蛙受精卵尚未进行第一次分裂时的形态；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2、能认出有黑色素的动物半球在上，无黑色素的植物半球在下；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3、应符合JY67—82《生物玻片标本通用技术条件》的规定；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4、标本选用出现“灰新月区”时的受精卵，形态正常，去掉胶膜；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5、作卵的垂直于“灰新月区”的中部纵切，其厚度在12μm以内；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6、每张玻片放材料1~2片，卵黄粒不破碎，无皱褶、刀痕。标本保留自然色素，不染色。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骨细胞切片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1、标本在50×和100×显微镜下观察骨单位结构；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2、每片材料不小于3mm×3mm。可见同心圆状排列的骨板，每一骨单位的骨板间有3~6层骨陷窝，骨小管从中央管向周围呈放射状排列；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3、取材于长骨材料，经磨薄或横切，硝酸银或其它染色液染色。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口腔粘膜细胞装片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1、标本在400×生物显微镜下观察复层扁平上皮的结构；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2、能看清复层扁平上皮细胞在近表层呈扁平形，胞核较扁，有脱落现象，表层以下的细胞逐渐增厚，呈不规则的多边形，胞核圆形，紧贴基膜的深部细胞有呈方形成矩形的；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3、应符合JY67－82《生物玻片标本通用技术条件（试行）》的规定；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4、标本取材于幼小哺乳动物的口腔粘膜。胞核、胞质着色对比应明显，上皮细胞界限度清晰，表层细胞不应脱落较多；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5、应符合JY67－82《生物玻片标本通用技术条件（试行）》的规定；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6、产品应符合JY90－82《复层扁平上皮装片》的要求。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3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人血细胞装片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1、标本在400×生物显微镜下观察血液中血胞的形态；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2、能看清红血细胞和白血细胞，有时可见血小板；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3、标本取材于人的新鲜血液，血细胞变形者，不宜使用；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4、血膜应涂布均匀、无污物，血细胞不重叠、无变形和自溶现象；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5、用苏木精、曙红双重染色。染色要均匀，白血细胞的胞核和血小板呈兰紫色，白血细胞的胞质和红血细胞呈粉红色，血浆不着色；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6、应符合JY67－82《生物玻片标本通用技术条件（试行）》的规定；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7、产品应符合JY95－82《人血涂片》的要求。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挂图、软件及资料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1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教学挂图（图片）</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中国地形地图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3、地图上、下两端装有圆形塑料条，上端塑料条装有挂绳；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4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小学科学安全操作挂图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1、25幅；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3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小学科学生命世界教学挂图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1、29幅；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3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小学科学物质世界教学挂图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1、22幅；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1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小学科学地球与宇宙教学挂图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1、幅数28幅；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6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科学史挂图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1、幅数24幅；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90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植物分类图谱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1、纸张规格：铜版纸、覆膜；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5、印刷标准：符合GB7705-87《平版装潢印刷品标准》。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动物分类图谱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16页，全彩色。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多媒体教学软件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小学科学教学素材库</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音像教学资料符合新课标的教学要求；1碟。</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小学科学实验教学指导书</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《全日制义务教育小学科学课程标准(实验稿)》对小学科学实验要求的所有实验，16开，符合GB/T7705-2008《平版装潢印刷品》的有关规定。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小学科学实验手册</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《全日制义务教育小学科学课程标准(实验稿)》对小学科学实验要求的所有实验，16开，符合GB/T7705-2008《平版装潢印刷品》的有关规定。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7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玻璃仪器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6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计量</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1、标称容量：500mL；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3、底座和口部边缘应做熔光处理，口边应与量筒的轴线垂直；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4、量杯放在平台上，不应摇晃；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5、当从量杯向外倾倒液体时，液体呈一束细流流出，不应外溢，不应沿壁外流；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6、外表面和内表面不应有破皮气泡和薄皮气泡、密集小气泡和积水条纹存在。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1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1、标称容量：250mL；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3、底座和口部边缘应做熔光处理，口边应与量筒的轴线垂直；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4、量杯放在平台上，不应摇晃；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5、当从量杯向外倾倒液体时，液体呈一束细流流出，不应外溢，不应沿壁外流；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6、外表面和内表面不应有破皮气泡和薄皮气泡、密集小气泡和积水条纹存在。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9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甘油注射器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实验用玻璃仪器：30mL，由注射针管和活塞管组成，活塞管磨砂精细，与注射管密吻光滑、不漏水、不漏气。</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8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2、厚薄均匀，不得有刺手现象；规格：试管外径Φ15mm，试管高150mm；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3、截面应为适度的圆形；试管口部是熔光的平口；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4、管口应平整、光滑，不得有裂口、裂纹存在；试管的底部应基本为半球形。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2、厚薄均匀，不得有刺手现象；规格：试管外径Φ20mm，试管高200mm；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3、截面应为适度的圆形；试管口部是熔光的平口；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4、管口应平整、光滑，不得有裂口、裂纹存在；试管的底部应基本为半球形。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2、规格：50mL，烧杯上标志应清晰、耐久，造型规范、薄厚均匀、无明显偏斜，底部不允许有结石、节瘤存在；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4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2、规格：100mL，烧杯上标志应清晰、耐久，造型规范、薄厚均匀、无明显偏斜，底部不允许有结石、节瘤存在；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4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2、规格：250mL，烧杯上标志应清晰、耐久，造型规范、薄厚均匀、无明显偏斜，底部不允许有结石、节瘤存在；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6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2、规格：500mL，烧杯上标志应清晰、耐久，造型规范、薄厚均匀、无明显偏斜，底部不允许有结石、节瘤存在；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2、规格：平底，250mL；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3、细口球形平底烧瓶放在平台上不应旋转或摇晃；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4、烧瓶颈应上下粗细一致，不应有明显的弯曲，不允许有严重的条纹存在，不允许有明显的能目测的铁锈、铁屑存在。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锥形瓶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2、规格：锥形，100mL；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8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酒精灯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1、透明钠钙玻璃材质，由灯座、灯塞、灯盖、灯芯组成；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3、玻璃仪器，正视应无色；或仅有玻璃本身的微浅黄绿色；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4、玻璃仪器的口部都应经圆口（熔光）、卷边或磨砂处理；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5、应力：应力仪观察下呈紫红色或部分扩散状蓝色；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6、厚薄均匀，玻璃仪器的底部应平整，放在平台上不应旋转或摇晃；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7、酒精灯塞子塞不紧是正常的，塞紧了是危险的。</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9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漏斗</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2、口边光滑平整，无毛边、快口及崩缺，角度正确，口边不得呈椭圆形及不规则多边形，斗柄应垂直，下口应磨成45º角，并将斜口边倒角不呈缺口；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3、壁厚均匀，内壁光滑，斗柄接头处不允许严重折皱，斗柄垂直偏正不超过3~5mm。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9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漏斗</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2、口边光滑平整，无毛边、快口及崩缺，角度正确，口边不得呈椭圆形及不规则多边形，斗柄应垂直，下口应磨成45º角，并将斜口边倒角不呈缺口；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3、壁厚均匀，内壁光滑，斗柄接头处不允许严重折皱，斗柄垂直偏正不超过3~6mm。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8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滴管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1、由玻璃滴管和胶头组成；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2、规格：150mm；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6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集气瓶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2、规格：125mL；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3、磨砂密合性：瓶身光洁圆整，不得有扁瘪现象，瓶底平稳，不允许有旋转缩径和磨光的小缺口；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镊子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1、不锈钢，尖头，140mm；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2、符合GB4747.1—1989《医用镊通用技术条件》的有关规定。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试管夹</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1、产品为木质或竹质材料制成；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2、所用木材要求脱脂干燥处理，无裂纹，光滑，锯端面无毛刺，无刺手感；</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3、试管夹所附毡块应粘接牢固，不得脱落；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4、管夹弹簧应有足够弹性，并作防锈处理；夹口张、合松劲强度适宜，便于试管夹持和拿取。</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石棉网</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1、产品为在金属网上涂敷石棉材料而制成；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2、金属网无锈蚀，具备一定的强度。石棉材料涂敷均匀，附着力强。涂敷面不得裸漏金属网面；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3、整体应平整、美观，不翘角。</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燃烧匙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1、产品由半圆面和金属丝结合制成；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2、半圆面为铜材制造，直径Φ为20mm左右。要求光滑无毛剌、圆润；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3、金属丝用Φ2㎜的钢丝制造，长度为200mm左右；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4、半圆面与金属丝结合应牢固可靠，耐高温。</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药匙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1、供中学化学实验和小学教学实验用；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2、药匙材质：塑料。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6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玻璃管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2、外径：Φ5mm～Φ6mm；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3、理化性能：耐水等级：4级，耐碱等级：1～3级，耐酸等级：2～3级；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4、应力：紫红色或扩散状淡蓝；</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5、色泽：无色透明，允许微带黄绿色；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6、玻管厚薄均匀，不能出现大小头。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千克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64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玻璃棒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2、规格：φ5mm～φ6mm；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3、理化性能：耐水等级：1级，耐碱等级：1级，耐酸等级：2级；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4、应力：在偏光仪中呈蓝色；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5、色泽：无色透明，允许微带黄绿色；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6、玻璃棒要圆、直径均匀、不能粗细不匀，无气泡、无节瘤、无结石。</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橡胶管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1、产品用优质天然橡胶制造；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2、产品内径为7～8mm，壁厚1mm；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3、产品应符合国标GB1189～81《胶管外观质量》的规定。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千克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橡胶塞</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1、0～10号，白色，质地均匀；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2、产品应符合国标GB1189～81《胶管外观质量》的规定。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千克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1、产品由金属丝和绞合在其上的猪鬃毛制成，制成的试管刷要求不散、不脱毛；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2、整体应平整、美观，猪鬃毛长度均匀。</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烧瓶刷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1、供中学化学实验和小学教学实验用；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2、本品由猪鬃及铁丝两部分组成，猪鬃被铁丝牢牢的夹紧在上面。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培养皿</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2、规格：φ100mm；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9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蒸发皿</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1、实验用加热仪器60mm，陶瓷制造；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2、口圆整、光滑，不得有缺口，厚薄均匀，底部平整，不凸凹，放置平面不摇晃，器身不扁瘪；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3、蒸发皿的形状应规整，不得有裂纹和妨碍使用的熔洞、斑点、缺釉等缺陷；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4、吸水率：不大于0.3%；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5、釉的耐酸性：带釉蒸发皿内表面釉的损失量不大于0.01mg/cm2；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6、釉的高温粘结性：将带釉蒸发皿加热至900℃时，不出现釉粘结现象；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7、热稳定性：产品在高于室温230℃至室温的水中热交换一次，不出现裂痕或色斑；</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8、按使用温度可分为：带釉蒸发皿和无釉蒸发皿。带釉蒸发皿使用温度不高于1000℃，无釉蒸发皿使用温度不高于1250℃。</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6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2、规格：500mL；采用高强度塑料材质；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3、杯体有刻度线，符合JY00001—2003《教学仪器产品一般质量要求》中的有关规定。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9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药品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硫酸铝钾(明矾)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化学纯，C、P。</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酒精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工业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千克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2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pH广范围试纸</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1～14，条状，每本80张，每张尺寸不小于1*20mm。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其它实验材料和工具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1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实验材料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3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小学科学一般实验材料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锡箔纸、塑料手套、塑料管、毛细管、种子、橡皮泥、种植土、过滤纸、导线、碘酒、蜡烛、塑料薄膜、透明塑料袋、不透明塑料袋、棉布、吸管、食用油、食盐、食糖、气球、方格纸、松香等。</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份</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载玻片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1、玻璃制；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2、通过计量认证。边缘进行打磨处理边缘光滑、无尖角；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3、产品执行JB/T8230.3《载玻片》的标准。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盒</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盖玻片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1、玻璃制；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2、通过计量认证。0.1mm1/400mm²；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3、产品执行JB/T8230.3《盖玻片》的标准。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包</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工具</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测电笔</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1、全长157mm，由测电头、绝缘手柄组成，测量范围：交流12V-220V；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2、刀杆材料选用优质CR-V钢，全硬热处理，达到CE标准；手柄绝缘性能良好；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3、安全、结构、外观应符合JY0001第5、6、7的有关要求执行。</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4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一字螺丝刀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1、规格195mm；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2、旋杆采用45#钢，工作部硬度不低于HRC48；</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3、手柄采用绝缘材质，外形根据人体工程学设计，手感舒适；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4、旋杆应经镀鉻防锈处理；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5、旋柄为硬质塑料制成，表面光洁、无毛刺，无缩迹。</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4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十字螺丝刀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1、规格215mm；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2、旋杆材料采用45#钢，工作部长度内硬度HRC48～54；手柄采用绝缘材质，外形根据人体工程学设计，手感舒适；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3、旋杆应经镀铬防锈处理；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4、旋柄为硬质塑料制成，表面光洁无毛刺，无缩迹，与旋杆接合牢固；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5、其它技术要求按GB10635的规定执行。</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尖嘴钳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1、型号规格：长160mm；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2、采用45号高碳钢精工铸造，整体精抛光、热处理，钳口高频淬火，硬度45～48HRC，PVC全新材料，环保手柄；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3、其它技术要求应符合GB6290夹扭钳和剪切钳通用技术条件的规定。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木工锯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注塑手柄；总长度490mm，锯齿总长度425mm。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1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钢丝钳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材质：45#高碳钢锻造，规格不小于：长165mm。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9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手锤</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1、供学生敲击物体的手动工具；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2、材质：45优质碳素结构钢；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3、硬度：大头HRC≥48～55，小头HRC≥40；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4、锤体孔眼端正，轮廓清晰、表面不应有裂纹、折叠、缺口、凹凸不平、生锈等缺陷；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5、木柄采用材质坚韧的木材制作，并应平直圆滑，无裂纺、霉变、虫蛀，表面涂清漆；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6、榔头装柄后不得松动摇头。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活扳手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1、材质：优质中碳钢；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2、规格：200mm；活动扳手；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3、其他符合GB/T4440-1998《活扳手》的要求。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6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电烙铁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1、尖头电烙铁；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2、功率：60W，手柄坚硬，握把舒适，插头不变形；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3、电源线采用国标电线其他符合GBT7157-2008《电烙铁》标准的安全要求。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2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手电钻</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1、此产品输入功率580W；</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2、具有调速正反转功能，可装卸螺丝螺母，适用于线路板、金属和木材等钻孔作业，其他符合GB/T5580-1999《电钻》标准。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剪刀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1、产品表面处理为电镀剪；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2、剪刀刃口硬度不低于HRC52；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3、两片刃口对应点硬度差不大于HRC4；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4、全长150mm；剪刀性能应手感轻松、均匀、剪布锋利、不咬口、不崩口、不变形。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花盆</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1、适用于学生实验用；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1、全不锈钢材料制作，伸缩刀片；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2.刀刃长度60mm。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1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1、用环保材料制；无毒无味；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2、圆型，带盖，开口直径168mm，高度140mm，带提手；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3、产品应符合JY0001－2003《教学仪器产品一般质量要求》。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手摇铃</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钟形金属壳体,木质手柄,口径65mm。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手持筛子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1、产品由筛子体和筛网组成；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2、本产品以不锈钢为原料制成；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3、产品符合JY0001《教学仪器产品一般质量要求》。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喷水壶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1、产品由优质塑料制成，容量2000ml；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2、喷嘴可调。</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吹风机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1、学生实验吹干物品用；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2、本品材质为ABS；</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3、有冷热风、两档。</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采集捕捞工具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1、产品由标本夹、捕虫网、水网、小铁铲、枝剪组成；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2、标本夹：用塑料制作；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3、捕虫网：网兜用尼龙网眼纱制作；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4、水网：用密织纱布；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5、小铁铲：表面作防锈处理，木制手柄；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6、枝剪：柄部带塑料套。</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1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榨汁器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由杠杆压榨圆盘、过滤盘、盛汁盘组成。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bl>
    <w:p>
      <w:pPr>
        <w:pStyle w:val="2"/>
        <w:ind w:left="0" w:leftChars="0" w:firstLine="0" w:firstLineChars="0"/>
        <w:rPr>
          <w:rFonts w:hint="eastAsia"/>
          <w:color w:val="auto"/>
          <w:highlight w:val="none"/>
          <w:lang w:eastAsia="zh-CN"/>
        </w:rPr>
      </w:pPr>
    </w:p>
    <w:p>
      <w:pPr>
        <w:pStyle w:val="2"/>
        <w:ind w:left="0" w:leftChars="0" w:firstLine="0" w:firstLineChars="0"/>
        <w:rPr>
          <w:rFonts w:hint="eastAsia"/>
          <w:color w:val="auto"/>
          <w:highlight w:val="none"/>
          <w:lang w:eastAsia="zh-CN"/>
        </w:rPr>
      </w:pPr>
    </w:p>
    <w:tbl>
      <w:tblPr>
        <w:tblStyle w:val="8"/>
        <w:tblpPr w:leftFromText="180" w:rightFromText="180" w:vertAnchor="text" w:horzAnchor="page" w:tblpX="1033" w:tblpY="410"/>
        <w:tblOverlap w:val="never"/>
        <w:tblW w:w="100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0"/>
        <w:gridCol w:w="946"/>
        <w:gridCol w:w="6928"/>
        <w:gridCol w:w="526"/>
        <w:gridCol w:w="1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80" w:hRule="atLeast"/>
        </w:trPr>
        <w:tc>
          <w:tcPr>
            <w:tcW w:w="10050"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7.小学数学仪器（1套标准）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9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5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0" w:hRule="atLeast"/>
        </w:trPr>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5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通用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计算器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1、简易型；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2、10位数，单行LCD显示；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有分数计算功能、有平均数运算功能、有独立储存器功能（具备保留运算过程功能，关机后能清除原运算过程及数据）、有临时储存器功能、有普通四则运算功能、有自动关机功能、应保留普通计算器的其他功能。</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软塑，规格：2000mm，每厘米之间有相应的数字，刻度清晰，无形变。</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卷尺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量程20m，分度值1cm，盒装，纺布材料，起点为零刻度线。</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托盘天平</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1、最大称量500g，分度值1g；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2、称量允许误差为±0.5d(分度值)；</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3、砝码组合的总质量（包括标尺计量值）应不小于天平的最大秤量；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4、冲压件及铸件表面应光洁平整，不应有毛刺、锋棱、裂纹和显见砂眼。</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简易天平</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1、量程：200g，分度值：1g；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2、产品由底座、横梁、托盘、游码、槽码等组成；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3、底座、横梁、托盘均采用工程塑料制作；游码及槽码采用金属材料制作；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4、灵敏度：空盘时向左或右盘加载1.5g，杠杆明显偏斜；全载时向左或右盘加载10g,扛杆明显偏斜；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5、简易天平组装后应有足够的稳度，并便于调整、安放和实验操作。</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弹簧度盘秤</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1、指针式，1kg；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2、产品为全塑料制作，指针式仪表盘；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3、由秤盘、盘托、支架、计量弹簧、外壳等部件组成。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弹簧秤</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金属外壳，质量单位5kg。</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时间</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电子停表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1、教学用电子秒表，采用电子芯片，电池电压为1.5V，0.01S,数码显示；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2、具有显示月、日、上下午时间和累计时间显示功能，秒表计时可选择简易计时。</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专用仪器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数学</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三角板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1、演示用60°、45°各1块；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2、木质；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3、等腰直角三角形；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4、三角板平面度误差不超过1mm，各边的直线度误差不超过1mm；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5、三角板的刻度线应垂直达到尺边，刻线和数码应清晰、正确，不得有重线、断线、缺字。</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圆规</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1、演示用，由圆规脚、粉笔夹、紧固螺栓等组成；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2、圆规脚用塑料制作，表面平整、挺直、无毛刺，没有流挂、针孔、起泡等缺陷；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4、粉笔夹夹持粉笔方便，使用时粉笔不脱落；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5、紧固螺栓调节方便，止紧可靠。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量角器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1、规格尺寸：500mm，半圆直径不小于500mm，演示用，0°～180°；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2、优质工程塑料制，应无裂纹不变形。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多边形拼接条</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由6根拼接条、6个塑料脚钉组成，每根拼接条的尺寸为100*100*2mm。拼接条一端为Φ4mm的插孔，插孔与插脚应配合紧密，无脱落现象。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专用直尺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1、量程1m，m、dm、cm、mm四种单位，起点零刻度线；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2、木质材质，刻度清晰，不容易磨损；</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3、刻线和数字排列整齐端正；刻线粗细应一致；尺面上线或数字允许有不明显的局部微糊或缺断；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4、选用无节疤、无裂纹并经脱脂干燥处理的木材制造，尺面漆层均匀、整洁，表面无伤痕，据断面无毛刺，边角倒钝；卡脚移动无卡死或脱落现象。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标杆</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1、本仪器整体长度1600mm，直径30mm；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2、整体为木质，整体无毛刺，有红白相间颜色；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3、枪头包有铁皮使用安全。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测绳</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1、50m；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2、内部有钢丝，外部为双层棉线纺织而成，两端有拉环。</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塑料球</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5种颜色，每个颜色10个，直径10mm，配不透明袋。</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塑料小球</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五种颜色，直径10mm，每种颜色10个，共50个。配有不透明塑料袋。</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1、由圆、正方片、三角片各10片组成；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2、圆直径25mm，正方片25mm×25mm，正三角形边长25mm，各片厚度不小于1mm；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3、产品选用无毒、环保全新塑料注塑而成。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竖式计数器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1、演示用，三档；规格为：个、十、百三档；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2、算珠胶合牢固，在正常运输和使用时不得开裂；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3、计数器能垂直放置在水平的桌面上，算珠与挡板反差明显；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4、算珠杆应有足够的强度，外表平整光滑，排列均匀，定位牢固。竖式计数器的算珠杆应承受5N以上的拉力；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5、算珠在算珠杆上排列整齐，移动方便，拨动灵活；</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6、计数器应结构牢固，表面平整，观察部位突出鲜明，档板高（宽）度应能遮挡全部算珠。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竖式计数器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1、演示用，五档；规格为：个、十、百、千、万五档；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2、算珠胶合牢固，在正常运输和使用时不得开裂；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3、计数器能垂直放置在水平的桌面上，算珠与挡板反差明显；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4、算珠杆应有足够的强度，外表平整光滑，排列均匀，定位牢固。竖式计数器的算珠杆应承受5N以上的拉力；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5、算珠在算珠杆上排列整齐，移动方便，拨动灵活；</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6、计数器应结构牢固，表面平整，观察部位突出鲜明，档板高（宽）度应能遮挡全部算珠。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竖式计数器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1、学生用五档，规格为：个、十、百、千、万五档；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2、算珠胶合牢固，在正常运输和使用时不得开裂；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3、计数器能垂直放置在水平的桌面上，算珠与挡板反差明显；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4、算珠杆应有足够的强度，外表平整光滑，排列均匀，定位牢固。竖式计数器的算珠杆应承受5N以上的拉力；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5、算珠在算珠杆上排列整齐，移动方便，拨动灵活；</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6、计数器应结构牢固，表面平整，观察部位突出鲜明，档板高（宽）度应能遮挡全部算珠。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演示算盘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1、算盘的位数不少于13位；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2、算盘以算珠在中梁上下颗数分布为上二下五；</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3、框架要平整光洁，竖框与横框、中梁应垂直，不得有明显的变形和松动。木结构要牢固不开胶，漆层光滑均匀；塑料框架无明显气泡、杂色和凹凸不平；金属结构配合间隙不大于0.3mm；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4、算珠的颜色应一致，并与框架档位杆的颜色反差明显，配色美观；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5、档位杆应粗细均匀，光滑平直。竹杆应无明显伤痕、无蛀蚀、无竹节；金属杆表面光洁、无锈蚀；塑料杆应有足够的强度。</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计数棒</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1、演示用，每20根一捆，5捆，圆柱体形小棒；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2、塑料表面要求圆滑，颜色鲜艳，无毛刺、气泡、伤痕等缺陷；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3、符合环保要求无异味，无毒。</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计数棍</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1、学生用，长100mm，直径4mm；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2、塑料表面要求圆滑，颜色鲜艳，无毛刺、气泡、伤痕等缺陷；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3、符合环保要求无异味，无毒。</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钉板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1、由钉板、橡皮圈等组成，长×宽为405mm×585mm；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2、板面有等分方格，每相邻方格涂不同色，在各方格的交点处嵌有小钉，板的背面无钉头露出；钉子无明显的偏位、歪斜；钉子挂上橡皮圈后，无松动、歪斜；橡皮圈无明显接头；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3、方格线清晰、整齐、粗细一致。</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钉板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1、规格：200mm×200mm；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2、透明塑料防腐材质，3根橡皮随意组合图形。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钉板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学生用，由钉板和橡皮圈组成；钉板边长140mm×140mm。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塑料插接块</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1、采用塑料压制而成，规格：10mm×10mm×10mm的正方体；</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2、每块为单色，其中有一面带有插接条，其他五个面带有凹槽，插接块由5种颜色组成，每种颜色有5块，共计25块。采用袋装。</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塑料连接链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1、由4种颜色塑料圈组成，20块，块与块之间可互相钩连；</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2、产品选用无毒、环保全新塑料注塑而成，符合JY0001-2003《教学仪器一般质量要求》的有关规定。</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数字骰子</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1、材料为高强度白色耐磨树脂；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2、尺寸12mm×12mm×12mm，每个侧面上有不同的数字，不少于3个。</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空白骰子</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12mm×12mm×12mm，2个。</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数字转盘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1、盘面直径为120mm；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2、以圆心为中心将转盘分区，分为10个扇形，每区内分别标有0-9十个数字；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3、底座直径不小于98mm；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4、产品表面应无明显缺陷和变形；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5、转盘转动灵活，转动转盘时转盘摆动幅度应不大于2mm，停止转动时指针指向应是随机的。</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色块转盘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1、盘面直径为120mm；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2、以圆心为中心将转盘分区，分为6个扇形；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3、产品表面应无明显缺陷和变形；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4、转盘转动灵活，转动转盘时转盘摆动幅度应不大于2mm，停止转动时指针指向应是随机的。</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空白转盘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1、盘面直径为120mm；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2、以圆心为中心将转盘分区；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3、底座直径不小于98mm；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4、产品表面应无明显缺陷和变形；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6、转盘转动灵活，转动转盘时转盘摆动幅度应不大于2mm，停止转动时指针指向应是随机的。</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几何图形片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1、包括正方形、长方形、直角三角形、等边三角形、平行四边形、梯形、圆形；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2、材料为厚度不小于1mm的PVC。</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集合圈</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1、产品由8根弧形拼接组成；拼接条可拼成一个圆；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2、折叠式，由塑料片制成。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计数多层积木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1、由10mm×10mm×10mm的1个、90mm×10mm×10mm的1个、100mm×90mm×10mm的1个、100mm×90mm×90mm的1个，4种规格的积木块组成；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2、为规整的正方形，表面光滑，不扭曲和变形。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七巧板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1、七种颜色，所组成的正方形78mm×78mm，厚1mm；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2、塑料表面要求平滑，无毛刺、气泡、伤痕等缺陷，颜色鲜艳。</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角操作材料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1、产品应采用无毒、无污染或少污染的塑料制成；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2、结构外观：应平整清洁，不应有划痕、溶迹、缩迹，不应有毛刺、变形、破边和凹凸不平。</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图形变换操作材料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应有2个平行四边形（边长30mm、高20mm），2个正方形（边长30mm），2个三角形（底30mm、高20mm）和2个圆（直径30mm）组成；彩色透明塑料制；用于平移、旋转、对称等内容。</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面积测量器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透明，100mm×100mm。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探索几何图形面积计算公式材料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1、由各种几何图形片组成，几何图形片采用优质无毒塑料制作，厚度不小于1mm；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2、几何图形片包括：正方形、长方形、三角形、平行四边形、梯形、圆形和面积测量器。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探索几何形体体积计算公式材料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产品由工程塑料制作，由长方体1个、正方体8个、圆柱体1个、圆锥体1个组成。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口算练习器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1、采用优质塑料制作；数字可转动；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2、圆盘转动灵活，没有卡死和跳动现象。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分数片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1、供小学讲解分数的基本概念，分数值的大小，分数的基本性质和异分母分数的加减法；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2、直径60mm，演示1/1—1/12共12种等分；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3、等分片应用优质塑料片制成，厚度0.8mm。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计数彩条</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1、由五种不同颜色，尺寸为8mm×100mm的塑料条组成；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2、厚度不小于0.1mm，每种颜色10条。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1、透明，圆柱形，带刻度，2L；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3、表面光滑，刻度清晰。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1、透明，正六棱柱体，带刻度，1.5L；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3、表面光滑，刻度清晰。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1、透明，水杯形，带刻度，1L；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3、表面光滑，刻度清晰。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小学低年级数学磁性教具</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1、圆形图板Φ50mm，方形图板80*50mm，有数字图板42块（含0-9数字、＋、－、×、÷、＞、＜、＝等符号）；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2、实物图板123块；计量单位图板18块（含米、厘、克、千、时、分等）；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3、塑料直尺长400mm，背景图11张，尺寸为580*435mm，塑料箱尺寸：510*270*85mm。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小学中年级数学磁性教具</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1、圆形图板Φ50mm，方形图板80*50mm，有数字图板47块（含0-9数字、＋、－、×、÷、＞、＜、〔〕、［］、＝、≈等符号）；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2、实物图板122块；单位名称图板20块（含米、分、厘、毫、吨、千等）；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3、塑料直尺长400mm，背景图7张，尺寸为580*435mm，塑料箱尺寸：510*270*85mm。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小学高年级数学磁性教具</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1、圆形图板Φ50mm，方形图板80*50mm，有数字图板61块（含0-9数字、＋、－、×、÷、＞、＜、〔〕、［］、＝、≈等符号）；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2、实物图板125块；单位名称图板22块（含avsπxdbhr%c各2块等），塑料直尺长400mm，背景图8张，尺寸为580*435mm；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3、塑料箱尺寸：510*270*85mm。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1、小学数学教学中对“时、分”的认识、读法及加减演示用；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2、表盘采用工程塑料一次性注塑而成，为二针非联动；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3、表盘安有时针和分针，表盘印有1到12小时制标记，并印有整点标记和分钟标记，二针12时非联动。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1、小学数学教学中对“时、分”的认识、读法及加减演示用；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2、表盘采用工程塑料一次性注塑而成，为三针联动；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3、表盘安有时针和分针及秒针，表盘印有1到12小时制标记，并印有整点标记和分钟标记。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1、小学数学教学中对“时、分”的认识、读法及加减演示用；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2、表盘采用工程塑料一次性注塑而成，为三针联动；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3、表盘安有时针和分针及秒针，表盘印有1到12小时制标记，下方印有13到24小时制标记，并印有整点标记和分钟标记。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1、小学数学教学中对“时、分”的认识、读法及加减学生用；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2、表盘采用工程塑料一次性注塑而成，为二针非联动；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1、小学数学教学中对“时、分”的认识、读法及加减学生用；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2、表盘采用工程塑料一次性注塑而成，为三针联动；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几何形体模型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模型采用塑料压制成型，由长方体、正方体、四棱柱、圆柱体、圆锥体、及球体组成；整体纸盒包装。</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厘米立方块</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1、每块为单色，颜色种类不少于2种，尺寸:10mm×10mm×10mm，共30个；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2、PVC材质，表面光滑，无变形和凹凸。</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几何形体表面积展开模型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1、产品的塑料件部分由ABS注塑成形，纸板印刷组成；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2、纸板印刷相同于塑料件规格的展开图，印刷清晰。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圆面积、圆周率计算公式推导演示模型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1、塑料制品表面平整、光滑、色泽均匀，边缘无毛刺，选用优质塑料制作；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2、推导板外形由圆形和长方形底板组成。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挂图、软件及资料</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数学</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教学挂图(图片)</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物品卡片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购物游戏用，硬纸片，尺寸70*50mm，共30张。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小学数学数与代数部分教学挂图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1、29幅；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7、适用于《全日制义务教育小学数学课程标准》。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小学数学空间与图形部分教学挂图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1、23幅；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7、适用于《全日制义务教育小学数学课程标准》。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9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小学数学统计与概率教学挂图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1、10幅；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6、印刷标准：符合GB7705-87《平版装潢印刷品标准》；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7、适用于《全日制义务教育小学数学课程标准》。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工具</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剪刀</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1、产品表面处理为电镀剪；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2、剪刀刃口硬度不低于HRC52；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3、两片刃口对应点硬度差不大于HRC4；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4、全长150mm；剪刀性能应手感轻松、均匀、剪布锋利、不咬口、不崩口、不变形。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圆柱形塑料杯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1、标度清晰、准确、易辨；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2、表面光洁，无飞边、毛刺，无变形。200ml，最小分度值10mL。</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方形塑料杯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1、标度清晰、准确、易辨；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2、表面光洁，无飞边、毛刺，无变形。250ml，最小分度值10mL。</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刻刀</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1、木制手柄长105mm、直径12mm；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2、钢制刀头斜口。</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角尺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1、材料:不锈钢，规格:300mm，镜面抛光处理；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2、其他符合GB/T6092-2004《直角尺》标准。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自备材料</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白卡纸(带四方格)</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双面胶、线绳、细沙、坐标纸。</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bl>
    <w:p>
      <w:pPr>
        <w:pStyle w:val="2"/>
        <w:ind w:left="0" w:leftChars="0" w:firstLine="0" w:firstLineChars="0"/>
        <w:rPr>
          <w:rFonts w:hint="eastAsia"/>
          <w:color w:val="auto"/>
          <w:highlight w:val="none"/>
          <w:lang w:eastAsia="zh-CN"/>
        </w:rPr>
      </w:pPr>
    </w:p>
    <w:p>
      <w:pPr>
        <w:pStyle w:val="2"/>
        <w:ind w:left="0" w:leftChars="0" w:firstLine="0" w:firstLineChars="0"/>
        <w:rPr>
          <w:rFonts w:hint="eastAsia"/>
          <w:color w:val="auto"/>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注：1、以上技术需求为采购人最低需求，必须全部满足，有一项不满足视为无效投标。 投标人也可提供更优的技术需求参与投标。</w:t>
      </w:r>
    </w:p>
    <w:p>
      <w:pPr>
        <w:pStyle w:val="5"/>
        <w:keepNext w:val="0"/>
        <w:keepLines w:val="0"/>
        <w:pageBreakBefore w:val="0"/>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color w:val="auto"/>
          <w:sz w:val="24"/>
          <w:szCs w:val="24"/>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before="78" w:line="440" w:lineRule="exact"/>
        <w:rPr>
          <w:rFonts w:hint="eastAsia" w:asciiTheme="minorEastAsia" w:hAnsiTheme="minorEastAsia" w:eastAsiaTheme="minorEastAsia" w:cstheme="minorEastAsia"/>
          <w:color w:val="auto"/>
          <w:spacing w:val="-6"/>
          <w:sz w:val="24"/>
          <w:szCs w:val="24"/>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before="78" w:line="440" w:lineRule="exact"/>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pacing w:val="-6"/>
          <w:sz w:val="24"/>
          <w:szCs w:val="24"/>
          <w:highlight w:val="none"/>
          <w:lang w:eastAsia="zh-CN"/>
        </w:rPr>
        <w:t>（二）</w:t>
      </w:r>
      <w:r>
        <w:rPr>
          <w:rFonts w:hint="eastAsia" w:asciiTheme="minorEastAsia" w:hAnsiTheme="minorEastAsia" w:eastAsiaTheme="minorEastAsia" w:cstheme="minorEastAsia"/>
          <w:color w:val="auto"/>
          <w:spacing w:val="32"/>
          <w:sz w:val="24"/>
          <w:szCs w:val="24"/>
          <w:highlight w:val="none"/>
          <w:lang w:eastAsia="zh-CN"/>
        </w:rPr>
        <w:t xml:space="preserve"> </w:t>
      </w:r>
      <w:r>
        <w:rPr>
          <w:rFonts w:hint="eastAsia" w:asciiTheme="minorEastAsia" w:hAnsiTheme="minorEastAsia" w:eastAsiaTheme="minorEastAsia" w:cstheme="minorEastAsia"/>
          <w:color w:val="auto"/>
          <w:spacing w:val="-6"/>
          <w:sz w:val="24"/>
          <w:szCs w:val="24"/>
          <w:highlight w:val="none"/>
          <w:lang w:eastAsia="zh-CN"/>
        </w:rPr>
        <w:t>商务条件</w:t>
      </w:r>
    </w:p>
    <w:p>
      <w:pPr>
        <w:keepNext w:val="0"/>
        <w:keepLines w:val="0"/>
        <w:pageBreakBefore w:val="0"/>
        <w:widowControl w:val="0"/>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color w:val="auto"/>
          <w:sz w:val="24"/>
          <w:szCs w:val="24"/>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1、交货、安装地点：在采购人指定地点安装、调试。</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2、合同履行期限：合同签订生效之日起 60 日内供货安装调试完毕并交付使用。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成交供应商所提供的货物和附属售后服务性能不符合合同规定标准的，采购人有权拒收；由此产生的一切经济损失由成交供应商承担。</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3、付款方式：合同签订生效后，所有设备安装调试完毕且全部验收合格后，支付至合同金额的 97%。 剩余3%一年后不计息付清。以上付款时间均在收到发票后 10 个工作日内完成支付。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4、货物要求</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4.1.必须是厂商原装全新未使用的，完全符合国家相关标准、行业标准、地方标准以及采购文件和合同约定的质量、规格和性能要求，且在中国境内可依常规安全合法使用。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4.2.投标人应保证采购人在中华人民共和国使用该货物和相关服务的任何一部分时，免受第三方提出的侵犯其专利权、商标权或工业设计权的起诉。</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5、项目验收</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5.1.货物运抵采购人指定地点后，由采购人和成交供应商共同对到货货物的数量、型号、外观、包装质量等进行检查。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5.2.货物检查完成以后，如无质量问题，由采购单位组织相关人员在 7 个工作日内共同对货物进行验收(如需要可聘请第三方验收），并提供验收报告。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5.3.交付验收标准：依次序对照适用标准为：①符合中华人民共和国国家安全质量标准、环保标准或行业标准；②符合招标承诺中采购人认可的合理最佳配置、参数及各项要求；③ 货物来源国家官方标准。上述标准必须是有关官方机构发布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的最新版本的标准。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5.4.成交供应商须为验收提供必需的设备、工具及其他便利条件。</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5.5.在验收过程中发现数量不足或有质量等问题，成交供应商应负责按照采购人的要求采取补足、更换或退货等措施妥善处理，由此造成的一切损失由成交供应商自行承担。</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6.对于不合格的货物，成交供应商必须在 5 个日历日内及时完成更换，并保证验收合格。5 天内不能更换的或更换后验收不合格，按逾期交货处理。由此产生的费用由成交供应商承担。</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7.采购人有权随机抽取部分核心设备送至有资质的第三方检测机构检测，送检费用由中标单位支付。</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8.质保期及售后服务要求：</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8.1.所有设备整体质保一年，自验收合格之日起计算。（技术需求有特殊约定的，按约定的执行）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8.2.质保期内：若货物出现任何质量问题，包括但不限于材料缺陷、工艺瑕疵等，供应商应免费提供维修服务和更换有缺 陷的零部件。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8.3.质保期内的维修与更换：一旦接到采购人的质量问题通知，供应商需在 2 小时内作出实质性响应，并在 12 小时内到达现场。对于可现场维修的问题，应在到达现场后及时组织修复；对于无法现场修复的，需提供同等功能的备用货物，确保采购人的设备正常使用不受影响，完成维修并及时送回。若设备存在严重质量问题或经多次维修仍无法正常使用，供应商应负责免费更换全新的、符合要求的货物。人为因素，自然因素（如火灾、地震等）造成的故障除外。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8.4.技术支持：在质保期内，供应商应免费为采购人提供技术咨询、操作培训等服务。针对采购人在使用货物过程中遇到 的技术问题，应及时给予远程或现场指导，确保采购人能够正确、安全地使用货物。并按照国家或行业标准定期对设备维护保养。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8.5.质保期外：质保期结束后，供应商仍需提供维修服务。对于采购人提出的维修请求，应在 2 小时内响应，并在 24 小时内到达现场。维修费用按照成本价收取，应在维修前向采购人提供详细的费用清单，包括零部件费用、人工费用等，经采购人确认后方可进行维修。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8.6.备品备件供应：供应商需保证在货物使用寿命期内，持续为采购人提供货物所需的原装备品备件。</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9、逾期交付赔偿费</w:t>
      </w:r>
    </w:p>
    <w:p>
      <w:r>
        <w:rPr>
          <w:rFonts w:hint="eastAsia" w:asciiTheme="minorEastAsia" w:hAnsiTheme="minorEastAsia" w:eastAsiaTheme="minorEastAsia" w:cstheme="minorEastAsia"/>
          <w:color w:val="auto"/>
          <w:sz w:val="24"/>
          <w:szCs w:val="24"/>
          <w:highlight w:val="none"/>
          <w:lang w:val="en-US" w:eastAsia="zh-CN"/>
        </w:rPr>
        <w:t>如果成交供应商没有按照合同规定或采购人同意延长的时间交货，每延期一天，按合同总金额的 1％交付违约金，但违约赔偿费的最高限额为合同总金额的 10％。如果成交供应商在达到最高限额后仍不能交付的，因此产生的一切经济损失由成交供应商承担。如果成交供应商没有按照合同规定或采购人同意延长的时间交货，每延期一天，按合同总金额的 1％交付违约金，但违约赔偿费的最高限额为合同总金额的 10％。如果成交供应商在达到最高限额后仍不能交付的，因此产生的一切经济损失由成交供应商承担，并采购人上报给监管部门由监管部门处理。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东文宋体">
    <w:altName w:val="宋体"/>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ntT3MVAgAAFQQAAA4AAAAAAAAA&#10;AQAgAAAAHwEAAGRycy9lMm9Eb2MueG1sUEsFBgAAAAAGAAYAWQEAAKY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641270A"/>
    <w:multiLevelType w:val="singleLevel"/>
    <w:tmpl w:val="D641270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AA04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semiHidden/>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next w:val="4"/>
    <w:unhideWhenUsed/>
    <w:qFormat/>
    <w:uiPriority w:val="99"/>
    <w:pPr>
      <w:spacing w:after="120"/>
      <w:ind w:left="420" w:leftChars="200"/>
    </w:pPr>
    <w:rPr>
      <w:rFonts w:eastAsia="微软雅黑"/>
      <w:kern w:val="0"/>
      <w:sz w:val="24"/>
      <w:szCs w:val="20"/>
    </w:rPr>
  </w:style>
  <w:style w:type="paragraph" w:styleId="4">
    <w:name w:val="envelope return"/>
    <w:basedOn w:val="1"/>
    <w:qFormat/>
    <w:uiPriority w:val="0"/>
    <w:pPr>
      <w:snapToGrid w:val="0"/>
    </w:pPr>
    <w:rPr>
      <w:rFonts w:ascii="Arial" w:hAnsi="Arial"/>
    </w:rPr>
  </w:style>
  <w:style w:type="paragraph" w:styleId="5">
    <w:name w:val="Body Text"/>
    <w:basedOn w:val="1"/>
    <w:next w:val="6"/>
    <w:qFormat/>
    <w:uiPriority w:val="0"/>
    <w:rPr>
      <w:rFonts w:ascii="仿宋" w:hAnsi="仿宋" w:eastAsia="仿宋" w:cs="仿宋"/>
      <w:sz w:val="30"/>
      <w:szCs w:val="30"/>
    </w:rPr>
  </w:style>
  <w:style w:type="paragraph" w:styleId="6">
    <w:name w:val="Body Text First Indent"/>
    <w:basedOn w:val="5"/>
    <w:qFormat/>
    <w:uiPriority w:val="0"/>
    <w:pPr>
      <w:ind w:firstLine="420" w:firstLineChars="100"/>
    </w:pPr>
  </w:style>
  <w:style w:type="paragraph" w:styleId="7">
    <w:name w:val="footer"/>
    <w:basedOn w:val="1"/>
    <w:qFormat/>
    <w:uiPriority w:val="0"/>
    <w:pPr>
      <w:tabs>
        <w:tab w:val="center" w:pos="4153"/>
        <w:tab w:val="right" w:pos="8306"/>
      </w:tabs>
    </w:pPr>
    <w:rPr>
      <w:sz w:val="18"/>
    </w:rPr>
  </w:style>
  <w:style w:type="table" w:customStyle="1" w:styleId="10">
    <w:name w:val="Table Normal"/>
    <w:semiHidden/>
    <w:unhideWhenUsed/>
    <w:qFormat/>
    <w:uiPriority w:val="0"/>
    <w:tblPr>
      <w:tblLayout w:type="fixed"/>
      <w:tblCellMar>
        <w:top w:w="0" w:type="dxa"/>
        <w:left w:w="0" w:type="dxa"/>
        <w:bottom w:w="0" w:type="dxa"/>
        <w:right w:w="0" w:type="dxa"/>
      </w:tblCellMar>
    </w:tblPr>
  </w:style>
  <w:style w:type="paragraph" w:customStyle="1" w:styleId="11">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2026-05-22T09:02:20Z</dcterms:created>
  <dc:creator>Administrator</dc:creator>
  <cp:lastModifiedBy>Administrator</cp:lastModifiedBy>
  <dcterms:modified xsi:type="dcterms:W3CDTF">2026-05-22T09:02:24Z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