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713245">
      <w:pPr>
        <w:keepNext w:val="0"/>
        <w:keepLines w:val="0"/>
        <w:pageBreakBefore w:val="0"/>
        <w:widowControl w:val="0"/>
        <w:kinsoku/>
        <w:wordWrap/>
        <w:overflowPunct w:val="0"/>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0" w:name="_Toc31615"/>
      <w:r>
        <w:rPr>
          <w:rFonts w:ascii="宋体" w:hAnsi="宋体" w:eastAsia="宋体" w:cs="宋体"/>
          <w:color w:val="auto"/>
          <w:spacing w:val="9"/>
          <w:sz w:val="31"/>
          <w:szCs w:val="31"/>
          <w:highlight w:val="none"/>
          <w:lang w:eastAsia="zh-CN"/>
        </w:rPr>
        <w:t>第五章  采购需求</w:t>
      </w:r>
      <w:bookmarkEnd w:id="0"/>
    </w:p>
    <w:p w14:paraId="3BC04588">
      <w:pPr>
        <w:keepNext w:val="0"/>
        <w:keepLines w:val="0"/>
        <w:pageBreakBefore w:val="0"/>
        <w:widowControl w:val="0"/>
        <w:kinsoku/>
        <w:wordWrap/>
        <w:overflowPunct w:val="0"/>
        <w:topLinePunct w:val="0"/>
        <w:bidi w:val="0"/>
        <w:spacing w:before="78" w:line="220" w:lineRule="auto"/>
        <w:jc w:val="both"/>
        <w:outlineLvl w:val="9"/>
        <w:rPr>
          <w:rFonts w:ascii="宋体" w:hAnsi="宋体" w:eastAsia="宋体" w:cs="宋体"/>
          <w:color w:val="auto"/>
          <w:spacing w:val="-2"/>
          <w:sz w:val="24"/>
          <w:szCs w:val="24"/>
          <w:highlight w:val="none"/>
        </w:rPr>
      </w:pPr>
      <w:bookmarkStart w:id="1" w:name="bookmark82"/>
      <w:bookmarkEnd w:id="1"/>
    </w:p>
    <w:p w14:paraId="5371C661">
      <w:pPr>
        <w:keepNext w:val="0"/>
        <w:keepLines w:val="0"/>
        <w:pageBreakBefore w:val="0"/>
        <w:widowControl w:val="0"/>
        <w:kinsoku/>
        <w:wordWrap/>
        <w:overflowPunct w:val="0"/>
        <w:topLinePunct w:val="0"/>
        <w:bidi w:val="0"/>
        <w:spacing w:before="78" w:line="220" w:lineRule="auto"/>
        <w:jc w:val="both"/>
        <w:outlineLvl w:val="1"/>
        <w:rPr>
          <w:color w:val="auto"/>
          <w:highlight w:val="none"/>
        </w:rPr>
      </w:pPr>
      <w:r>
        <w:rPr>
          <w:rFonts w:ascii="宋体" w:hAnsi="宋体" w:eastAsia="宋体" w:cs="宋体"/>
          <w:color w:val="auto"/>
          <w:spacing w:val="-2"/>
          <w:sz w:val="24"/>
          <w:szCs w:val="24"/>
          <w:highlight w:val="none"/>
        </w:rPr>
        <w:t>一、</w:t>
      </w:r>
      <w:r>
        <w:rPr>
          <w:rFonts w:hint="eastAsia" w:ascii="宋体" w:hAnsi="宋体" w:eastAsia="宋体" w:cs="宋体"/>
          <w:color w:val="auto"/>
          <w:spacing w:val="-2"/>
          <w:sz w:val="24"/>
          <w:szCs w:val="24"/>
          <w:highlight w:val="none"/>
          <w:lang w:val="en-US" w:eastAsia="zh-CN"/>
        </w:rPr>
        <w:t>采购</w:t>
      </w:r>
      <w:r>
        <w:rPr>
          <w:rFonts w:ascii="宋体" w:hAnsi="宋体" w:eastAsia="宋体" w:cs="宋体"/>
          <w:color w:val="auto"/>
          <w:spacing w:val="-2"/>
          <w:sz w:val="24"/>
          <w:szCs w:val="24"/>
          <w:highlight w:val="none"/>
        </w:rPr>
        <w:t>需求表</w:t>
      </w:r>
    </w:p>
    <w:tbl>
      <w:tblPr>
        <w:tblStyle w:val="10"/>
        <w:tblW w:w="9290" w:type="dxa"/>
        <w:tblInd w:w="-1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00"/>
        <w:gridCol w:w="6290"/>
      </w:tblGrid>
      <w:tr w14:paraId="2875B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4" w:hRule="atLeast"/>
        </w:trPr>
        <w:tc>
          <w:tcPr>
            <w:tcW w:w="3000" w:type="dxa"/>
            <w:tcBorders>
              <w:top w:val="single" w:color="auto" w:sz="12" w:space="0"/>
              <w:left w:val="single" w:color="auto" w:sz="12" w:space="0"/>
            </w:tcBorders>
            <w:noWrap w:val="0"/>
            <w:vAlign w:val="top"/>
          </w:tcPr>
          <w:p w14:paraId="5D0A986D">
            <w:pPr>
              <w:keepNext w:val="0"/>
              <w:keepLines w:val="0"/>
              <w:pageBreakBefore w:val="0"/>
              <w:widowControl w:val="0"/>
              <w:kinsoku/>
              <w:wordWrap/>
              <w:overflowPunct w:val="0"/>
              <w:topLinePunct w:val="0"/>
              <w:bidi w:val="0"/>
              <w:spacing w:line="360" w:lineRule="auto"/>
              <w:jc w:val="both"/>
              <w:rPr>
                <w:rFonts w:hint="eastAsia" w:ascii="宋体"/>
                <w:sz w:val="24"/>
                <w:szCs w:val="24"/>
              </w:rPr>
            </w:pPr>
            <w:bookmarkStart w:id="3" w:name="_GoBack"/>
            <w:r>
              <w:rPr>
                <w:rFonts w:hint="eastAsia" w:ascii="宋体"/>
                <w:sz w:val="24"/>
                <w:szCs w:val="24"/>
              </w:rPr>
              <mc:AlternateContent>
                <mc:Choice Requires="wpg">
                  <w:drawing>
                    <wp:anchor distT="0" distB="0" distL="114300" distR="114300" simplePos="0" relativeHeight="251659264" behindDoc="0" locked="0" layoutInCell="1" allowOverlap="1">
                      <wp:simplePos x="0" y="0"/>
                      <wp:positionH relativeFrom="column">
                        <wp:posOffset>635</wp:posOffset>
                      </wp:positionH>
                      <wp:positionV relativeFrom="paragraph">
                        <wp:posOffset>38735</wp:posOffset>
                      </wp:positionV>
                      <wp:extent cx="1809115" cy="1337310"/>
                      <wp:effectExtent l="2540" t="3810" r="17145" b="11430"/>
                      <wp:wrapNone/>
                      <wp:docPr id="10" name="组合 10"/>
                      <wp:cNvGraphicFramePr/>
                      <a:graphic xmlns:a="http://schemas.openxmlformats.org/drawingml/2006/main">
                        <a:graphicData uri="http://schemas.microsoft.com/office/word/2010/wordprocessingGroup">
                          <wpg:wgp>
                            <wpg:cNvGrpSpPr/>
                            <wpg:grpSpPr>
                              <a:xfrm>
                                <a:off x="0" y="0"/>
                                <a:ext cx="1809115" cy="1337310"/>
                                <a:chOff x="0" y="0"/>
                                <a:chExt cx="2805" cy="2330"/>
                              </a:xfrm>
                              <a:effectLst/>
                            </wpg:grpSpPr>
                            <wps:wsp>
                              <wps:cNvPr id="1" name="直接连接符 1"/>
                              <wps:cNvCnPr/>
                              <wps:spPr>
                                <a:xfrm>
                                  <a:off x="0" y="0"/>
                                  <a:ext cx="2805" cy="2330"/>
                                </a:xfrm>
                                <a:prstGeom prst="line">
                                  <a:avLst/>
                                </a:prstGeom>
                                <a:ln w="6350" cap="flat" cmpd="sng">
                                  <a:solidFill>
                                    <a:srgbClr val="000000"/>
                                  </a:solidFill>
                                  <a:prstDash val="solid"/>
                                  <a:round/>
                                  <a:headEnd type="none" w="med" len="med"/>
                                  <a:tailEnd type="none" w="med" len="med"/>
                                </a:ln>
                                <a:effectLst/>
                              </wps:spPr>
                              <wps:bodyPr upright="1"/>
                            </wps:wsp>
                            <wps:wsp>
                              <wps:cNvPr id="2" name="文本框 2"/>
                              <wps:cNvSpPr txBox="1"/>
                              <wps:spPr>
                                <a:xfrm>
                                  <a:off x="1053" y="142"/>
                                  <a:ext cx="300" cy="300"/>
                                </a:xfrm>
                                <a:prstGeom prst="rect">
                                  <a:avLst/>
                                </a:prstGeom>
                                <a:noFill/>
                                <a:ln>
                                  <a:noFill/>
                                </a:ln>
                                <a:effectLst/>
                              </wps:spPr>
                              <wps:txbx>
                                <w:txbxContent>
                                  <w:p w14:paraId="679719F2">
                                    <w:pPr>
                                      <w:bidi w:val="0"/>
                                      <w:snapToGrid w:val="0"/>
                                      <w:rPr>
                                        <w:rFonts w:hint="eastAsia" w:eastAsia="宋体"/>
                                        <w:sz w:val="24"/>
                                        <w:lang w:val="en-US" w:eastAsia="zh-CN"/>
                                      </w:rPr>
                                    </w:pPr>
                                    <w:r>
                                      <w:rPr>
                                        <w:rFonts w:hint="eastAsia"/>
                                        <w:sz w:val="24"/>
                                        <w:highlight w:val="white"/>
                                        <w:lang w:val="en-US" w:eastAsia="zh-CN"/>
                                      </w:rPr>
                                      <w:t>项项项</w:t>
                                    </w:r>
                                  </w:p>
                                </w:txbxContent>
                              </wps:txbx>
                              <wps:bodyPr lIns="0" tIns="0" rIns="0" bIns="0" upright="1"/>
                            </wps:wsp>
                            <wps:wsp>
                              <wps:cNvPr id="5" name="文本框 5"/>
                              <wps:cNvSpPr txBox="1"/>
                              <wps:spPr>
                                <a:xfrm>
                                  <a:off x="1468" y="487"/>
                                  <a:ext cx="300" cy="300"/>
                                </a:xfrm>
                                <a:prstGeom prst="rect">
                                  <a:avLst/>
                                </a:prstGeom>
                                <a:noFill/>
                                <a:ln>
                                  <a:noFill/>
                                </a:ln>
                                <a:effectLst/>
                              </wps:spPr>
                              <wps:txbx>
                                <w:txbxContent>
                                  <w:p w14:paraId="0549BF37">
                                    <w:pPr>
                                      <w:bidi w:val="0"/>
                                      <w:snapToGrid w:val="0"/>
                                      <w:rPr>
                                        <w:rFonts w:hint="eastAsia" w:eastAsia="宋体"/>
                                        <w:sz w:val="24"/>
                                        <w:lang w:val="en-US" w:eastAsia="zh-CN"/>
                                      </w:rPr>
                                    </w:pPr>
                                    <w:r>
                                      <w:rPr>
                                        <w:rFonts w:hint="eastAsia"/>
                                        <w:sz w:val="24"/>
                                        <w:highlight w:val="white"/>
                                        <w:lang w:val="en-US" w:eastAsia="zh-CN"/>
                                      </w:rPr>
                                      <w:t>目</w:t>
                                    </w:r>
                                  </w:p>
                                </w:txbxContent>
                              </wps:txbx>
                              <wps:bodyPr lIns="0" tIns="0" rIns="0" bIns="0" upright="1"/>
                            </wps:wsp>
                            <wps:wsp>
                              <wps:cNvPr id="7" name="文本框 6"/>
                              <wps:cNvSpPr txBox="1"/>
                              <wps:spPr>
                                <a:xfrm>
                                  <a:off x="1883" y="831"/>
                                  <a:ext cx="300" cy="300"/>
                                </a:xfrm>
                                <a:prstGeom prst="rect">
                                  <a:avLst/>
                                </a:prstGeom>
                                <a:noFill/>
                                <a:ln>
                                  <a:noFill/>
                                </a:ln>
                                <a:effectLst/>
                              </wps:spPr>
                              <wps:txbx>
                                <w:txbxContent>
                                  <w:p w14:paraId="037F6643">
                                    <w:pPr>
                                      <w:bidi w:val="0"/>
                                      <w:snapToGrid w:val="0"/>
                                      <w:rPr>
                                        <w:sz w:val="24"/>
                                      </w:rPr>
                                    </w:pPr>
                                    <w:r>
                                      <w:rPr>
                                        <w:rFonts w:hint="eastAsia"/>
                                        <w:sz w:val="24"/>
                                        <w:highlight w:val="white"/>
                                      </w:rPr>
                                      <w:t>名</w:t>
                                    </w:r>
                                  </w:p>
                                </w:txbxContent>
                              </wps:txbx>
                              <wps:bodyPr lIns="0" tIns="0" rIns="0" bIns="0" upright="1"/>
                            </wps:wsp>
                            <wps:wsp>
                              <wps:cNvPr id="8" name="文本框 7"/>
                              <wps:cNvSpPr txBox="1"/>
                              <wps:spPr>
                                <a:xfrm>
                                  <a:off x="2298" y="1176"/>
                                  <a:ext cx="300" cy="300"/>
                                </a:xfrm>
                                <a:prstGeom prst="rect">
                                  <a:avLst/>
                                </a:prstGeom>
                                <a:noFill/>
                                <a:ln>
                                  <a:noFill/>
                                </a:ln>
                                <a:effectLst/>
                              </wps:spPr>
                              <wps:txbx>
                                <w:txbxContent>
                                  <w:p w14:paraId="537A9625">
                                    <w:pPr>
                                      <w:bidi w:val="0"/>
                                      <w:snapToGrid w:val="0"/>
                                      <w:rPr>
                                        <w:sz w:val="24"/>
                                      </w:rPr>
                                    </w:pPr>
                                    <w:r>
                                      <w:rPr>
                                        <w:rFonts w:hint="eastAsia"/>
                                        <w:sz w:val="24"/>
                                        <w:highlight w:val="white"/>
                                      </w:rPr>
                                      <w:t>称</w:t>
                                    </w:r>
                                  </w:p>
                                </w:txbxContent>
                              </wps:txbx>
                              <wps:bodyPr lIns="0" tIns="0" rIns="0" bIns="0" upright="1"/>
                            </wps:wsp>
                            <wps:wsp>
                              <wps:cNvPr id="9" name="文本框 8"/>
                              <wps:cNvSpPr txBox="1"/>
                              <wps:spPr>
                                <a:xfrm>
                                  <a:off x="424" y="1004"/>
                                  <a:ext cx="300" cy="300"/>
                                </a:xfrm>
                                <a:prstGeom prst="rect">
                                  <a:avLst/>
                                </a:prstGeom>
                                <a:noFill/>
                                <a:ln>
                                  <a:noFill/>
                                </a:ln>
                                <a:effectLst/>
                              </wps:spPr>
                              <wps:txbx>
                                <w:txbxContent>
                                  <w:p w14:paraId="1A04A68D">
                                    <w:pPr>
                                      <w:bidi w:val="0"/>
                                      <w:snapToGrid w:val="0"/>
                                      <w:rPr>
                                        <w:sz w:val="24"/>
                                      </w:rPr>
                                    </w:pPr>
                                    <w:r>
                                      <w:rPr>
                                        <w:rFonts w:hint="eastAsia"/>
                                        <w:sz w:val="24"/>
                                        <w:highlight w:val="white"/>
                                      </w:rPr>
                                      <w:t>内</w:t>
                                    </w:r>
                                  </w:p>
                                </w:txbxContent>
                              </wps:txbx>
                              <wps:bodyPr lIns="0" tIns="0" rIns="0" bIns="0" upright="1"/>
                            </wps:wsp>
                            <wps:wsp>
                              <wps:cNvPr id="11" name="文本框 9"/>
                              <wps:cNvSpPr txBox="1"/>
                              <wps:spPr>
                                <a:xfrm>
                                  <a:off x="1271" y="1708"/>
                                  <a:ext cx="300" cy="300"/>
                                </a:xfrm>
                                <a:prstGeom prst="rect">
                                  <a:avLst/>
                                </a:prstGeom>
                                <a:noFill/>
                                <a:ln>
                                  <a:noFill/>
                                </a:ln>
                                <a:effectLst/>
                              </wps:spPr>
                              <wps:txbx>
                                <w:txbxContent>
                                  <w:p w14:paraId="7F97536C">
                                    <w:pPr>
                                      <w:bidi w:val="0"/>
                                      <w:snapToGrid w:val="0"/>
                                      <w:rPr>
                                        <w:sz w:val="24"/>
                                      </w:rPr>
                                    </w:pPr>
                                    <w:r>
                                      <w:rPr>
                                        <w:rFonts w:hint="eastAsia"/>
                                        <w:sz w:val="24"/>
                                        <w:highlight w:val="white"/>
                                      </w:rPr>
                                      <w:t>容</w:t>
                                    </w:r>
                                  </w:p>
                                </w:txbxContent>
                              </wps:txbx>
                              <wps:bodyPr lIns="0" tIns="0" rIns="0" bIns="0" upright="1"/>
                            </wps:wsp>
                          </wpg:wgp>
                        </a:graphicData>
                      </a:graphic>
                    </wp:anchor>
                  </w:drawing>
                </mc:Choice>
                <mc:Fallback>
                  <w:pict>
                    <v:group id="_x0000_s1026" o:spid="_x0000_s1026" o:spt="203" style="position:absolute;left:0pt;margin-left:0.05pt;margin-top:3.05pt;height:105.3pt;width:142.45pt;z-index:251659264;mso-width-relative:page;mso-height-relative:page;" coordsize="2805,2330" o:gfxdata="UEsDBAoAAAAAAIdO4kAAAAAAAAAAAAAAAAAEAAAAZHJzL1BLAwQUAAAACACHTuJAKqGp4tYAAAAG&#10;AQAADwAAAGRycy9kb3ducmV2LnhtbE2PQUvDQBCF74L/YRnBm92k0lhiNkWKeiqCrSDeptlpEpqd&#10;Ddlt0v57pyc9zTze8OZ7xersOjXSEFrPBtJZAoq48rbl2sDX7u1hCSpEZIudZzJwoQCr8vamwNz6&#10;iT9p3MZaSQiHHA00Mfa51qFqyGGY+Z5YvIMfHEaRQ63tgJOEu07PkyTTDluWDw32tG6oOm5PzsD7&#10;hNPLY/o6bo6H9eVnt/j43qRkzP1dmjyDinSOf8dwxRd0KIVp709sg+quWkUDmQwx58uFFNvLkmZP&#10;oMtC/8cvfwFQSwMEFAAAAAgAh07iQCTN2AJRAwAA+g4AAA4AAABkcnMvZTJvRG9jLnhtbO1Xy24T&#10;MRTdI/EP1uzpvJJmMmpSiaatkBBUKnyAM+N5SDO2ZTuvPQJWiBUbEBILWHXJjgVfQ8pncO2ZSUoC&#10;VRoqkFCymNzx4/rec+6xxweH07JAYyJkzmjPcvccCxEasTinac96+uTkXmAhqTCNccEo6VkzIq3D&#10;/t07BxMeEo9lrIiJQOCEynDCe1amFA9tW0YZKbHcY5xQ6EyYKLGCV5HascAT8F4Wtuc4+/aEiZgL&#10;FhEpoXVQdVq1R7GJQ5YkeUQGLBqVhKrKqyAFVpCSzHIurb6JNklIpB4niSQKFT0LMlXmCYuAPdRP&#10;u3+Aw1RgnuVRHQLeJISVnEqcU1h04WqAFUYjka+5KvNIMMkStRex0q4SMYhAFq6zgs2pYCNucknD&#10;ScoXoANRK6hv7TZ6ND4TKI+hEgASiktg/PLLs2+vXyJoAHQmPA1h0Kng5/xM1A1p9aYTniai1P+Q&#10;CpoaXGcLXMlUoQga3cDpum7bQhH0ub7f8SvfOIwyoGdtXpQd1zO9wKmneb5v4rGXSxLD70OpICpb&#10;x7kIa8KhNuUSMPlngJ1nmBPDg9RYNIAt8Hr7ef7q4/ev7+F5efEJuRVuZuwRrUGToQT8NkXs2ry5&#10;kOqUsBJpo2cVOdXB4RCPayxw2AzRzQVFk56177eB4AiDYhNQCpglB9YlTc1cyYo8PsmLQs+QIh0e&#10;FQKNsVaN+emUAPqfhulFBlhm1TjTpYfhEMqWxsbKCI6PaYzUjENhUdhQLB1MSWILFQT2H22ZkQrn&#10;xSYjIYiC6kVW2G/w1dQPWTwDkkZc5GkGCBlCoEJMUeiS/gvV4TXVMX/zYv7uYv7hOfKu1IUWE1LT&#10;+0zLo2n/TYW4Ttu3kJZOy7iA3Gt5+I7mFHq0UTHU6LGpgLpIBOyE1xUJZZp8w0QF76JhE8DVdDiF&#10;uVewLx5QEB1EpxpDNMawMf4pP7CtVLvdkp92wwNo/Eb8tPbhzAQWWkFHu9jxc6Pj6Ne7a2edn/1t&#10;+QmCSj+Bb6S24+cW+IGKX9WPKX69B9xQP57XrfTjuh3D8Y6gWyCou05QsKWAWl6rOn8cp7Xb4PQt&#10;5xb4cd11grpbEuR6HfCmvxA6jiH5f1eQ+dyHK5H5KK2vb/rOdfXdXAqWV9b+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CqhqeLWAAAABgEAAA8AAAAAAAAAAQAgAAAAIgAAAGRycy9kb3ducmV2Lnht&#10;bFBLAQIUABQAAAAIAIdO4kAkzdgCUQMAAPoOAAAOAAAAAAAAAAEAIAAAACUBAABkcnMvZTJvRG9j&#10;LnhtbFBLBQYAAAAABgAGAFkBAADoBgAAAAA=&#10;">
                      <o:lock v:ext="edit" aspectratio="f"/>
                      <v:line id="_x0000_s1026" o:spid="_x0000_s1026" o:spt="20" style="position:absolute;left:0;top:0;height:2330;width:2805;" filled="f" stroked="t" coordsize="21600,21600" o:gfxdata="UEsDBAoAAAAAAIdO4kAAAAAAAAAAAAAAAAAEAAAAZHJzL1BLAwQUAAAACACHTuJA2wcIfbgAAADa&#10;AAAADwAAAGRycy9kb3ducmV2LnhtbEVPTUsDMRC9C/0PYQrebLLCiqxNexC29OLBKp6Hzbi7uJks&#10;yXRT/fWmIHgaHu9ztvuLn9RCMY2BLVQbA4q4C27k3sL7W3v3CCoJssMpMFn4pgT73epmi40LmV9p&#10;OUmvSginBi0MInOjdeoG8pg2YSYu3GeIHqXA2GsXMZdwP+l7Yx60x5FLw4AzPQ/UfZ3O3gJX8jHl&#10;LHmJP/Whrur2aF5aa2/XlXkCJXSRf/Gf++jKfLi+cr169w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2wcIfbgAAADaAAAA&#10;DwAAAAAAAAABACAAAAAiAAAAZHJzL2Rvd25yZXYueG1sUEsBAhQAFAAAAAgAh07iQDMvBZ47AAAA&#10;OQAAABAAAAAAAAAAAQAgAAAABwEAAGRycy9zaGFwZXhtbC54bWxQSwUGAAAAAAYABgBbAQAAsQMA&#10;AAAA&#10;">
                        <v:path arrowok="t"/>
                        <v:fill on="f" focussize="0,0"/>
                        <v:stroke weight="0.5pt" joinstyle="round"/>
                        <v:imagedata o:title=""/>
                        <o:lock v:ext="edit" aspectratio="f"/>
                      </v:line>
                      <v:shape id="_x0000_s1026" o:spid="_x0000_s1026" o:spt="202" type="#_x0000_t202" style="position:absolute;left:1053;top:142;height:300;width:300;" filled="f" stroked="f" coordsize="21600,21600" o:gfxdata="UEsDBAoAAAAAAIdO4kAAAAAAAAAAAAAAAAAEAAAAZHJzL1BLAwQUAAAACACHTuJAkaVdCL0AAADa&#10;AAAADwAAAGRycy9kb3ducmV2LnhtbEWPT2sCMRTE7wW/Q3iCt26iB9GtUUpREARx3R56fN08d4Ob&#10;l3UT//TbN4WCx2FmfsMsVg/Xihv1wXrWMM4UCOLKG8u1hs9y8zoDESKywdYzafihAKvl4GWBufF3&#10;Luh2jLVIEA45amhi7HIpQ9WQw5D5jjh5J987jEn2tTQ93hPctXKi1FQ6tJwWGuzoo6HqfLw6De9f&#10;XKztZf99KE6FLcu54t30rPVoOFZvICI94jP8394aDRP4u5JugFz+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pV0IvQAA&#10;ANo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14:paraId="679719F2">
                              <w:pPr>
                                <w:bidi w:val="0"/>
                                <w:snapToGrid w:val="0"/>
                                <w:rPr>
                                  <w:rFonts w:hint="eastAsia" w:eastAsia="宋体"/>
                                  <w:sz w:val="24"/>
                                  <w:lang w:val="en-US" w:eastAsia="zh-CN"/>
                                </w:rPr>
                              </w:pPr>
                              <w:r>
                                <w:rPr>
                                  <w:rFonts w:hint="eastAsia"/>
                                  <w:sz w:val="24"/>
                                  <w:highlight w:val="white"/>
                                  <w:lang w:val="en-US" w:eastAsia="zh-CN"/>
                                </w:rPr>
                                <w:t>项项项</w:t>
                              </w:r>
                            </w:p>
                          </w:txbxContent>
                        </v:textbox>
                      </v:shape>
                      <v:shape id="_x0000_s1026" o:spid="_x0000_s1026" o:spt="202" type="#_x0000_t202" style="position:absolute;left:1468;top:487;height:300;width:300;" filled="f" stroked="f" coordsize="21600,21600" o:gfxdata="UEsDBAoAAAAAAIdO4kAAAAAAAAAAAAAAAAAEAAAAZHJzL1BLAwQUAAAACACHTuJAHkzFfL0AAADa&#10;AAAADwAAAGRycy9kb3ducmV2LnhtbEWPQWsCMRSE70L/Q3gFb5pYUHRrXEqxUChI1+2hx9fNczfs&#10;5mXdpGr/vSkIHoeZ+YZZ5xfXiRMNwXrWMJsqEMSVN5ZrDV/l22QJIkRkg51n0vBHAfLNw2iNmfFn&#10;Lui0j7VIEA4Zamhi7DMpQ9WQwzD1PXHyDn5wGJMcamkGPCe46+STUgvp0HJaaLCn14aqdv/rNLx8&#10;c7G1x93PZ3EobFmuFH8sWq3HjzP1DCLSJd7Dt/a70TCH/yvpBsjN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TMV8vQAA&#10;ANo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14:paraId="0549BF37">
                              <w:pPr>
                                <w:bidi w:val="0"/>
                                <w:snapToGrid w:val="0"/>
                                <w:rPr>
                                  <w:rFonts w:hint="eastAsia" w:eastAsia="宋体"/>
                                  <w:sz w:val="24"/>
                                  <w:lang w:val="en-US" w:eastAsia="zh-CN"/>
                                </w:rPr>
                              </w:pPr>
                              <w:r>
                                <w:rPr>
                                  <w:rFonts w:hint="eastAsia"/>
                                  <w:sz w:val="24"/>
                                  <w:highlight w:val="white"/>
                                  <w:lang w:val="en-US" w:eastAsia="zh-CN"/>
                                </w:rPr>
                                <w:t>目</w:t>
                              </w:r>
                            </w:p>
                          </w:txbxContent>
                        </v:textbox>
                      </v:shape>
                      <v:shape id="文本框 6" o:spid="_x0000_s1026" o:spt="202" type="#_x0000_t202" style="position:absolute;left:1883;top:831;height:300;width:300;" filled="f" stroked="f" coordsize="21600,21600" o:gfxdata="UEsDBAoAAAAAAIdO4kAAAAAAAAAAAAAAAAAEAAAAZHJzL1BLAwQUAAAACACHTuJAgdL+kL4AAADa&#10;AAAADwAAAGRycy9kb3ducmV2LnhtbEWPzWrDMBCE74W8g9hAb42UHtLWiRxCaKFQCHGcQ44ba22L&#10;WCvXUvPz9lWg0OMwM98wi+XVdeJMQ7CeNUwnCgRx5Y3lRsO+/Hh6BREissHOM2m4UYBlPnpYYGb8&#10;hQs672IjEoRDhhraGPtMylC15DBMfE+cvNoPDmOSQyPNgJcEd518VmomHVpOCy32tG6pOu1+nIbV&#10;gYt3+705bou6sGX5pvhrdtL6cTxVcxCRrvE//Nf+NBpe4H4l3QCZ/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dL+kL4A&#10;AADaAAAADwAAAAAAAAABACAAAAAiAAAAZHJzL2Rvd25yZXYueG1sUEsBAhQAFAAAAAgAh07iQDMv&#10;BZ47AAAAOQAAABAAAAAAAAAAAQAgAAAADQEAAGRycy9zaGFwZXhtbC54bWxQSwUGAAAAAAYABgBb&#10;AQAAtwMAAAAA&#10;">
                        <v:path/>
                        <v:fill on="f" focussize="0,0"/>
                        <v:stroke on="f"/>
                        <v:imagedata o:title=""/>
                        <o:lock v:ext="edit" aspectratio="f"/>
                        <v:textbox inset="0mm,0mm,0mm,0mm">
                          <w:txbxContent>
                            <w:p w14:paraId="037F6643">
                              <w:pPr>
                                <w:bidi w:val="0"/>
                                <w:snapToGrid w:val="0"/>
                                <w:rPr>
                                  <w:sz w:val="24"/>
                                </w:rPr>
                              </w:pPr>
                              <w:r>
                                <w:rPr>
                                  <w:rFonts w:hint="eastAsia"/>
                                  <w:sz w:val="24"/>
                                  <w:highlight w:val="white"/>
                                </w:rPr>
                                <w:t>名</w:t>
                              </w:r>
                            </w:p>
                          </w:txbxContent>
                        </v:textbox>
                      </v:shape>
                      <v:shape id="文本框 7" o:spid="_x0000_s1026" o:spt="202" type="#_x0000_t202" style="position:absolute;left:2298;top:1176;height:300;width:300;" filled="f" stroked="f" coordsize="21600,21600" o:gfxdata="UEsDBAoAAAAAAIdO4kAAAAAAAAAAAAAAAAAEAAAAZHJzL1BLAwQUAAAACACHTuJA8E1q4rkAAADa&#10;AAAADwAAAGRycy9kb3ducmV2LnhtbEVPy4rCMBTdC/MP4Q6400QXoh2jiIwwIIi1Llzeaa5tsLnp&#10;NBkff28WgsvDec+Xd9eIK3XBetYwGioQxKU3lisNx2IzmIIIEdlg45k0PCjAcvHRm2Nm/I1zuh5i&#10;JVIIhww11DG2mZShrMlhGPqWOHFn3zmMCXaVNB3eUrhr5FipiXRoOTXU2NK6pvJy+HcaVifOv+3f&#10;7nefn3NbFDPF28lF6/7nSH2BiHSPb/HL/WM0pK3pSroBcvE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BNauK5AAAA2gAA&#10;AA8AAAAAAAAAAQAgAAAAIgAAAGRycy9kb3ducmV2LnhtbFBLAQIUABQAAAAIAIdO4kAzLwWeOwAA&#10;ADkAAAAQAAAAAAAAAAEAIAAAAAgBAABkcnMvc2hhcGV4bWwueG1sUEsFBgAAAAAGAAYAWwEAALID&#10;AAAAAA==&#10;">
                        <v:path/>
                        <v:fill on="f" focussize="0,0"/>
                        <v:stroke on="f"/>
                        <v:imagedata o:title=""/>
                        <o:lock v:ext="edit" aspectratio="f"/>
                        <v:textbox inset="0mm,0mm,0mm,0mm">
                          <w:txbxContent>
                            <w:p w14:paraId="537A9625">
                              <w:pPr>
                                <w:bidi w:val="0"/>
                                <w:snapToGrid w:val="0"/>
                                <w:rPr>
                                  <w:sz w:val="24"/>
                                </w:rPr>
                              </w:pPr>
                              <w:r>
                                <w:rPr>
                                  <w:rFonts w:hint="eastAsia"/>
                                  <w:sz w:val="24"/>
                                  <w:highlight w:val="white"/>
                                </w:rPr>
                                <w:t>称</w:t>
                              </w:r>
                            </w:p>
                          </w:txbxContent>
                        </v:textbox>
                      </v:shape>
                      <v:shape id="文本框 8" o:spid="_x0000_s1026" o:spt="202" type="#_x0000_t202" style="position:absolute;left:424;top:1004;height:300;width:300;" filled="f" stroked="f" coordsize="21600,21600" o:gfxdata="UEsDBAoAAAAAAIdO4kAAAAAAAAAAAAAAAAAEAAAAZHJzL1BLAwQUAAAACACHTuJAnwHPeb0AAADa&#10;AAAADwAAAGRycy9kb3ducmV2LnhtbEWPT2sCMRTE70K/Q3iF3jTRg9TV7CJSoVCQruvB43Pz3A1u&#10;Xrab1D/fvikUehxm5jfMqri7TlxpCNazhulEgSCuvbHcaDhU2/EriBCRDXaeScODAhT502iFmfE3&#10;Lum6j41IEA4Zamhj7DMpQ92SwzDxPXHyzn5wGJMcGmkGvCW46+RMqbl0aDkttNjTpqX6sv92GtZH&#10;Lt/s1+70WZ5LW1ULxR/zi9Yvz1O1BBHpHv/Df+13o2EBv1fSDZD5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Ac95vQAA&#10;ANoAAAAPAAAAAAAAAAEAIAAAACIAAABkcnMvZG93bnJldi54bWxQSwECFAAUAAAACACHTuJAMy8F&#10;njsAAAA5AAAAEAAAAAAAAAABACAAAAAMAQAAZHJzL3NoYXBleG1sLnhtbFBLBQYAAAAABgAGAFsB&#10;AAC2AwAAAAA=&#10;">
                        <v:path/>
                        <v:fill on="f" focussize="0,0"/>
                        <v:stroke on="f"/>
                        <v:imagedata o:title=""/>
                        <o:lock v:ext="edit" aspectratio="f"/>
                        <v:textbox inset="0mm,0mm,0mm,0mm">
                          <w:txbxContent>
                            <w:p w14:paraId="1A04A68D">
                              <w:pPr>
                                <w:bidi w:val="0"/>
                                <w:snapToGrid w:val="0"/>
                                <w:rPr>
                                  <w:sz w:val="24"/>
                                </w:rPr>
                              </w:pPr>
                              <w:r>
                                <w:rPr>
                                  <w:rFonts w:hint="eastAsia"/>
                                  <w:sz w:val="24"/>
                                  <w:highlight w:val="white"/>
                                </w:rPr>
                                <w:t>内</w:t>
                              </w:r>
                            </w:p>
                          </w:txbxContent>
                        </v:textbox>
                      </v:shape>
                      <v:shape id="文本框 9" o:spid="_x0000_s1026" o:spt="202" type="#_x0000_t202" style="position:absolute;left:1271;top:1708;height:300;width:300;" filled="f" stroked="f" coordsize="21600,21600" o:gfxdata="UEsDBAoAAAAAAIdO4kAAAAAAAAAAAAAAAAAEAAAAZHJzL1BLAwQUAAAACACHTuJAZUZUI7sAAADb&#10;AAAADwAAAGRycy9kb3ducmV2LnhtbEVPS2sCMRC+F/wPYQRvNdkexK5GEbFQEMR1PXgcN+NucDPZ&#10;buKj/74pFHqbj+858+XTteJOfbCeNWRjBYK48sZyreFYfrxOQYSIbLD1TBq+KcByMXiZY278gwu6&#10;H2ItUgiHHDU0MXa5lKFqyGEY+444cRffO4wJ9rU0PT5SuGvlm1IT6dByamiwo3VD1fVwcxpWJy42&#10;9mt33heXwpblu+Lt5Kr1aJipGYhIz/gv/nN/mjQ/g99f0gFy8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UZUI7sAAADb&#10;AAAADwAAAAAAAAABACAAAAAiAAAAZHJzL2Rvd25yZXYueG1sUEsBAhQAFAAAAAgAh07iQDMvBZ47&#10;AAAAOQAAABAAAAAAAAAAAQAgAAAACgEAAGRycy9zaGFwZXhtbC54bWxQSwUGAAAAAAYABgBbAQAA&#10;tAMAAAAA&#10;">
                        <v:path/>
                        <v:fill on="f" focussize="0,0"/>
                        <v:stroke on="f"/>
                        <v:imagedata o:title=""/>
                        <o:lock v:ext="edit" aspectratio="f"/>
                        <v:textbox inset="0mm,0mm,0mm,0mm">
                          <w:txbxContent>
                            <w:p w14:paraId="7F97536C">
                              <w:pPr>
                                <w:bidi w:val="0"/>
                                <w:snapToGrid w:val="0"/>
                                <w:rPr>
                                  <w:sz w:val="24"/>
                                </w:rPr>
                              </w:pPr>
                              <w:r>
                                <w:rPr>
                                  <w:rFonts w:hint="eastAsia"/>
                                  <w:sz w:val="24"/>
                                  <w:highlight w:val="white"/>
                                </w:rPr>
                                <w:t>容</w:t>
                              </w:r>
                            </w:p>
                          </w:txbxContent>
                        </v:textbox>
                      </v:shape>
                    </v:group>
                  </w:pict>
                </mc:Fallback>
              </mc:AlternateContent>
            </w:r>
            <w:bookmarkEnd w:id="3"/>
          </w:p>
        </w:tc>
        <w:tc>
          <w:tcPr>
            <w:tcW w:w="6290" w:type="dxa"/>
            <w:tcBorders>
              <w:top w:val="single" w:color="auto" w:sz="12" w:space="0"/>
              <w:right w:val="single" w:color="auto" w:sz="12" w:space="0"/>
            </w:tcBorders>
            <w:noWrap w:val="0"/>
            <w:vAlign w:val="center"/>
          </w:tcPr>
          <w:p w14:paraId="30C55537">
            <w:pPr>
              <w:keepNext w:val="0"/>
              <w:keepLines w:val="0"/>
              <w:pageBreakBefore w:val="0"/>
              <w:widowControl w:val="0"/>
              <w:kinsoku/>
              <w:wordWrap/>
              <w:overflowPunct w:val="0"/>
              <w:topLinePunct w:val="0"/>
              <w:bidi w:val="0"/>
              <w:jc w:val="both"/>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萍乡市第三人民医院空气压力治疗仪采购项目（第二次）</w:t>
            </w:r>
          </w:p>
          <w:p w14:paraId="10AD1322">
            <w:pPr>
              <w:keepNext w:val="0"/>
              <w:keepLines w:val="0"/>
              <w:pageBreakBefore w:val="0"/>
              <w:widowControl w:val="0"/>
              <w:suppressLineNumbers w:val="0"/>
              <w:kinsoku/>
              <w:wordWrap/>
              <w:overflowPunct w:val="0"/>
              <w:topLinePunct w:val="0"/>
              <w:bidi w:val="0"/>
              <w:spacing w:line="360" w:lineRule="auto"/>
              <w:jc w:val="both"/>
              <w:textAlignment w:val="center"/>
              <w:rPr>
                <w:rFonts w:hint="default" w:ascii="宋体" w:hAnsi="宋体" w:eastAsia="宋体" w:cs="宋体"/>
                <w:i w:val="0"/>
                <w:iCs w:val="0"/>
                <w:color w:val="000000"/>
                <w:kern w:val="2"/>
                <w:sz w:val="24"/>
                <w:szCs w:val="24"/>
                <w:u w:val="none"/>
                <w:lang w:val="en-US" w:eastAsia="zh-CN" w:bidi="ar-SA"/>
              </w:rPr>
            </w:pPr>
          </w:p>
        </w:tc>
      </w:tr>
      <w:tr w14:paraId="3BBA2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0" w:hRule="atLeast"/>
        </w:trPr>
        <w:tc>
          <w:tcPr>
            <w:tcW w:w="3000" w:type="dxa"/>
            <w:tcBorders>
              <w:left w:val="single" w:color="auto" w:sz="12" w:space="0"/>
            </w:tcBorders>
            <w:noWrap w:val="0"/>
            <w:vAlign w:val="center"/>
          </w:tcPr>
          <w:p w14:paraId="47D6128C">
            <w:pPr>
              <w:keepNext w:val="0"/>
              <w:keepLines w:val="0"/>
              <w:pageBreakBefore w:val="0"/>
              <w:widowControl w:val="0"/>
              <w:kinsoku/>
              <w:wordWrap/>
              <w:overflowPunct w:val="0"/>
              <w:topLinePunct w:val="0"/>
              <w:bidi w:val="0"/>
              <w:jc w:val="both"/>
              <w:rPr>
                <w:rFonts w:hint="eastAsia" w:ascii="宋体" w:hAnsi="宋体" w:eastAsia="宋体" w:cs="宋体"/>
                <w:sz w:val="24"/>
                <w:szCs w:val="24"/>
              </w:rPr>
            </w:pPr>
            <w:r>
              <w:rPr>
                <w:rFonts w:hint="eastAsia" w:ascii="宋体" w:hAnsi="宋体" w:eastAsia="宋体" w:cs="宋体"/>
                <w:sz w:val="24"/>
                <w:szCs w:val="24"/>
              </w:rPr>
              <w:t>数量</w:t>
            </w:r>
          </w:p>
        </w:tc>
        <w:tc>
          <w:tcPr>
            <w:tcW w:w="6290" w:type="dxa"/>
            <w:tcBorders>
              <w:right w:val="single" w:color="auto" w:sz="12" w:space="0"/>
            </w:tcBorders>
            <w:noWrap w:val="0"/>
            <w:vAlign w:val="center"/>
          </w:tcPr>
          <w:p w14:paraId="3FE1FD62">
            <w:pPr>
              <w:keepNext w:val="0"/>
              <w:keepLines w:val="0"/>
              <w:pageBreakBefore w:val="0"/>
              <w:widowControl w:val="0"/>
              <w:kinsoku/>
              <w:wordWrap/>
              <w:overflowPunct w:val="0"/>
              <w:topLinePunct w:val="0"/>
              <w:bidi w:val="0"/>
              <w:jc w:val="both"/>
              <w:rPr>
                <w:rFonts w:hint="eastAsia" w:ascii="宋体" w:hAnsi="宋体" w:eastAsia="宋体" w:cs="宋体"/>
                <w:sz w:val="24"/>
                <w:szCs w:val="24"/>
                <w:lang w:val="en-US" w:eastAsia="zh-CN"/>
              </w:rPr>
            </w:pPr>
            <w:r>
              <w:rPr>
                <w:rFonts w:hint="eastAsia" w:ascii="宋体" w:hAnsi="宋体" w:eastAsia="宋体" w:cs="宋体"/>
                <w:sz w:val="24"/>
                <w:szCs w:val="24"/>
              </w:rPr>
              <w:t>1</w:t>
            </w:r>
            <w:r>
              <w:rPr>
                <w:rFonts w:hint="eastAsia" w:ascii="宋体" w:hAnsi="宋体" w:eastAsia="宋体" w:cs="宋体"/>
                <w:sz w:val="24"/>
                <w:szCs w:val="24"/>
                <w:lang w:val="en-US" w:eastAsia="zh-CN"/>
              </w:rPr>
              <w:t>批</w:t>
            </w:r>
          </w:p>
        </w:tc>
      </w:tr>
      <w:tr w14:paraId="5E809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5" w:hRule="atLeast"/>
        </w:trPr>
        <w:tc>
          <w:tcPr>
            <w:tcW w:w="3000" w:type="dxa"/>
            <w:tcBorders>
              <w:left w:val="single" w:color="auto" w:sz="12" w:space="0"/>
            </w:tcBorders>
            <w:noWrap w:val="0"/>
            <w:vAlign w:val="center"/>
          </w:tcPr>
          <w:p w14:paraId="7C009501">
            <w:pPr>
              <w:keepNext w:val="0"/>
              <w:keepLines w:val="0"/>
              <w:pageBreakBefore w:val="0"/>
              <w:widowControl w:val="0"/>
              <w:kinsoku/>
              <w:wordWrap/>
              <w:overflowPunct w:val="0"/>
              <w:topLinePunct w:val="0"/>
              <w:bidi w:val="0"/>
              <w:jc w:val="both"/>
              <w:rPr>
                <w:rFonts w:hint="eastAsia" w:ascii="宋体" w:hAnsi="宋体" w:eastAsia="宋体" w:cs="宋体"/>
                <w:sz w:val="24"/>
                <w:szCs w:val="24"/>
              </w:rPr>
            </w:pPr>
            <w:r>
              <w:rPr>
                <w:rFonts w:hint="eastAsia" w:ascii="宋体" w:hAnsi="宋体" w:eastAsia="宋体" w:cs="宋体"/>
                <w:sz w:val="24"/>
                <w:szCs w:val="24"/>
              </w:rPr>
              <w:t>交货期</w:t>
            </w:r>
          </w:p>
        </w:tc>
        <w:tc>
          <w:tcPr>
            <w:tcW w:w="6290" w:type="dxa"/>
            <w:tcBorders>
              <w:right w:val="single" w:color="auto" w:sz="12" w:space="0"/>
            </w:tcBorders>
            <w:noWrap w:val="0"/>
            <w:vAlign w:val="center"/>
          </w:tcPr>
          <w:p w14:paraId="14C41E35">
            <w:pPr>
              <w:keepNext w:val="0"/>
              <w:keepLines w:val="0"/>
              <w:pageBreakBefore w:val="0"/>
              <w:widowControl w:val="0"/>
              <w:kinsoku/>
              <w:wordWrap/>
              <w:overflowPunct w:val="0"/>
              <w:topLinePunct w:val="0"/>
              <w:bidi w:val="0"/>
              <w:jc w:val="both"/>
              <w:rPr>
                <w:rFonts w:hint="eastAsia" w:ascii="宋体" w:hAnsi="宋体" w:eastAsia="宋体" w:cs="宋体"/>
                <w:sz w:val="24"/>
                <w:szCs w:val="24"/>
              </w:rPr>
            </w:pPr>
            <w:r>
              <w:rPr>
                <w:rFonts w:hint="eastAsia" w:ascii="宋体" w:hAnsi="宋体" w:eastAsia="宋体" w:cs="宋体"/>
                <w:sz w:val="24"/>
                <w:szCs w:val="24"/>
                <w:lang w:val="en-US" w:eastAsia="zh-CN"/>
              </w:rPr>
              <w:t>合同签订后30日内完成安装并交付使用</w:t>
            </w:r>
          </w:p>
        </w:tc>
      </w:tr>
      <w:tr w14:paraId="71CFE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3000" w:type="dxa"/>
            <w:tcBorders>
              <w:left w:val="single" w:color="auto" w:sz="12" w:space="0"/>
            </w:tcBorders>
            <w:noWrap w:val="0"/>
            <w:vAlign w:val="center"/>
          </w:tcPr>
          <w:p w14:paraId="1EA92860">
            <w:pPr>
              <w:keepNext w:val="0"/>
              <w:keepLines w:val="0"/>
              <w:pageBreakBefore w:val="0"/>
              <w:widowControl w:val="0"/>
              <w:kinsoku/>
              <w:wordWrap/>
              <w:overflowPunct w:val="0"/>
              <w:topLinePunct w:val="0"/>
              <w:bidi w:val="0"/>
              <w:jc w:val="both"/>
              <w:rPr>
                <w:rFonts w:hint="eastAsia" w:ascii="宋体" w:hAnsi="宋体" w:eastAsia="宋体" w:cs="宋体"/>
                <w:sz w:val="24"/>
                <w:szCs w:val="24"/>
              </w:rPr>
            </w:pPr>
            <w:r>
              <w:rPr>
                <w:rFonts w:hint="eastAsia" w:ascii="宋体" w:hAnsi="宋体" w:eastAsia="宋体" w:cs="宋体"/>
                <w:sz w:val="24"/>
                <w:szCs w:val="24"/>
              </w:rPr>
              <w:t>交货地点</w:t>
            </w:r>
          </w:p>
        </w:tc>
        <w:tc>
          <w:tcPr>
            <w:tcW w:w="6290" w:type="dxa"/>
            <w:tcBorders>
              <w:right w:val="single" w:color="auto" w:sz="12" w:space="0"/>
            </w:tcBorders>
            <w:noWrap w:val="0"/>
            <w:vAlign w:val="center"/>
          </w:tcPr>
          <w:p w14:paraId="7DC058AA">
            <w:pPr>
              <w:keepNext w:val="0"/>
              <w:keepLines w:val="0"/>
              <w:pageBreakBefore w:val="0"/>
              <w:widowControl w:val="0"/>
              <w:kinsoku/>
              <w:wordWrap/>
              <w:overflowPunct w:val="0"/>
              <w:topLinePunct w:val="0"/>
              <w:bidi w:val="0"/>
              <w:jc w:val="both"/>
              <w:rPr>
                <w:rFonts w:hint="eastAsia" w:ascii="宋体" w:hAnsi="宋体" w:eastAsia="宋体" w:cs="宋体"/>
                <w:sz w:val="24"/>
                <w:szCs w:val="24"/>
              </w:rPr>
            </w:pPr>
            <w:r>
              <w:rPr>
                <w:rFonts w:hint="eastAsia" w:ascii="宋体" w:hAnsi="宋体" w:eastAsia="宋体" w:cs="宋体"/>
                <w:sz w:val="24"/>
                <w:szCs w:val="24"/>
                <w:lang w:val="en-US" w:eastAsia="zh-CN"/>
              </w:rPr>
              <w:t>第三人民医院</w:t>
            </w:r>
          </w:p>
        </w:tc>
      </w:tr>
      <w:tr w14:paraId="46815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trPr>
        <w:tc>
          <w:tcPr>
            <w:tcW w:w="3000" w:type="dxa"/>
            <w:tcBorders>
              <w:left w:val="single" w:color="auto" w:sz="12" w:space="0"/>
            </w:tcBorders>
            <w:noWrap w:val="0"/>
            <w:vAlign w:val="center"/>
          </w:tcPr>
          <w:p w14:paraId="065EB643">
            <w:pPr>
              <w:keepNext w:val="0"/>
              <w:keepLines w:val="0"/>
              <w:pageBreakBefore w:val="0"/>
              <w:widowControl w:val="0"/>
              <w:kinsoku/>
              <w:wordWrap/>
              <w:overflowPunct w:val="0"/>
              <w:topLinePunct w:val="0"/>
              <w:bidi w:val="0"/>
              <w:jc w:val="both"/>
              <w:rPr>
                <w:rFonts w:hint="eastAsia" w:ascii="宋体" w:hAnsi="宋体" w:eastAsia="宋体" w:cs="宋体"/>
                <w:sz w:val="24"/>
                <w:szCs w:val="24"/>
              </w:rPr>
            </w:pPr>
            <w:r>
              <w:rPr>
                <w:rFonts w:hint="eastAsia" w:ascii="宋体" w:hAnsi="宋体" w:eastAsia="宋体" w:cs="宋体"/>
                <w:sz w:val="24"/>
                <w:szCs w:val="24"/>
              </w:rPr>
              <w:t>安</w:t>
            </w:r>
            <w:r>
              <w:rPr>
                <w:rFonts w:hint="eastAsia" w:ascii="宋体" w:hAnsi="宋体" w:eastAsia="宋体" w:cs="宋体"/>
                <w:sz w:val="24"/>
                <w:szCs w:val="24"/>
                <w:lang w:val="en-US" w:eastAsia="zh-CN"/>
              </w:rPr>
              <w:t>装</w:t>
            </w:r>
            <w:r>
              <w:rPr>
                <w:rFonts w:hint="eastAsia" w:ascii="宋体" w:hAnsi="宋体" w:eastAsia="宋体" w:cs="宋体"/>
                <w:sz w:val="24"/>
                <w:szCs w:val="24"/>
              </w:rPr>
              <w:t>地点</w:t>
            </w:r>
          </w:p>
        </w:tc>
        <w:tc>
          <w:tcPr>
            <w:tcW w:w="6290" w:type="dxa"/>
            <w:tcBorders>
              <w:right w:val="single" w:color="auto" w:sz="12" w:space="0"/>
            </w:tcBorders>
            <w:noWrap w:val="0"/>
            <w:vAlign w:val="center"/>
          </w:tcPr>
          <w:p w14:paraId="03DE0159">
            <w:pPr>
              <w:keepNext w:val="0"/>
              <w:keepLines w:val="0"/>
              <w:pageBreakBefore w:val="0"/>
              <w:widowControl w:val="0"/>
              <w:kinsoku/>
              <w:wordWrap/>
              <w:overflowPunct w:val="0"/>
              <w:topLinePunct w:val="0"/>
              <w:bidi w:val="0"/>
              <w:jc w:val="both"/>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第三人民医院</w:t>
            </w:r>
          </w:p>
        </w:tc>
      </w:tr>
      <w:tr w14:paraId="2313C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trPr>
        <w:tc>
          <w:tcPr>
            <w:tcW w:w="3000" w:type="dxa"/>
            <w:tcBorders>
              <w:left w:val="single" w:color="auto" w:sz="12" w:space="0"/>
            </w:tcBorders>
            <w:noWrap w:val="0"/>
            <w:vAlign w:val="center"/>
          </w:tcPr>
          <w:p w14:paraId="3C474EDC">
            <w:pPr>
              <w:keepNext w:val="0"/>
              <w:keepLines w:val="0"/>
              <w:pageBreakBefore w:val="0"/>
              <w:widowControl w:val="0"/>
              <w:kinsoku/>
              <w:wordWrap/>
              <w:overflowPunct w:val="0"/>
              <w:topLinePunct w:val="0"/>
              <w:bidi w:val="0"/>
              <w:jc w:val="both"/>
              <w:rPr>
                <w:rFonts w:hint="eastAsia" w:ascii="宋体" w:hAnsi="宋体" w:eastAsia="宋体" w:cs="宋体"/>
                <w:sz w:val="24"/>
                <w:szCs w:val="24"/>
              </w:rPr>
            </w:pPr>
            <w:r>
              <w:rPr>
                <w:rFonts w:hint="eastAsia" w:ascii="宋体" w:hAnsi="宋体" w:eastAsia="宋体" w:cs="宋体"/>
                <w:sz w:val="24"/>
                <w:szCs w:val="24"/>
              </w:rPr>
              <w:t>备注</w:t>
            </w:r>
          </w:p>
        </w:tc>
        <w:tc>
          <w:tcPr>
            <w:tcW w:w="6290" w:type="dxa"/>
            <w:tcBorders>
              <w:right w:val="single" w:color="auto" w:sz="12" w:space="0"/>
            </w:tcBorders>
            <w:noWrap w:val="0"/>
            <w:vAlign w:val="center"/>
          </w:tcPr>
          <w:p w14:paraId="7013D170">
            <w:pPr>
              <w:keepNext w:val="0"/>
              <w:keepLines w:val="0"/>
              <w:pageBreakBefore w:val="0"/>
              <w:widowControl w:val="0"/>
              <w:kinsoku/>
              <w:wordWrap/>
              <w:overflowPunct w:val="0"/>
              <w:topLinePunct w:val="0"/>
              <w:bidi w:val="0"/>
              <w:jc w:val="both"/>
              <w:rPr>
                <w:rFonts w:hint="eastAsia" w:ascii="宋体" w:hAnsi="宋体" w:eastAsia="宋体" w:cs="宋体"/>
                <w:sz w:val="24"/>
                <w:szCs w:val="24"/>
              </w:rPr>
            </w:pPr>
          </w:p>
        </w:tc>
      </w:tr>
    </w:tbl>
    <w:p w14:paraId="6CC04CFF">
      <w:pPr>
        <w:pStyle w:val="14"/>
        <w:keepNext w:val="0"/>
        <w:keepLines w:val="0"/>
        <w:pageBreakBefore w:val="0"/>
        <w:widowControl w:val="0"/>
        <w:numPr>
          <w:ilvl w:val="0"/>
          <w:numId w:val="0"/>
        </w:numPr>
        <w:kinsoku/>
        <w:wordWrap/>
        <w:overflowPunct w:val="0"/>
        <w:topLinePunct w:val="0"/>
        <w:bidi w:val="0"/>
        <w:jc w:val="both"/>
        <w:rPr>
          <w:rFonts w:hint="eastAsia" w:eastAsia="宋体"/>
          <w:b/>
          <w:bCs/>
          <w:sz w:val="24"/>
          <w:szCs w:val="24"/>
          <w:lang w:val="en-US" w:eastAsia="zh-CN"/>
        </w:rPr>
      </w:pPr>
    </w:p>
    <w:p w14:paraId="17EB5A7A">
      <w:pPr>
        <w:keepNext w:val="0"/>
        <w:keepLines w:val="0"/>
        <w:pageBreakBefore w:val="0"/>
        <w:widowControl w:val="0"/>
        <w:kinsoku/>
        <w:wordWrap/>
        <w:overflowPunct w:val="0"/>
        <w:topLinePunct w:val="0"/>
        <w:autoSpaceDE/>
        <w:autoSpaceDN/>
        <w:bidi w:val="0"/>
        <w:spacing w:before="47" w:line="219" w:lineRule="auto"/>
        <w:ind w:left="3805"/>
        <w:jc w:val="both"/>
        <w:outlineLvl w:val="1"/>
        <w:rPr>
          <w:rFonts w:ascii="宋体" w:hAnsi="宋体" w:eastAsia="宋体" w:cs="宋体"/>
          <w:color w:val="auto"/>
          <w:sz w:val="24"/>
          <w:szCs w:val="24"/>
          <w:highlight w:val="none"/>
        </w:rPr>
      </w:pPr>
      <w:bookmarkStart w:id="2" w:name="_Toc19467"/>
      <w:r>
        <w:rPr>
          <w:rFonts w:ascii="宋体" w:hAnsi="宋体" w:eastAsia="宋体" w:cs="宋体"/>
          <w:color w:val="auto"/>
          <w:spacing w:val="-2"/>
          <w:sz w:val="24"/>
          <w:szCs w:val="24"/>
          <w:highlight w:val="none"/>
        </w:rPr>
        <w:t>二、采购</w:t>
      </w:r>
      <w:r>
        <w:rPr>
          <w:rFonts w:hint="eastAsia" w:ascii="宋体" w:hAnsi="宋体" w:eastAsia="宋体" w:cs="宋体"/>
          <w:color w:val="auto"/>
          <w:spacing w:val="-2"/>
          <w:sz w:val="24"/>
          <w:szCs w:val="24"/>
          <w:highlight w:val="none"/>
          <w:lang w:val="en-US" w:eastAsia="zh-CN"/>
        </w:rPr>
        <w:t>要</w:t>
      </w:r>
      <w:r>
        <w:rPr>
          <w:rFonts w:ascii="宋体" w:hAnsi="宋体" w:eastAsia="宋体" w:cs="宋体"/>
          <w:color w:val="auto"/>
          <w:spacing w:val="-2"/>
          <w:sz w:val="24"/>
          <w:szCs w:val="24"/>
          <w:highlight w:val="none"/>
        </w:rPr>
        <w:t>求</w:t>
      </w:r>
      <w:bookmarkEnd w:id="2"/>
    </w:p>
    <w:tbl>
      <w:tblPr>
        <w:tblStyle w:val="11"/>
        <w:tblW w:w="894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1"/>
        <w:gridCol w:w="2536"/>
        <w:gridCol w:w="1789"/>
        <w:gridCol w:w="1789"/>
        <w:gridCol w:w="1789"/>
      </w:tblGrid>
      <w:tr w14:paraId="1ACD6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1041" w:type="dxa"/>
            <w:noWrap w:val="0"/>
            <w:vAlign w:val="center"/>
          </w:tcPr>
          <w:p w14:paraId="6C99866F">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color w:val="auto"/>
                <w:sz w:val="24"/>
                <w:szCs w:val="24"/>
                <w:highlight w:val="none"/>
                <w:lang w:val="en-US" w:eastAsia="zh-CN"/>
              </w:rPr>
            </w:pPr>
            <w:r>
              <w:rPr>
                <w:rFonts w:hint="eastAsia"/>
                <w:color w:val="auto"/>
                <w:sz w:val="24"/>
                <w:szCs w:val="24"/>
                <w:highlight w:val="none"/>
                <w:lang w:val="en-US" w:eastAsia="zh-CN"/>
              </w:rPr>
              <w:t>序号</w:t>
            </w:r>
          </w:p>
        </w:tc>
        <w:tc>
          <w:tcPr>
            <w:tcW w:w="2536" w:type="dxa"/>
            <w:noWrap w:val="0"/>
            <w:vAlign w:val="center"/>
          </w:tcPr>
          <w:p w14:paraId="0AB52190">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color w:val="auto"/>
                <w:sz w:val="24"/>
                <w:szCs w:val="24"/>
                <w:highlight w:val="none"/>
                <w:lang w:val="en-US" w:eastAsia="zh-CN"/>
              </w:rPr>
            </w:pPr>
            <w:r>
              <w:rPr>
                <w:rFonts w:hint="eastAsia"/>
                <w:color w:val="auto"/>
                <w:sz w:val="24"/>
                <w:szCs w:val="24"/>
                <w:highlight w:val="none"/>
                <w:lang w:val="en-US" w:eastAsia="zh-CN"/>
              </w:rPr>
              <w:t>名称</w:t>
            </w:r>
          </w:p>
        </w:tc>
        <w:tc>
          <w:tcPr>
            <w:tcW w:w="1789" w:type="dxa"/>
            <w:noWrap w:val="0"/>
            <w:vAlign w:val="center"/>
          </w:tcPr>
          <w:p w14:paraId="02ECD0F5">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color w:val="auto"/>
                <w:sz w:val="24"/>
                <w:szCs w:val="24"/>
                <w:highlight w:val="none"/>
                <w:lang w:val="en-US" w:eastAsia="zh-CN"/>
              </w:rPr>
            </w:pPr>
            <w:r>
              <w:rPr>
                <w:rFonts w:hint="eastAsia"/>
                <w:color w:val="auto"/>
                <w:sz w:val="24"/>
                <w:szCs w:val="24"/>
                <w:highlight w:val="none"/>
                <w:lang w:val="en-US" w:eastAsia="zh-CN"/>
              </w:rPr>
              <w:t>数量</w:t>
            </w:r>
          </w:p>
        </w:tc>
        <w:tc>
          <w:tcPr>
            <w:tcW w:w="1789" w:type="dxa"/>
            <w:noWrap w:val="0"/>
            <w:vAlign w:val="center"/>
          </w:tcPr>
          <w:p w14:paraId="64DAE24E">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单位</w:t>
            </w:r>
          </w:p>
        </w:tc>
        <w:tc>
          <w:tcPr>
            <w:tcW w:w="1789" w:type="dxa"/>
            <w:noWrap w:val="0"/>
            <w:vAlign w:val="center"/>
          </w:tcPr>
          <w:p w14:paraId="4504CA56">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备注</w:t>
            </w:r>
          </w:p>
        </w:tc>
      </w:tr>
      <w:tr w14:paraId="4D872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1041" w:type="dxa"/>
            <w:noWrap w:val="0"/>
            <w:vAlign w:val="center"/>
          </w:tcPr>
          <w:p w14:paraId="1A20B02B">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1</w:t>
            </w:r>
          </w:p>
        </w:tc>
        <w:tc>
          <w:tcPr>
            <w:tcW w:w="2536" w:type="dxa"/>
            <w:noWrap w:val="0"/>
            <w:vAlign w:val="center"/>
          </w:tcPr>
          <w:p w14:paraId="72A6BF51">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空气压力治疗仪</w:t>
            </w:r>
          </w:p>
        </w:tc>
        <w:tc>
          <w:tcPr>
            <w:tcW w:w="1789" w:type="dxa"/>
            <w:noWrap w:val="0"/>
            <w:vAlign w:val="center"/>
          </w:tcPr>
          <w:p w14:paraId="7DCC629B">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25</w:t>
            </w:r>
          </w:p>
        </w:tc>
        <w:tc>
          <w:tcPr>
            <w:tcW w:w="1789" w:type="dxa"/>
            <w:noWrap w:val="0"/>
            <w:vAlign w:val="center"/>
          </w:tcPr>
          <w:p w14:paraId="16676A86">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台</w:t>
            </w:r>
          </w:p>
        </w:tc>
        <w:tc>
          <w:tcPr>
            <w:tcW w:w="1789" w:type="dxa"/>
            <w:noWrap w:val="0"/>
            <w:vAlign w:val="center"/>
          </w:tcPr>
          <w:p w14:paraId="07F076A2">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eastAsia="宋体"/>
                <w:color w:val="auto"/>
                <w:sz w:val="24"/>
                <w:szCs w:val="24"/>
                <w:highlight w:val="none"/>
                <w:lang w:val="en-US" w:eastAsia="zh-CN"/>
              </w:rPr>
            </w:pPr>
          </w:p>
        </w:tc>
      </w:tr>
      <w:tr w14:paraId="0D530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1041" w:type="dxa"/>
            <w:noWrap w:val="0"/>
            <w:vAlign w:val="center"/>
          </w:tcPr>
          <w:p w14:paraId="032C23A6">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2</w:t>
            </w:r>
          </w:p>
        </w:tc>
        <w:tc>
          <w:tcPr>
            <w:tcW w:w="2536" w:type="dxa"/>
            <w:noWrap w:val="0"/>
            <w:vAlign w:val="center"/>
          </w:tcPr>
          <w:p w14:paraId="0E51649F">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VTE系统</w:t>
            </w:r>
          </w:p>
        </w:tc>
        <w:tc>
          <w:tcPr>
            <w:tcW w:w="1789" w:type="dxa"/>
            <w:noWrap w:val="0"/>
            <w:vAlign w:val="center"/>
          </w:tcPr>
          <w:p w14:paraId="5C8081EA">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1</w:t>
            </w:r>
          </w:p>
        </w:tc>
        <w:tc>
          <w:tcPr>
            <w:tcW w:w="1789" w:type="dxa"/>
            <w:noWrap w:val="0"/>
            <w:vAlign w:val="center"/>
          </w:tcPr>
          <w:p w14:paraId="6C897E80">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套</w:t>
            </w:r>
          </w:p>
        </w:tc>
        <w:tc>
          <w:tcPr>
            <w:tcW w:w="1789" w:type="dxa"/>
            <w:noWrap w:val="0"/>
            <w:vAlign w:val="center"/>
          </w:tcPr>
          <w:p w14:paraId="4A9EDE6C">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eastAsia="宋体"/>
                <w:color w:val="auto"/>
                <w:sz w:val="24"/>
                <w:szCs w:val="24"/>
                <w:highlight w:val="none"/>
                <w:lang w:val="en-US" w:eastAsia="zh-CN"/>
              </w:rPr>
            </w:pPr>
          </w:p>
        </w:tc>
      </w:tr>
      <w:tr w14:paraId="3A4DD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1041" w:type="dxa"/>
            <w:noWrap w:val="0"/>
            <w:vAlign w:val="center"/>
          </w:tcPr>
          <w:p w14:paraId="6E9E858C">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3</w:t>
            </w:r>
          </w:p>
        </w:tc>
        <w:tc>
          <w:tcPr>
            <w:tcW w:w="2536" w:type="dxa"/>
            <w:noWrap w:val="0"/>
            <w:vAlign w:val="center"/>
          </w:tcPr>
          <w:p w14:paraId="6329F6C6">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ascii="Arial" w:hAnsi="Arial" w:eastAsia="宋体" w:cs="Arial"/>
                <w:snapToGrid w:val="0"/>
                <w:color w:val="auto"/>
                <w:sz w:val="24"/>
                <w:szCs w:val="24"/>
                <w:highlight w:val="none"/>
                <w:lang w:val="en-US" w:eastAsia="zh-CN" w:bidi="ar-SA"/>
              </w:rPr>
            </w:pPr>
            <w:r>
              <w:rPr>
                <w:rFonts w:hint="eastAsia" w:eastAsia="宋体"/>
                <w:color w:val="auto"/>
                <w:sz w:val="24"/>
                <w:szCs w:val="24"/>
                <w:highlight w:val="none"/>
                <w:lang w:val="en-US" w:eastAsia="zh-CN"/>
              </w:rPr>
              <w:t>气体导管</w:t>
            </w:r>
          </w:p>
        </w:tc>
        <w:tc>
          <w:tcPr>
            <w:tcW w:w="1789" w:type="dxa"/>
            <w:noWrap w:val="0"/>
            <w:vAlign w:val="center"/>
          </w:tcPr>
          <w:p w14:paraId="2A018B89">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ascii="Arial" w:hAnsi="Arial" w:eastAsia="宋体" w:cs="Arial"/>
                <w:snapToGrid w:val="0"/>
                <w:color w:val="auto"/>
                <w:sz w:val="24"/>
                <w:szCs w:val="24"/>
                <w:highlight w:val="none"/>
                <w:lang w:val="en-US" w:eastAsia="zh-CN" w:bidi="ar-SA"/>
              </w:rPr>
            </w:pPr>
            <w:r>
              <w:rPr>
                <w:rFonts w:hint="eastAsia" w:eastAsia="宋体"/>
                <w:color w:val="auto"/>
                <w:sz w:val="24"/>
                <w:szCs w:val="24"/>
                <w:highlight w:val="none"/>
                <w:lang w:val="en-US" w:eastAsia="zh-CN"/>
              </w:rPr>
              <w:t>25</w:t>
            </w:r>
          </w:p>
        </w:tc>
        <w:tc>
          <w:tcPr>
            <w:tcW w:w="1789" w:type="dxa"/>
            <w:noWrap w:val="0"/>
            <w:vAlign w:val="center"/>
          </w:tcPr>
          <w:p w14:paraId="51CFC6DB">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ascii="Arial" w:hAnsi="Arial" w:eastAsia="宋体" w:cs="Arial"/>
                <w:snapToGrid w:val="0"/>
                <w:color w:val="auto"/>
                <w:sz w:val="24"/>
                <w:szCs w:val="24"/>
                <w:highlight w:val="none"/>
                <w:lang w:val="en-US" w:eastAsia="zh-CN" w:bidi="ar-SA"/>
              </w:rPr>
            </w:pPr>
            <w:r>
              <w:rPr>
                <w:rFonts w:hint="eastAsia" w:eastAsia="宋体"/>
                <w:color w:val="auto"/>
                <w:sz w:val="24"/>
                <w:szCs w:val="24"/>
                <w:highlight w:val="none"/>
                <w:lang w:val="en-US" w:eastAsia="zh-CN"/>
              </w:rPr>
              <w:t>根</w:t>
            </w:r>
          </w:p>
        </w:tc>
        <w:tc>
          <w:tcPr>
            <w:tcW w:w="1789" w:type="dxa"/>
            <w:noWrap w:val="0"/>
            <w:vAlign w:val="center"/>
          </w:tcPr>
          <w:p w14:paraId="0193360C">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原厂</w:t>
            </w:r>
          </w:p>
        </w:tc>
      </w:tr>
      <w:tr w14:paraId="3C950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1041" w:type="dxa"/>
            <w:noWrap w:val="0"/>
            <w:vAlign w:val="center"/>
          </w:tcPr>
          <w:p w14:paraId="52A82418">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eastAsia="宋体"/>
                <w:color w:val="auto"/>
                <w:sz w:val="24"/>
                <w:szCs w:val="24"/>
                <w:highlight w:val="none"/>
                <w:lang w:val="en-US" w:eastAsia="zh-CN"/>
              </w:rPr>
            </w:pPr>
            <w:r>
              <w:rPr>
                <w:rFonts w:hint="eastAsia" w:eastAsia="宋体"/>
                <w:color w:val="auto"/>
                <w:sz w:val="24"/>
                <w:szCs w:val="24"/>
                <w:highlight w:val="none"/>
                <w:lang w:val="en-US" w:eastAsia="zh-CN"/>
              </w:rPr>
              <w:t>4</w:t>
            </w:r>
          </w:p>
        </w:tc>
        <w:tc>
          <w:tcPr>
            <w:tcW w:w="2536" w:type="dxa"/>
            <w:noWrap w:val="0"/>
            <w:vAlign w:val="center"/>
          </w:tcPr>
          <w:p w14:paraId="51F1D34F">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下肢套筒</w:t>
            </w:r>
          </w:p>
        </w:tc>
        <w:tc>
          <w:tcPr>
            <w:tcW w:w="1789" w:type="dxa"/>
            <w:noWrap w:val="0"/>
            <w:vAlign w:val="center"/>
          </w:tcPr>
          <w:p w14:paraId="3267187F">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25</w:t>
            </w:r>
          </w:p>
        </w:tc>
        <w:tc>
          <w:tcPr>
            <w:tcW w:w="1789" w:type="dxa"/>
            <w:noWrap w:val="0"/>
            <w:vAlign w:val="center"/>
          </w:tcPr>
          <w:p w14:paraId="5E6D1E79">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对</w:t>
            </w:r>
          </w:p>
        </w:tc>
        <w:tc>
          <w:tcPr>
            <w:tcW w:w="1789" w:type="dxa"/>
            <w:noWrap w:val="0"/>
            <w:vAlign w:val="center"/>
          </w:tcPr>
          <w:p w14:paraId="6E2D07DF">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原厂</w:t>
            </w:r>
          </w:p>
        </w:tc>
      </w:tr>
      <w:tr w14:paraId="2B142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1041" w:type="dxa"/>
            <w:noWrap w:val="0"/>
            <w:vAlign w:val="center"/>
          </w:tcPr>
          <w:p w14:paraId="3959469F">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5</w:t>
            </w:r>
          </w:p>
        </w:tc>
        <w:tc>
          <w:tcPr>
            <w:tcW w:w="2536" w:type="dxa"/>
            <w:noWrap w:val="0"/>
            <w:vAlign w:val="center"/>
          </w:tcPr>
          <w:p w14:paraId="14F1C85E">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ascii="Arial" w:hAnsi="Arial" w:eastAsia="宋体" w:cs="Arial"/>
                <w:snapToGrid w:val="0"/>
                <w:color w:val="auto"/>
                <w:sz w:val="24"/>
                <w:szCs w:val="24"/>
                <w:highlight w:val="none"/>
                <w:lang w:val="en-US" w:eastAsia="zh-CN" w:bidi="ar-SA"/>
              </w:rPr>
            </w:pPr>
            <w:r>
              <w:rPr>
                <w:rFonts w:hint="eastAsia" w:eastAsia="宋体"/>
                <w:color w:val="auto"/>
                <w:sz w:val="24"/>
                <w:szCs w:val="24"/>
                <w:highlight w:val="none"/>
                <w:lang w:val="en-US" w:eastAsia="zh-CN"/>
              </w:rPr>
              <w:t>上肢套筒</w:t>
            </w:r>
          </w:p>
        </w:tc>
        <w:tc>
          <w:tcPr>
            <w:tcW w:w="1789" w:type="dxa"/>
            <w:noWrap w:val="0"/>
            <w:vAlign w:val="center"/>
          </w:tcPr>
          <w:p w14:paraId="008F8C26">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ascii="Arial" w:hAnsi="Arial" w:eastAsia="宋体" w:cs="Arial"/>
                <w:snapToGrid w:val="0"/>
                <w:color w:val="auto"/>
                <w:sz w:val="24"/>
                <w:szCs w:val="24"/>
                <w:highlight w:val="none"/>
                <w:lang w:val="en-US" w:eastAsia="zh-CN" w:bidi="ar-SA"/>
              </w:rPr>
            </w:pPr>
            <w:r>
              <w:rPr>
                <w:rFonts w:hint="eastAsia" w:eastAsia="宋体"/>
                <w:color w:val="auto"/>
                <w:sz w:val="24"/>
                <w:szCs w:val="24"/>
                <w:highlight w:val="none"/>
                <w:lang w:val="en-US" w:eastAsia="zh-CN"/>
              </w:rPr>
              <w:t>5</w:t>
            </w:r>
          </w:p>
        </w:tc>
        <w:tc>
          <w:tcPr>
            <w:tcW w:w="1789" w:type="dxa"/>
            <w:noWrap w:val="0"/>
            <w:vAlign w:val="center"/>
          </w:tcPr>
          <w:p w14:paraId="62A648CF">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eastAsia" w:ascii="Arial" w:hAnsi="Arial" w:eastAsia="宋体" w:cs="Arial"/>
                <w:snapToGrid w:val="0"/>
                <w:color w:val="auto"/>
                <w:sz w:val="24"/>
                <w:szCs w:val="24"/>
                <w:highlight w:val="none"/>
                <w:lang w:val="en-US" w:eastAsia="zh-CN" w:bidi="ar-SA"/>
              </w:rPr>
            </w:pPr>
            <w:r>
              <w:rPr>
                <w:rFonts w:hint="eastAsia" w:eastAsia="宋体"/>
                <w:color w:val="auto"/>
                <w:sz w:val="24"/>
                <w:szCs w:val="24"/>
                <w:highlight w:val="none"/>
                <w:lang w:val="en-US" w:eastAsia="zh-CN"/>
              </w:rPr>
              <w:t>对</w:t>
            </w:r>
          </w:p>
        </w:tc>
        <w:tc>
          <w:tcPr>
            <w:tcW w:w="1789" w:type="dxa"/>
            <w:noWrap w:val="0"/>
            <w:vAlign w:val="center"/>
          </w:tcPr>
          <w:p w14:paraId="2CB03A99">
            <w:pPr>
              <w:keepNext w:val="0"/>
              <w:keepLines w:val="0"/>
              <w:pageBreakBefore w:val="0"/>
              <w:widowControl w:val="0"/>
              <w:kinsoku/>
              <w:wordWrap/>
              <w:overflowPunct w:val="0"/>
              <w:topLinePunct w:val="0"/>
              <w:autoSpaceDE/>
              <w:autoSpaceDN/>
              <w:bidi w:val="0"/>
              <w:adjustRightInd w:val="0"/>
              <w:snapToGrid w:val="0"/>
              <w:spacing w:line="320" w:lineRule="exact"/>
              <w:jc w:val="center"/>
              <w:textAlignment w:val="baseline"/>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原厂</w:t>
            </w:r>
          </w:p>
        </w:tc>
      </w:tr>
    </w:tbl>
    <w:p w14:paraId="0516D870">
      <w:pPr>
        <w:pStyle w:val="15"/>
        <w:keepNext w:val="0"/>
        <w:keepLines w:val="0"/>
        <w:pageBreakBefore w:val="0"/>
        <w:widowControl w:val="0"/>
        <w:kinsoku/>
        <w:wordWrap/>
        <w:overflowPunct w:val="0"/>
        <w:topLinePunct w:val="0"/>
        <w:autoSpaceDE/>
        <w:autoSpaceDN/>
        <w:bidi w:val="0"/>
        <w:jc w:val="both"/>
        <w:rPr>
          <w:rFonts w:hint="eastAsia"/>
          <w:color w:val="auto"/>
          <w:sz w:val="28"/>
          <w:szCs w:val="28"/>
          <w:highlight w:val="none"/>
          <w:lang w:val="en-US" w:eastAsia="zh-CN"/>
        </w:rPr>
      </w:pPr>
      <w:r>
        <w:rPr>
          <w:rFonts w:hint="eastAsia"/>
          <w:color w:val="auto"/>
          <w:sz w:val="28"/>
          <w:szCs w:val="28"/>
          <w:highlight w:val="none"/>
          <w:lang w:val="en-US" w:eastAsia="zh-CN"/>
        </w:rPr>
        <w:t>（一）设备要求</w:t>
      </w:r>
    </w:p>
    <w:p w14:paraId="254DF20B">
      <w:pPr>
        <w:keepNext w:val="0"/>
        <w:keepLines w:val="0"/>
        <w:pageBreakBefore w:val="0"/>
        <w:widowControl w:val="0"/>
        <w:kinsoku/>
        <w:wordWrap/>
        <w:overflowPunct w:val="0"/>
        <w:topLinePunct w:val="0"/>
        <w:autoSpaceDE/>
        <w:autoSpaceDN/>
        <w:bidi w:val="0"/>
        <w:spacing w:line="360" w:lineRule="auto"/>
        <w:jc w:val="both"/>
        <w:rPr>
          <w:rFonts w:hint="eastAsia"/>
          <w:color w:val="auto"/>
          <w:sz w:val="24"/>
          <w:szCs w:val="24"/>
          <w:highlight w:val="none"/>
        </w:rPr>
      </w:pPr>
      <w:r>
        <w:rPr>
          <w:rFonts w:hint="eastAsia"/>
          <w:color w:val="auto"/>
          <w:sz w:val="24"/>
          <w:szCs w:val="24"/>
          <w:highlight w:val="none"/>
        </w:rPr>
        <w:t>空气压力治疗仪参数</w:t>
      </w:r>
    </w:p>
    <w:p w14:paraId="77272FB0">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default" w:eastAsia="宋体"/>
          <w:color w:val="000000"/>
          <w:sz w:val="24"/>
          <w:szCs w:val="24"/>
          <w:highlight w:val="none"/>
          <w:lang w:val="en-US" w:eastAsia="zh-CN"/>
        </w:rPr>
      </w:pPr>
      <w:r>
        <w:rPr>
          <w:rFonts w:hint="eastAsia" w:eastAsia="宋体"/>
          <w:color w:val="000000"/>
          <w:sz w:val="24"/>
          <w:szCs w:val="24"/>
          <w:highlight w:val="none"/>
          <w:lang w:val="en-US" w:eastAsia="zh-CN"/>
        </w:rPr>
        <w:t>数量：25台</w:t>
      </w:r>
    </w:p>
    <w:p w14:paraId="0F09EFB6">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eastAsia"/>
          <w:b w:val="0"/>
          <w:bCs w:val="0"/>
          <w:color w:val="auto"/>
          <w:sz w:val="24"/>
          <w:szCs w:val="24"/>
        </w:rPr>
      </w:pPr>
      <w:r>
        <w:rPr>
          <w:rFonts w:hint="eastAsia" w:eastAsia="宋体"/>
          <w:b w:val="0"/>
          <w:bCs w:val="0"/>
          <w:color w:val="auto"/>
          <w:sz w:val="24"/>
          <w:szCs w:val="24"/>
          <w:lang w:val="en-US" w:eastAsia="zh-CN"/>
        </w:rPr>
        <w:t>1.</w:t>
      </w:r>
      <w:r>
        <w:rPr>
          <w:b w:val="0"/>
          <w:bCs w:val="0"/>
          <w:color w:val="auto"/>
          <w:sz w:val="24"/>
          <w:szCs w:val="24"/>
        </w:rPr>
        <w:t>全触摸屏操作，实时治疗压力显示</w:t>
      </w:r>
      <w:r>
        <w:rPr>
          <w:rFonts w:hint="eastAsia"/>
          <w:b w:val="0"/>
          <w:bCs w:val="0"/>
          <w:color w:val="auto"/>
          <w:sz w:val="24"/>
          <w:szCs w:val="24"/>
        </w:rPr>
        <w:t>，时间显示等</w:t>
      </w:r>
      <w:r>
        <w:rPr>
          <w:b w:val="0"/>
          <w:bCs w:val="0"/>
          <w:color w:val="auto"/>
          <w:sz w:val="24"/>
          <w:szCs w:val="24"/>
        </w:rPr>
        <w:t>；</w:t>
      </w:r>
    </w:p>
    <w:p w14:paraId="3B0992C3">
      <w:pPr>
        <w:keepNext w:val="0"/>
        <w:keepLines w:val="0"/>
        <w:pageBreakBefore w:val="0"/>
        <w:widowControl w:val="0"/>
        <w:numPr>
          <w:ilvl w:val="0"/>
          <w:numId w:val="0"/>
        </w:numPr>
        <w:kinsoku/>
        <w:wordWrap/>
        <w:overflowPunct w:val="0"/>
        <w:topLinePunct w:val="0"/>
        <w:autoSpaceDE/>
        <w:autoSpaceDN/>
        <w:bidi w:val="0"/>
        <w:adjustRightInd w:val="0"/>
        <w:snapToGrid w:val="0"/>
        <w:spacing w:line="360" w:lineRule="auto"/>
        <w:ind w:right="-286" w:rightChars="-136"/>
        <w:jc w:val="both"/>
        <w:textAlignment w:val="baseline"/>
        <w:rPr>
          <w:b w:val="0"/>
          <w:bCs w:val="0"/>
          <w:color w:val="auto"/>
          <w:sz w:val="24"/>
          <w:szCs w:val="24"/>
        </w:rPr>
      </w:pPr>
      <w:r>
        <w:rPr>
          <w:rFonts w:hint="eastAsia"/>
          <w:b w:val="0"/>
          <w:bCs w:val="0"/>
          <w:color w:val="auto"/>
          <w:sz w:val="24"/>
          <w:szCs w:val="24"/>
          <w:lang w:val="en-US" w:eastAsia="zh-CN"/>
        </w:rPr>
        <w:t>2.两段式安全压力范围：腿部压力范围≤120mmHg，足部压力范围100~200mmHg之间的任意值。</w:t>
      </w:r>
    </w:p>
    <w:p w14:paraId="7E1FCAE7">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b w:val="0"/>
          <w:bCs w:val="0"/>
          <w:color w:val="auto"/>
          <w:sz w:val="24"/>
          <w:szCs w:val="24"/>
        </w:rPr>
      </w:pPr>
      <w:r>
        <w:rPr>
          <w:rFonts w:hint="eastAsia" w:eastAsia="宋体"/>
          <w:b w:val="0"/>
          <w:bCs w:val="0"/>
          <w:color w:val="auto"/>
          <w:sz w:val="24"/>
          <w:szCs w:val="24"/>
          <w:lang w:val="en-US" w:eastAsia="zh-CN"/>
        </w:rPr>
        <w:t>3.</w:t>
      </w:r>
      <w:r>
        <w:rPr>
          <w:rFonts w:hint="eastAsia"/>
          <w:b w:val="0"/>
          <w:bCs w:val="0"/>
          <w:color w:val="auto"/>
          <w:sz w:val="24"/>
          <w:szCs w:val="24"/>
        </w:rPr>
        <w:t>压力调节分为统调、单腔压力可调两种方式。每腔之间压力差值可调节。</w:t>
      </w:r>
    </w:p>
    <w:p w14:paraId="4B381A79">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eastAsia"/>
          <w:b w:val="0"/>
          <w:bCs w:val="0"/>
          <w:color w:val="auto"/>
          <w:sz w:val="24"/>
          <w:szCs w:val="24"/>
        </w:rPr>
      </w:pPr>
      <w:r>
        <w:rPr>
          <w:rFonts w:hint="eastAsia" w:eastAsia="宋体"/>
          <w:b w:val="0"/>
          <w:bCs w:val="0"/>
          <w:color w:val="auto"/>
          <w:sz w:val="24"/>
          <w:szCs w:val="24"/>
          <w:lang w:val="en-US" w:eastAsia="zh-CN"/>
        </w:rPr>
        <w:t>4.</w:t>
      </w:r>
      <w:r>
        <w:rPr>
          <w:rFonts w:hint="eastAsia"/>
          <w:b w:val="0"/>
          <w:bCs w:val="0"/>
          <w:color w:val="auto"/>
          <w:sz w:val="24"/>
          <w:szCs w:val="24"/>
        </w:rPr>
        <w:t>设备具有双侧同时加压和仿生步态加压模式。</w:t>
      </w:r>
    </w:p>
    <w:p w14:paraId="5D0DE779">
      <w:pPr>
        <w:pStyle w:val="2"/>
        <w:keepNext w:val="0"/>
        <w:keepLines w:val="0"/>
        <w:pageBreakBefore w:val="0"/>
        <w:widowControl w:val="0"/>
        <w:numPr>
          <w:ilvl w:val="0"/>
          <w:numId w:val="0"/>
        </w:numPr>
        <w:kinsoku/>
        <w:wordWrap/>
        <w:overflowPunct w:val="0"/>
        <w:topLinePunct w:val="0"/>
        <w:autoSpaceDE/>
        <w:autoSpaceDN/>
        <w:bidi w:val="0"/>
        <w:adjustRightInd w:val="0"/>
        <w:snapToGrid w:val="0"/>
        <w:spacing w:line="360" w:lineRule="auto"/>
        <w:jc w:val="both"/>
        <w:textAlignment w:val="baseline"/>
        <w:rPr>
          <w:rFonts w:hint="eastAsia"/>
          <w:b w:val="0"/>
          <w:bCs w:val="0"/>
          <w:color w:val="FF0000"/>
          <w:sz w:val="24"/>
          <w:szCs w:val="24"/>
        </w:rPr>
      </w:pPr>
      <w:r>
        <w:rPr>
          <w:rFonts w:hint="eastAsia" w:ascii="Calibri" w:hAnsi="Calibri" w:eastAsia="宋体" w:cs="Times New Roman"/>
          <w:b w:val="0"/>
          <w:bCs w:val="0"/>
          <w:color w:val="000000"/>
          <w:kern w:val="2"/>
          <w:sz w:val="24"/>
          <w:szCs w:val="24"/>
          <w:lang w:val="en-US" w:eastAsia="zh-CN" w:bidi="ar-SA"/>
        </w:rPr>
        <w:t>5.主机左右独立出气口≤4腔设计，不影响另一侧腿套正常使用。</w:t>
      </w:r>
    </w:p>
    <w:p w14:paraId="2A7FB12C">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eastAsia"/>
          <w:b w:val="0"/>
          <w:bCs w:val="0"/>
          <w:color w:val="auto"/>
          <w:sz w:val="24"/>
          <w:szCs w:val="24"/>
        </w:rPr>
      </w:pPr>
      <w:r>
        <w:rPr>
          <w:rFonts w:hint="eastAsia" w:eastAsia="宋体"/>
          <w:b w:val="0"/>
          <w:bCs w:val="0"/>
          <w:color w:val="auto"/>
          <w:sz w:val="24"/>
          <w:szCs w:val="24"/>
          <w:lang w:val="en-US" w:eastAsia="zh-CN"/>
        </w:rPr>
        <w:t>6.</w:t>
      </w:r>
      <w:r>
        <w:rPr>
          <w:rFonts w:hint="eastAsia"/>
          <w:b w:val="0"/>
          <w:bCs w:val="0"/>
          <w:color w:val="auto"/>
          <w:sz w:val="24"/>
          <w:szCs w:val="24"/>
        </w:rPr>
        <w:t>治疗时长设定：</w:t>
      </w:r>
      <w:r>
        <w:rPr>
          <w:rFonts w:hint="eastAsia"/>
          <w:b w:val="0"/>
          <w:bCs w:val="0"/>
          <w:color w:val="auto"/>
          <w:sz w:val="24"/>
          <w:szCs w:val="24"/>
          <w:lang w:val="en-US" w:eastAsia="zh-CN"/>
        </w:rPr>
        <w:t>0-24小时。</w:t>
      </w:r>
    </w:p>
    <w:p w14:paraId="437180D6">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b w:val="0"/>
          <w:bCs w:val="0"/>
          <w:color w:val="auto"/>
          <w:sz w:val="24"/>
          <w:szCs w:val="24"/>
        </w:rPr>
      </w:pPr>
      <w:r>
        <w:rPr>
          <w:rFonts w:hint="eastAsia"/>
          <w:b w:val="0"/>
          <w:bCs w:val="0"/>
          <w:color w:val="auto"/>
          <w:sz w:val="24"/>
          <w:szCs w:val="24"/>
          <w:lang w:val="en-US" w:eastAsia="zh-CN"/>
        </w:rPr>
        <w:t>7.</w:t>
      </w:r>
      <w:r>
        <w:rPr>
          <w:rFonts w:hint="eastAsia"/>
          <w:b w:val="0"/>
          <w:bCs w:val="0"/>
          <w:color w:val="auto"/>
          <w:sz w:val="24"/>
          <w:szCs w:val="24"/>
        </w:rPr>
        <w:t>静脉再充盈时间：可手动设定</w:t>
      </w:r>
      <w:r>
        <w:rPr>
          <w:rFonts w:hint="eastAsia" w:eastAsia="宋体"/>
          <w:b w:val="0"/>
          <w:bCs w:val="0"/>
          <w:color w:val="auto"/>
          <w:sz w:val="24"/>
          <w:szCs w:val="24"/>
          <w:lang w:eastAsia="zh-CN"/>
        </w:rPr>
        <w:t>，</w:t>
      </w:r>
      <w:r>
        <w:rPr>
          <w:rFonts w:hint="eastAsia"/>
          <w:b w:val="0"/>
          <w:bCs w:val="0"/>
          <w:color w:val="auto"/>
          <w:sz w:val="24"/>
          <w:szCs w:val="24"/>
        </w:rPr>
        <w:t>间歇时间：手动可调范围0</w:t>
      </w:r>
      <w:r>
        <w:rPr>
          <w:b w:val="0"/>
          <w:bCs w:val="0"/>
          <w:color w:val="auto"/>
          <w:sz w:val="24"/>
          <w:szCs w:val="24"/>
        </w:rPr>
        <w:t>~</w:t>
      </w:r>
      <w:r>
        <w:rPr>
          <w:rFonts w:hint="eastAsia" w:eastAsia="宋体"/>
          <w:b w:val="0"/>
          <w:bCs w:val="0"/>
          <w:color w:val="auto"/>
          <w:sz w:val="24"/>
          <w:szCs w:val="24"/>
          <w:lang w:val="en-US" w:eastAsia="zh-CN"/>
        </w:rPr>
        <w:t>70</w:t>
      </w:r>
      <w:r>
        <w:rPr>
          <w:b w:val="0"/>
          <w:bCs w:val="0"/>
          <w:color w:val="auto"/>
          <w:sz w:val="24"/>
          <w:szCs w:val="24"/>
        </w:rPr>
        <w:t>s</w:t>
      </w:r>
      <w:r>
        <w:rPr>
          <w:rFonts w:hint="eastAsia"/>
          <w:b w:val="0"/>
          <w:bCs w:val="0"/>
          <w:color w:val="auto"/>
          <w:sz w:val="24"/>
          <w:szCs w:val="24"/>
        </w:rPr>
        <w:t>。</w:t>
      </w:r>
    </w:p>
    <w:p w14:paraId="7E5F686F">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eastAsia"/>
          <w:b w:val="0"/>
          <w:bCs w:val="0"/>
          <w:color w:val="auto"/>
          <w:sz w:val="24"/>
          <w:szCs w:val="24"/>
          <w:lang w:eastAsia="zh-CN"/>
        </w:rPr>
      </w:pPr>
      <w:r>
        <w:rPr>
          <w:rFonts w:hint="eastAsia" w:eastAsia="宋体"/>
          <w:b w:val="0"/>
          <w:bCs w:val="0"/>
          <w:color w:val="auto"/>
          <w:sz w:val="24"/>
          <w:szCs w:val="24"/>
          <w:lang w:val="en-US" w:eastAsia="zh-CN"/>
        </w:rPr>
        <w:t>8.</w:t>
      </w:r>
      <w:r>
        <w:rPr>
          <w:rFonts w:hint="eastAsia"/>
          <w:b w:val="0"/>
          <w:bCs w:val="0"/>
          <w:color w:val="auto"/>
          <w:sz w:val="24"/>
          <w:szCs w:val="24"/>
        </w:rPr>
        <w:t>内置锂电池：</w:t>
      </w:r>
      <w:r>
        <w:rPr>
          <w:rFonts w:hint="eastAsia"/>
          <w:b w:val="0"/>
          <w:bCs w:val="0"/>
          <w:color w:val="auto"/>
          <w:sz w:val="24"/>
          <w:szCs w:val="24"/>
          <w:lang w:val="en-US" w:eastAsia="zh-CN"/>
        </w:rPr>
        <w:t>满负荷运行大于12小时，待机可达30小时。</w:t>
      </w:r>
    </w:p>
    <w:p w14:paraId="5BBE358E">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eastAsia"/>
          <w:b w:val="0"/>
          <w:bCs w:val="0"/>
          <w:color w:val="auto"/>
          <w:sz w:val="24"/>
          <w:szCs w:val="24"/>
        </w:rPr>
      </w:pPr>
      <w:r>
        <w:rPr>
          <w:rFonts w:hint="eastAsia" w:eastAsia="宋体"/>
          <w:b w:val="0"/>
          <w:bCs w:val="0"/>
          <w:color w:val="auto"/>
          <w:sz w:val="24"/>
          <w:szCs w:val="24"/>
          <w:lang w:val="en-US" w:eastAsia="zh-CN"/>
        </w:rPr>
        <w:t>9.</w:t>
      </w:r>
      <w:r>
        <w:rPr>
          <w:rFonts w:hint="eastAsia"/>
          <w:b w:val="0"/>
          <w:bCs w:val="0"/>
          <w:color w:val="auto"/>
          <w:sz w:val="24"/>
          <w:szCs w:val="24"/>
        </w:rPr>
        <w:t>安全设置：</w:t>
      </w:r>
      <w:r>
        <w:rPr>
          <w:rFonts w:hint="eastAsia" w:eastAsia="宋体"/>
          <w:b w:val="0"/>
          <w:bCs w:val="0"/>
          <w:color w:val="auto"/>
          <w:sz w:val="24"/>
          <w:szCs w:val="24"/>
          <w:lang w:val="en-US" w:eastAsia="zh-CN"/>
        </w:rPr>
        <w:t>具有报警功能</w:t>
      </w:r>
      <w:r>
        <w:rPr>
          <w:rFonts w:hint="eastAsia"/>
          <w:b w:val="0"/>
          <w:bCs w:val="0"/>
          <w:color w:val="auto"/>
          <w:sz w:val="24"/>
          <w:szCs w:val="24"/>
        </w:rPr>
        <w:t>。</w:t>
      </w:r>
    </w:p>
    <w:p w14:paraId="690E7B83">
      <w:pPr>
        <w:keepNext w:val="0"/>
        <w:keepLines w:val="0"/>
        <w:pageBreakBefore w:val="0"/>
        <w:widowControl w:val="0"/>
        <w:numPr>
          <w:ilvl w:val="0"/>
          <w:numId w:val="0"/>
        </w:numPr>
        <w:kinsoku/>
        <w:wordWrap/>
        <w:overflowPunct w:val="0"/>
        <w:topLinePunct w:val="0"/>
        <w:autoSpaceDE/>
        <w:autoSpaceDN/>
        <w:bidi w:val="0"/>
        <w:adjustRightInd w:val="0"/>
        <w:snapToGrid w:val="0"/>
        <w:spacing w:line="360" w:lineRule="auto"/>
        <w:jc w:val="both"/>
        <w:textAlignment w:val="baseline"/>
        <w:rPr>
          <w:rFonts w:hint="eastAsia"/>
          <w:b w:val="0"/>
          <w:bCs w:val="0"/>
          <w:color w:val="auto"/>
          <w:sz w:val="24"/>
          <w:szCs w:val="24"/>
        </w:rPr>
      </w:pPr>
      <w:r>
        <w:rPr>
          <w:rFonts w:hint="eastAsia" w:eastAsia="宋体"/>
          <w:b w:val="0"/>
          <w:bCs w:val="0"/>
          <w:color w:val="auto"/>
          <w:sz w:val="24"/>
          <w:szCs w:val="24"/>
          <w:lang w:val="en-US" w:eastAsia="zh-CN"/>
        </w:rPr>
        <w:t>10.</w:t>
      </w:r>
      <w:r>
        <w:rPr>
          <w:rFonts w:hint="eastAsia"/>
          <w:b w:val="0"/>
          <w:bCs w:val="0"/>
          <w:color w:val="auto"/>
          <w:sz w:val="24"/>
          <w:szCs w:val="24"/>
          <w:lang w:val="en-US" w:eastAsia="zh-CN"/>
        </w:rPr>
        <w:t>两排</w:t>
      </w:r>
      <w:r>
        <w:rPr>
          <w:rFonts w:hint="eastAsia" w:ascii="Calibri" w:hAnsi="Calibri" w:eastAsia="宋体" w:cs="Times New Roman"/>
          <w:b w:val="0"/>
          <w:bCs w:val="0"/>
          <w:color w:val="000000"/>
          <w:kern w:val="2"/>
          <w:sz w:val="24"/>
          <w:szCs w:val="24"/>
          <w:lang w:val="en-US" w:eastAsia="zh-CN" w:bidi="ar-SA"/>
        </w:rPr>
        <w:t>≤</w:t>
      </w:r>
      <w:r>
        <w:rPr>
          <w:rFonts w:hint="eastAsia"/>
          <w:b w:val="0"/>
          <w:bCs w:val="0"/>
          <w:color w:val="auto"/>
          <w:sz w:val="24"/>
          <w:szCs w:val="24"/>
          <w:lang w:val="en-US" w:eastAsia="zh-CN"/>
        </w:rPr>
        <w:t>8路物理通道。</w:t>
      </w:r>
    </w:p>
    <w:p w14:paraId="538C12CD">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eastAsia"/>
          <w:b w:val="0"/>
          <w:bCs w:val="0"/>
          <w:color w:val="000000"/>
          <w:sz w:val="24"/>
          <w:szCs w:val="24"/>
        </w:rPr>
      </w:pPr>
      <w:r>
        <w:rPr>
          <w:rFonts w:hint="eastAsia" w:eastAsia="宋体"/>
          <w:b w:val="0"/>
          <w:bCs w:val="0"/>
          <w:color w:val="000000"/>
          <w:sz w:val="24"/>
          <w:szCs w:val="24"/>
          <w:lang w:val="en-US" w:eastAsia="zh-CN"/>
        </w:rPr>
        <w:t>11.</w:t>
      </w:r>
      <w:r>
        <w:rPr>
          <w:rFonts w:hint="eastAsia"/>
          <w:b w:val="0"/>
          <w:bCs w:val="0"/>
          <w:color w:val="000000"/>
          <w:sz w:val="24"/>
          <w:szCs w:val="24"/>
        </w:rPr>
        <w:t>设备有开机自检、运行中智能监测的功能，有低压、漏气、过压保护、空接套筒等报警提示。</w:t>
      </w:r>
    </w:p>
    <w:p w14:paraId="3CA69418">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eastAsia"/>
          <w:color w:val="000000"/>
          <w:sz w:val="24"/>
          <w:szCs w:val="24"/>
        </w:rPr>
      </w:pPr>
      <w:r>
        <w:rPr>
          <w:rFonts w:hint="eastAsia" w:eastAsia="宋体"/>
          <w:color w:val="000000"/>
          <w:sz w:val="24"/>
          <w:szCs w:val="24"/>
          <w:lang w:val="en-US" w:eastAsia="zh-CN"/>
        </w:rPr>
        <w:t>12.</w:t>
      </w:r>
      <w:r>
        <w:rPr>
          <w:rFonts w:hint="eastAsia"/>
          <w:color w:val="000000"/>
          <w:sz w:val="24"/>
          <w:szCs w:val="24"/>
        </w:rPr>
        <w:t>设备联网VTE系统，</w:t>
      </w:r>
      <w:r>
        <w:rPr>
          <w:rFonts w:hint="eastAsia" w:eastAsia="宋体"/>
          <w:color w:val="000000"/>
          <w:sz w:val="24"/>
          <w:szCs w:val="24"/>
          <w:lang w:val="en-US" w:eastAsia="zh-CN"/>
        </w:rPr>
        <w:t>可通过无线方式</w:t>
      </w:r>
      <w:r>
        <w:rPr>
          <w:rFonts w:hint="eastAsia"/>
          <w:color w:val="000000"/>
          <w:sz w:val="24"/>
          <w:szCs w:val="24"/>
        </w:rPr>
        <w:t>与医院</w:t>
      </w:r>
      <w:r>
        <w:rPr>
          <w:rFonts w:hint="eastAsia" w:eastAsia="宋体"/>
          <w:color w:val="000000"/>
          <w:sz w:val="24"/>
          <w:szCs w:val="24"/>
          <w:lang w:val="en-US" w:eastAsia="zh-CN"/>
        </w:rPr>
        <w:t>信息</w:t>
      </w:r>
      <w:r>
        <w:rPr>
          <w:rFonts w:hint="eastAsia" w:eastAsia="宋体"/>
          <w:color w:val="000000"/>
          <w:sz w:val="24"/>
          <w:szCs w:val="24"/>
          <w:lang w:eastAsia="zh-CN"/>
        </w:rPr>
        <w:t>系统</w:t>
      </w:r>
      <w:r>
        <w:rPr>
          <w:rFonts w:hint="eastAsia"/>
          <w:color w:val="000000"/>
          <w:sz w:val="24"/>
          <w:szCs w:val="24"/>
        </w:rPr>
        <w:t>互联互通。运行数据、动态消息显示框，界面可显示</w:t>
      </w:r>
      <w:r>
        <w:rPr>
          <w:rFonts w:hint="eastAsia" w:eastAsia="宋体"/>
          <w:color w:val="000000"/>
          <w:sz w:val="24"/>
          <w:szCs w:val="24"/>
          <w:lang w:val="en-US" w:eastAsia="zh-CN"/>
        </w:rPr>
        <w:t>患者信息</w:t>
      </w:r>
      <w:r>
        <w:rPr>
          <w:rFonts w:hint="eastAsia"/>
          <w:color w:val="000000"/>
          <w:sz w:val="24"/>
          <w:szCs w:val="24"/>
        </w:rPr>
        <w:t>。</w:t>
      </w:r>
    </w:p>
    <w:p w14:paraId="0B8F614B">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eastAsia"/>
          <w:b w:val="0"/>
          <w:bCs w:val="0"/>
          <w:color w:val="000000"/>
          <w:sz w:val="24"/>
          <w:szCs w:val="24"/>
        </w:rPr>
      </w:pPr>
      <w:r>
        <w:rPr>
          <w:rFonts w:hint="eastAsia"/>
          <w:b w:val="0"/>
          <w:bCs w:val="0"/>
          <w:color w:val="000000"/>
          <w:sz w:val="24"/>
          <w:szCs w:val="24"/>
          <w:lang w:val="en-US" w:eastAsia="zh-CN"/>
        </w:rPr>
        <w:t>13.</w:t>
      </w:r>
      <w:r>
        <w:rPr>
          <w:rFonts w:hint="eastAsia"/>
          <w:b w:val="0"/>
          <w:bCs w:val="0"/>
          <w:color w:val="000000"/>
          <w:sz w:val="24"/>
          <w:szCs w:val="24"/>
        </w:rPr>
        <w:t>腿套单人次及重复可选，具有设备一致原厂备案凭证。</w:t>
      </w:r>
    </w:p>
    <w:p w14:paraId="5AAA7456">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eastAsia" w:eastAsia="宋体"/>
          <w:color w:val="000000"/>
          <w:sz w:val="24"/>
          <w:szCs w:val="24"/>
          <w:lang w:val="en-US" w:eastAsia="zh-CN"/>
        </w:rPr>
      </w:pPr>
      <w:r>
        <w:rPr>
          <w:rFonts w:hint="eastAsia" w:eastAsia="宋体"/>
          <w:color w:val="000000"/>
          <w:sz w:val="24"/>
          <w:szCs w:val="24"/>
          <w:lang w:val="en-US" w:eastAsia="zh-CN"/>
        </w:rPr>
        <w:t>14.设备使用寿命≥8年。</w:t>
      </w:r>
    </w:p>
    <w:p w14:paraId="34645C4A">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default" w:eastAsia="宋体"/>
          <w:color w:val="000000"/>
          <w:sz w:val="24"/>
          <w:szCs w:val="24"/>
          <w:lang w:val="en-US" w:eastAsia="zh-CN"/>
        </w:rPr>
      </w:pPr>
      <w:r>
        <w:rPr>
          <w:rFonts w:hint="eastAsia" w:eastAsia="宋体"/>
          <w:color w:val="000000"/>
          <w:sz w:val="24"/>
          <w:szCs w:val="24"/>
          <w:lang w:val="en-US" w:eastAsia="zh-CN"/>
        </w:rPr>
        <w:t>15.噪声＜50分贝。</w:t>
      </w:r>
    </w:p>
    <w:p w14:paraId="44FBC0C5">
      <w:pPr>
        <w:keepNext w:val="0"/>
        <w:keepLines w:val="0"/>
        <w:pageBreakBefore w:val="0"/>
        <w:widowControl w:val="0"/>
        <w:kinsoku/>
        <w:wordWrap/>
        <w:overflowPunct w:val="0"/>
        <w:topLinePunct w:val="0"/>
        <w:autoSpaceDE/>
        <w:autoSpaceDN/>
        <w:bidi w:val="0"/>
        <w:adjustRightInd w:val="0"/>
        <w:snapToGrid w:val="0"/>
        <w:spacing w:line="360" w:lineRule="auto"/>
        <w:jc w:val="both"/>
        <w:textAlignment w:val="baseline"/>
        <w:rPr>
          <w:rFonts w:hint="default" w:eastAsia="宋体"/>
          <w:color w:val="000000"/>
          <w:sz w:val="24"/>
          <w:szCs w:val="24"/>
          <w:lang w:val="en-US" w:eastAsia="zh-CN"/>
        </w:rPr>
      </w:pPr>
      <w:r>
        <w:rPr>
          <w:rFonts w:hint="eastAsia" w:eastAsia="宋体"/>
          <w:color w:val="000000"/>
          <w:sz w:val="24"/>
          <w:szCs w:val="24"/>
          <w:lang w:val="en-US" w:eastAsia="zh-CN"/>
        </w:rPr>
        <w:t>16.配件：配备</w:t>
      </w:r>
      <w:r>
        <w:rPr>
          <w:rFonts w:hint="eastAsia" w:eastAsia="宋体"/>
          <w:sz w:val="24"/>
          <w:szCs w:val="24"/>
          <w:lang w:val="en-US" w:eastAsia="zh-CN"/>
        </w:rPr>
        <w:t>下肢套筒</w:t>
      </w:r>
      <w:r>
        <w:rPr>
          <w:rFonts w:hint="eastAsia" w:eastAsia="宋体"/>
          <w:color w:val="000000"/>
          <w:sz w:val="24"/>
          <w:szCs w:val="24"/>
          <w:lang w:val="en-US" w:eastAsia="zh-CN"/>
        </w:rPr>
        <w:t>25对、</w:t>
      </w:r>
      <w:r>
        <w:rPr>
          <w:rFonts w:hint="eastAsia" w:eastAsia="宋体"/>
          <w:sz w:val="24"/>
          <w:szCs w:val="24"/>
          <w:lang w:val="en-US" w:eastAsia="zh-CN"/>
        </w:rPr>
        <w:t>上肢套筒5对、</w:t>
      </w:r>
      <w:r>
        <w:rPr>
          <w:rFonts w:hint="eastAsia" w:eastAsia="宋体"/>
          <w:color w:val="000000"/>
          <w:sz w:val="24"/>
          <w:szCs w:val="24"/>
          <w:lang w:val="en-US" w:eastAsia="zh-CN"/>
        </w:rPr>
        <w:t>气体导管25根。</w:t>
      </w:r>
    </w:p>
    <w:p w14:paraId="42BD86CE">
      <w:pPr>
        <w:pStyle w:val="6"/>
        <w:keepNext w:val="0"/>
        <w:keepLines w:val="0"/>
        <w:pageBreakBefore w:val="0"/>
        <w:widowControl w:val="0"/>
        <w:tabs>
          <w:tab w:val="left" w:pos="3360"/>
        </w:tabs>
        <w:kinsoku/>
        <w:wordWrap/>
        <w:overflowPunct w:val="0"/>
        <w:topLinePunct w:val="0"/>
        <w:autoSpaceDE/>
        <w:autoSpaceDN/>
        <w:bidi w:val="0"/>
        <w:spacing w:line="240" w:lineRule="auto"/>
        <w:jc w:val="both"/>
        <w:rPr>
          <w:rFonts w:hint="default" w:ascii="Times New Roman" w:hAnsi="Times New Roman" w:eastAsia="宋体" w:cs="Times New Roman"/>
          <w:b w:val="0"/>
          <w:bCs w:val="0"/>
          <w:color w:val="auto"/>
          <w:kern w:val="0"/>
          <w:sz w:val="28"/>
          <w:szCs w:val="28"/>
          <w:highlight w:val="none"/>
          <w:lang w:val="en-US" w:eastAsia="zh-CN" w:bidi="ar-SA"/>
        </w:rPr>
      </w:pPr>
      <w:r>
        <w:rPr>
          <w:rFonts w:hint="eastAsia" w:ascii="Times New Roman" w:hAnsi="Times New Roman" w:eastAsia="宋体" w:cs="Times New Roman"/>
          <w:b w:val="0"/>
          <w:bCs w:val="0"/>
          <w:color w:val="auto"/>
          <w:kern w:val="0"/>
          <w:sz w:val="28"/>
          <w:szCs w:val="28"/>
          <w:highlight w:val="none"/>
          <w:lang w:val="en-US" w:eastAsia="zh-CN" w:bidi="ar-SA"/>
        </w:rPr>
        <w:t>（二）系统要求</w:t>
      </w:r>
    </w:p>
    <w:p w14:paraId="6F2DE5AE">
      <w:pPr>
        <w:pStyle w:val="6"/>
        <w:keepNext w:val="0"/>
        <w:keepLines w:val="0"/>
        <w:pageBreakBefore w:val="0"/>
        <w:widowControl w:val="0"/>
        <w:tabs>
          <w:tab w:val="left" w:pos="3360"/>
        </w:tabs>
        <w:kinsoku/>
        <w:wordWrap/>
        <w:overflowPunct w:val="0"/>
        <w:topLinePunct w:val="0"/>
        <w:autoSpaceDE/>
        <w:autoSpaceDN/>
        <w:bidi w:val="0"/>
        <w:spacing w:line="240" w:lineRule="auto"/>
        <w:jc w:val="both"/>
        <w:rPr>
          <w:rFonts w:hint="eastAsia"/>
          <w:color w:val="000000"/>
          <w:sz w:val="30"/>
          <w:szCs w:val="30"/>
        </w:rPr>
      </w:pPr>
      <w:r>
        <w:rPr>
          <w:rFonts w:hint="eastAsia"/>
          <w:color w:val="000000"/>
          <w:sz w:val="30"/>
          <w:szCs w:val="30"/>
        </w:rPr>
        <w:t>VTE系统</w:t>
      </w:r>
    </w:p>
    <w:p w14:paraId="59A3A280">
      <w:pPr>
        <w:pStyle w:val="6"/>
        <w:keepNext w:val="0"/>
        <w:keepLines w:val="0"/>
        <w:pageBreakBefore w:val="0"/>
        <w:widowControl w:val="0"/>
        <w:tabs>
          <w:tab w:val="left" w:pos="3360"/>
        </w:tabs>
        <w:kinsoku/>
        <w:wordWrap/>
        <w:overflowPunct w:val="0"/>
        <w:topLinePunct w:val="0"/>
        <w:autoSpaceDE/>
        <w:autoSpaceDN/>
        <w:bidi w:val="0"/>
        <w:spacing w:line="240" w:lineRule="auto"/>
        <w:jc w:val="both"/>
        <w:rPr>
          <w:rFonts w:hint="default" w:ascii="宋体" w:hAnsi="宋体" w:eastAsia="宋体" w:cs="宋体"/>
          <w:b w:val="0"/>
          <w:bCs w:val="0"/>
          <w:snapToGrid w:val="0"/>
          <w:color w:val="000000"/>
          <w:kern w:val="0"/>
          <w:sz w:val="24"/>
          <w:szCs w:val="24"/>
          <w:highlight w:val="none"/>
          <w:lang w:val="en-US" w:eastAsia="zh-CN" w:bidi="ar-SA"/>
        </w:rPr>
      </w:pPr>
      <w:r>
        <w:rPr>
          <w:rFonts w:hint="eastAsia" w:ascii="宋体" w:hAnsi="宋体" w:eastAsia="宋体" w:cs="宋体"/>
          <w:b w:val="0"/>
          <w:bCs w:val="0"/>
          <w:snapToGrid w:val="0"/>
          <w:color w:val="000000"/>
          <w:kern w:val="0"/>
          <w:sz w:val="24"/>
          <w:szCs w:val="24"/>
          <w:highlight w:val="none"/>
          <w:lang w:val="en-US" w:eastAsia="zh-CN" w:bidi="ar-SA"/>
        </w:rPr>
        <w:t>数量：1套</w:t>
      </w:r>
    </w:p>
    <w:p w14:paraId="170B877C">
      <w:pPr>
        <w:pStyle w:val="7"/>
        <w:keepNext w:val="0"/>
        <w:keepLines w:val="0"/>
        <w:pageBreakBefore w:val="0"/>
        <w:widowControl w:val="0"/>
        <w:tabs>
          <w:tab w:val="left" w:pos="6300"/>
        </w:tabs>
        <w:kinsoku/>
        <w:wordWrap/>
        <w:overflowPunct w:val="0"/>
        <w:topLinePunct w:val="0"/>
        <w:autoSpaceDE/>
        <w:autoSpaceDN/>
        <w:bidi w:val="0"/>
        <w:spacing w:line="240" w:lineRule="auto"/>
        <w:jc w:val="both"/>
        <w:rPr>
          <w:rFonts w:hint="eastAsia"/>
          <w:color w:val="000000"/>
          <w:sz w:val="24"/>
          <w:szCs w:val="16"/>
          <w:highlight w:val="none"/>
        </w:rPr>
      </w:pPr>
      <w:r>
        <w:rPr>
          <w:rFonts w:hint="eastAsia"/>
          <w:color w:val="000000"/>
          <w:sz w:val="24"/>
          <w:szCs w:val="16"/>
          <w:highlight w:val="none"/>
        </w:rPr>
        <w:t>总体要求：</w:t>
      </w:r>
    </w:p>
    <w:p w14:paraId="0F7B1687">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1.安全要求：必须部署在医院内网服务器，符合医院等保要求。</w:t>
      </w:r>
    </w:p>
    <w:p w14:paraId="7BE8DC2D">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2.系统开发语言要求：系统开发语言采用跨平台、扩展性强的JAVA语言，基于Docker的容器化安装，支持B/S架构。</w:t>
      </w:r>
    </w:p>
    <w:p w14:paraId="52AC4600">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3.系统对接要求：</w:t>
      </w:r>
    </w:p>
    <w:p w14:paraId="492980DE">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3.1.符合《</w:t>
      </w:r>
      <w:r>
        <w:rPr>
          <w:rFonts w:hint="eastAsia" w:ascii="宋体" w:hAnsi="宋体" w:eastAsia="宋体" w:cs="宋体"/>
          <w:color w:val="000000"/>
          <w:sz w:val="24"/>
          <w:szCs w:val="24"/>
          <w:lang w:val="en-US" w:eastAsia="zh-CN"/>
        </w:rPr>
        <w:t>三级医院-静脉血栓防治中心建设标准及评分细则（2025版）》《</w:t>
      </w:r>
      <w:r>
        <w:rPr>
          <w:rFonts w:hint="eastAsia" w:ascii="宋体" w:hAnsi="宋体" w:eastAsia="宋体" w:cs="宋体"/>
          <w:color w:val="000000"/>
          <w:sz w:val="24"/>
          <w:szCs w:val="24"/>
        </w:rPr>
        <w:t>全国</w:t>
      </w:r>
      <w:r>
        <w:rPr>
          <w:rFonts w:hint="eastAsia" w:ascii="宋体" w:hAnsi="宋体" w:eastAsia="宋体" w:cs="宋体"/>
          <w:color w:val="000000"/>
          <w:sz w:val="24"/>
          <w:szCs w:val="24"/>
          <w:lang w:val="en-US" w:eastAsia="zh-CN"/>
        </w:rPr>
        <w:t>肺栓塞和深静脉血栓形成防治能力建设项目</w:t>
      </w:r>
      <w:r>
        <w:rPr>
          <w:rFonts w:hint="eastAsia" w:ascii="宋体" w:hAnsi="宋体" w:eastAsia="宋体" w:cs="宋体"/>
          <w:color w:val="000000"/>
          <w:sz w:val="24"/>
          <w:szCs w:val="24"/>
        </w:rPr>
        <w:t>信息化</w:t>
      </w:r>
      <w:r>
        <w:rPr>
          <w:rFonts w:hint="eastAsia" w:ascii="宋体" w:hAnsi="宋体" w:eastAsia="宋体" w:cs="宋体"/>
          <w:color w:val="000000"/>
          <w:sz w:val="24"/>
          <w:szCs w:val="24"/>
          <w:lang w:val="en-US" w:eastAsia="zh-CN"/>
        </w:rPr>
        <w:t>应用</w:t>
      </w:r>
      <w:r>
        <w:rPr>
          <w:rFonts w:hint="eastAsia" w:ascii="宋体" w:hAnsi="宋体" w:eastAsia="宋体" w:cs="宋体"/>
          <w:color w:val="000000"/>
          <w:sz w:val="24"/>
          <w:szCs w:val="24"/>
        </w:rPr>
        <w:t>与</w:t>
      </w:r>
      <w:r>
        <w:rPr>
          <w:rFonts w:hint="eastAsia" w:ascii="宋体" w:hAnsi="宋体" w:eastAsia="宋体" w:cs="宋体"/>
          <w:color w:val="000000"/>
          <w:sz w:val="24"/>
          <w:szCs w:val="24"/>
          <w:lang w:val="en-US" w:eastAsia="zh-CN"/>
        </w:rPr>
        <w:t>质控管理建议</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2020版</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要求</w:t>
      </w:r>
      <w:r>
        <w:rPr>
          <w:rFonts w:hint="eastAsia" w:ascii="宋体" w:hAnsi="宋体" w:eastAsia="宋体" w:cs="宋体"/>
          <w:color w:val="000000"/>
          <w:sz w:val="24"/>
          <w:szCs w:val="24"/>
        </w:rPr>
        <w:t>。</w:t>
      </w:r>
    </w:p>
    <w:p w14:paraId="28D51FE4">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3.2.能够与医院住院电子病历对接，获取电子病历中的数据内容，包括但不限于主诉、现病史、既往史等信息。</w:t>
      </w:r>
    </w:p>
    <w:p w14:paraId="621F2013">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3.3.能够与医院医嘱对接，获取医嘱信息，包括但不限于药品、检验、检查、手术、护理医嘱</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系统能够做到提醒</w:t>
      </w:r>
      <w:r>
        <w:rPr>
          <w:rFonts w:hint="eastAsia" w:ascii="宋体" w:hAnsi="宋体" w:eastAsia="宋体" w:cs="宋体"/>
          <w:color w:val="000000"/>
          <w:sz w:val="24"/>
          <w:szCs w:val="24"/>
          <w:lang w:eastAsia="zh-CN"/>
        </w:rPr>
        <w:t>。</w:t>
      </w:r>
    </w:p>
    <w:p w14:paraId="3D7FD7D0">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3.4.能够与使用项目认可的数据平台或医院自行建立</w:t>
      </w:r>
      <w:r>
        <w:rPr>
          <w:rFonts w:hint="eastAsia" w:ascii="宋体" w:hAnsi="宋体" w:eastAsia="宋体" w:cs="宋体"/>
          <w:color w:val="000000"/>
          <w:sz w:val="24"/>
          <w:szCs w:val="24"/>
          <w:lang w:eastAsia="zh-CN"/>
        </w:rPr>
        <w:t>的专</w:t>
      </w:r>
      <w:r>
        <w:rPr>
          <w:rFonts w:hint="eastAsia" w:ascii="宋体" w:hAnsi="宋体" w:eastAsia="宋体" w:cs="宋体"/>
          <w:color w:val="000000"/>
          <w:sz w:val="24"/>
          <w:szCs w:val="24"/>
        </w:rPr>
        <w:t>病数据库（可接入国家级平台）等</w:t>
      </w:r>
      <w:r>
        <w:rPr>
          <w:rFonts w:hint="eastAsia" w:ascii="宋体" w:hAnsi="宋体" w:eastAsia="宋体" w:cs="宋体"/>
          <w:color w:val="000000"/>
          <w:sz w:val="24"/>
          <w:szCs w:val="24"/>
          <w:lang w:eastAsia="zh-CN"/>
        </w:rPr>
        <w:t>对接，</w:t>
      </w:r>
      <w:r>
        <w:rPr>
          <w:rFonts w:hint="eastAsia" w:ascii="宋体" w:hAnsi="宋体" w:eastAsia="宋体" w:cs="宋体"/>
          <w:color w:val="000000"/>
          <w:sz w:val="24"/>
          <w:szCs w:val="24"/>
        </w:rPr>
        <w:t>获取集成平台中的数据内容，包括但不限于患者病案首页</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电子病历、检验结果、检查报告、医嘱内容</w:t>
      </w:r>
      <w:r>
        <w:rPr>
          <w:rFonts w:hint="eastAsia" w:ascii="宋体" w:hAnsi="宋体" w:eastAsia="宋体" w:cs="宋体"/>
          <w:color w:val="000000"/>
          <w:sz w:val="24"/>
          <w:szCs w:val="24"/>
          <w:lang w:eastAsia="zh-CN"/>
        </w:rPr>
        <w:t>等。建立 VTE 风险评估知识规则数据库系统，存储1年VTE病例，并能及时获取患者动态数据变化，并根据变化动态的提示、预警和管控风险评估。</w:t>
      </w:r>
    </w:p>
    <w:p w14:paraId="5D98ED38">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4.数据格式化要求：不需要电子病历实现结构化录入，可以从非结构化电子病历内容中，通过机器学习，自动抽取结构化信息。</w:t>
      </w:r>
    </w:p>
    <w:p w14:paraId="3A83B2D4">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5.具有专科疾病知识数据库，且取得了中华人民共和国国家版权局颁布的具有智能化管理系统或软件；（</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若VTE系统为投标人自主开发的，须提供与投标人单位一致的软件著作权证书彩色扫描件或</w:t>
      </w:r>
      <w:r>
        <w:rPr>
          <w:rFonts w:hint="eastAsia" w:ascii="宋体" w:hAnsi="宋体" w:eastAsia="宋体" w:cs="宋体"/>
          <w:b/>
          <w:bCs/>
          <w:color w:val="000000" w:themeColor="text1"/>
          <w:sz w:val="24"/>
          <w:szCs w:val="24"/>
          <w:highlight w:val="none"/>
          <w14:textFill>
            <w14:solidFill>
              <w14:schemeClr w14:val="tx1"/>
            </w14:solidFill>
          </w14:textFill>
        </w:rPr>
        <w:t>提供计算机软件著作权人</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授权</w:t>
      </w:r>
      <w:r>
        <w:rPr>
          <w:rFonts w:hint="eastAsia" w:ascii="宋体" w:hAnsi="宋体" w:eastAsia="宋体" w:cs="宋体"/>
          <w:b/>
          <w:bCs/>
          <w:color w:val="000000" w:themeColor="text1"/>
          <w:sz w:val="24"/>
          <w:szCs w:val="24"/>
          <w:highlight w:val="none"/>
          <w14:textFill>
            <w14:solidFill>
              <w14:schemeClr w14:val="tx1"/>
            </w14:solidFill>
          </w14:textFill>
        </w:rPr>
        <w:t>本项目合法使用证明材料扫描件。</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②以上在中国版权保护中心（著作权登记系统）网站查询彩色截图）</w:t>
      </w:r>
    </w:p>
    <w:p w14:paraId="1B83CBD4">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6.具有符合三级医院－静脉血栓防治中心建设标准及评分细则（2025版）中VTE质控数据、不良事件和VTE主因死亡等上报的软著，且取得了中华人民共和国国家版权局颁布的具有智能化管理的系统或软件。（</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若VTE系统为投标人自主开发的，须提供与投标人单位一致的软件著作权证书彩色扫描件，或</w:t>
      </w:r>
      <w:r>
        <w:rPr>
          <w:rFonts w:hint="eastAsia" w:ascii="宋体" w:hAnsi="宋体" w:eastAsia="宋体" w:cs="宋体"/>
          <w:b/>
          <w:bCs/>
          <w:color w:val="000000" w:themeColor="text1"/>
          <w:sz w:val="24"/>
          <w:szCs w:val="24"/>
          <w:highlight w:val="none"/>
          <w14:textFill>
            <w14:solidFill>
              <w14:schemeClr w14:val="tx1"/>
            </w14:solidFill>
          </w14:textFill>
        </w:rPr>
        <w:t>提供计算机软件著作权人</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授权</w:t>
      </w:r>
      <w:r>
        <w:rPr>
          <w:rFonts w:hint="eastAsia" w:ascii="宋体" w:hAnsi="宋体" w:eastAsia="宋体" w:cs="宋体"/>
          <w:b/>
          <w:bCs/>
          <w:color w:val="000000" w:themeColor="text1"/>
          <w:sz w:val="24"/>
          <w:szCs w:val="24"/>
          <w:highlight w:val="none"/>
          <w14:textFill>
            <w14:solidFill>
              <w14:schemeClr w14:val="tx1"/>
            </w14:solidFill>
          </w14:textFill>
        </w:rPr>
        <w:t>本项目合法使用证明材料扫描件。</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②以上在中国版权保护中心（著作权登记系统）网站查询彩色截图）</w:t>
      </w:r>
    </w:p>
    <w:p w14:paraId="301C2DA0">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default"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7.具有设备物联管理功能，支持防治措施医嘱提醒、追踪和执行，支持后台自助添加非智能设备，根据实时医嘱自动调节机器参数和手动调节参数，进行数据统计，且取得了中华人民共和国国家版权局颁布的具有智能化管理的系统或软件。（</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若VTE系统为投标人自主开发的，须提供与投标人单位一致的软件著作权证书彩色扫描件，或</w:t>
      </w:r>
      <w:r>
        <w:rPr>
          <w:rFonts w:hint="eastAsia" w:ascii="宋体" w:hAnsi="宋体" w:eastAsia="宋体" w:cs="宋体"/>
          <w:b/>
          <w:bCs/>
          <w:color w:val="000000" w:themeColor="text1"/>
          <w:sz w:val="24"/>
          <w:szCs w:val="24"/>
          <w:highlight w:val="none"/>
          <w14:textFill>
            <w14:solidFill>
              <w14:schemeClr w14:val="tx1"/>
            </w14:solidFill>
          </w14:textFill>
        </w:rPr>
        <w:t>提供计算机软件著作权人</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授权</w:t>
      </w:r>
      <w:r>
        <w:rPr>
          <w:rFonts w:hint="eastAsia" w:ascii="宋体" w:hAnsi="宋体" w:eastAsia="宋体" w:cs="宋体"/>
          <w:b/>
          <w:bCs/>
          <w:color w:val="000000" w:themeColor="text1"/>
          <w:sz w:val="24"/>
          <w:szCs w:val="24"/>
          <w:highlight w:val="none"/>
          <w14:textFill>
            <w14:solidFill>
              <w14:schemeClr w14:val="tx1"/>
            </w14:solidFill>
          </w14:textFill>
        </w:rPr>
        <w:t>本项目合法使用证明材料扫描件。</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②以上在中国版权保护中心（著作权登记系统）网站查询彩色截图）</w:t>
      </w:r>
    </w:p>
    <w:p w14:paraId="0717256F">
      <w:pPr>
        <w:pStyle w:val="2"/>
        <w:keepNext w:val="0"/>
        <w:keepLines w:val="0"/>
        <w:pageBreakBefore w:val="0"/>
        <w:widowControl w:val="0"/>
        <w:kinsoku/>
        <w:wordWrap/>
        <w:overflowPunct w:val="0"/>
        <w:topLinePunct w:val="0"/>
        <w:autoSpaceDE/>
        <w:autoSpaceDN/>
        <w:bidi w:val="0"/>
        <w:jc w:val="both"/>
        <w:rPr>
          <w:rFonts w:hint="default" w:eastAsia="宋体"/>
          <w:color w:val="000000" w:themeColor="text1"/>
          <w:highlight w:val="none"/>
          <w:lang w:val="en-US" w:eastAsia="zh-CN"/>
          <w14:textFill>
            <w14:solidFill>
              <w14:schemeClr w14:val="tx1"/>
            </w14:solidFill>
          </w14:textFill>
        </w:rPr>
      </w:pPr>
    </w:p>
    <w:p w14:paraId="1875851C">
      <w:pPr>
        <w:pStyle w:val="7"/>
        <w:keepNext w:val="0"/>
        <w:keepLines w:val="0"/>
        <w:pageBreakBefore w:val="0"/>
        <w:widowControl w:val="0"/>
        <w:numPr>
          <w:ilvl w:val="0"/>
          <w:numId w:val="0"/>
        </w:numPr>
        <w:tabs>
          <w:tab w:val="left" w:pos="6300"/>
        </w:tabs>
        <w:kinsoku/>
        <w:wordWrap/>
        <w:overflowPunct w:val="0"/>
        <w:topLinePunct w:val="0"/>
        <w:autoSpaceDE/>
        <w:autoSpaceDN/>
        <w:bidi w:val="0"/>
        <w:ind w:firstLine="482" w:firstLineChars="200"/>
        <w:jc w:val="both"/>
        <w:rPr>
          <w:rFonts w:hint="eastAsia"/>
          <w:color w:val="000000"/>
          <w:sz w:val="24"/>
          <w:szCs w:val="16"/>
        </w:rPr>
      </w:pPr>
      <w:r>
        <w:rPr>
          <w:rFonts w:hint="eastAsia"/>
          <w:color w:val="000000"/>
          <w:sz w:val="24"/>
          <w:szCs w:val="16"/>
          <w:lang w:eastAsia="zh-CN"/>
        </w:rPr>
        <w:t>（</w:t>
      </w:r>
      <w:r>
        <w:rPr>
          <w:rFonts w:hint="eastAsia"/>
          <w:color w:val="000000"/>
          <w:sz w:val="24"/>
          <w:szCs w:val="16"/>
          <w:lang w:val="en-US" w:eastAsia="zh-CN"/>
        </w:rPr>
        <w:t>1）</w:t>
      </w:r>
      <w:r>
        <w:rPr>
          <w:rFonts w:hint="eastAsia"/>
          <w:color w:val="000000"/>
          <w:sz w:val="24"/>
          <w:szCs w:val="16"/>
        </w:rPr>
        <w:t>智能风</w:t>
      </w:r>
      <w:r>
        <w:rPr>
          <w:rFonts w:hint="eastAsia"/>
          <w:color w:val="000000"/>
          <w:sz w:val="24"/>
          <w:szCs w:val="16"/>
          <w:lang w:val="en-US" w:eastAsia="en-US"/>
        </w:rPr>
        <w:t>险</w:t>
      </w:r>
      <w:r>
        <w:rPr>
          <w:rFonts w:hint="eastAsia"/>
          <w:color w:val="000000"/>
          <w:sz w:val="24"/>
          <w:szCs w:val="16"/>
        </w:rPr>
        <w:t>评估模块</w:t>
      </w:r>
    </w:p>
    <w:p w14:paraId="7E22BB04">
      <w:pPr>
        <w:pStyle w:val="7"/>
        <w:keepNext w:val="0"/>
        <w:keepLines w:val="0"/>
        <w:pageBreakBefore w:val="0"/>
        <w:widowControl w:val="0"/>
        <w:numPr>
          <w:ilvl w:val="0"/>
          <w:numId w:val="0"/>
        </w:numPr>
        <w:tabs>
          <w:tab w:val="left" w:pos="6300"/>
        </w:tabs>
        <w:kinsoku/>
        <w:wordWrap/>
        <w:overflowPunct w:val="0"/>
        <w:topLinePunct w:val="0"/>
        <w:autoSpaceDE/>
        <w:autoSpaceDN/>
        <w:bidi w:val="0"/>
        <w:adjustRightInd w:val="0"/>
        <w:snapToGrid w:val="0"/>
        <w:spacing w:before="0" w:after="0" w:line="360" w:lineRule="exact"/>
        <w:ind w:firstLine="480" w:firstLineChars="200"/>
        <w:jc w:val="both"/>
        <w:textAlignment w:val="baseline"/>
        <w:rPr>
          <w:rFonts w:hint="eastAsia" w:ascii="Arial" w:hAnsi="Arial" w:eastAsia="宋体" w:cs="Arial"/>
          <w:b w:val="0"/>
          <w:bCs w:val="0"/>
          <w:snapToGrid w:val="0"/>
          <w:color w:val="000000"/>
          <w:sz w:val="24"/>
          <w:szCs w:val="24"/>
          <w:lang w:val="en-US" w:eastAsia="zh-CN" w:bidi="ar-SA"/>
        </w:rPr>
      </w:pPr>
      <w:r>
        <w:rPr>
          <w:rFonts w:hint="eastAsia" w:ascii="Arial" w:hAnsi="Arial" w:eastAsia="Arial" w:cs="Arial"/>
          <w:b w:val="0"/>
          <w:bCs w:val="0"/>
          <w:snapToGrid w:val="0"/>
          <w:color w:val="000000"/>
          <w:sz w:val="24"/>
          <w:szCs w:val="24"/>
          <w:lang w:val="en-US" w:eastAsia="en-US" w:bidi="ar-SA"/>
        </w:rPr>
        <w:t>建立 VTE 风险评估知识规则数据库系统，并能及时获取患者动态数据变化，并根据变化</w:t>
      </w:r>
      <w:r>
        <w:rPr>
          <w:rFonts w:hint="eastAsia" w:eastAsia="宋体" w:cs="Arial"/>
          <w:b w:val="0"/>
          <w:bCs w:val="0"/>
          <w:snapToGrid w:val="0"/>
          <w:color w:val="000000"/>
          <w:sz w:val="24"/>
          <w:szCs w:val="24"/>
          <w:lang w:val="en-US" w:eastAsia="zh-CN" w:bidi="ar-SA"/>
        </w:rPr>
        <w:t>动态</w:t>
      </w:r>
      <w:r>
        <w:rPr>
          <w:rFonts w:hint="eastAsia" w:ascii="Arial" w:hAnsi="Arial" w:eastAsia="Arial" w:cs="Arial"/>
          <w:b w:val="0"/>
          <w:bCs w:val="0"/>
          <w:snapToGrid w:val="0"/>
          <w:color w:val="000000"/>
          <w:sz w:val="24"/>
          <w:szCs w:val="24"/>
          <w:lang w:val="en-US" w:eastAsia="en-US" w:bidi="ar-SA"/>
        </w:rPr>
        <w:t>提示、预警和管控风险评估</w:t>
      </w:r>
      <w:r>
        <w:rPr>
          <w:rFonts w:hint="eastAsia" w:eastAsia="宋体" w:cs="Arial"/>
          <w:b w:val="0"/>
          <w:bCs w:val="0"/>
          <w:snapToGrid w:val="0"/>
          <w:color w:val="000000"/>
          <w:sz w:val="24"/>
          <w:szCs w:val="24"/>
          <w:lang w:val="en-US" w:eastAsia="zh-CN" w:bidi="ar-SA"/>
        </w:rPr>
        <w:t>。</w:t>
      </w:r>
    </w:p>
    <w:p w14:paraId="389AEEDB">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rFonts w:hint="eastAsia"/>
          <w:color w:val="000000"/>
          <w:sz w:val="24"/>
          <w:szCs w:val="18"/>
        </w:rPr>
      </w:pPr>
      <w:r>
        <w:rPr>
          <w:rFonts w:hint="eastAsia"/>
          <w:color w:val="000000"/>
          <w:sz w:val="24"/>
          <w:szCs w:val="18"/>
        </w:rPr>
        <w:t>1.1静脉血栓风险评估</w:t>
      </w:r>
    </w:p>
    <w:p w14:paraId="46D36E85">
      <w:pPr>
        <w:keepNext w:val="0"/>
        <w:keepLines w:val="0"/>
        <w:pageBreakBefore w:val="0"/>
        <w:widowControl w:val="0"/>
        <w:kinsoku/>
        <w:wordWrap/>
        <w:overflowPunct w:val="0"/>
        <w:topLinePunct w:val="0"/>
        <w:autoSpaceDE/>
        <w:autoSpaceDN/>
        <w:bidi w:val="0"/>
        <w:adjustRightInd w:val="0"/>
        <w:snapToGrid w:val="0"/>
        <w:jc w:val="both"/>
        <w:textAlignment w:val="baseline"/>
        <w:rPr>
          <w:color w:val="000000"/>
          <w:sz w:val="24"/>
          <w:szCs w:val="24"/>
        </w:rPr>
      </w:pPr>
      <w:r>
        <w:rPr>
          <w:rFonts w:hint="eastAsia" w:eastAsia="宋体"/>
          <w:color w:val="000000"/>
          <w:sz w:val="24"/>
          <w:szCs w:val="18"/>
          <w:lang w:val="en-US" w:eastAsia="zh-CN"/>
        </w:rPr>
        <w:t xml:space="preserve">      </w:t>
      </w:r>
      <w:r>
        <w:rPr>
          <w:rStyle w:val="13"/>
          <w:rFonts w:hint="eastAsia" w:ascii="Times New Roman" w:hAnsi="Times New Roman" w:eastAsia="宋体" w:cs="Times New Roman"/>
          <w:b/>
          <w:bCs/>
          <w:color w:val="000000"/>
          <w:sz w:val="24"/>
          <w:szCs w:val="24"/>
          <w:lang w:val="en-US" w:eastAsia="zh-CN"/>
        </w:rPr>
        <w:t xml:space="preserve"> 1.1.1</w:t>
      </w:r>
      <w:r>
        <w:rPr>
          <w:rStyle w:val="13"/>
          <w:rFonts w:ascii="Times New Roman" w:hAnsi="Times New Roman" w:eastAsia="宋体" w:cs="Times New Roman"/>
          <w:b/>
          <w:bCs/>
          <w:color w:val="000000"/>
          <w:sz w:val="24"/>
          <w:szCs w:val="24"/>
        </w:rPr>
        <w:t>智能化：系</w:t>
      </w:r>
      <w:r>
        <w:rPr>
          <w:color w:val="000000"/>
          <w:sz w:val="24"/>
          <w:szCs w:val="24"/>
        </w:rPr>
        <w:t>统基于NLP自然语言处理技术，可对结构化、非结构化电子病历及出院记录文本开展实时智能分析，自动分段分句并解析出入院及出院日期、入院情况、诊断、诊疗经过、出院</w:t>
      </w:r>
      <w:r>
        <w:rPr>
          <w:rFonts w:hint="eastAsia" w:eastAsia="宋体"/>
          <w:color w:val="000000"/>
          <w:sz w:val="24"/>
          <w:szCs w:val="24"/>
          <w:lang w:eastAsia="zh-CN"/>
        </w:rPr>
        <w:t>情况</w:t>
      </w:r>
      <w:r>
        <w:rPr>
          <w:color w:val="000000"/>
          <w:sz w:val="24"/>
          <w:szCs w:val="24"/>
        </w:rPr>
        <w:t>、医嘱等内容；自动识别医学实体并关联实体关系，通过机器学习抽取结构化信息，实现自动勾选填充、识别风险评估要素、抓取计算数据，自动完成量表风险评估</w:t>
      </w:r>
      <w:r>
        <w:rPr>
          <w:rFonts w:hint="eastAsia" w:eastAsia="宋体"/>
          <w:color w:val="000000"/>
          <w:sz w:val="24"/>
          <w:szCs w:val="24"/>
          <w:lang w:eastAsia="zh-CN"/>
        </w:rPr>
        <w:t>。</w:t>
      </w:r>
      <w:r>
        <w:rPr>
          <w:rFonts w:hint="eastAsia" w:eastAsia="宋体"/>
          <w:color w:val="000000"/>
          <w:sz w:val="24"/>
          <w:szCs w:val="24"/>
          <w:lang w:val="en-US" w:eastAsia="zh-CN"/>
        </w:rPr>
        <w:t>自动计算总分，并判断风险评估等级，并在24小时内自动完成</w:t>
      </w:r>
      <w:r>
        <w:rPr>
          <w:color w:val="000000"/>
          <w:sz w:val="24"/>
          <w:szCs w:val="24"/>
        </w:rPr>
        <w:t>。</w:t>
      </w:r>
    </w:p>
    <w:p w14:paraId="4ECA5A01">
      <w:pPr>
        <w:keepNext w:val="0"/>
        <w:keepLines w:val="0"/>
        <w:pageBreakBefore w:val="0"/>
        <w:widowControl w:val="0"/>
        <w:suppressLineNumbers w:val="0"/>
        <w:kinsoku/>
        <w:wordWrap/>
        <w:overflowPunct w:val="0"/>
        <w:topLinePunct w:val="0"/>
        <w:autoSpaceDE/>
        <w:autoSpaceDN/>
        <w:bidi w:val="0"/>
        <w:ind w:firstLine="482" w:firstLineChars="200"/>
        <w:jc w:val="both"/>
        <w:rPr>
          <w:color w:val="000000"/>
          <w:sz w:val="24"/>
          <w:szCs w:val="24"/>
        </w:rPr>
      </w:pPr>
      <w:r>
        <w:rPr>
          <w:rStyle w:val="13"/>
          <w:rFonts w:hint="eastAsia" w:ascii="Times New Roman" w:hAnsi="Times New Roman" w:eastAsia="宋体" w:cs="Times New Roman"/>
          <w:b/>
          <w:bCs/>
          <w:color w:val="000000"/>
          <w:sz w:val="24"/>
          <w:szCs w:val="24"/>
          <w:lang w:val="en-US" w:eastAsia="zh-CN"/>
        </w:rPr>
        <w:t>1.1.2全</w:t>
      </w:r>
      <w:r>
        <w:rPr>
          <w:rStyle w:val="13"/>
          <w:rFonts w:hint="eastAsia" w:ascii="Times New Roman" w:hAnsi="Times New Roman" w:eastAsia="宋体" w:cs="Times New Roman"/>
          <w:b/>
          <w:bCs/>
          <w:color w:val="000000"/>
          <w:sz w:val="24"/>
          <w:szCs w:val="24"/>
          <w:lang w:eastAsia="zh-CN"/>
        </w:rPr>
        <w:t>量表覆</w:t>
      </w:r>
      <w:r>
        <w:rPr>
          <w:rStyle w:val="13"/>
          <w:b/>
          <w:bCs/>
          <w:color w:val="000000"/>
          <w:sz w:val="24"/>
          <w:szCs w:val="24"/>
        </w:rPr>
        <w:t>盖</w:t>
      </w:r>
      <w:r>
        <w:rPr>
          <w:color w:val="000000"/>
          <w:sz w:val="24"/>
          <w:szCs w:val="24"/>
        </w:rPr>
        <w:t>：内置多种静脉血栓风险相关评估量表，包含Caprini、Padua、</w:t>
      </w:r>
      <w:r>
        <w:rPr>
          <w:rFonts w:hint="eastAsia" w:eastAsia="宋体"/>
          <w:color w:val="000000"/>
          <w:sz w:val="24"/>
          <w:szCs w:val="24"/>
          <w:lang w:val="en-US" w:eastAsia="zh-CN"/>
        </w:rPr>
        <w:t>Khorana标准</w:t>
      </w:r>
      <w:r>
        <w:rPr>
          <w:color w:val="000000"/>
          <w:sz w:val="24"/>
          <w:szCs w:val="24"/>
        </w:rPr>
        <w:t>量表、2015版RCOG量表、2020昆士兰量表、肿瘤科评估</w:t>
      </w:r>
      <w:r>
        <w:rPr>
          <w:rFonts w:hint="eastAsia" w:eastAsia="宋体"/>
          <w:color w:val="000000"/>
          <w:sz w:val="24"/>
          <w:szCs w:val="24"/>
          <w:lang w:eastAsia="zh-CN"/>
        </w:rPr>
        <w:t>量表、</w:t>
      </w:r>
      <w:r>
        <w:rPr>
          <w:color w:val="000000"/>
          <w:sz w:val="24"/>
          <w:szCs w:val="24"/>
        </w:rPr>
        <w:t>外科及内科出血风险评估</w:t>
      </w:r>
      <w:r>
        <w:rPr>
          <w:rFonts w:hint="eastAsia" w:eastAsia="宋体"/>
          <w:color w:val="000000"/>
          <w:sz w:val="24"/>
          <w:szCs w:val="24"/>
          <w:lang w:eastAsia="zh-CN"/>
        </w:rPr>
        <w:t>量表、</w:t>
      </w:r>
      <w:r>
        <w:rPr>
          <w:color w:val="000000"/>
          <w:sz w:val="24"/>
          <w:szCs w:val="24"/>
        </w:rPr>
        <w:t>机械预防禁忌评估</w:t>
      </w:r>
      <w:r>
        <w:rPr>
          <w:rFonts w:hint="eastAsia" w:eastAsia="宋体"/>
          <w:color w:val="000000"/>
          <w:sz w:val="24"/>
          <w:szCs w:val="24"/>
          <w:lang w:eastAsia="zh-CN"/>
        </w:rPr>
        <w:t>量表、</w:t>
      </w:r>
      <w:r>
        <w:rPr>
          <w:color w:val="000000"/>
          <w:sz w:val="24"/>
          <w:szCs w:val="24"/>
        </w:rPr>
        <w:t>DVTWells</w:t>
      </w:r>
      <w:r>
        <w:rPr>
          <w:rFonts w:hint="eastAsia" w:eastAsia="宋体"/>
          <w:color w:val="000000"/>
          <w:sz w:val="24"/>
          <w:szCs w:val="24"/>
          <w:lang w:eastAsia="zh-CN"/>
        </w:rPr>
        <w:t>评估模型、</w:t>
      </w:r>
      <w:r>
        <w:rPr>
          <w:color w:val="000000"/>
          <w:sz w:val="24"/>
          <w:szCs w:val="24"/>
        </w:rPr>
        <w:t>PE简化Wells评估模型</w:t>
      </w:r>
      <w:r>
        <w:rPr>
          <w:rFonts w:hint="eastAsia"/>
          <w:color w:val="000000"/>
          <w:sz w:val="24"/>
          <w:szCs w:val="24"/>
          <w:lang w:eastAsia="zh-CN"/>
        </w:rPr>
        <w:t>、</w:t>
      </w:r>
      <w:r>
        <w:rPr>
          <w:rFonts w:hint="default"/>
          <w:color w:val="000000"/>
          <w:sz w:val="24"/>
          <w:szCs w:val="24"/>
          <w:lang w:val="en-US" w:eastAsia="zh-CN"/>
        </w:rPr>
        <w:t xml:space="preserve">VTE </w:t>
      </w:r>
      <w:r>
        <w:rPr>
          <w:color w:val="000000"/>
          <w:sz w:val="24"/>
          <w:szCs w:val="24"/>
          <w:lang w:val="en-US" w:eastAsia="zh-CN"/>
        </w:rPr>
        <w:t>足疗程预防</w:t>
      </w:r>
      <w:r>
        <w:rPr>
          <w:rFonts w:hint="eastAsia"/>
          <w:color w:val="000000"/>
          <w:sz w:val="24"/>
          <w:szCs w:val="24"/>
          <w:lang w:val="en-US" w:eastAsia="zh-CN"/>
        </w:rPr>
        <w:t>评估量表</w:t>
      </w:r>
      <w:r>
        <w:rPr>
          <w:color w:val="000000"/>
          <w:sz w:val="24"/>
          <w:szCs w:val="24"/>
        </w:rPr>
        <w:t>等。</w:t>
      </w:r>
    </w:p>
    <w:p w14:paraId="78BFB6C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2" w:firstLineChars="200"/>
        <w:jc w:val="both"/>
        <w:textAlignment w:val="baseline"/>
        <w:rPr>
          <w:color w:val="000000"/>
          <w:sz w:val="24"/>
          <w:szCs w:val="24"/>
        </w:rPr>
      </w:pPr>
      <w:r>
        <w:rPr>
          <w:rStyle w:val="13"/>
          <w:rFonts w:hint="eastAsia" w:ascii="Times New Roman" w:hAnsi="Times New Roman" w:eastAsia="宋体" w:cs="Times New Roman"/>
          <w:b/>
          <w:bCs/>
          <w:color w:val="000000"/>
          <w:sz w:val="24"/>
          <w:szCs w:val="24"/>
          <w:lang w:val="en-US" w:eastAsia="zh-CN"/>
        </w:rPr>
        <w:t>1.1.3</w:t>
      </w:r>
      <w:r>
        <w:rPr>
          <w:rStyle w:val="13"/>
          <w:rFonts w:hint="eastAsia" w:ascii="Times New Roman" w:hAnsi="Times New Roman" w:eastAsia="宋体" w:cs="Times New Roman"/>
          <w:b/>
          <w:bCs/>
          <w:color w:val="000000"/>
          <w:sz w:val="24"/>
          <w:szCs w:val="24"/>
          <w:lang w:eastAsia="zh-CN"/>
        </w:rPr>
        <w:t>自动</w:t>
      </w:r>
      <w:r>
        <w:rPr>
          <w:rStyle w:val="13"/>
          <w:b/>
          <w:bCs/>
          <w:color w:val="000000"/>
          <w:sz w:val="24"/>
          <w:szCs w:val="24"/>
        </w:rPr>
        <w:t>匹配</w:t>
      </w:r>
      <w:r>
        <w:rPr>
          <w:color w:val="000000"/>
          <w:sz w:val="24"/>
          <w:szCs w:val="24"/>
        </w:rPr>
        <w:t>：可依据患者病情及科室自定义规则，自动匹配并开展Wells</w:t>
      </w:r>
      <w:r>
        <w:rPr>
          <w:color w:val="000000"/>
          <w:sz w:val="24"/>
          <w:szCs w:val="24"/>
        </w:rPr>
        <w:noBreakHyphen/>
      </w:r>
      <w:r>
        <w:rPr>
          <w:color w:val="000000"/>
          <w:sz w:val="24"/>
          <w:szCs w:val="24"/>
        </w:rPr>
        <w:t>DVT</w:t>
      </w:r>
      <w:r>
        <w:rPr>
          <w:rFonts w:hint="eastAsia" w:eastAsia="宋体"/>
          <w:color w:val="000000"/>
          <w:sz w:val="24"/>
          <w:szCs w:val="24"/>
          <w:lang w:eastAsia="zh-CN"/>
        </w:rPr>
        <w:t>评估、</w:t>
      </w:r>
      <w:r>
        <w:rPr>
          <w:color w:val="000000"/>
          <w:sz w:val="24"/>
          <w:szCs w:val="24"/>
        </w:rPr>
        <w:t>Wells</w:t>
      </w:r>
      <w:r>
        <w:rPr>
          <w:color w:val="000000"/>
          <w:sz w:val="24"/>
          <w:szCs w:val="24"/>
        </w:rPr>
        <w:noBreakHyphen/>
      </w:r>
      <w:r>
        <w:rPr>
          <w:color w:val="000000"/>
          <w:sz w:val="24"/>
          <w:szCs w:val="24"/>
        </w:rPr>
        <w:t>PTE</w:t>
      </w:r>
      <w:r>
        <w:rPr>
          <w:rFonts w:hint="eastAsia" w:eastAsia="宋体"/>
          <w:color w:val="000000"/>
          <w:sz w:val="24"/>
          <w:szCs w:val="24"/>
          <w:lang w:eastAsia="zh-CN"/>
        </w:rPr>
        <w:t>评估、</w:t>
      </w:r>
      <w:r>
        <w:rPr>
          <w:color w:val="000000"/>
          <w:sz w:val="24"/>
          <w:szCs w:val="24"/>
        </w:rPr>
        <w:t>Geneva量表</w:t>
      </w:r>
      <w:r>
        <w:rPr>
          <w:rFonts w:hint="eastAsia" w:eastAsia="宋体"/>
          <w:color w:val="000000"/>
          <w:sz w:val="24"/>
          <w:szCs w:val="24"/>
          <w:lang w:eastAsia="zh-CN"/>
        </w:rPr>
        <w:t>评估、</w:t>
      </w:r>
      <w:r>
        <w:rPr>
          <w:color w:val="000000"/>
          <w:sz w:val="24"/>
          <w:szCs w:val="24"/>
        </w:rPr>
        <w:t>肺栓塞危险分层评分、肺血栓栓塞症分层、肿瘤妇科VTE风险因素</w:t>
      </w:r>
      <w:r>
        <w:rPr>
          <w:rFonts w:hint="eastAsia" w:eastAsia="宋体"/>
          <w:color w:val="000000"/>
          <w:sz w:val="24"/>
          <w:szCs w:val="24"/>
          <w:lang w:eastAsia="zh-CN"/>
        </w:rPr>
        <w:t>评估等</w:t>
      </w:r>
      <w:r>
        <w:rPr>
          <w:color w:val="000000"/>
          <w:sz w:val="24"/>
          <w:szCs w:val="24"/>
        </w:rPr>
        <w:t>。</w:t>
      </w:r>
    </w:p>
    <w:p w14:paraId="04641D0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2" w:firstLineChars="200"/>
        <w:jc w:val="both"/>
        <w:textAlignment w:val="baseline"/>
        <w:rPr>
          <w:color w:val="000000"/>
          <w:sz w:val="24"/>
          <w:szCs w:val="24"/>
        </w:rPr>
      </w:pPr>
      <w:r>
        <w:rPr>
          <w:rStyle w:val="13"/>
          <w:rFonts w:hint="eastAsia" w:eastAsia="宋体"/>
          <w:b/>
          <w:bCs/>
          <w:color w:val="000000"/>
          <w:sz w:val="24"/>
          <w:szCs w:val="24"/>
          <w:lang w:val="en-US" w:eastAsia="zh-CN"/>
        </w:rPr>
        <w:t>1.1.4</w:t>
      </w:r>
      <w:r>
        <w:rPr>
          <w:rStyle w:val="13"/>
          <w:b/>
          <w:bCs/>
          <w:color w:val="000000"/>
          <w:sz w:val="24"/>
          <w:szCs w:val="24"/>
        </w:rPr>
        <w:t>动态评估</w:t>
      </w:r>
      <w:r>
        <w:rPr>
          <w:color w:val="000000"/>
          <w:sz w:val="24"/>
          <w:szCs w:val="24"/>
        </w:rPr>
        <w:t>：支持自定义及预设VTE风险评估节点，可自动评分与手动评估；预设节点含入院后、手术前后、转科前后、病情变化、阶段小结、</w:t>
      </w:r>
      <w:r>
        <w:rPr>
          <w:rFonts w:hint="eastAsia" w:eastAsia="宋体"/>
          <w:color w:val="000000"/>
          <w:sz w:val="24"/>
          <w:szCs w:val="24"/>
          <w:lang w:val="en-US" w:eastAsia="zh-CN"/>
        </w:rPr>
        <w:t>大型操作前后、</w:t>
      </w:r>
      <w:r>
        <w:rPr>
          <w:color w:val="000000"/>
          <w:sz w:val="24"/>
          <w:szCs w:val="24"/>
        </w:rPr>
        <w:t>出院前等。</w:t>
      </w:r>
    </w:p>
    <w:p w14:paraId="03588910">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2" w:firstLineChars="200"/>
        <w:jc w:val="both"/>
        <w:textAlignment w:val="baseline"/>
        <w:rPr>
          <w:color w:val="000000"/>
          <w:sz w:val="24"/>
          <w:szCs w:val="24"/>
        </w:rPr>
      </w:pPr>
      <w:r>
        <w:rPr>
          <w:rStyle w:val="13"/>
          <w:rFonts w:hint="eastAsia" w:eastAsia="宋体"/>
          <w:b/>
          <w:bCs/>
          <w:color w:val="000000"/>
          <w:sz w:val="24"/>
          <w:szCs w:val="24"/>
          <w:lang w:val="en-US" w:eastAsia="zh-CN"/>
        </w:rPr>
        <w:t>1.1.5</w:t>
      </w:r>
      <w:r>
        <w:rPr>
          <w:rStyle w:val="13"/>
          <w:b/>
          <w:bCs/>
          <w:color w:val="000000"/>
          <w:sz w:val="24"/>
          <w:szCs w:val="24"/>
        </w:rPr>
        <w:t>智能节点识别</w:t>
      </w:r>
      <w:r>
        <w:rPr>
          <w:color w:val="000000"/>
          <w:sz w:val="24"/>
          <w:szCs w:val="24"/>
        </w:rPr>
        <w:t>：系统自动识别患者住院进程状态，状态变化时自动触发VTE风险评估，并提醒医护确认结果。</w:t>
      </w:r>
    </w:p>
    <w:p w14:paraId="60B99EBC">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2" w:firstLineChars="200"/>
        <w:jc w:val="both"/>
        <w:textAlignment w:val="baseline"/>
        <w:rPr>
          <w:color w:val="000000"/>
          <w:sz w:val="24"/>
          <w:szCs w:val="24"/>
        </w:rPr>
      </w:pPr>
      <w:r>
        <w:rPr>
          <w:rStyle w:val="13"/>
          <w:rFonts w:hint="eastAsia" w:eastAsia="宋体"/>
          <w:b/>
          <w:bCs/>
          <w:color w:val="000000"/>
          <w:sz w:val="24"/>
          <w:szCs w:val="24"/>
          <w:lang w:val="en-US" w:eastAsia="zh-CN"/>
        </w:rPr>
        <w:t>1.1.6</w:t>
      </w:r>
      <w:r>
        <w:rPr>
          <w:rStyle w:val="13"/>
          <w:b/>
          <w:bCs/>
          <w:color w:val="000000"/>
          <w:sz w:val="24"/>
          <w:szCs w:val="24"/>
        </w:rPr>
        <w:t>人机对比</w:t>
      </w:r>
      <w:r>
        <w:rPr>
          <w:color w:val="000000"/>
          <w:sz w:val="24"/>
          <w:szCs w:val="24"/>
        </w:rPr>
        <w:t>：支持人工复核系统评估结果，人工与系统评估不一致时以底色等方式标识差异，可重新手动选择评估。</w:t>
      </w:r>
    </w:p>
    <w:p w14:paraId="3E8D0A29">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2" w:firstLineChars="200"/>
        <w:jc w:val="both"/>
        <w:textAlignment w:val="baseline"/>
        <w:rPr>
          <w:color w:val="000000"/>
          <w:sz w:val="24"/>
          <w:szCs w:val="24"/>
        </w:rPr>
      </w:pPr>
      <w:r>
        <w:rPr>
          <w:rStyle w:val="13"/>
          <w:rFonts w:hint="eastAsia" w:eastAsia="宋体"/>
          <w:b/>
          <w:bCs/>
          <w:color w:val="000000"/>
          <w:sz w:val="24"/>
          <w:szCs w:val="24"/>
          <w:lang w:val="en-US" w:eastAsia="zh-CN"/>
        </w:rPr>
        <w:t>1.1.7</w:t>
      </w:r>
      <w:r>
        <w:rPr>
          <w:rStyle w:val="13"/>
          <w:b/>
          <w:bCs/>
          <w:color w:val="000000"/>
          <w:sz w:val="24"/>
          <w:szCs w:val="24"/>
        </w:rPr>
        <w:t>一键溯源</w:t>
      </w:r>
      <w:r>
        <w:rPr>
          <w:color w:val="000000"/>
          <w:sz w:val="24"/>
          <w:szCs w:val="24"/>
        </w:rPr>
        <w:t>：支持一键查看自动评估的数据来源，便于医护核查评估准确性。</w:t>
      </w:r>
    </w:p>
    <w:p w14:paraId="572DCF21">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2" w:firstLineChars="200"/>
        <w:jc w:val="both"/>
        <w:textAlignment w:val="baseline"/>
        <w:rPr>
          <w:color w:val="000000"/>
          <w:sz w:val="24"/>
          <w:szCs w:val="24"/>
        </w:rPr>
      </w:pPr>
      <w:r>
        <w:rPr>
          <w:rStyle w:val="13"/>
          <w:rFonts w:hint="eastAsia" w:eastAsia="宋体"/>
          <w:b/>
          <w:bCs/>
          <w:color w:val="000000"/>
          <w:sz w:val="24"/>
          <w:szCs w:val="24"/>
          <w:lang w:val="en-US" w:eastAsia="zh-CN"/>
        </w:rPr>
        <w:t>1.1.8</w:t>
      </w:r>
      <w:r>
        <w:rPr>
          <w:rStyle w:val="13"/>
          <w:b/>
          <w:bCs/>
          <w:color w:val="000000"/>
          <w:sz w:val="24"/>
          <w:szCs w:val="24"/>
        </w:rPr>
        <w:t>量表自定义</w:t>
      </w:r>
      <w:r>
        <w:rPr>
          <w:color w:val="000000"/>
          <w:sz w:val="24"/>
          <w:szCs w:val="24"/>
        </w:rPr>
        <w:t>：支持医院自定义评估量表及附加配置项。</w:t>
      </w:r>
    </w:p>
    <w:p w14:paraId="6AB00698">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2" w:firstLineChars="200"/>
        <w:jc w:val="both"/>
        <w:textAlignment w:val="baseline"/>
        <w:rPr>
          <w:color w:val="000000"/>
          <w:sz w:val="24"/>
          <w:szCs w:val="24"/>
        </w:rPr>
      </w:pPr>
      <w:r>
        <w:rPr>
          <w:rStyle w:val="13"/>
          <w:rFonts w:hint="eastAsia" w:eastAsia="宋体"/>
          <w:b/>
          <w:bCs/>
          <w:color w:val="000000"/>
          <w:sz w:val="24"/>
          <w:szCs w:val="24"/>
          <w:lang w:val="en-US" w:eastAsia="zh-CN"/>
        </w:rPr>
        <w:t>1.1.9</w:t>
      </w:r>
      <w:r>
        <w:rPr>
          <w:rStyle w:val="13"/>
          <w:b/>
          <w:bCs/>
          <w:color w:val="000000"/>
          <w:sz w:val="24"/>
          <w:szCs w:val="24"/>
        </w:rPr>
        <w:t>流程与文书管理</w:t>
      </w:r>
      <w:r>
        <w:rPr>
          <w:color w:val="000000"/>
          <w:sz w:val="24"/>
          <w:szCs w:val="24"/>
        </w:rPr>
        <w:t>：可配置VTE风险评估医护审核流程，支持抗凝治疗知情同意书、宣教材料、VTE知情同意书的配置与打印。</w:t>
      </w:r>
    </w:p>
    <w:p w14:paraId="674A6E11">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2" w:firstLineChars="200"/>
        <w:jc w:val="both"/>
        <w:textAlignment w:val="baseline"/>
        <w:rPr>
          <w:color w:val="000000"/>
          <w:sz w:val="24"/>
          <w:szCs w:val="24"/>
        </w:rPr>
      </w:pPr>
      <w:r>
        <w:rPr>
          <w:rStyle w:val="13"/>
          <w:rFonts w:hint="eastAsia" w:eastAsia="宋体"/>
          <w:b/>
          <w:bCs/>
          <w:color w:val="000000"/>
          <w:sz w:val="24"/>
          <w:szCs w:val="24"/>
          <w:lang w:val="en-US" w:eastAsia="zh-CN"/>
        </w:rPr>
        <w:t>1.1.10</w:t>
      </w:r>
      <w:r>
        <w:rPr>
          <w:rStyle w:val="13"/>
          <w:b/>
          <w:bCs/>
          <w:color w:val="000000"/>
          <w:sz w:val="24"/>
          <w:szCs w:val="24"/>
        </w:rPr>
        <w:t>记录展示</w:t>
      </w:r>
      <w:r>
        <w:rPr>
          <w:color w:val="000000"/>
          <w:sz w:val="24"/>
          <w:szCs w:val="24"/>
        </w:rPr>
        <w:t>：支持以时间轴形式展示历次VTE评估记录及趋势图。</w:t>
      </w:r>
    </w:p>
    <w:p w14:paraId="434B0689">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rFonts w:hint="eastAsia"/>
          <w:color w:val="000000"/>
          <w:sz w:val="24"/>
          <w:szCs w:val="18"/>
          <w:lang w:val="en-US" w:eastAsia="en-US"/>
        </w:rPr>
      </w:pPr>
      <w:r>
        <w:rPr>
          <w:rFonts w:hint="eastAsia"/>
          <w:color w:val="000000"/>
          <w:sz w:val="24"/>
          <w:szCs w:val="18"/>
        </w:rPr>
        <w:t>1.2出血风险评估</w:t>
      </w:r>
    </w:p>
    <w:p w14:paraId="0F7E044D">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Arial" w:hAnsi="Arial" w:eastAsia="Arial" w:cs="Arial"/>
          <w:b w:val="0"/>
          <w:snapToGrid w:val="0"/>
          <w:color w:val="000000"/>
          <w:sz w:val="24"/>
          <w:szCs w:val="24"/>
          <w:lang w:val="en-US" w:eastAsia="zh-CN" w:bidi="ar-SA"/>
        </w:rPr>
      </w:pPr>
      <w:r>
        <w:rPr>
          <w:rFonts w:hint="eastAsia" w:ascii="Arial" w:hAnsi="Arial" w:eastAsia="Arial" w:cs="Arial"/>
          <w:b w:val="0"/>
          <w:snapToGrid w:val="0"/>
          <w:color w:val="000000"/>
          <w:sz w:val="24"/>
          <w:szCs w:val="24"/>
          <w:lang w:val="en-US" w:eastAsia="zh-CN" w:bidi="ar-SA"/>
        </w:rPr>
        <w:t>1.2.1支持自动识别VTE中高危患者，并按规则自动触发外科/内科出血风险评估；系统可提取所有患者病史、用药、检验检查等信息，自动判断出血风险，在电子病历或HIS界面提醒医生，支持查看具体危险因素并一键追溯原始数据来源，并在24小时内自动完成。</w:t>
      </w:r>
    </w:p>
    <w:p w14:paraId="1A3CD69A">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Arial" w:hAnsi="Arial" w:eastAsia="Arial" w:cs="Arial"/>
          <w:b w:val="0"/>
          <w:snapToGrid w:val="0"/>
          <w:color w:val="000000"/>
          <w:sz w:val="24"/>
          <w:szCs w:val="24"/>
          <w:lang w:val="en-US" w:eastAsia="zh-CN" w:bidi="ar-SA"/>
        </w:rPr>
      </w:pPr>
      <w:r>
        <w:rPr>
          <w:rFonts w:hint="eastAsia" w:ascii="Arial" w:hAnsi="Arial" w:eastAsia="Arial" w:cs="Arial"/>
          <w:b w:val="0"/>
          <w:snapToGrid w:val="0"/>
          <w:color w:val="000000"/>
          <w:sz w:val="24"/>
          <w:szCs w:val="24"/>
          <w:lang w:val="en-US" w:eastAsia="zh-CN" w:bidi="ar-SA"/>
        </w:rPr>
        <w:t>1.2.2基于NLP及规则演算技术，自动抓取、计算数据，自动勾选并填充评估量表内容。</w:t>
      </w:r>
    </w:p>
    <w:p w14:paraId="5AD066D6">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Arial" w:hAnsi="Arial" w:eastAsia="Arial" w:cs="Arial"/>
          <w:b w:val="0"/>
          <w:snapToGrid w:val="0"/>
          <w:color w:val="000000"/>
          <w:sz w:val="24"/>
          <w:szCs w:val="24"/>
          <w:lang w:val="en-US" w:eastAsia="zh-CN" w:bidi="ar-SA"/>
        </w:rPr>
      </w:pPr>
      <w:r>
        <w:rPr>
          <w:rFonts w:hint="eastAsia" w:ascii="Arial" w:hAnsi="Arial" w:eastAsia="Arial" w:cs="Arial"/>
          <w:b w:val="0"/>
          <w:snapToGrid w:val="0"/>
          <w:color w:val="000000"/>
          <w:sz w:val="24"/>
          <w:szCs w:val="24"/>
          <w:lang w:val="en-US" w:eastAsia="zh-CN" w:bidi="ar-SA"/>
        </w:rPr>
        <w:t>1.2.3支持对自动评估结果进行人工复核与确认。</w:t>
      </w:r>
    </w:p>
    <w:p w14:paraId="48284BA2">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Arial" w:hAnsi="Arial" w:eastAsia="Arial" w:cs="Arial"/>
          <w:b w:val="0"/>
          <w:snapToGrid w:val="0"/>
          <w:color w:val="000000"/>
          <w:sz w:val="24"/>
          <w:szCs w:val="24"/>
          <w:lang w:val="en-US" w:eastAsia="zh-CN" w:bidi="ar-SA"/>
        </w:rPr>
      </w:pPr>
      <w:r>
        <w:rPr>
          <w:rFonts w:hint="eastAsia" w:ascii="Arial" w:hAnsi="Arial" w:eastAsia="Arial" w:cs="Arial"/>
          <w:b w:val="0"/>
          <w:snapToGrid w:val="0"/>
          <w:color w:val="000000"/>
          <w:sz w:val="24"/>
          <w:szCs w:val="24"/>
          <w:lang w:val="en-US" w:eastAsia="zh-CN" w:bidi="ar-SA"/>
        </w:rPr>
        <w:t>1.2.4支持评估量表自定义附加项配置。</w:t>
      </w:r>
    </w:p>
    <w:p w14:paraId="7469DB53">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Arial" w:hAnsi="Arial" w:eastAsia="Arial" w:cs="Arial"/>
          <w:b w:val="0"/>
          <w:snapToGrid w:val="0"/>
          <w:color w:val="000000"/>
          <w:sz w:val="24"/>
          <w:szCs w:val="24"/>
          <w:lang w:val="en-US" w:eastAsia="zh-CN" w:bidi="ar-SA"/>
        </w:rPr>
      </w:pPr>
      <w:r>
        <w:rPr>
          <w:rFonts w:hint="eastAsia" w:ascii="Arial" w:hAnsi="Arial" w:eastAsia="Arial" w:cs="Arial"/>
          <w:b w:val="0"/>
          <w:snapToGrid w:val="0"/>
          <w:color w:val="000000"/>
          <w:sz w:val="24"/>
          <w:szCs w:val="24"/>
          <w:lang w:val="en-US" w:eastAsia="zh-CN" w:bidi="ar-SA"/>
        </w:rPr>
        <w:t>1.2.5支持出血风险量表的审核与打印。</w:t>
      </w:r>
    </w:p>
    <w:p w14:paraId="6530DDB2">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Arial" w:hAnsi="Arial" w:eastAsia="Arial" w:cs="Arial"/>
          <w:b w:val="0"/>
          <w:snapToGrid w:val="0"/>
          <w:color w:val="000000"/>
          <w:sz w:val="24"/>
          <w:szCs w:val="24"/>
          <w:lang w:val="en-US" w:eastAsia="zh-CN" w:bidi="ar-SA"/>
        </w:rPr>
      </w:pPr>
      <w:r>
        <w:rPr>
          <w:rFonts w:hint="eastAsia" w:ascii="Arial" w:hAnsi="Arial" w:eastAsia="Arial" w:cs="Arial"/>
          <w:b w:val="0"/>
          <w:snapToGrid w:val="0"/>
          <w:color w:val="000000"/>
          <w:sz w:val="24"/>
          <w:szCs w:val="24"/>
          <w:lang w:val="en-US" w:eastAsia="zh-CN" w:bidi="ar-SA"/>
        </w:rPr>
        <w:t>1.2.6完成出血风险评估后，系统评估提示自动消失。</w:t>
      </w:r>
    </w:p>
    <w:p w14:paraId="3A6A7B42">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Arial" w:hAnsi="Arial" w:eastAsia="Arial" w:cs="Arial"/>
          <w:b w:val="0"/>
          <w:snapToGrid w:val="0"/>
          <w:color w:val="000000"/>
          <w:sz w:val="24"/>
          <w:szCs w:val="24"/>
          <w:lang w:val="en-US" w:eastAsia="zh-CN" w:bidi="ar-SA"/>
        </w:rPr>
      </w:pPr>
      <w:r>
        <w:rPr>
          <w:rFonts w:hint="eastAsia" w:ascii="Arial" w:hAnsi="Arial" w:eastAsia="Arial" w:cs="Arial"/>
          <w:b w:val="0"/>
          <w:snapToGrid w:val="0"/>
          <w:color w:val="000000"/>
          <w:sz w:val="24"/>
          <w:szCs w:val="24"/>
          <w:lang w:val="en-US" w:eastAsia="zh-CN" w:bidi="ar-SA"/>
        </w:rPr>
        <w:t>1.2.7支持以时间轴形式展示历次评估记录。</w:t>
      </w:r>
    </w:p>
    <w:p w14:paraId="61BD6BDA">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rFonts w:hint="eastAsia"/>
          <w:color w:val="000000"/>
          <w:sz w:val="24"/>
          <w:szCs w:val="18"/>
        </w:rPr>
      </w:pPr>
      <w:r>
        <w:rPr>
          <w:rFonts w:hint="eastAsia"/>
          <w:color w:val="000000"/>
          <w:sz w:val="24"/>
          <w:szCs w:val="18"/>
          <w:lang w:val="en-US" w:eastAsia="en-US"/>
        </w:rPr>
        <w:t>1.3机械</w:t>
      </w:r>
      <w:r>
        <w:rPr>
          <w:rFonts w:hint="eastAsia"/>
          <w:color w:val="000000"/>
          <w:sz w:val="24"/>
          <w:szCs w:val="18"/>
        </w:rPr>
        <w:t>预防禁忌评估</w:t>
      </w:r>
    </w:p>
    <w:p w14:paraId="32C9C5DE">
      <w:pPr>
        <w:keepNext w:val="0"/>
        <w:keepLines w:val="0"/>
        <w:pageBreakBefore w:val="0"/>
        <w:widowControl w:val="0"/>
        <w:tabs>
          <w:tab w:val="left" w:pos="6300"/>
        </w:tabs>
        <w:kinsoku/>
        <w:wordWrap/>
        <w:overflowPunct w:val="0"/>
        <w:topLinePunct w:val="0"/>
        <w:autoSpaceDE/>
        <w:autoSpaceDN/>
        <w:bidi w:val="0"/>
        <w:spacing w:line="240" w:lineRule="auto"/>
        <w:ind w:firstLine="480" w:firstLineChars="200"/>
        <w:jc w:val="both"/>
        <w:rPr>
          <w:rFonts w:ascii="宋体" w:hAnsi="宋体" w:eastAsia="宋体" w:cs="宋体"/>
          <w:sz w:val="24"/>
          <w:szCs w:val="24"/>
        </w:rPr>
      </w:pPr>
      <w:r>
        <w:rPr>
          <w:rFonts w:hint="eastAsia" w:ascii="宋体" w:hAnsi="宋体" w:eastAsia="宋体" w:cs="宋体"/>
          <w:sz w:val="24"/>
          <w:szCs w:val="24"/>
          <w:lang w:val="en-US" w:eastAsia="zh-CN"/>
        </w:rPr>
        <w:t>1.3.1</w:t>
      </w:r>
      <w:r>
        <w:rPr>
          <w:rFonts w:ascii="宋体" w:hAnsi="宋体" w:eastAsia="宋体" w:cs="宋体"/>
          <w:sz w:val="24"/>
          <w:szCs w:val="24"/>
        </w:rPr>
        <w:t>支持自动适配机械预防</w:t>
      </w:r>
      <w:r>
        <w:rPr>
          <w:rFonts w:hint="eastAsia" w:ascii="宋体" w:hAnsi="宋体" w:eastAsia="宋体" w:cs="宋体"/>
          <w:sz w:val="24"/>
          <w:szCs w:val="24"/>
          <w:lang w:eastAsia="zh-CN"/>
        </w:rPr>
        <w:t>禁忌证</w:t>
      </w:r>
      <w:r>
        <w:rPr>
          <w:rFonts w:ascii="宋体" w:hAnsi="宋体" w:eastAsia="宋体" w:cs="宋体"/>
          <w:sz w:val="24"/>
          <w:szCs w:val="24"/>
        </w:rPr>
        <w:t>评估量表。</w:t>
      </w:r>
    </w:p>
    <w:p w14:paraId="47DABABE">
      <w:pPr>
        <w:keepNext w:val="0"/>
        <w:keepLines w:val="0"/>
        <w:pageBreakBefore w:val="0"/>
        <w:widowControl w:val="0"/>
        <w:tabs>
          <w:tab w:val="left" w:pos="6300"/>
        </w:tabs>
        <w:kinsoku/>
        <w:wordWrap/>
        <w:overflowPunct w:val="0"/>
        <w:topLinePunct w:val="0"/>
        <w:autoSpaceDE/>
        <w:autoSpaceDN/>
        <w:bidi w:val="0"/>
        <w:spacing w:line="240" w:lineRule="auto"/>
        <w:ind w:firstLine="480" w:firstLineChars="200"/>
        <w:jc w:val="both"/>
        <w:rPr>
          <w:rFonts w:ascii="宋体" w:hAnsi="宋体" w:eastAsia="宋体" w:cs="宋体"/>
          <w:sz w:val="24"/>
          <w:szCs w:val="24"/>
        </w:rPr>
      </w:pPr>
      <w:r>
        <w:rPr>
          <w:rFonts w:hint="eastAsia" w:ascii="宋体" w:hAnsi="宋体" w:eastAsia="宋体" w:cs="宋体"/>
          <w:sz w:val="24"/>
          <w:szCs w:val="24"/>
          <w:lang w:val="en-US" w:eastAsia="zh-CN"/>
        </w:rPr>
        <w:t>1.3.2</w:t>
      </w:r>
      <w:r>
        <w:rPr>
          <w:rFonts w:ascii="宋体" w:hAnsi="宋体" w:eastAsia="宋体" w:cs="宋体"/>
          <w:sz w:val="24"/>
          <w:szCs w:val="24"/>
        </w:rPr>
        <w:t>支持自动勾选及填充机械预防</w:t>
      </w:r>
      <w:r>
        <w:rPr>
          <w:rFonts w:hint="eastAsia" w:ascii="宋体" w:hAnsi="宋体" w:eastAsia="宋体" w:cs="宋体"/>
          <w:sz w:val="24"/>
          <w:szCs w:val="24"/>
          <w:lang w:eastAsia="zh-CN"/>
        </w:rPr>
        <w:t>禁忌证</w:t>
      </w:r>
      <w:r>
        <w:rPr>
          <w:rFonts w:ascii="宋体" w:hAnsi="宋体" w:eastAsia="宋体" w:cs="宋体"/>
          <w:sz w:val="24"/>
          <w:szCs w:val="24"/>
        </w:rPr>
        <w:t>评估量表内容。</w:t>
      </w:r>
    </w:p>
    <w:p w14:paraId="6B7C2FF8">
      <w:pPr>
        <w:pStyle w:val="2"/>
        <w:keepNext w:val="0"/>
        <w:keepLines w:val="0"/>
        <w:pageBreakBefore w:val="0"/>
        <w:widowControl w:val="0"/>
        <w:kinsoku/>
        <w:wordWrap/>
        <w:overflowPunct w:val="0"/>
        <w:topLinePunct w:val="0"/>
        <w:autoSpaceDE/>
        <w:autoSpaceDN/>
        <w:bidi w:val="0"/>
        <w:ind w:firstLine="480" w:firstLineChars="200"/>
        <w:jc w:val="both"/>
        <w:rPr>
          <w:rFonts w:ascii="宋体" w:hAnsi="宋体" w:eastAsia="宋体" w:cs="宋体"/>
          <w:sz w:val="24"/>
          <w:szCs w:val="24"/>
        </w:rPr>
      </w:pPr>
      <w:r>
        <w:rPr>
          <w:rFonts w:hint="eastAsia" w:ascii="宋体" w:hAnsi="宋体" w:eastAsia="宋体" w:cs="宋体"/>
          <w:sz w:val="24"/>
          <w:szCs w:val="24"/>
          <w:lang w:val="en-US" w:eastAsia="zh-CN"/>
        </w:rPr>
        <w:t>1.3.3</w:t>
      </w:r>
      <w:r>
        <w:rPr>
          <w:rFonts w:ascii="宋体" w:hAnsi="宋体" w:eastAsia="宋体" w:cs="宋体"/>
          <w:sz w:val="24"/>
          <w:szCs w:val="24"/>
        </w:rPr>
        <w:t>完成机械预防</w:t>
      </w:r>
      <w:r>
        <w:rPr>
          <w:rFonts w:hint="eastAsia" w:ascii="宋体" w:hAnsi="宋体" w:eastAsia="宋体" w:cs="宋体"/>
          <w:sz w:val="24"/>
          <w:szCs w:val="24"/>
          <w:lang w:eastAsia="zh-CN"/>
        </w:rPr>
        <w:t>禁忌证</w:t>
      </w:r>
      <w:r>
        <w:rPr>
          <w:rFonts w:ascii="宋体" w:hAnsi="宋体" w:eastAsia="宋体" w:cs="宋体"/>
          <w:sz w:val="24"/>
          <w:szCs w:val="24"/>
        </w:rPr>
        <w:t>评估后，评估提示自动消失。</w:t>
      </w:r>
    </w:p>
    <w:p w14:paraId="4FE46F43">
      <w:pPr>
        <w:pStyle w:val="4"/>
        <w:keepNext w:val="0"/>
        <w:keepLines w:val="0"/>
        <w:pageBreakBefore w:val="0"/>
        <w:widowControl w:val="0"/>
        <w:tabs>
          <w:tab w:val="left" w:pos="6300"/>
        </w:tabs>
        <w:kinsoku/>
        <w:wordWrap/>
        <w:overflowPunct w:val="0"/>
        <w:topLinePunct w:val="0"/>
        <w:autoSpaceDE/>
        <w:autoSpaceDN/>
        <w:bidi w:val="0"/>
        <w:ind w:left="0" w:leftChars="0" w:firstLine="480" w:firstLineChars="200"/>
        <w:jc w:val="both"/>
        <w:rPr>
          <w:rFonts w:hint="default" w:eastAsia="宋体"/>
          <w:lang w:val="en-US" w:eastAsia="zh-CN"/>
        </w:rPr>
      </w:pPr>
      <w:r>
        <w:rPr>
          <w:rFonts w:hint="eastAsia" w:ascii="宋体" w:hAnsi="宋体" w:eastAsia="宋体" w:cs="宋体"/>
          <w:sz w:val="24"/>
          <w:szCs w:val="24"/>
          <w:lang w:val="en-US" w:eastAsia="zh-CN"/>
        </w:rPr>
        <w:t>1.3.4</w:t>
      </w:r>
      <w:r>
        <w:rPr>
          <w:rFonts w:ascii="宋体" w:hAnsi="宋体" w:eastAsia="宋体" w:cs="宋体"/>
          <w:sz w:val="24"/>
          <w:szCs w:val="24"/>
        </w:rPr>
        <w:t>支持以时间轴形式展示历次评估记录。</w:t>
      </w:r>
    </w:p>
    <w:p w14:paraId="4926B696">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rFonts w:hint="eastAsia"/>
          <w:color w:val="000000"/>
          <w:sz w:val="24"/>
          <w:szCs w:val="18"/>
        </w:rPr>
      </w:pPr>
      <w:r>
        <w:rPr>
          <w:rFonts w:hint="eastAsia"/>
          <w:color w:val="000000"/>
          <w:sz w:val="24"/>
          <w:szCs w:val="18"/>
        </w:rPr>
        <w:t>1.4妊娠期及产褥期VTE风险评估</w:t>
      </w:r>
    </w:p>
    <w:p w14:paraId="5176DEC7">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1.4.1</w:t>
      </w:r>
      <w:r>
        <w:rPr>
          <w:rFonts w:hint="eastAsia" w:ascii="宋体" w:hAnsi="宋体" w:eastAsia="宋体" w:cs="宋体"/>
          <w:color w:val="000000"/>
          <w:sz w:val="24"/>
          <w:szCs w:val="24"/>
          <w:lang w:eastAsia="zh-CN"/>
        </w:rPr>
        <w:t>患者入院24小时内，系统通过病程记录自动识别妊娠期及产褥期患者，依据RCOG指南，结合病史、手术、用药及检查检验结果自动完成VTE风险评估，并及时提醒医生查看评估结果。</w:t>
      </w:r>
    </w:p>
    <w:p w14:paraId="565D76D4">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1.4.2</w:t>
      </w:r>
      <w:r>
        <w:rPr>
          <w:rFonts w:hint="eastAsia" w:ascii="宋体" w:hAnsi="宋体" w:eastAsia="宋体" w:cs="宋体"/>
          <w:color w:val="000000"/>
          <w:sz w:val="24"/>
          <w:szCs w:val="24"/>
          <w:lang w:eastAsia="zh-CN"/>
        </w:rPr>
        <w:t>支持自动勾选、填充妊娠期及产褥期VTE风险与出血风险评估量表。</w:t>
      </w:r>
    </w:p>
    <w:p w14:paraId="374A6086">
      <w:pPr>
        <w:keepNext w:val="0"/>
        <w:keepLines w:val="0"/>
        <w:pageBreakBefore w:val="0"/>
        <w:widowControl w:val="0"/>
        <w:tabs>
          <w:tab w:val="left" w:pos="6300"/>
        </w:tabs>
        <w:kinsoku/>
        <w:wordWrap/>
        <w:overflowPunct w:val="0"/>
        <w:topLinePunct w:val="0"/>
        <w:autoSpaceDE/>
        <w:autoSpaceDN/>
        <w:bidi w:val="0"/>
        <w:adjustRightInd w:val="0"/>
        <w:snapToGrid w:val="0"/>
        <w:ind w:firstLine="480" w:firstLineChars="200"/>
        <w:jc w:val="both"/>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1.4.3</w:t>
      </w:r>
      <w:r>
        <w:rPr>
          <w:rFonts w:hint="eastAsia" w:ascii="宋体" w:hAnsi="宋体" w:eastAsia="宋体" w:cs="宋体"/>
          <w:color w:val="000000"/>
          <w:sz w:val="24"/>
          <w:szCs w:val="24"/>
          <w:lang w:eastAsia="zh-CN"/>
        </w:rPr>
        <w:t>支持对患者VTE风险、出血风险持续自动评分。</w:t>
      </w:r>
    </w:p>
    <w:p w14:paraId="03C769B4">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rFonts w:hint="eastAsia" w:ascii="宋体" w:hAnsi="宋体" w:eastAsia="宋体" w:cs="宋体"/>
          <w:b w:val="0"/>
          <w:snapToGrid w:val="0"/>
          <w:color w:val="000000"/>
          <w:sz w:val="24"/>
          <w:szCs w:val="24"/>
          <w:lang w:val="en-US" w:eastAsia="zh-CN" w:bidi="ar-SA"/>
        </w:rPr>
      </w:pPr>
      <w:r>
        <w:rPr>
          <w:rFonts w:hint="eastAsia"/>
          <w:color w:val="000000"/>
          <w:sz w:val="24"/>
          <w:szCs w:val="18"/>
          <w:lang w:val="en-US" w:eastAsia="zh-CN"/>
        </w:rPr>
        <w:t>1.5肿瘤患者VTE风险评估</w:t>
      </w:r>
      <w:r>
        <w:rPr>
          <w:rFonts w:hint="eastAsia" w:ascii="宋体" w:hAnsi="宋体" w:eastAsia="宋体" w:cs="宋体"/>
          <w:b w:val="0"/>
          <w:snapToGrid w:val="0"/>
          <w:color w:val="000000"/>
          <w:sz w:val="24"/>
          <w:szCs w:val="24"/>
          <w:lang w:val="en-US" w:eastAsia="zh-CN" w:bidi="ar-SA"/>
        </w:rPr>
        <w:tab/>
      </w:r>
    </w:p>
    <w:p w14:paraId="3C6F9912">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宋体" w:hAnsi="宋体" w:eastAsia="宋体" w:cs="宋体"/>
          <w:b w:val="0"/>
          <w:snapToGrid w:val="0"/>
          <w:color w:val="000000"/>
          <w:sz w:val="24"/>
          <w:szCs w:val="24"/>
          <w:lang w:val="en-US" w:eastAsia="zh-CN" w:bidi="ar-SA"/>
        </w:rPr>
      </w:pPr>
      <w:r>
        <w:rPr>
          <w:rFonts w:hint="eastAsia" w:cs="宋体"/>
          <w:b w:val="0"/>
          <w:snapToGrid w:val="0"/>
          <w:color w:val="000000"/>
          <w:sz w:val="24"/>
          <w:szCs w:val="24"/>
          <w:lang w:val="en-US" w:eastAsia="zh-CN" w:bidi="ar-SA"/>
        </w:rPr>
        <w:t>1.5.1患者入院</w:t>
      </w:r>
      <w:r>
        <w:rPr>
          <w:rFonts w:hint="eastAsia" w:ascii="宋体" w:hAnsi="宋体" w:eastAsia="宋体" w:cs="宋体"/>
          <w:b w:val="0"/>
          <w:snapToGrid w:val="0"/>
          <w:color w:val="000000"/>
          <w:sz w:val="24"/>
          <w:szCs w:val="24"/>
          <w:lang w:val="en-US" w:eastAsia="zh-CN" w:bidi="ar-SA"/>
        </w:rPr>
        <w:t>24小时内，系统通过病程记录自动识别肿瘤患者，结合病史、手术、用药及检查检验结果，自动完成肿瘤患者（Khorana、Padua或Caprini）VTE风险评估，并及时提醒医生查看结果。</w:t>
      </w:r>
    </w:p>
    <w:p w14:paraId="551D4D41">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宋体" w:hAnsi="宋体" w:eastAsia="宋体" w:cs="宋体"/>
          <w:b w:val="0"/>
          <w:snapToGrid w:val="0"/>
          <w:color w:val="000000"/>
          <w:sz w:val="24"/>
          <w:szCs w:val="24"/>
          <w:lang w:val="en-US" w:eastAsia="zh-CN" w:bidi="ar-SA"/>
        </w:rPr>
      </w:pPr>
      <w:r>
        <w:rPr>
          <w:rFonts w:hint="eastAsia" w:cs="宋体"/>
          <w:b w:val="0"/>
          <w:snapToGrid w:val="0"/>
          <w:color w:val="000000"/>
          <w:sz w:val="24"/>
          <w:szCs w:val="24"/>
          <w:lang w:val="en-US" w:eastAsia="zh-CN" w:bidi="ar-SA"/>
        </w:rPr>
        <w:t>1.5.2</w:t>
      </w:r>
      <w:r>
        <w:rPr>
          <w:rFonts w:hint="eastAsia" w:ascii="宋体" w:hAnsi="宋体" w:eastAsia="宋体" w:cs="宋体"/>
          <w:b w:val="0"/>
          <w:snapToGrid w:val="0"/>
          <w:color w:val="000000"/>
          <w:sz w:val="24"/>
          <w:szCs w:val="24"/>
          <w:lang w:val="en-US" w:eastAsia="zh-CN" w:bidi="ar-SA"/>
        </w:rPr>
        <w:t>支持量表自动勾选、计分、分层，且可对自动评估结果进行人工复核。</w:t>
      </w:r>
    </w:p>
    <w:p w14:paraId="2207D6D3">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宋体" w:hAnsi="宋体" w:eastAsia="宋体" w:cs="宋体"/>
          <w:b w:val="0"/>
          <w:snapToGrid w:val="0"/>
          <w:color w:val="000000"/>
          <w:sz w:val="24"/>
          <w:szCs w:val="24"/>
          <w:lang w:val="en-US" w:eastAsia="zh-CN" w:bidi="ar-SA"/>
        </w:rPr>
      </w:pPr>
      <w:r>
        <w:rPr>
          <w:rFonts w:hint="eastAsia" w:cs="宋体"/>
          <w:b w:val="0"/>
          <w:snapToGrid w:val="0"/>
          <w:color w:val="000000"/>
          <w:sz w:val="24"/>
          <w:szCs w:val="24"/>
          <w:lang w:val="en-US" w:eastAsia="zh-CN" w:bidi="ar-SA"/>
        </w:rPr>
        <w:t>1.5.3</w:t>
      </w:r>
      <w:r>
        <w:rPr>
          <w:rFonts w:hint="eastAsia" w:ascii="宋体" w:hAnsi="宋体" w:eastAsia="宋体" w:cs="宋体"/>
          <w:b w:val="0"/>
          <w:snapToGrid w:val="0"/>
          <w:color w:val="000000"/>
          <w:sz w:val="24"/>
          <w:szCs w:val="24"/>
          <w:lang w:val="en-US" w:eastAsia="zh-CN" w:bidi="ar-SA"/>
        </w:rPr>
        <w:t>支持动态监测肿瘤患者住院期间临床数据变化，持续自动评分。</w:t>
      </w:r>
    </w:p>
    <w:p w14:paraId="4F6C4028">
      <w:pPr>
        <w:pStyle w:val="8"/>
        <w:keepNext w:val="0"/>
        <w:keepLines w:val="0"/>
        <w:pageBreakBefore w:val="0"/>
        <w:widowControl w:val="0"/>
        <w:kinsoku/>
        <w:wordWrap/>
        <w:overflowPunct w:val="0"/>
        <w:topLinePunct w:val="0"/>
        <w:autoSpaceDE/>
        <w:autoSpaceDN/>
        <w:bidi w:val="0"/>
        <w:adjustRightInd w:val="0"/>
        <w:snapToGrid w:val="0"/>
        <w:spacing w:before="260" w:after="0" w:line="413" w:lineRule="auto"/>
        <w:ind w:firstLine="482" w:firstLineChars="200"/>
        <w:jc w:val="both"/>
        <w:textAlignment w:val="baseline"/>
        <w:rPr>
          <w:rFonts w:hint="eastAsia"/>
          <w:color w:val="000000"/>
          <w:sz w:val="24"/>
          <w:szCs w:val="24"/>
        </w:rPr>
      </w:pPr>
      <w:r>
        <w:rPr>
          <w:rFonts w:hint="eastAsia"/>
          <w:color w:val="000000"/>
          <w:sz w:val="24"/>
          <w:szCs w:val="18"/>
          <w:lang w:val="en-US" w:eastAsia="zh-CN"/>
        </w:rPr>
        <w:t>1.6骨科VTE风险评估</w:t>
      </w:r>
      <w:r>
        <w:rPr>
          <w:rFonts w:hint="eastAsia"/>
          <w:color w:val="000000"/>
          <w:sz w:val="24"/>
          <w:szCs w:val="24"/>
        </w:rPr>
        <w:tab/>
      </w:r>
    </w:p>
    <w:p w14:paraId="2AE8498D">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宋体" w:hAnsi="宋体" w:eastAsia="宋体" w:cs="宋体"/>
          <w:b w:val="0"/>
          <w:snapToGrid w:val="0"/>
          <w:color w:val="000000"/>
          <w:sz w:val="24"/>
          <w:szCs w:val="24"/>
          <w:lang w:val="en-US" w:eastAsia="zh-CN" w:bidi="ar-SA"/>
        </w:rPr>
      </w:pPr>
      <w:r>
        <w:rPr>
          <w:rFonts w:hint="eastAsia" w:cs="宋体"/>
          <w:b w:val="0"/>
          <w:snapToGrid w:val="0"/>
          <w:color w:val="000000"/>
          <w:sz w:val="24"/>
          <w:szCs w:val="24"/>
          <w:lang w:val="en-US" w:eastAsia="zh-CN" w:bidi="ar-SA"/>
        </w:rPr>
        <w:t>1.6.1</w:t>
      </w:r>
      <w:r>
        <w:rPr>
          <w:rFonts w:hint="eastAsia" w:ascii="宋体" w:hAnsi="宋体" w:eastAsia="宋体" w:cs="宋体"/>
          <w:b w:val="0"/>
          <w:snapToGrid w:val="0"/>
          <w:color w:val="000000"/>
          <w:sz w:val="24"/>
          <w:szCs w:val="24"/>
          <w:lang w:val="en-US" w:eastAsia="zh-CN" w:bidi="ar-SA"/>
        </w:rPr>
        <w:t>入院24小时内，系统通过病程记录自动识别骨科患者，结合病史、手术、用药及检查检验结果，自动采用骨科大手术VTE量表、普外科Caprini量表完成VTE风险评估，并及时提醒医生查看评估结果。</w:t>
      </w:r>
    </w:p>
    <w:p w14:paraId="2373F6A8">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宋体" w:hAnsi="宋体" w:eastAsia="宋体" w:cs="宋体"/>
          <w:b w:val="0"/>
          <w:snapToGrid w:val="0"/>
          <w:color w:val="000000"/>
          <w:sz w:val="24"/>
          <w:szCs w:val="24"/>
          <w:lang w:val="en-US" w:eastAsia="zh-CN" w:bidi="ar-SA"/>
        </w:rPr>
      </w:pPr>
      <w:r>
        <w:rPr>
          <w:rFonts w:hint="eastAsia" w:cs="宋体"/>
          <w:b w:val="0"/>
          <w:snapToGrid w:val="0"/>
          <w:color w:val="000000"/>
          <w:sz w:val="24"/>
          <w:szCs w:val="24"/>
          <w:lang w:val="en-US" w:eastAsia="zh-CN" w:bidi="ar-SA"/>
        </w:rPr>
        <w:t>1.6.2</w:t>
      </w:r>
      <w:r>
        <w:rPr>
          <w:rFonts w:hint="eastAsia" w:ascii="宋体" w:hAnsi="宋体" w:eastAsia="宋体" w:cs="宋体"/>
          <w:b w:val="0"/>
          <w:snapToGrid w:val="0"/>
          <w:color w:val="000000"/>
          <w:sz w:val="24"/>
          <w:szCs w:val="24"/>
          <w:lang w:val="en-US" w:eastAsia="zh-CN" w:bidi="ar-SA"/>
        </w:rPr>
        <w:t>支持量表自动勾选、计分、分层，可对自动评估结果进行人工复核。</w:t>
      </w:r>
    </w:p>
    <w:p w14:paraId="68B90204">
      <w:pPr>
        <w:pStyle w:val="8"/>
        <w:keepNext w:val="0"/>
        <w:keepLines w:val="0"/>
        <w:pageBreakBefore w:val="0"/>
        <w:widowControl w:val="0"/>
        <w:kinsoku/>
        <w:wordWrap/>
        <w:overflowPunct w:val="0"/>
        <w:topLinePunct w:val="0"/>
        <w:autoSpaceDE/>
        <w:autoSpaceDN/>
        <w:bidi w:val="0"/>
        <w:adjustRightInd w:val="0"/>
        <w:snapToGrid w:val="0"/>
        <w:spacing w:before="0" w:after="0" w:line="240" w:lineRule="auto"/>
        <w:ind w:firstLine="480" w:firstLineChars="200"/>
        <w:jc w:val="both"/>
        <w:textAlignment w:val="baseline"/>
        <w:rPr>
          <w:rFonts w:hint="eastAsia" w:ascii="宋体" w:hAnsi="宋体" w:eastAsia="宋体" w:cs="宋体"/>
          <w:b w:val="0"/>
          <w:snapToGrid w:val="0"/>
          <w:color w:val="000000"/>
          <w:sz w:val="24"/>
          <w:szCs w:val="24"/>
          <w:lang w:val="en-US" w:eastAsia="zh-CN" w:bidi="ar-SA"/>
        </w:rPr>
      </w:pPr>
      <w:r>
        <w:rPr>
          <w:rFonts w:hint="eastAsia" w:cs="宋体"/>
          <w:b w:val="0"/>
          <w:snapToGrid w:val="0"/>
          <w:color w:val="000000"/>
          <w:sz w:val="24"/>
          <w:szCs w:val="24"/>
          <w:lang w:val="en-US" w:eastAsia="zh-CN" w:bidi="ar-SA"/>
        </w:rPr>
        <w:t>1.6.3</w:t>
      </w:r>
      <w:r>
        <w:rPr>
          <w:rFonts w:hint="eastAsia" w:ascii="宋体" w:hAnsi="宋体" w:eastAsia="宋体" w:cs="宋体"/>
          <w:b w:val="0"/>
          <w:snapToGrid w:val="0"/>
          <w:color w:val="000000"/>
          <w:sz w:val="24"/>
          <w:szCs w:val="24"/>
          <w:lang w:val="en-US" w:eastAsia="zh-CN" w:bidi="ar-SA"/>
        </w:rPr>
        <w:t>支持动态监测骨科患者住院期间临床数据变化，持续自动评估。</w:t>
      </w:r>
    </w:p>
    <w:p w14:paraId="253CC0A2">
      <w:pPr>
        <w:pStyle w:val="8"/>
        <w:keepNext w:val="0"/>
        <w:keepLines w:val="0"/>
        <w:pageBreakBefore w:val="0"/>
        <w:widowControl w:val="0"/>
        <w:kinsoku/>
        <w:wordWrap/>
        <w:overflowPunct w:val="0"/>
        <w:topLinePunct w:val="0"/>
        <w:autoSpaceDE/>
        <w:autoSpaceDN/>
        <w:bidi w:val="0"/>
        <w:adjustRightInd w:val="0"/>
        <w:snapToGrid w:val="0"/>
        <w:spacing w:before="260" w:after="0" w:line="413" w:lineRule="auto"/>
        <w:ind w:firstLine="482" w:firstLineChars="200"/>
        <w:jc w:val="both"/>
        <w:textAlignment w:val="baseline"/>
        <w:rPr>
          <w:rFonts w:hint="eastAsia"/>
          <w:color w:val="000000"/>
          <w:sz w:val="24"/>
          <w:szCs w:val="24"/>
        </w:rPr>
      </w:pPr>
      <w:r>
        <w:rPr>
          <w:rFonts w:hint="eastAsia"/>
          <w:color w:val="000000"/>
          <w:sz w:val="24"/>
          <w:szCs w:val="24"/>
        </w:rPr>
        <w:t>1.7Wells评分</w:t>
      </w:r>
    </w:p>
    <w:p w14:paraId="15CA660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spacing w:before="0" w:beforeAutospacing="0" w:after="0" w:afterAutospacing="0" w:line="360" w:lineRule="atLeast"/>
        <w:ind w:left="0" w:right="0" w:firstLine="480" w:firstLineChars="200"/>
        <w:jc w:val="both"/>
        <w:rPr>
          <w:color w:val="000000"/>
          <w:sz w:val="24"/>
          <w:szCs w:val="24"/>
        </w:rPr>
      </w:pPr>
      <w:r>
        <w:rPr>
          <w:rFonts w:hint="eastAsia" w:eastAsia="宋体"/>
          <w:color w:val="000000"/>
          <w:sz w:val="24"/>
          <w:szCs w:val="24"/>
          <w:lang w:val="en-US" w:eastAsia="zh-CN"/>
        </w:rPr>
        <w:t>1.7.1</w:t>
      </w:r>
      <w:r>
        <w:rPr>
          <w:color w:val="000000"/>
          <w:sz w:val="24"/>
          <w:szCs w:val="24"/>
        </w:rPr>
        <w:t>系统结合患者病史、手术、用药及检查检验结果，依据DVT临床指征与患者特征，自动判断是否开展Wells评估</w:t>
      </w:r>
      <w:r>
        <w:rPr>
          <w:rFonts w:hint="eastAsia" w:eastAsia="宋体"/>
          <w:color w:val="000000"/>
          <w:sz w:val="24"/>
          <w:szCs w:val="24"/>
          <w:lang w:eastAsia="zh-CN"/>
        </w:rPr>
        <w:t>，并</w:t>
      </w:r>
      <w:r>
        <w:rPr>
          <w:color w:val="000000"/>
          <w:sz w:val="24"/>
          <w:szCs w:val="24"/>
        </w:rPr>
        <w:t>对符合条件者自动</w:t>
      </w:r>
      <w:r>
        <w:rPr>
          <w:rFonts w:hint="eastAsia" w:eastAsia="宋体"/>
          <w:color w:val="000000"/>
          <w:sz w:val="24"/>
          <w:szCs w:val="24"/>
          <w:lang w:eastAsia="zh-CN"/>
        </w:rPr>
        <w:t>进行风险</w:t>
      </w:r>
      <w:r>
        <w:rPr>
          <w:color w:val="000000"/>
          <w:sz w:val="24"/>
          <w:szCs w:val="24"/>
        </w:rPr>
        <w:t>评估；支持医生一键确认，可查看评估依据及详情。</w:t>
      </w:r>
    </w:p>
    <w:p w14:paraId="001F327C">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spacing w:before="0" w:beforeAutospacing="0" w:after="0" w:afterAutospacing="0" w:line="360" w:lineRule="atLeast"/>
        <w:ind w:left="0" w:right="0" w:firstLine="480" w:firstLineChars="200"/>
        <w:jc w:val="both"/>
        <w:rPr>
          <w:color w:val="000000"/>
          <w:sz w:val="24"/>
          <w:szCs w:val="24"/>
        </w:rPr>
      </w:pPr>
      <w:r>
        <w:rPr>
          <w:rFonts w:hint="eastAsia" w:eastAsia="宋体"/>
          <w:color w:val="000000"/>
          <w:sz w:val="24"/>
          <w:szCs w:val="24"/>
          <w:lang w:val="en-US" w:eastAsia="zh-CN"/>
        </w:rPr>
        <w:t>1.7.2</w:t>
      </w:r>
      <w:r>
        <w:rPr>
          <w:color w:val="000000"/>
          <w:sz w:val="24"/>
          <w:szCs w:val="24"/>
        </w:rPr>
        <w:t>支持动态监测骨科患者住院期间临床数据变化，持续自动评估。</w:t>
      </w:r>
    </w:p>
    <w:p w14:paraId="51758CC5">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rFonts w:hint="eastAsia"/>
          <w:color w:val="000000"/>
          <w:sz w:val="24"/>
          <w:szCs w:val="24"/>
        </w:rPr>
      </w:pPr>
      <w:r>
        <w:rPr>
          <w:rFonts w:hint="eastAsia"/>
          <w:color w:val="000000"/>
          <w:sz w:val="24"/>
          <w:szCs w:val="24"/>
        </w:rPr>
        <w:t>1.8PTE筛查</w:t>
      </w:r>
      <w:r>
        <w:rPr>
          <w:rFonts w:hint="eastAsia"/>
          <w:color w:val="000000"/>
          <w:sz w:val="24"/>
          <w:szCs w:val="24"/>
        </w:rPr>
        <w:tab/>
      </w:r>
    </w:p>
    <w:p w14:paraId="68886221">
      <w:pPr>
        <w:keepNext w:val="0"/>
        <w:keepLines w:val="0"/>
        <w:pageBreakBefore w:val="0"/>
        <w:widowControl w:val="0"/>
        <w:tabs>
          <w:tab w:val="left" w:pos="6300"/>
        </w:tabs>
        <w:kinsoku/>
        <w:wordWrap/>
        <w:overflowPunct w:val="0"/>
        <w:topLinePunct w:val="0"/>
        <w:autoSpaceDE/>
        <w:autoSpaceDN/>
        <w:bidi w:val="0"/>
        <w:adjustRightInd w:val="0"/>
        <w:snapToGrid w:val="0"/>
        <w:spacing w:line="240" w:lineRule="auto"/>
        <w:ind w:firstLine="480" w:firstLineChars="200"/>
        <w:jc w:val="both"/>
        <w:textAlignment w:val="baseline"/>
        <w:rPr>
          <w:rFonts w:hint="eastAsia" w:ascii="宋体" w:hAnsi="宋体" w:eastAsia="宋体" w:cs="宋体"/>
          <w:color w:val="000000"/>
          <w:sz w:val="24"/>
          <w:szCs w:val="24"/>
          <w:lang w:eastAsia="zh-CN"/>
        </w:rPr>
      </w:pPr>
      <w:r>
        <w:rPr>
          <w:rFonts w:hint="eastAsia" w:ascii="宋体" w:hAnsi="宋体" w:eastAsia="宋体" w:cs="宋体"/>
          <w:sz w:val="24"/>
          <w:szCs w:val="24"/>
          <w:lang w:val="en-US" w:eastAsia="zh-CN"/>
        </w:rPr>
        <w:t>1.8.1</w:t>
      </w:r>
      <w:r>
        <w:rPr>
          <w:rFonts w:ascii="宋体" w:hAnsi="宋体" w:eastAsia="宋体" w:cs="宋体"/>
          <w:sz w:val="24"/>
          <w:szCs w:val="24"/>
        </w:rPr>
        <w:t>对高度可疑或确诊急性肺栓塞患者，系统可结合病史、手术、用药及检查检验结果，自动判断是否开展Wells、sPESI或肺血栓栓塞危险分层评估，并对符合条件患者自动完成风险评估。</w:t>
      </w:r>
    </w:p>
    <w:p w14:paraId="154F4140">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rFonts w:hint="eastAsia"/>
          <w:color w:val="000000"/>
          <w:sz w:val="24"/>
          <w:szCs w:val="24"/>
        </w:rPr>
      </w:pPr>
      <w:r>
        <w:rPr>
          <w:rFonts w:hint="eastAsia"/>
          <w:color w:val="000000"/>
          <w:sz w:val="24"/>
          <w:szCs w:val="24"/>
        </w:rPr>
        <w:t>1.</w:t>
      </w:r>
      <w:r>
        <w:rPr>
          <w:rFonts w:hint="eastAsia"/>
          <w:color w:val="000000"/>
          <w:sz w:val="24"/>
          <w:szCs w:val="24"/>
          <w:lang w:val="en-US" w:eastAsia="zh-CN"/>
        </w:rPr>
        <w:t>9</w:t>
      </w:r>
      <w:r>
        <w:rPr>
          <w:rFonts w:hint="eastAsia"/>
          <w:color w:val="000000"/>
          <w:sz w:val="24"/>
          <w:szCs w:val="24"/>
        </w:rPr>
        <w:t>免评设置</w:t>
      </w:r>
      <w:r>
        <w:rPr>
          <w:rFonts w:hint="eastAsia"/>
          <w:color w:val="000000"/>
          <w:sz w:val="24"/>
          <w:szCs w:val="24"/>
        </w:rPr>
        <w:tab/>
      </w:r>
    </w:p>
    <w:p w14:paraId="6E8A38F6">
      <w:pPr>
        <w:keepNext w:val="0"/>
        <w:keepLines w:val="0"/>
        <w:pageBreakBefore w:val="0"/>
        <w:widowControl w:val="0"/>
        <w:tabs>
          <w:tab w:val="left" w:pos="6300"/>
        </w:tabs>
        <w:kinsoku/>
        <w:wordWrap/>
        <w:overflowPunct w:val="0"/>
        <w:topLinePunct w:val="0"/>
        <w:autoSpaceDE/>
        <w:autoSpaceDN/>
        <w:bidi w:val="0"/>
        <w:adjustRightInd w:val="0"/>
        <w:snapToGrid w:val="0"/>
        <w:spacing w:line="240" w:lineRule="auto"/>
        <w:ind w:firstLine="480" w:firstLineChars="200"/>
        <w:jc w:val="both"/>
        <w:textAlignment w:val="baseline"/>
        <w:rPr>
          <w:rFonts w:hint="eastAsia"/>
          <w:color w:val="000000"/>
          <w:sz w:val="24"/>
          <w:szCs w:val="24"/>
        </w:rPr>
      </w:pPr>
      <w:r>
        <w:rPr>
          <w:rFonts w:ascii="宋体" w:hAnsi="宋体" w:eastAsia="宋体" w:cs="宋体"/>
          <w:sz w:val="24"/>
          <w:szCs w:val="24"/>
        </w:rPr>
        <w:t>可依据患者病情，对确诊患者及13周岁以下患儿自动免评，同时支持医院自定义免评规则。</w:t>
      </w:r>
    </w:p>
    <w:p w14:paraId="4190636A">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rFonts w:hint="eastAsia"/>
          <w:color w:val="000000"/>
          <w:sz w:val="24"/>
          <w:szCs w:val="24"/>
        </w:rPr>
      </w:pPr>
      <w:r>
        <w:rPr>
          <w:rFonts w:hint="eastAsia"/>
          <w:color w:val="000000"/>
          <w:sz w:val="24"/>
          <w:szCs w:val="24"/>
        </w:rPr>
        <w:t>1.1</w:t>
      </w:r>
      <w:r>
        <w:rPr>
          <w:rFonts w:hint="eastAsia"/>
          <w:color w:val="000000"/>
          <w:sz w:val="24"/>
          <w:szCs w:val="24"/>
          <w:lang w:val="en-US" w:eastAsia="zh-CN"/>
        </w:rPr>
        <w:t>0</w:t>
      </w:r>
      <w:r>
        <w:rPr>
          <w:rFonts w:hint="eastAsia"/>
          <w:color w:val="000000"/>
          <w:sz w:val="24"/>
          <w:szCs w:val="24"/>
        </w:rPr>
        <w:t>人工审核</w:t>
      </w:r>
      <w:r>
        <w:rPr>
          <w:rFonts w:hint="eastAsia"/>
          <w:color w:val="000000"/>
          <w:sz w:val="24"/>
          <w:szCs w:val="24"/>
        </w:rPr>
        <w:tab/>
      </w:r>
    </w:p>
    <w:p w14:paraId="0A9224B5">
      <w:pPr>
        <w:keepNext w:val="0"/>
        <w:keepLines w:val="0"/>
        <w:pageBreakBefore w:val="0"/>
        <w:widowControl w:val="0"/>
        <w:tabs>
          <w:tab w:val="left" w:pos="6300"/>
        </w:tabs>
        <w:kinsoku/>
        <w:wordWrap/>
        <w:overflowPunct w:val="0"/>
        <w:topLinePunct w:val="0"/>
        <w:autoSpaceDE/>
        <w:autoSpaceDN/>
        <w:bidi w:val="0"/>
        <w:adjustRightInd w:val="0"/>
        <w:snapToGrid w:val="0"/>
        <w:spacing w:line="240" w:lineRule="auto"/>
        <w:ind w:firstLine="480" w:firstLineChars="200"/>
        <w:jc w:val="both"/>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支持医护协同，自动提醒医护人员对未评估、未处理事项及时处置，并可对评估结果进行二次修改与删除。</w:t>
      </w:r>
    </w:p>
    <w:p w14:paraId="4ECCB877">
      <w:pPr>
        <w:pStyle w:val="7"/>
        <w:keepNext w:val="0"/>
        <w:keepLines w:val="0"/>
        <w:pageBreakBefore w:val="0"/>
        <w:widowControl w:val="0"/>
        <w:tabs>
          <w:tab w:val="left" w:pos="6300"/>
        </w:tabs>
        <w:kinsoku/>
        <w:wordWrap/>
        <w:overflowPunct w:val="0"/>
        <w:topLinePunct w:val="0"/>
        <w:autoSpaceDE/>
        <w:autoSpaceDN/>
        <w:bidi w:val="0"/>
        <w:adjustRightInd w:val="0"/>
        <w:snapToGrid w:val="0"/>
        <w:spacing w:line="240" w:lineRule="auto"/>
        <w:ind w:firstLine="482" w:firstLineChars="200"/>
        <w:jc w:val="both"/>
        <w:textAlignment w:val="baseline"/>
        <w:rPr>
          <w:rFonts w:hint="eastAsia"/>
          <w:color w:val="000000"/>
          <w:sz w:val="24"/>
          <w:szCs w:val="24"/>
        </w:rPr>
      </w:pPr>
      <w:r>
        <w:rPr>
          <w:rFonts w:hint="eastAsia"/>
          <w:color w:val="000000"/>
          <w:sz w:val="24"/>
          <w:szCs w:val="24"/>
          <w:lang w:eastAsia="zh-CN"/>
        </w:rPr>
        <w:t>（</w:t>
      </w:r>
      <w:r>
        <w:rPr>
          <w:rFonts w:hint="eastAsia"/>
          <w:color w:val="000000"/>
          <w:sz w:val="24"/>
          <w:szCs w:val="24"/>
          <w:lang w:val="en-US" w:eastAsia="zh-CN"/>
        </w:rPr>
        <w:t>2）</w:t>
      </w:r>
      <w:r>
        <w:rPr>
          <w:rFonts w:hint="eastAsia"/>
          <w:color w:val="000000"/>
          <w:sz w:val="24"/>
          <w:szCs w:val="24"/>
        </w:rPr>
        <w:t>辅助决策模块</w:t>
      </w:r>
    </w:p>
    <w:p w14:paraId="1A65C9FF">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color w:val="000000"/>
          <w:sz w:val="24"/>
          <w:szCs w:val="24"/>
        </w:rPr>
      </w:pPr>
      <w:r>
        <w:rPr>
          <w:rFonts w:hint="eastAsia"/>
          <w:color w:val="000000"/>
          <w:sz w:val="24"/>
          <w:szCs w:val="24"/>
        </w:rPr>
        <w:t>2.1</w:t>
      </w:r>
      <w:r>
        <w:rPr>
          <w:color w:val="000000"/>
          <w:sz w:val="24"/>
          <w:szCs w:val="24"/>
        </w:rPr>
        <w:t>智能预防辅助</w:t>
      </w:r>
      <w:r>
        <w:rPr>
          <w:color w:val="000000"/>
          <w:sz w:val="24"/>
          <w:szCs w:val="24"/>
        </w:rPr>
        <w:tab/>
      </w:r>
    </w:p>
    <w:p w14:paraId="7BE29F53">
      <w:pPr>
        <w:pStyle w:val="4"/>
        <w:keepNext w:val="0"/>
        <w:keepLines w:val="0"/>
        <w:pageBreakBefore w:val="0"/>
        <w:widowControl w:val="0"/>
        <w:tabs>
          <w:tab w:val="left" w:pos="6300"/>
        </w:tabs>
        <w:kinsoku/>
        <w:wordWrap/>
        <w:overflowPunct w:val="0"/>
        <w:topLinePunct w:val="0"/>
        <w:autoSpaceDE/>
        <w:autoSpaceDN/>
        <w:bidi w:val="0"/>
        <w:adjustRightInd w:val="0"/>
        <w:snapToGrid w:val="0"/>
        <w:spacing w:line="240" w:lineRule="auto"/>
        <w:ind w:left="0" w:leftChars="0" w:firstLine="480" w:firstLineChars="200"/>
        <w:jc w:val="both"/>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建立 VTE 预防识别与控制知识规则数据库系统，并能及时获取患者动态数据变化，并根据变化动态的提示、预警和管控预防处置事件。</w:t>
      </w:r>
    </w:p>
    <w:p w14:paraId="4D7A6B49">
      <w:pPr>
        <w:pStyle w:val="4"/>
        <w:keepNext w:val="0"/>
        <w:keepLines w:val="0"/>
        <w:pageBreakBefore w:val="0"/>
        <w:widowControl w:val="0"/>
        <w:tabs>
          <w:tab w:val="left" w:pos="6300"/>
        </w:tabs>
        <w:kinsoku/>
        <w:wordWrap/>
        <w:overflowPunct w:val="0"/>
        <w:topLinePunct w:val="0"/>
        <w:autoSpaceDE/>
        <w:autoSpaceDN/>
        <w:bidi w:val="0"/>
        <w:adjustRightInd w:val="0"/>
        <w:snapToGrid w:val="0"/>
        <w:spacing w:line="240" w:lineRule="auto"/>
        <w:ind w:left="0" w:leftChars="0" w:firstLine="480" w:firstLineChars="200"/>
        <w:jc w:val="both"/>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2.1.1</w:t>
      </w:r>
      <w:r>
        <w:rPr>
          <w:rFonts w:hint="eastAsia" w:ascii="宋体" w:hAnsi="宋体" w:eastAsia="宋体" w:cs="宋体"/>
          <w:color w:val="000000"/>
          <w:sz w:val="24"/>
          <w:szCs w:val="24"/>
          <w:lang w:eastAsia="zh-CN"/>
        </w:rPr>
        <w:t>患者VTE中高危时，系统自动提醒医护采取预防措施，可根据血栓及出血风险自动推荐预防方案；实时监测患者在院情况，对未实施预防的中高危患者智能提醒基础、物理、药物、联合等预防措施，支持按医院需求设置强制预防功能，避免漏开。</w:t>
      </w:r>
    </w:p>
    <w:p w14:paraId="7B3A0816">
      <w:pPr>
        <w:pStyle w:val="4"/>
        <w:keepNext w:val="0"/>
        <w:keepLines w:val="0"/>
        <w:pageBreakBefore w:val="0"/>
        <w:widowControl w:val="0"/>
        <w:tabs>
          <w:tab w:val="left" w:pos="6300"/>
        </w:tabs>
        <w:kinsoku/>
        <w:wordWrap/>
        <w:overflowPunct w:val="0"/>
        <w:topLinePunct w:val="0"/>
        <w:autoSpaceDE/>
        <w:autoSpaceDN/>
        <w:bidi w:val="0"/>
        <w:adjustRightInd w:val="0"/>
        <w:snapToGrid w:val="0"/>
        <w:spacing w:line="240" w:lineRule="auto"/>
        <w:ind w:left="0" w:leftChars="0" w:firstLine="480" w:firstLineChars="200"/>
        <w:jc w:val="both"/>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2.2.2</w:t>
      </w:r>
      <w:r>
        <w:rPr>
          <w:rFonts w:hint="eastAsia" w:ascii="宋体" w:hAnsi="宋体" w:eastAsia="宋体" w:cs="宋体"/>
          <w:color w:val="000000"/>
          <w:sz w:val="24"/>
          <w:szCs w:val="24"/>
          <w:lang w:eastAsia="zh-CN"/>
        </w:rPr>
        <w:t>依据患者VTE与出血风险分级匹配对应预防措施，如VTE高危且出血低危予抗凝药物，VTE高危且出血高危予物理预防等；自动判断预防措施是否恰当并提醒医生，确保落实到位。</w:t>
      </w:r>
    </w:p>
    <w:p w14:paraId="725DC614">
      <w:pPr>
        <w:pStyle w:val="4"/>
        <w:keepNext w:val="0"/>
        <w:keepLines w:val="0"/>
        <w:pageBreakBefore w:val="0"/>
        <w:widowControl w:val="0"/>
        <w:tabs>
          <w:tab w:val="left" w:pos="6300"/>
        </w:tabs>
        <w:kinsoku/>
        <w:wordWrap/>
        <w:overflowPunct w:val="0"/>
        <w:topLinePunct w:val="0"/>
        <w:autoSpaceDE/>
        <w:autoSpaceDN/>
        <w:bidi w:val="0"/>
        <w:adjustRightInd w:val="0"/>
        <w:snapToGrid w:val="0"/>
        <w:spacing w:line="240" w:lineRule="auto"/>
        <w:ind w:left="0" w:leftChars="0" w:firstLine="480" w:firstLineChars="200"/>
        <w:jc w:val="both"/>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2.2.3</w:t>
      </w:r>
      <w:r>
        <w:rPr>
          <w:rFonts w:hint="eastAsia" w:ascii="宋体" w:hAnsi="宋体" w:eastAsia="宋体" w:cs="宋体"/>
          <w:color w:val="000000"/>
          <w:sz w:val="24"/>
          <w:szCs w:val="24"/>
          <w:lang w:eastAsia="zh-CN"/>
        </w:rPr>
        <w:t>出院时VTE中高危患者，系统主动提醒医护完善出院预防相关医嘱告知。</w:t>
      </w:r>
    </w:p>
    <w:p w14:paraId="21DD8928">
      <w:pPr>
        <w:pStyle w:val="4"/>
        <w:keepNext w:val="0"/>
        <w:keepLines w:val="0"/>
        <w:pageBreakBefore w:val="0"/>
        <w:widowControl w:val="0"/>
        <w:tabs>
          <w:tab w:val="left" w:pos="6300"/>
        </w:tabs>
        <w:kinsoku/>
        <w:wordWrap/>
        <w:overflowPunct w:val="0"/>
        <w:topLinePunct w:val="0"/>
        <w:autoSpaceDE/>
        <w:autoSpaceDN/>
        <w:bidi w:val="0"/>
        <w:adjustRightInd w:val="0"/>
        <w:snapToGrid w:val="0"/>
        <w:spacing w:line="240" w:lineRule="auto"/>
        <w:ind w:left="0" w:leftChars="0" w:firstLine="480" w:firstLineChars="200"/>
        <w:jc w:val="both"/>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2.2.4</w:t>
      </w:r>
      <w:r>
        <w:rPr>
          <w:rFonts w:hint="eastAsia" w:ascii="宋体" w:hAnsi="宋体" w:eastAsia="宋体" w:cs="宋体"/>
          <w:color w:val="000000"/>
          <w:sz w:val="24"/>
          <w:szCs w:val="24"/>
          <w:lang w:eastAsia="zh-CN"/>
        </w:rPr>
        <w:t>自动监测医嘱数据，结合评估结果核查预防医嘱，对高出血风险患者提示抗凝药物禁忌。</w:t>
      </w:r>
    </w:p>
    <w:p w14:paraId="02D55548">
      <w:pPr>
        <w:pStyle w:val="4"/>
        <w:keepNext w:val="0"/>
        <w:keepLines w:val="0"/>
        <w:pageBreakBefore w:val="0"/>
        <w:widowControl w:val="0"/>
        <w:tabs>
          <w:tab w:val="left" w:pos="6300"/>
        </w:tabs>
        <w:kinsoku/>
        <w:wordWrap/>
        <w:overflowPunct w:val="0"/>
        <w:topLinePunct w:val="0"/>
        <w:autoSpaceDE/>
        <w:autoSpaceDN/>
        <w:bidi w:val="0"/>
        <w:adjustRightInd w:val="0"/>
        <w:snapToGrid w:val="0"/>
        <w:spacing w:line="240" w:lineRule="auto"/>
        <w:ind w:left="0" w:leftChars="0" w:firstLine="480" w:firstLineChars="200"/>
        <w:jc w:val="both"/>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2.2.5</w:t>
      </w:r>
      <w:r>
        <w:rPr>
          <w:rFonts w:hint="eastAsia" w:ascii="宋体" w:hAnsi="宋体" w:eastAsia="宋体" w:cs="宋体"/>
          <w:color w:val="000000"/>
          <w:sz w:val="24"/>
          <w:szCs w:val="24"/>
          <w:lang w:eastAsia="zh-CN"/>
        </w:rPr>
        <w:t>支持在同一界面溯源VTE预防提示规则，含规则说明、文献依据及触发规则的业务数据来源。</w:t>
      </w:r>
    </w:p>
    <w:p w14:paraId="2B8CD1C1">
      <w:pPr>
        <w:pStyle w:val="7"/>
        <w:keepNext w:val="0"/>
        <w:keepLines w:val="0"/>
        <w:pageBreakBefore w:val="0"/>
        <w:widowControl w:val="0"/>
        <w:tabs>
          <w:tab w:val="left" w:pos="6300"/>
        </w:tabs>
        <w:kinsoku/>
        <w:wordWrap/>
        <w:overflowPunct w:val="0"/>
        <w:topLinePunct w:val="0"/>
        <w:autoSpaceDE/>
        <w:autoSpaceDN/>
        <w:bidi w:val="0"/>
        <w:adjustRightInd w:val="0"/>
        <w:snapToGrid w:val="0"/>
        <w:spacing w:after="0" w:line="413" w:lineRule="auto"/>
        <w:ind w:firstLine="482" w:firstLineChars="200"/>
        <w:jc w:val="both"/>
        <w:textAlignment w:val="baseline"/>
        <w:rPr>
          <w:color w:val="000000"/>
          <w:sz w:val="24"/>
          <w:szCs w:val="24"/>
        </w:rPr>
      </w:pPr>
      <w:r>
        <w:rPr>
          <w:rFonts w:hint="eastAsia"/>
          <w:color w:val="000000"/>
          <w:sz w:val="24"/>
          <w:szCs w:val="24"/>
        </w:rPr>
        <w:t>2.2</w:t>
      </w:r>
      <w:r>
        <w:rPr>
          <w:color w:val="000000"/>
          <w:sz w:val="24"/>
          <w:szCs w:val="24"/>
        </w:rPr>
        <w:t>智能诊疗辅助</w:t>
      </w:r>
      <w:r>
        <w:rPr>
          <w:color w:val="000000"/>
          <w:sz w:val="24"/>
          <w:szCs w:val="24"/>
        </w:rPr>
        <w:tab/>
      </w:r>
    </w:p>
    <w:p w14:paraId="39F3C5E9">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0" w:firstLineChars="200"/>
        <w:jc w:val="both"/>
        <w:textAlignment w:val="baseline"/>
        <w:rPr>
          <w:rFonts w:hint="eastAsia" w:eastAsia="宋体"/>
          <w:color w:val="000000"/>
          <w:sz w:val="24"/>
          <w:szCs w:val="24"/>
          <w:lang w:eastAsia="zh-CN"/>
        </w:rPr>
      </w:pPr>
      <w:r>
        <w:rPr>
          <w:rFonts w:hint="eastAsia" w:eastAsia="宋体"/>
          <w:color w:val="000000"/>
          <w:sz w:val="24"/>
          <w:szCs w:val="24"/>
          <w:lang w:eastAsia="zh-CN"/>
        </w:rPr>
        <w:t>建立 VTE 诊断知识规则数据库系统，并能及时获取患者动态数据变化，并根据变化动态的提示、预警和辅助诊断决策。建立治疗规范引导和识别的辅助决策系统，能及时获取患者动态数据变化，并根据变化动态的提示、预警和辅助诊疗决策。</w:t>
      </w:r>
    </w:p>
    <w:p w14:paraId="634FD87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0" w:firstLineChars="200"/>
        <w:jc w:val="both"/>
        <w:textAlignment w:val="baseline"/>
        <w:rPr>
          <w:color w:val="000000"/>
          <w:sz w:val="24"/>
          <w:szCs w:val="24"/>
        </w:rPr>
      </w:pPr>
      <w:r>
        <w:rPr>
          <w:rFonts w:hint="eastAsia" w:eastAsia="宋体"/>
          <w:color w:val="000000"/>
          <w:sz w:val="24"/>
          <w:szCs w:val="24"/>
          <w:lang w:val="en-US" w:eastAsia="zh-CN"/>
        </w:rPr>
        <w:t>2.2.1</w:t>
      </w:r>
      <w:r>
        <w:rPr>
          <w:color w:val="000000"/>
          <w:sz w:val="24"/>
          <w:szCs w:val="24"/>
        </w:rPr>
        <w:t>支持抗凝药物预警，对检验异常、出血高危患者，医生开具抗凝药物时自动弹出禁忌提醒。</w:t>
      </w:r>
    </w:p>
    <w:p w14:paraId="1A7BA1ED">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0" w:firstLineChars="200"/>
        <w:jc w:val="both"/>
        <w:textAlignment w:val="baseline"/>
        <w:rPr>
          <w:color w:val="000000"/>
          <w:sz w:val="24"/>
          <w:szCs w:val="24"/>
        </w:rPr>
      </w:pPr>
      <w:r>
        <w:rPr>
          <w:rFonts w:hint="eastAsia" w:eastAsia="宋体"/>
          <w:color w:val="000000"/>
          <w:sz w:val="24"/>
          <w:szCs w:val="24"/>
          <w:lang w:val="en-US" w:eastAsia="zh-CN"/>
        </w:rPr>
        <w:t>2.2.2</w:t>
      </w:r>
      <w:r>
        <w:rPr>
          <w:color w:val="000000"/>
          <w:sz w:val="24"/>
          <w:szCs w:val="24"/>
        </w:rPr>
        <w:t>动态监测患者禁忌证与不良事件，依托专病知识库提供诊疗辅助建议。</w:t>
      </w:r>
    </w:p>
    <w:p w14:paraId="44E46A69">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0" w:firstLineChars="200"/>
        <w:jc w:val="both"/>
        <w:textAlignment w:val="baseline"/>
        <w:rPr>
          <w:color w:val="000000"/>
          <w:sz w:val="24"/>
          <w:szCs w:val="24"/>
        </w:rPr>
      </w:pPr>
      <w:r>
        <w:rPr>
          <w:rFonts w:hint="eastAsia" w:eastAsia="宋体"/>
          <w:color w:val="000000"/>
          <w:sz w:val="24"/>
          <w:szCs w:val="24"/>
          <w:lang w:val="en-US" w:eastAsia="zh-CN"/>
        </w:rPr>
        <w:t>2.2.3</w:t>
      </w:r>
      <w:r>
        <w:rPr>
          <w:color w:val="000000"/>
          <w:sz w:val="24"/>
          <w:szCs w:val="24"/>
        </w:rPr>
        <w:t>开具下肢压力泵医嘱时，自动核查下肢静脉超声结果及有无血栓，实时风险提醒，防范肺栓塞等并发症。</w:t>
      </w:r>
    </w:p>
    <w:p w14:paraId="632491C6">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0" w:firstLineChars="200"/>
        <w:jc w:val="both"/>
        <w:textAlignment w:val="baseline"/>
        <w:rPr>
          <w:color w:val="000000"/>
          <w:sz w:val="24"/>
          <w:szCs w:val="24"/>
        </w:rPr>
      </w:pPr>
      <w:r>
        <w:rPr>
          <w:rFonts w:hint="eastAsia" w:eastAsia="宋体"/>
          <w:color w:val="000000"/>
          <w:sz w:val="24"/>
          <w:szCs w:val="24"/>
          <w:lang w:val="en-US" w:eastAsia="zh-CN"/>
        </w:rPr>
        <w:t>2.2.4</w:t>
      </w:r>
      <w:r>
        <w:rPr>
          <w:color w:val="000000"/>
          <w:sz w:val="24"/>
          <w:szCs w:val="24"/>
        </w:rPr>
        <w:t>对VTE中高危患者，自动评估机械预防禁忌，并以浮窗形式推送结果至医生端。</w:t>
      </w:r>
    </w:p>
    <w:p w14:paraId="63E35CF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0" w:firstLineChars="200"/>
        <w:jc w:val="both"/>
        <w:textAlignment w:val="baseline"/>
        <w:rPr>
          <w:color w:val="000000"/>
          <w:sz w:val="24"/>
          <w:szCs w:val="24"/>
        </w:rPr>
      </w:pPr>
      <w:r>
        <w:rPr>
          <w:rFonts w:hint="eastAsia" w:eastAsia="宋体"/>
          <w:color w:val="000000"/>
          <w:sz w:val="24"/>
          <w:szCs w:val="24"/>
          <w:lang w:val="en-US" w:eastAsia="zh-CN"/>
        </w:rPr>
        <w:t>2.2.5</w:t>
      </w:r>
      <w:r>
        <w:rPr>
          <w:color w:val="000000"/>
          <w:sz w:val="24"/>
          <w:szCs w:val="24"/>
        </w:rPr>
        <w:t>具备VTE诊断筛查功能，通过NLP自动解析下肢静脉超声、CTPA报告，识别阳性患者并给出疑似诊断推荐。</w:t>
      </w:r>
    </w:p>
    <w:p w14:paraId="36CD25A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0" w:firstLineChars="200"/>
        <w:jc w:val="both"/>
        <w:textAlignment w:val="baseline"/>
        <w:rPr>
          <w:color w:val="000000"/>
          <w:sz w:val="24"/>
          <w:szCs w:val="24"/>
        </w:rPr>
      </w:pPr>
      <w:r>
        <w:rPr>
          <w:rFonts w:hint="eastAsia" w:eastAsia="宋体"/>
          <w:color w:val="000000"/>
          <w:sz w:val="24"/>
          <w:szCs w:val="24"/>
          <w:lang w:val="en-US" w:eastAsia="zh-CN"/>
        </w:rPr>
        <w:t>2.2.6</w:t>
      </w:r>
      <w:r>
        <w:rPr>
          <w:color w:val="000000"/>
          <w:sz w:val="24"/>
          <w:szCs w:val="24"/>
        </w:rPr>
        <w:t>支持在同一界面查看诊断推荐的规则溯源，含规则说明、文献依据及数据来源。</w:t>
      </w:r>
    </w:p>
    <w:p w14:paraId="4C62BCCF">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0" w:firstLineChars="200"/>
        <w:jc w:val="both"/>
        <w:textAlignment w:val="baseline"/>
        <w:rPr>
          <w:rFonts w:hint="eastAsia"/>
          <w:color w:val="000000"/>
          <w:sz w:val="24"/>
          <w:szCs w:val="24"/>
          <w:lang w:val="en-US" w:eastAsia="zh-CN"/>
        </w:rPr>
      </w:pPr>
      <w:r>
        <w:rPr>
          <w:rFonts w:hint="eastAsia"/>
          <w:color w:val="000000"/>
          <w:sz w:val="24"/>
          <w:szCs w:val="24"/>
          <w:lang w:val="en-US" w:eastAsia="zh-CN"/>
        </w:rPr>
        <w:t>2.2.7疑似急性 VTE 患者推荐临床可能性评估。疑似 DVT 患者推荐 DVT Wells 临床可能性评估量表，疑似肺栓塞患者推荐简化肺栓塞（PE）Wells 和/或简化 Geneva临床可能性评估量表。</w:t>
      </w:r>
    </w:p>
    <w:p w14:paraId="0ACD04ED">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0" w:firstLineChars="200"/>
        <w:jc w:val="both"/>
        <w:textAlignment w:val="baseline"/>
        <w:rPr>
          <w:rFonts w:hint="eastAsia"/>
          <w:color w:val="000000"/>
          <w:sz w:val="24"/>
          <w:szCs w:val="24"/>
          <w:lang w:val="en-US" w:eastAsia="zh-CN"/>
        </w:rPr>
      </w:pPr>
      <w:r>
        <w:rPr>
          <w:rFonts w:hint="eastAsia"/>
          <w:color w:val="000000"/>
          <w:sz w:val="24"/>
          <w:szCs w:val="24"/>
          <w:lang w:val="en-US" w:eastAsia="zh-CN"/>
        </w:rPr>
        <w:t>2.2.8对于有助于 VTE 疾病诊断的实验室及影像学检查指标，做到可统计、可分析。</w:t>
      </w:r>
    </w:p>
    <w:p w14:paraId="53A4AC0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0" w:beforeAutospacing="0" w:after="0" w:afterAutospacing="0" w:line="360" w:lineRule="atLeast"/>
        <w:ind w:left="0" w:right="0" w:firstLine="480" w:firstLineChars="200"/>
        <w:jc w:val="both"/>
        <w:textAlignment w:val="baseline"/>
        <w:rPr>
          <w:rFonts w:hint="default"/>
          <w:color w:val="000000"/>
          <w:sz w:val="24"/>
          <w:szCs w:val="24"/>
          <w:lang w:val="en-US" w:eastAsia="zh-CN"/>
        </w:rPr>
      </w:pPr>
      <w:r>
        <w:rPr>
          <w:rFonts w:hint="eastAsia"/>
          <w:color w:val="000000"/>
          <w:sz w:val="24"/>
          <w:szCs w:val="24"/>
          <w:lang w:val="en-US" w:eastAsia="zh-CN"/>
        </w:rPr>
        <w:t>2.2.9危险分层。急性肺栓塞确诊后，推荐对患者进行危险分层。</w:t>
      </w:r>
    </w:p>
    <w:p w14:paraId="2364B9D6">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rFonts w:hint="eastAsia" w:ascii="宋体" w:hAnsi="宋体" w:eastAsia="宋体" w:cs="宋体"/>
          <w:color w:val="000000"/>
          <w:sz w:val="24"/>
          <w:szCs w:val="24"/>
        </w:rPr>
      </w:pPr>
      <w:r>
        <w:rPr>
          <w:rFonts w:hint="eastAsia" w:ascii="宋体" w:hAnsi="宋体" w:eastAsia="宋体" w:cs="宋体"/>
          <w:b/>
          <w:bCs w:val="0"/>
          <w:snapToGrid w:val="0"/>
          <w:color w:val="000000"/>
          <w:kern w:val="0"/>
          <w:sz w:val="24"/>
          <w:szCs w:val="24"/>
          <w:lang w:val="en-US" w:eastAsia="en-US" w:bidi="ar-SA"/>
        </w:rPr>
        <w:t>2.3预防建议</w:t>
      </w:r>
      <w:r>
        <w:rPr>
          <w:rFonts w:hint="eastAsia" w:ascii="宋体" w:hAnsi="宋体" w:eastAsia="宋体" w:cs="宋体"/>
          <w:color w:val="000000"/>
          <w:sz w:val="24"/>
          <w:szCs w:val="24"/>
        </w:rPr>
        <w:tab/>
      </w:r>
    </w:p>
    <w:p w14:paraId="67BA56BE">
      <w:pPr>
        <w:pStyle w:val="4"/>
        <w:keepNext w:val="0"/>
        <w:keepLines w:val="0"/>
        <w:pageBreakBefore w:val="0"/>
        <w:widowControl w:val="0"/>
        <w:tabs>
          <w:tab w:val="left" w:pos="6300"/>
        </w:tabs>
        <w:kinsoku/>
        <w:wordWrap/>
        <w:overflowPunct w:val="0"/>
        <w:topLinePunct w:val="0"/>
        <w:autoSpaceDE/>
        <w:autoSpaceDN/>
        <w:bidi w:val="0"/>
        <w:ind w:left="0" w:leftChars="0" w:firstLine="480" w:firstLineChars="200"/>
        <w:jc w:val="both"/>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2.3.1</w:t>
      </w:r>
      <w:r>
        <w:rPr>
          <w:rFonts w:hint="eastAsia" w:ascii="宋体" w:hAnsi="宋体" w:eastAsia="宋体" w:cs="宋体"/>
          <w:color w:val="000000"/>
          <w:sz w:val="24"/>
          <w:szCs w:val="24"/>
        </w:rPr>
        <w:t>基础预防建议：依据最新指南及文献智能提供基础预防方案推荐。</w:t>
      </w:r>
    </w:p>
    <w:p w14:paraId="62D63908">
      <w:pPr>
        <w:pStyle w:val="4"/>
        <w:keepNext w:val="0"/>
        <w:keepLines w:val="0"/>
        <w:pageBreakBefore w:val="0"/>
        <w:widowControl w:val="0"/>
        <w:tabs>
          <w:tab w:val="left" w:pos="6300"/>
        </w:tabs>
        <w:kinsoku/>
        <w:wordWrap/>
        <w:overflowPunct w:val="0"/>
        <w:topLinePunct w:val="0"/>
        <w:autoSpaceDE/>
        <w:autoSpaceDN/>
        <w:bidi w:val="0"/>
        <w:ind w:left="0" w:leftChars="0" w:firstLine="480" w:firstLineChars="200"/>
        <w:jc w:val="both"/>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2.3.2</w:t>
      </w:r>
      <w:r>
        <w:rPr>
          <w:rFonts w:hint="eastAsia" w:ascii="宋体" w:hAnsi="宋体" w:eastAsia="宋体" w:cs="宋体"/>
          <w:color w:val="000000"/>
          <w:sz w:val="24"/>
          <w:szCs w:val="24"/>
        </w:rPr>
        <w:t>机械预防建议：依据最新指南及文献智能提供机械预防方案推荐。</w:t>
      </w:r>
    </w:p>
    <w:p w14:paraId="248DCC82">
      <w:pPr>
        <w:pStyle w:val="4"/>
        <w:keepNext w:val="0"/>
        <w:keepLines w:val="0"/>
        <w:pageBreakBefore w:val="0"/>
        <w:widowControl w:val="0"/>
        <w:tabs>
          <w:tab w:val="left" w:pos="6300"/>
        </w:tabs>
        <w:kinsoku/>
        <w:wordWrap/>
        <w:overflowPunct w:val="0"/>
        <w:topLinePunct w:val="0"/>
        <w:autoSpaceDE/>
        <w:autoSpaceDN/>
        <w:bidi w:val="0"/>
        <w:ind w:left="0" w:leftChars="0" w:firstLine="480" w:firstLineChars="200"/>
        <w:jc w:val="both"/>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2.3.3</w:t>
      </w:r>
      <w:r>
        <w:rPr>
          <w:rFonts w:hint="eastAsia" w:ascii="宋体" w:hAnsi="宋体" w:eastAsia="宋体" w:cs="宋体"/>
          <w:color w:val="000000"/>
          <w:sz w:val="24"/>
          <w:szCs w:val="24"/>
        </w:rPr>
        <w:t>药物预防建议：依据最新指南及文献智能提供药物预防方案推荐，可同步医院药品目录；支持医嘱一体化辅助决策，勾选确认后一键录入医嘱并可导出。</w:t>
      </w:r>
    </w:p>
    <w:p w14:paraId="1DF474B4">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color w:val="000000"/>
          <w:sz w:val="24"/>
          <w:szCs w:val="24"/>
        </w:rPr>
      </w:pPr>
      <w:r>
        <w:rPr>
          <w:rFonts w:hint="eastAsia" w:ascii="宋体" w:hAnsi="宋体" w:eastAsia="宋体" w:cs="宋体"/>
          <w:b/>
          <w:bCs w:val="0"/>
          <w:snapToGrid w:val="0"/>
          <w:color w:val="000000"/>
          <w:kern w:val="0"/>
          <w:sz w:val="24"/>
          <w:szCs w:val="24"/>
          <w:lang w:val="en-US" w:eastAsia="en-US" w:bidi="ar-SA"/>
        </w:rPr>
        <w:t>2.4</w:t>
      </w:r>
      <w:r>
        <w:rPr>
          <w:rFonts w:hint="eastAsia" w:cs="宋体"/>
          <w:b/>
          <w:bCs w:val="0"/>
          <w:snapToGrid w:val="0"/>
          <w:color w:val="000000"/>
          <w:kern w:val="0"/>
          <w:sz w:val="24"/>
          <w:szCs w:val="24"/>
          <w:lang w:val="en-US" w:eastAsia="zh-CN" w:bidi="ar-SA"/>
        </w:rPr>
        <w:t>医护</w:t>
      </w:r>
      <w:r>
        <w:rPr>
          <w:rFonts w:hint="eastAsia" w:ascii="宋体" w:hAnsi="宋体" w:eastAsia="宋体" w:cs="宋体"/>
          <w:b/>
          <w:bCs w:val="0"/>
          <w:snapToGrid w:val="0"/>
          <w:color w:val="000000"/>
          <w:kern w:val="0"/>
          <w:sz w:val="24"/>
          <w:szCs w:val="24"/>
          <w:lang w:val="en-US" w:eastAsia="en-US" w:bidi="ar-SA"/>
        </w:rPr>
        <w:t>辅助</w:t>
      </w:r>
      <w:r>
        <w:rPr>
          <w:rFonts w:hint="eastAsia" w:cs="宋体"/>
          <w:b/>
          <w:bCs w:val="0"/>
          <w:snapToGrid w:val="0"/>
          <w:color w:val="000000"/>
          <w:kern w:val="0"/>
          <w:sz w:val="24"/>
          <w:szCs w:val="24"/>
          <w:lang w:val="en-US" w:eastAsia="zh-CN" w:bidi="ar-SA"/>
        </w:rPr>
        <w:t>客户端</w:t>
      </w:r>
      <w:r>
        <w:rPr>
          <w:color w:val="000000"/>
          <w:sz w:val="24"/>
          <w:szCs w:val="24"/>
        </w:rPr>
        <w:tab/>
      </w:r>
    </w:p>
    <w:p w14:paraId="4FBA8826">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spacing w:before="0" w:beforeAutospacing="0" w:after="0" w:afterAutospacing="0" w:line="360" w:lineRule="atLeast"/>
        <w:ind w:left="0" w:right="0" w:firstLine="480" w:firstLineChars="200"/>
        <w:jc w:val="both"/>
        <w:rPr>
          <w:color w:val="000000"/>
          <w:sz w:val="24"/>
          <w:szCs w:val="24"/>
        </w:rPr>
      </w:pPr>
      <w:r>
        <w:rPr>
          <w:rFonts w:hint="eastAsia" w:eastAsia="宋体"/>
          <w:color w:val="000000"/>
          <w:sz w:val="24"/>
          <w:szCs w:val="24"/>
          <w:lang w:val="en-US" w:eastAsia="zh-CN"/>
        </w:rPr>
        <w:t>2.4.1</w:t>
      </w:r>
      <w:r>
        <w:rPr>
          <w:color w:val="000000"/>
          <w:sz w:val="24"/>
          <w:szCs w:val="24"/>
        </w:rPr>
        <w:t>可对接工作站系统，实现客户端VTE智能评估及辅助功能。</w:t>
      </w:r>
    </w:p>
    <w:p w14:paraId="1CAB0DEC">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spacing w:before="0" w:beforeAutospacing="0" w:after="0" w:afterAutospacing="0" w:line="360" w:lineRule="atLeast"/>
        <w:ind w:left="0" w:right="0" w:firstLine="480" w:firstLineChars="200"/>
        <w:jc w:val="both"/>
        <w:rPr>
          <w:color w:val="000000"/>
          <w:sz w:val="24"/>
          <w:szCs w:val="24"/>
        </w:rPr>
      </w:pPr>
      <w:r>
        <w:rPr>
          <w:rFonts w:hint="eastAsia" w:eastAsia="宋体"/>
          <w:color w:val="000000"/>
          <w:sz w:val="24"/>
          <w:szCs w:val="24"/>
          <w:lang w:val="en-US" w:eastAsia="zh-CN"/>
        </w:rPr>
        <w:t>2.4.2</w:t>
      </w:r>
      <w:r>
        <w:rPr>
          <w:color w:val="000000"/>
          <w:sz w:val="24"/>
          <w:szCs w:val="24"/>
        </w:rPr>
        <w:t>支持向护士工作站、护理记录单推送VTE风险及出血评估结果。</w:t>
      </w:r>
    </w:p>
    <w:p w14:paraId="66609C55">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spacing w:before="0" w:beforeAutospacing="0" w:after="0" w:afterAutospacing="0" w:line="360" w:lineRule="atLeast"/>
        <w:ind w:left="0" w:right="0" w:firstLine="480" w:firstLineChars="200"/>
        <w:jc w:val="both"/>
        <w:rPr>
          <w:color w:val="000000"/>
          <w:sz w:val="24"/>
          <w:szCs w:val="24"/>
        </w:rPr>
      </w:pPr>
      <w:r>
        <w:rPr>
          <w:rFonts w:hint="eastAsia" w:eastAsia="宋体"/>
          <w:color w:val="000000"/>
          <w:sz w:val="24"/>
          <w:szCs w:val="24"/>
          <w:lang w:val="en-US" w:eastAsia="zh-CN"/>
        </w:rPr>
        <w:t>2.4.3</w:t>
      </w:r>
      <w:r>
        <w:rPr>
          <w:color w:val="000000"/>
          <w:sz w:val="24"/>
          <w:szCs w:val="24"/>
        </w:rPr>
        <w:t>支持评估结果回传至护理记录单。</w:t>
      </w:r>
    </w:p>
    <w:p w14:paraId="7F71509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spacing w:before="0" w:beforeAutospacing="0" w:after="0" w:afterAutospacing="0" w:line="360" w:lineRule="atLeast"/>
        <w:ind w:left="0" w:right="0" w:firstLine="480" w:firstLineChars="200"/>
        <w:jc w:val="both"/>
        <w:rPr>
          <w:color w:val="000000"/>
          <w:sz w:val="24"/>
          <w:szCs w:val="24"/>
        </w:rPr>
      </w:pPr>
      <w:r>
        <w:rPr>
          <w:rFonts w:hint="eastAsia" w:eastAsia="宋体"/>
          <w:color w:val="000000"/>
          <w:sz w:val="24"/>
          <w:szCs w:val="24"/>
          <w:lang w:val="en-US" w:eastAsia="zh-CN"/>
        </w:rPr>
        <w:t>2.4.4</w:t>
      </w:r>
      <w:r>
        <w:rPr>
          <w:color w:val="000000"/>
          <w:sz w:val="24"/>
          <w:szCs w:val="24"/>
        </w:rPr>
        <w:t>可对接移动护理系统，实现移动端评估。</w:t>
      </w:r>
    </w:p>
    <w:p w14:paraId="6683F169">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spacing w:before="0" w:beforeAutospacing="0" w:after="0" w:afterAutospacing="0" w:line="360" w:lineRule="atLeast"/>
        <w:ind w:left="0" w:right="0" w:firstLine="480" w:firstLineChars="200"/>
        <w:jc w:val="both"/>
        <w:rPr>
          <w:color w:val="000000"/>
          <w:sz w:val="24"/>
          <w:szCs w:val="24"/>
        </w:rPr>
      </w:pPr>
      <w:r>
        <w:rPr>
          <w:rFonts w:hint="eastAsia" w:eastAsia="宋体"/>
          <w:color w:val="000000"/>
          <w:sz w:val="24"/>
          <w:szCs w:val="24"/>
          <w:lang w:val="en-US" w:eastAsia="zh-CN"/>
        </w:rPr>
        <w:t>2.4.5</w:t>
      </w:r>
      <w:r>
        <w:rPr>
          <w:color w:val="000000"/>
          <w:sz w:val="24"/>
          <w:szCs w:val="24"/>
        </w:rPr>
        <w:t>可对接机械预防系统，实现移动端管理。</w:t>
      </w:r>
    </w:p>
    <w:p w14:paraId="720A93C5">
      <w:pPr>
        <w:pStyle w:val="8"/>
        <w:keepNext w:val="0"/>
        <w:keepLines w:val="0"/>
        <w:pageBreakBefore w:val="0"/>
        <w:widowControl w:val="0"/>
        <w:kinsoku/>
        <w:wordWrap/>
        <w:overflowPunct w:val="0"/>
        <w:topLinePunct w:val="0"/>
        <w:autoSpaceDE/>
        <w:autoSpaceDN/>
        <w:bidi w:val="0"/>
        <w:adjustRightInd w:val="0"/>
        <w:snapToGrid w:val="0"/>
        <w:spacing w:after="0" w:line="413" w:lineRule="auto"/>
        <w:ind w:firstLine="482" w:firstLineChars="200"/>
        <w:jc w:val="both"/>
        <w:textAlignment w:val="baseline"/>
        <w:rPr>
          <w:color w:val="000000"/>
          <w:sz w:val="24"/>
          <w:szCs w:val="24"/>
        </w:rPr>
      </w:pPr>
      <w:r>
        <w:rPr>
          <w:rFonts w:hint="eastAsia" w:ascii="宋体" w:hAnsi="宋体" w:eastAsia="宋体" w:cs="宋体"/>
          <w:b/>
          <w:bCs w:val="0"/>
          <w:snapToGrid w:val="0"/>
          <w:color w:val="000000"/>
          <w:kern w:val="0"/>
          <w:sz w:val="24"/>
          <w:szCs w:val="24"/>
          <w:lang w:val="en-US" w:eastAsia="zh-CN" w:bidi="ar-SA"/>
        </w:rPr>
        <w:t>2</w:t>
      </w:r>
      <w:r>
        <w:rPr>
          <w:rFonts w:hint="eastAsia" w:ascii="宋体" w:hAnsi="宋体" w:eastAsia="宋体" w:cs="宋体"/>
          <w:b/>
          <w:bCs w:val="0"/>
          <w:snapToGrid w:val="0"/>
          <w:color w:val="000000"/>
          <w:kern w:val="0"/>
          <w:sz w:val="24"/>
          <w:szCs w:val="24"/>
          <w:lang w:val="en-US" w:eastAsia="en-US" w:bidi="ar-SA"/>
        </w:rPr>
        <w:t>.</w:t>
      </w:r>
      <w:r>
        <w:rPr>
          <w:rFonts w:hint="eastAsia" w:ascii="宋体" w:hAnsi="宋体" w:eastAsia="宋体" w:cs="宋体"/>
          <w:b/>
          <w:bCs w:val="0"/>
          <w:snapToGrid w:val="0"/>
          <w:color w:val="000000"/>
          <w:kern w:val="0"/>
          <w:sz w:val="24"/>
          <w:szCs w:val="24"/>
          <w:lang w:val="en-US" w:eastAsia="zh-CN" w:bidi="ar-SA"/>
        </w:rPr>
        <w:t>5</w:t>
      </w:r>
      <w:r>
        <w:rPr>
          <w:rFonts w:hint="eastAsia" w:ascii="宋体" w:hAnsi="宋体" w:eastAsia="宋体" w:cs="宋体"/>
          <w:b/>
          <w:bCs w:val="0"/>
          <w:snapToGrid w:val="0"/>
          <w:color w:val="000000"/>
          <w:kern w:val="0"/>
          <w:sz w:val="24"/>
          <w:szCs w:val="24"/>
          <w:lang w:val="en-US" w:eastAsia="en-US" w:bidi="ar-SA"/>
        </w:rPr>
        <w:t>宣教</w:t>
      </w:r>
      <w:r>
        <w:rPr>
          <w:color w:val="000000"/>
          <w:sz w:val="24"/>
          <w:szCs w:val="24"/>
        </w:rPr>
        <w:tab/>
      </w:r>
    </w:p>
    <w:p w14:paraId="52B75068">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spacing w:before="0" w:beforeAutospacing="0" w:after="0" w:afterAutospacing="0" w:line="360" w:lineRule="atLeast"/>
        <w:ind w:left="0" w:right="0" w:firstLine="480" w:firstLineChars="200"/>
        <w:jc w:val="both"/>
        <w:rPr>
          <w:color w:val="000000"/>
          <w:sz w:val="24"/>
          <w:szCs w:val="24"/>
          <w:lang w:val="en-US" w:eastAsia="en-US"/>
        </w:rPr>
      </w:pPr>
      <w:r>
        <w:rPr>
          <w:color w:val="000000"/>
          <w:sz w:val="24"/>
          <w:szCs w:val="24"/>
          <w:lang w:val="en-US" w:eastAsia="en-US"/>
        </w:rPr>
        <w:t>具备VTE预防教育处方、高危风险告知书、抗凝知情同意书等临床宣教功能；支持通过微信、短信等方式自动向患者开展宣教沟通。</w:t>
      </w:r>
    </w:p>
    <w:p w14:paraId="2FB74096">
      <w:pPr>
        <w:pStyle w:val="7"/>
        <w:keepNext w:val="0"/>
        <w:keepLines w:val="0"/>
        <w:pageBreakBefore w:val="0"/>
        <w:widowControl w:val="0"/>
        <w:numPr>
          <w:ilvl w:val="0"/>
          <w:numId w:val="0"/>
        </w:numPr>
        <w:tabs>
          <w:tab w:val="left" w:pos="6300"/>
        </w:tabs>
        <w:kinsoku/>
        <w:wordWrap/>
        <w:overflowPunct w:val="0"/>
        <w:topLinePunct w:val="0"/>
        <w:autoSpaceDE/>
        <w:autoSpaceDN/>
        <w:bidi w:val="0"/>
        <w:ind w:leftChars="200"/>
        <w:jc w:val="both"/>
        <w:rPr>
          <w:rFonts w:hint="eastAsia"/>
          <w:color w:val="000000"/>
          <w:sz w:val="24"/>
          <w:szCs w:val="24"/>
        </w:rPr>
      </w:pPr>
      <w:r>
        <w:rPr>
          <w:rFonts w:hint="eastAsia"/>
          <w:color w:val="000000"/>
          <w:sz w:val="24"/>
          <w:szCs w:val="24"/>
          <w:lang w:eastAsia="zh-CN"/>
        </w:rPr>
        <w:t>（</w:t>
      </w:r>
      <w:r>
        <w:rPr>
          <w:rFonts w:hint="eastAsia"/>
          <w:color w:val="000000"/>
          <w:sz w:val="24"/>
          <w:szCs w:val="24"/>
          <w:lang w:val="en-US" w:eastAsia="zh-CN"/>
        </w:rPr>
        <w:t>3）</w:t>
      </w:r>
      <w:r>
        <w:rPr>
          <w:rFonts w:hint="eastAsia"/>
          <w:color w:val="000000"/>
          <w:sz w:val="24"/>
          <w:szCs w:val="24"/>
        </w:rPr>
        <w:t>大数据质控模块</w:t>
      </w:r>
    </w:p>
    <w:p w14:paraId="0F75DA0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spacing w:before="0" w:beforeAutospacing="0" w:after="0" w:afterAutospacing="0" w:line="360" w:lineRule="atLeast"/>
        <w:ind w:left="0" w:right="0" w:firstLine="480" w:firstLineChars="200"/>
        <w:jc w:val="both"/>
        <w:rPr>
          <w:rFonts w:hint="eastAsia"/>
          <w:color w:val="000000"/>
          <w:sz w:val="24"/>
          <w:szCs w:val="24"/>
          <w:lang w:val="en-US" w:eastAsia="en-US"/>
        </w:rPr>
      </w:pPr>
      <w:r>
        <w:rPr>
          <w:rFonts w:hint="eastAsia"/>
          <w:color w:val="000000"/>
          <w:sz w:val="24"/>
          <w:szCs w:val="24"/>
          <w:lang w:val="en-US" w:eastAsia="en-US"/>
        </w:rPr>
        <w:t>建立基于数据的 VTE 防治质量评价辅助决策系统，能及时获取动态数据变化，并根据变化动态的提示、预警和辅助质量分析与过程控制，并与评估、预防、诊断、治疗等流程进行交互和提醒。</w:t>
      </w:r>
    </w:p>
    <w:p w14:paraId="47AD52B7">
      <w:pPr>
        <w:pStyle w:val="8"/>
        <w:keepNext w:val="0"/>
        <w:keepLines w:val="0"/>
        <w:pageBreakBefore w:val="0"/>
        <w:widowControl w:val="0"/>
        <w:kinsoku/>
        <w:wordWrap/>
        <w:overflowPunct w:val="0"/>
        <w:topLinePunct w:val="0"/>
        <w:autoSpaceDE/>
        <w:autoSpaceDN/>
        <w:bidi w:val="0"/>
        <w:adjustRightInd w:val="0"/>
        <w:snapToGrid w:val="0"/>
        <w:spacing w:before="0" w:beforeLines="0" w:after="0" w:afterLines="0" w:line="413" w:lineRule="auto"/>
        <w:ind w:left="0" w:firstLine="482" w:firstLineChars="200"/>
        <w:jc w:val="both"/>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3.1质控大屏</w:t>
      </w:r>
      <w:r>
        <w:rPr>
          <w:rFonts w:hint="eastAsia" w:ascii="宋体" w:hAnsi="宋体" w:eastAsia="宋体" w:cs="宋体"/>
          <w:color w:val="000000"/>
          <w:sz w:val="24"/>
          <w:szCs w:val="24"/>
        </w:rPr>
        <w:tab/>
      </w:r>
    </w:p>
    <w:p w14:paraId="588785D6">
      <w:pPr>
        <w:pStyle w:val="4"/>
        <w:keepNext w:val="0"/>
        <w:keepLines w:val="0"/>
        <w:pageBreakBefore w:val="0"/>
        <w:widowControl w:val="0"/>
        <w:tabs>
          <w:tab w:val="left" w:pos="6300"/>
        </w:tabs>
        <w:kinsoku/>
        <w:wordWrap/>
        <w:overflowPunct w:val="0"/>
        <w:topLinePunct w:val="0"/>
        <w:autoSpaceDE/>
        <w:autoSpaceDN/>
        <w:bidi w:val="0"/>
        <w:adjustRightInd w:val="0"/>
        <w:snapToGrid w:val="0"/>
        <w:spacing w:after="0"/>
        <w:ind w:left="0" w:leftChars="0" w:firstLine="480" w:firstLineChars="200"/>
        <w:jc w:val="both"/>
        <w:textAlignment w:val="baseline"/>
        <w:rPr>
          <w:rFonts w:hint="eastAsia" w:ascii="宋体" w:hAnsi="宋体" w:eastAsia="宋体" w:cs="宋体"/>
          <w:color w:val="000000"/>
          <w:sz w:val="24"/>
          <w:szCs w:val="24"/>
        </w:rPr>
      </w:pPr>
      <w:r>
        <w:rPr>
          <w:rFonts w:ascii="宋体" w:hAnsi="宋体" w:eastAsia="宋体" w:cs="宋体"/>
          <w:sz w:val="24"/>
          <w:szCs w:val="24"/>
        </w:rPr>
        <w:t>可视化数据大屏可实时展示各科室VTE防治情况，多维度监测院内VTE风险评估、出血风险评估、评估率走势及预防措施落实情况，自动核算VTE评估率、出血评估率、预防措施实施率等指标，便于全程监控VTE防治动态。同时可分类展示全院及各科室患者VTE防控详情，包括评估量表名称、VTE与出血风险等级、中高危患者评估结果、出血危险因素、预防用药及剂量、物理预防措施、DVT/PTE确诊情况等相关指标。</w:t>
      </w:r>
    </w:p>
    <w:p w14:paraId="0603A2B2">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260" w:beforeAutospacing="0" w:after="0" w:afterAutospacing="0" w:line="413" w:lineRule="auto"/>
        <w:ind w:left="0" w:right="0" w:firstLine="482" w:firstLineChars="200"/>
        <w:jc w:val="both"/>
        <w:textAlignment w:val="baseline"/>
        <w:rPr>
          <w:rFonts w:hint="eastAsia" w:ascii="宋体" w:hAnsi="宋体" w:eastAsia="宋体" w:cs="宋体"/>
          <w:b/>
          <w:bCs w:val="0"/>
          <w:snapToGrid w:val="0"/>
          <w:color w:val="000000"/>
          <w:kern w:val="0"/>
          <w:sz w:val="24"/>
          <w:szCs w:val="24"/>
          <w:lang w:val="en-US" w:eastAsia="en-US" w:bidi="ar-SA"/>
        </w:rPr>
      </w:pPr>
      <w:r>
        <w:rPr>
          <w:rFonts w:hint="eastAsia" w:ascii="宋体" w:hAnsi="宋体" w:eastAsia="宋体" w:cs="宋体"/>
          <w:b/>
          <w:bCs w:val="0"/>
          <w:snapToGrid w:val="0"/>
          <w:color w:val="000000"/>
          <w:kern w:val="0"/>
          <w:sz w:val="24"/>
          <w:szCs w:val="24"/>
          <w:lang w:val="en-US" w:eastAsia="en-US" w:bidi="ar-SA"/>
        </w:rPr>
        <w:t>3.2VTE评估质量指标</w:t>
      </w:r>
    </w:p>
    <w:p w14:paraId="75DD848E">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3.2.1</w:t>
      </w:r>
      <w:r>
        <w:rPr>
          <w:color w:val="000000"/>
          <w:sz w:val="24"/>
          <w:szCs w:val="24"/>
        </w:rPr>
        <w:t>依据《医院内静脉血栓栓塞症防治质量评价与管理建议（2022版）》质控要求，提供重点人群评估质量指标。</w:t>
      </w:r>
    </w:p>
    <w:p w14:paraId="0068B4DE">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3.2.2</w:t>
      </w:r>
      <w:r>
        <w:rPr>
          <w:color w:val="000000"/>
          <w:sz w:val="24"/>
          <w:szCs w:val="24"/>
        </w:rPr>
        <w:t>核心指标含VTE风险评估率、VTE中高风险比例，出血风险评估率、出血高风险比例。</w:t>
      </w:r>
    </w:p>
    <w:p w14:paraId="7C2CBD65">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3.2.3</w:t>
      </w:r>
      <w:r>
        <w:rPr>
          <w:color w:val="000000"/>
          <w:sz w:val="24"/>
          <w:szCs w:val="24"/>
        </w:rPr>
        <w:t>VTE风险评估指标：①入院24h内VTE风险评估率②术前24h内VTE风险评估率③术后24h内VTE风险评估率④转科24h内VTE风险评估率⑤出院前24h内VTE风险评估率⑥VTE中高风险比例</w:t>
      </w:r>
    </w:p>
    <w:p w14:paraId="7DF59A9D">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3.2.4</w:t>
      </w:r>
      <w:r>
        <w:rPr>
          <w:color w:val="000000"/>
          <w:sz w:val="24"/>
          <w:szCs w:val="24"/>
        </w:rPr>
        <w:t>出血风险评估指标：①入院24h内出血风险评估率②术前24h内出血风险评估率③术后24h内出血风险评估率④转科24h内出血风险评估率⑤出院前24h内出血风险评估率⑥出血高风险比例</w:t>
      </w:r>
    </w:p>
    <w:p w14:paraId="61AD80CC">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right="0" w:firstLine="480" w:firstLineChars="200"/>
        <w:jc w:val="both"/>
        <w:textAlignment w:val="baseline"/>
        <w:rPr>
          <w:color w:val="000000"/>
          <w:sz w:val="24"/>
          <w:szCs w:val="24"/>
        </w:rPr>
      </w:pPr>
      <w:r>
        <w:rPr>
          <w:rFonts w:hint="eastAsia" w:ascii="宋体" w:hAnsi="宋体" w:eastAsia="宋体" w:cs="宋体"/>
          <w:snapToGrid w:val="0"/>
          <w:color w:val="000000"/>
          <w:kern w:val="0"/>
          <w:sz w:val="24"/>
          <w:szCs w:val="24"/>
          <w:lang w:val="en-US" w:eastAsia="zh-CN" w:bidi="ar"/>
        </w:rPr>
        <w:t>3.2.5</w:t>
      </w:r>
      <w:r>
        <w:rPr>
          <w:rFonts w:ascii="宋体" w:hAnsi="宋体" w:eastAsia="宋体" w:cs="宋体"/>
          <w:snapToGrid w:val="0"/>
          <w:color w:val="000000"/>
          <w:kern w:val="0"/>
          <w:sz w:val="24"/>
          <w:szCs w:val="24"/>
          <w:lang w:val="en-US" w:eastAsia="zh-CN" w:bidi="ar"/>
        </w:rPr>
        <w:t>支持按重点人群筛选：全部、重症、骨科手术、肿瘤手术、妇科、长期住院、高龄患者等；支持多维度统计：年度、季度、月度、同期、全院、科室、病区；支持按院区、科室、病区、出院时间筛选。</w:t>
      </w:r>
    </w:p>
    <w:p w14:paraId="0D5F1BD7">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260" w:beforeAutospacing="0" w:after="0" w:afterAutospacing="0" w:line="413" w:lineRule="auto"/>
        <w:ind w:left="0" w:right="0" w:firstLine="482" w:firstLineChars="200"/>
        <w:jc w:val="both"/>
        <w:textAlignment w:val="baseline"/>
        <w:rPr>
          <w:rFonts w:hint="eastAsia" w:ascii="宋体" w:hAnsi="宋体" w:eastAsia="宋体" w:cs="宋体"/>
          <w:b/>
          <w:bCs w:val="0"/>
          <w:snapToGrid w:val="0"/>
          <w:color w:val="000000"/>
          <w:kern w:val="0"/>
          <w:sz w:val="24"/>
          <w:szCs w:val="24"/>
          <w:lang w:val="en-US" w:eastAsia="en-US" w:bidi="ar-SA"/>
        </w:rPr>
      </w:pPr>
      <w:r>
        <w:rPr>
          <w:rFonts w:hint="eastAsia" w:ascii="宋体" w:hAnsi="宋体" w:eastAsia="宋体" w:cs="宋体"/>
          <w:b/>
          <w:bCs w:val="0"/>
          <w:snapToGrid w:val="0"/>
          <w:color w:val="000000"/>
          <w:kern w:val="0"/>
          <w:sz w:val="24"/>
          <w:szCs w:val="24"/>
          <w:lang w:val="en-US" w:eastAsia="en-US" w:bidi="ar-SA"/>
        </w:rPr>
        <w:t>3.3VTE预防质量指标</w:t>
      </w:r>
    </w:p>
    <w:p w14:paraId="289B019B">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3.3.1</w:t>
      </w:r>
      <w:r>
        <w:rPr>
          <w:color w:val="000000"/>
          <w:sz w:val="24"/>
          <w:szCs w:val="24"/>
        </w:rPr>
        <w:t>依据《医院内静脉血栓栓塞症防治质量评价与管理建议（2022版）》质控要求</w:t>
      </w:r>
      <w:r>
        <w:rPr>
          <w:rFonts w:hint="eastAsia" w:eastAsia="宋体"/>
          <w:color w:val="000000"/>
          <w:sz w:val="24"/>
          <w:szCs w:val="24"/>
          <w:lang w:eastAsia="zh-CN"/>
        </w:rPr>
        <w:t>，</w:t>
      </w:r>
      <w:r>
        <w:rPr>
          <w:color w:val="000000"/>
          <w:sz w:val="24"/>
          <w:szCs w:val="24"/>
        </w:rPr>
        <w:t>提供重点人群预防质量指标</w:t>
      </w:r>
      <w:r>
        <w:rPr>
          <w:rFonts w:hint="eastAsia" w:eastAsia="宋体"/>
          <w:color w:val="000000"/>
          <w:sz w:val="24"/>
          <w:szCs w:val="24"/>
          <w:lang w:eastAsia="zh-CN"/>
        </w:rPr>
        <w:t>，</w:t>
      </w:r>
      <w:r>
        <w:rPr>
          <w:color w:val="000000"/>
          <w:sz w:val="24"/>
          <w:szCs w:val="24"/>
        </w:rPr>
        <w:t>含药物、机械、联合预防实施率。</w:t>
      </w:r>
    </w:p>
    <w:p w14:paraId="3CC621B8">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3.3.2</w:t>
      </w:r>
      <w:r>
        <w:rPr>
          <w:color w:val="000000"/>
          <w:sz w:val="24"/>
          <w:szCs w:val="24"/>
        </w:rPr>
        <w:t>药物预防指标：①入院24h内药物预防实施率②术前24～72h药物预防实施率③术后24h内药物预防实施率④术后24～72h药物预防实施率⑤转科24h内药物预防实施率⑥出院医嘱抗凝药比例</w:t>
      </w:r>
    </w:p>
    <w:p w14:paraId="2E165343">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3.3.3</w:t>
      </w:r>
      <w:r>
        <w:rPr>
          <w:color w:val="000000"/>
          <w:sz w:val="24"/>
          <w:szCs w:val="24"/>
        </w:rPr>
        <w:t>机械预防指标：①入院24h内机械预防实施率②术前24h内机械预防实施率③术中机械预防实施率④术后24h机械预防实施率⑤转科24h内机械预防实施率</w:t>
      </w:r>
    </w:p>
    <w:p w14:paraId="0305FE43">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3.3.4</w:t>
      </w:r>
      <w:r>
        <w:rPr>
          <w:color w:val="000000"/>
          <w:sz w:val="24"/>
          <w:szCs w:val="24"/>
        </w:rPr>
        <w:t>联合预防指标：①入院24h内联合预防实施率②术前24～72h联合预防实施率③术后24h内联合预防实施率④术后24～72h联合预防实施率⑤转科24h内联合预防实施率</w:t>
      </w:r>
    </w:p>
    <w:p w14:paraId="7D6EB7AD">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ascii="宋体" w:hAnsi="宋体" w:eastAsia="宋体" w:cs="宋体"/>
          <w:snapToGrid w:val="0"/>
          <w:color w:val="000000"/>
          <w:kern w:val="0"/>
          <w:sz w:val="24"/>
          <w:szCs w:val="24"/>
          <w:lang w:val="en-US" w:eastAsia="zh-CN" w:bidi="ar"/>
        </w:rPr>
        <w:t>3.3.5</w:t>
      </w:r>
      <w:r>
        <w:rPr>
          <w:rFonts w:ascii="宋体" w:hAnsi="宋体" w:eastAsia="宋体" w:cs="宋体"/>
          <w:snapToGrid w:val="0"/>
          <w:color w:val="000000"/>
          <w:kern w:val="0"/>
          <w:sz w:val="24"/>
          <w:szCs w:val="24"/>
          <w:lang w:val="en-US" w:eastAsia="zh-CN" w:bidi="ar"/>
        </w:rPr>
        <w:t>支持按重点人群、时间维度（年度/季度/月度/同期）、机构范围（全院/科室/病区）统计；支持按院区、科室、病区、出院时间筛选。</w:t>
      </w:r>
    </w:p>
    <w:p w14:paraId="5055F685">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260" w:beforeAutospacing="0" w:after="0" w:afterAutospacing="0" w:line="413" w:lineRule="auto"/>
        <w:ind w:left="0" w:right="0" w:firstLine="482" w:firstLineChars="200"/>
        <w:jc w:val="both"/>
        <w:textAlignment w:val="baseline"/>
        <w:rPr>
          <w:rFonts w:hint="eastAsia" w:ascii="宋体" w:hAnsi="宋体" w:eastAsia="宋体" w:cs="宋体"/>
          <w:b/>
          <w:bCs w:val="0"/>
          <w:snapToGrid w:val="0"/>
          <w:color w:val="000000"/>
          <w:kern w:val="0"/>
          <w:sz w:val="24"/>
          <w:szCs w:val="24"/>
          <w:lang w:val="en-US" w:eastAsia="en-US" w:bidi="ar-SA"/>
        </w:rPr>
      </w:pPr>
      <w:r>
        <w:rPr>
          <w:rFonts w:hint="eastAsia" w:ascii="宋体" w:hAnsi="宋体" w:eastAsia="宋体" w:cs="宋体"/>
          <w:b/>
          <w:bCs w:val="0"/>
          <w:snapToGrid w:val="0"/>
          <w:color w:val="000000"/>
          <w:kern w:val="0"/>
          <w:sz w:val="24"/>
          <w:szCs w:val="24"/>
          <w:lang w:val="en-US" w:eastAsia="en-US" w:bidi="ar-SA"/>
        </w:rPr>
        <w:t>3.4VTE结局质量指标</w:t>
      </w:r>
    </w:p>
    <w:p w14:paraId="67F33254">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3.4.1</w:t>
      </w:r>
      <w:r>
        <w:rPr>
          <w:color w:val="000000"/>
          <w:sz w:val="24"/>
          <w:szCs w:val="24"/>
        </w:rPr>
        <w:t>依据《医院内静脉血栓栓塞症防治质量评价与管理建议（2022版）》</w:t>
      </w:r>
      <w:r>
        <w:rPr>
          <w:rFonts w:hint="eastAsia" w:eastAsia="宋体"/>
          <w:color w:val="000000"/>
          <w:sz w:val="24"/>
          <w:szCs w:val="24"/>
          <w:lang w:eastAsia="zh-CN"/>
        </w:rPr>
        <w:t>的质控</w:t>
      </w:r>
      <w:r>
        <w:rPr>
          <w:color w:val="000000"/>
          <w:sz w:val="24"/>
          <w:szCs w:val="24"/>
        </w:rPr>
        <w:t>要求，提供重点人群结局指标</w:t>
      </w:r>
      <w:r>
        <w:rPr>
          <w:rFonts w:hint="eastAsia" w:eastAsia="宋体"/>
          <w:color w:val="000000"/>
          <w:sz w:val="24"/>
          <w:szCs w:val="24"/>
          <w:lang w:eastAsia="zh-CN"/>
        </w:rPr>
        <w:t>，包</w:t>
      </w:r>
      <w:r>
        <w:rPr>
          <w:color w:val="000000"/>
          <w:sz w:val="24"/>
          <w:szCs w:val="24"/>
        </w:rPr>
        <w:t>含医院相关性VTE检出率、治疗率、出血事件发生率、死亡率。</w:t>
      </w:r>
    </w:p>
    <w:p w14:paraId="3FDEB6E1">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3.4.2</w:t>
      </w:r>
      <w:r>
        <w:rPr>
          <w:color w:val="000000"/>
          <w:sz w:val="24"/>
          <w:szCs w:val="24"/>
        </w:rPr>
        <w:t>医院相关性VTE检出指标：①单纯DVT出院例数</w:t>
      </w:r>
      <w:r>
        <w:rPr>
          <w:rFonts w:hint="eastAsia" w:eastAsia="宋体"/>
          <w:color w:val="000000"/>
          <w:sz w:val="24"/>
          <w:szCs w:val="24"/>
          <w:lang w:eastAsia="zh-CN"/>
        </w:rPr>
        <w:t>；</w:t>
      </w:r>
      <w:r>
        <w:rPr>
          <w:color w:val="000000"/>
          <w:sz w:val="24"/>
          <w:szCs w:val="24"/>
        </w:rPr>
        <w:t>②单纯PTE/PE出院例数</w:t>
      </w:r>
      <w:r>
        <w:rPr>
          <w:rFonts w:hint="eastAsia" w:eastAsia="宋体"/>
          <w:color w:val="000000"/>
          <w:sz w:val="24"/>
          <w:szCs w:val="24"/>
          <w:lang w:eastAsia="zh-CN"/>
        </w:rPr>
        <w:t>；</w:t>
      </w:r>
      <w:r>
        <w:rPr>
          <w:color w:val="000000"/>
          <w:sz w:val="24"/>
          <w:szCs w:val="24"/>
        </w:rPr>
        <w:t>③DVT合并PTE/PE出院例数</w:t>
      </w:r>
      <w:r>
        <w:rPr>
          <w:rFonts w:hint="eastAsia" w:eastAsia="宋体"/>
          <w:color w:val="000000"/>
          <w:sz w:val="24"/>
          <w:szCs w:val="24"/>
          <w:lang w:eastAsia="zh-CN"/>
        </w:rPr>
        <w:t>；</w:t>
      </w:r>
      <w:r>
        <w:rPr>
          <w:color w:val="000000"/>
          <w:sz w:val="24"/>
          <w:szCs w:val="24"/>
        </w:rPr>
        <w:t>④医院相关性VTE出院</w:t>
      </w:r>
      <w:r>
        <w:rPr>
          <w:rFonts w:hint="eastAsia" w:eastAsia="宋体"/>
          <w:color w:val="000000"/>
          <w:sz w:val="24"/>
          <w:szCs w:val="24"/>
          <w:lang w:eastAsia="zh-CN"/>
        </w:rPr>
        <w:t>例数。</w:t>
      </w:r>
    </w:p>
    <w:p w14:paraId="34E2D949">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3.4.3</w:t>
      </w:r>
      <w:r>
        <w:rPr>
          <w:color w:val="000000"/>
          <w:sz w:val="24"/>
          <w:szCs w:val="24"/>
        </w:rPr>
        <w:t>医院相关性VTE治疗指标：①规范治疗率</w:t>
      </w:r>
      <w:r>
        <w:rPr>
          <w:rFonts w:hint="eastAsia" w:eastAsia="宋体"/>
          <w:color w:val="000000"/>
          <w:sz w:val="24"/>
          <w:szCs w:val="24"/>
          <w:lang w:eastAsia="zh-CN"/>
        </w:rPr>
        <w:t>；</w:t>
      </w:r>
      <w:r>
        <w:rPr>
          <w:color w:val="000000"/>
          <w:sz w:val="24"/>
          <w:szCs w:val="24"/>
        </w:rPr>
        <w:t>②抗凝治疗实施率</w:t>
      </w:r>
      <w:r>
        <w:rPr>
          <w:rFonts w:hint="eastAsia" w:eastAsia="宋体"/>
          <w:color w:val="000000"/>
          <w:sz w:val="24"/>
          <w:szCs w:val="24"/>
          <w:lang w:eastAsia="zh-CN"/>
        </w:rPr>
        <w:t>；</w:t>
      </w:r>
      <w:r>
        <w:rPr>
          <w:color w:val="000000"/>
          <w:sz w:val="24"/>
          <w:szCs w:val="24"/>
        </w:rPr>
        <w:t>③溶栓治疗实施率</w:t>
      </w:r>
      <w:r>
        <w:rPr>
          <w:rFonts w:hint="eastAsia" w:eastAsia="宋体"/>
          <w:color w:val="000000"/>
          <w:sz w:val="24"/>
          <w:szCs w:val="24"/>
          <w:lang w:eastAsia="zh-CN"/>
        </w:rPr>
        <w:t>；</w:t>
      </w:r>
      <w:r>
        <w:rPr>
          <w:color w:val="000000"/>
          <w:sz w:val="24"/>
          <w:szCs w:val="24"/>
        </w:rPr>
        <w:t>④介入治疗实施率</w:t>
      </w:r>
      <w:r>
        <w:rPr>
          <w:rFonts w:hint="eastAsia" w:eastAsia="宋体"/>
          <w:color w:val="000000"/>
          <w:sz w:val="24"/>
          <w:szCs w:val="24"/>
          <w:lang w:eastAsia="zh-CN"/>
        </w:rPr>
        <w:t>；</w:t>
      </w:r>
      <w:r>
        <w:rPr>
          <w:color w:val="000000"/>
          <w:sz w:val="24"/>
          <w:szCs w:val="24"/>
        </w:rPr>
        <w:t>⑤手术治疗实施率</w:t>
      </w:r>
      <w:r>
        <w:rPr>
          <w:rFonts w:hint="eastAsia" w:eastAsia="宋体"/>
          <w:color w:val="000000"/>
          <w:sz w:val="24"/>
          <w:szCs w:val="24"/>
          <w:lang w:eastAsia="zh-CN"/>
        </w:rPr>
        <w:t>；</w:t>
      </w:r>
      <w:r>
        <w:rPr>
          <w:color w:val="000000"/>
          <w:sz w:val="24"/>
          <w:szCs w:val="24"/>
        </w:rPr>
        <w:t>⑥出院医嘱抗凝药</w:t>
      </w:r>
      <w:r>
        <w:rPr>
          <w:rFonts w:hint="eastAsia" w:eastAsia="宋体"/>
          <w:color w:val="000000"/>
          <w:sz w:val="24"/>
          <w:szCs w:val="24"/>
          <w:lang w:eastAsia="zh-CN"/>
        </w:rPr>
        <w:t>比例。</w:t>
      </w:r>
    </w:p>
    <w:p w14:paraId="0CB13DD0">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3.4.4</w:t>
      </w:r>
      <w:r>
        <w:rPr>
          <w:color w:val="000000"/>
          <w:sz w:val="24"/>
          <w:szCs w:val="24"/>
        </w:rPr>
        <w:t>出血事件指标：①抗凝预防患者大出血发生率</w:t>
      </w:r>
      <w:r>
        <w:rPr>
          <w:rFonts w:hint="eastAsia" w:eastAsia="宋体"/>
          <w:color w:val="000000"/>
          <w:sz w:val="24"/>
          <w:szCs w:val="24"/>
          <w:lang w:eastAsia="zh-CN"/>
        </w:rPr>
        <w:t>；</w:t>
      </w:r>
      <w:r>
        <w:rPr>
          <w:color w:val="000000"/>
          <w:sz w:val="24"/>
          <w:szCs w:val="24"/>
        </w:rPr>
        <w:t>②抗凝预防患者非大出血发生率</w:t>
      </w:r>
      <w:r>
        <w:rPr>
          <w:rFonts w:hint="eastAsia" w:eastAsia="宋体"/>
          <w:color w:val="000000"/>
          <w:sz w:val="24"/>
          <w:szCs w:val="24"/>
          <w:lang w:eastAsia="zh-CN"/>
        </w:rPr>
        <w:t>；</w:t>
      </w:r>
      <w:r>
        <w:rPr>
          <w:color w:val="000000"/>
          <w:sz w:val="24"/>
          <w:szCs w:val="24"/>
        </w:rPr>
        <w:t>③抗凝/溶栓治疗患者大出血发生率</w:t>
      </w:r>
      <w:r>
        <w:rPr>
          <w:rFonts w:hint="eastAsia" w:eastAsia="宋体"/>
          <w:color w:val="000000"/>
          <w:sz w:val="24"/>
          <w:szCs w:val="24"/>
          <w:lang w:eastAsia="zh-CN"/>
        </w:rPr>
        <w:t>；</w:t>
      </w:r>
      <w:r>
        <w:rPr>
          <w:color w:val="000000"/>
          <w:sz w:val="24"/>
          <w:szCs w:val="24"/>
        </w:rPr>
        <w:t>④抗凝/溶栓治疗患者非大出血</w:t>
      </w:r>
      <w:r>
        <w:rPr>
          <w:rFonts w:hint="eastAsia" w:eastAsia="宋体"/>
          <w:color w:val="000000"/>
          <w:sz w:val="24"/>
          <w:szCs w:val="24"/>
          <w:lang w:eastAsia="zh-CN"/>
        </w:rPr>
        <w:t>发生率。</w:t>
      </w:r>
    </w:p>
    <w:p w14:paraId="367CC6A8">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rFonts w:hint="eastAsia" w:eastAsia="宋体"/>
          <w:color w:val="000000"/>
          <w:sz w:val="24"/>
          <w:szCs w:val="24"/>
          <w:lang w:val="en-US" w:eastAsia="zh-CN"/>
        </w:rPr>
      </w:pPr>
      <w:r>
        <w:rPr>
          <w:rFonts w:hint="eastAsia" w:eastAsia="宋体"/>
          <w:color w:val="000000"/>
          <w:sz w:val="24"/>
          <w:szCs w:val="24"/>
          <w:lang w:val="en-US" w:eastAsia="zh-CN"/>
        </w:rPr>
        <w:t>3.4.5</w:t>
      </w:r>
      <w:r>
        <w:rPr>
          <w:color w:val="000000"/>
          <w:sz w:val="24"/>
          <w:szCs w:val="24"/>
        </w:rPr>
        <w:t>医院相关性VTE死亡指标：①单纯DVT死亡例数</w:t>
      </w:r>
      <w:r>
        <w:rPr>
          <w:rFonts w:hint="eastAsia" w:eastAsia="宋体"/>
          <w:color w:val="000000"/>
          <w:sz w:val="24"/>
          <w:szCs w:val="24"/>
          <w:lang w:eastAsia="zh-CN"/>
        </w:rPr>
        <w:t>；</w:t>
      </w:r>
      <w:r>
        <w:rPr>
          <w:color w:val="000000"/>
          <w:sz w:val="24"/>
          <w:szCs w:val="24"/>
        </w:rPr>
        <w:t>②单纯PTE/PE死亡例数</w:t>
      </w:r>
      <w:r>
        <w:rPr>
          <w:rFonts w:hint="eastAsia" w:eastAsia="宋体"/>
          <w:color w:val="000000"/>
          <w:sz w:val="24"/>
          <w:szCs w:val="24"/>
          <w:lang w:eastAsia="zh-CN"/>
        </w:rPr>
        <w:t>；</w:t>
      </w:r>
      <w:r>
        <w:rPr>
          <w:color w:val="000000"/>
          <w:sz w:val="24"/>
          <w:szCs w:val="24"/>
        </w:rPr>
        <w:t>③DVT合并PTE/PE死亡例数</w:t>
      </w:r>
      <w:r>
        <w:rPr>
          <w:rFonts w:hint="eastAsia" w:eastAsia="宋体"/>
          <w:color w:val="000000"/>
          <w:sz w:val="24"/>
          <w:szCs w:val="24"/>
          <w:lang w:eastAsia="zh-CN"/>
        </w:rPr>
        <w:t>；</w:t>
      </w:r>
      <w:r>
        <w:rPr>
          <w:color w:val="000000"/>
          <w:sz w:val="24"/>
          <w:szCs w:val="24"/>
        </w:rPr>
        <w:t>④医院相关性VTE致死</w:t>
      </w:r>
      <w:r>
        <w:rPr>
          <w:rFonts w:hint="eastAsia" w:eastAsia="宋体"/>
          <w:color w:val="000000"/>
          <w:sz w:val="24"/>
          <w:szCs w:val="24"/>
          <w:lang w:eastAsia="zh-CN"/>
        </w:rPr>
        <w:t>例数。</w:t>
      </w:r>
    </w:p>
    <w:p w14:paraId="3DAA78C4">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ascii="宋体" w:hAnsi="宋体" w:eastAsia="宋体" w:cs="宋体"/>
          <w:snapToGrid w:val="0"/>
          <w:color w:val="000000"/>
          <w:kern w:val="0"/>
          <w:sz w:val="24"/>
          <w:szCs w:val="24"/>
          <w:lang w:val="en-US" w:eastAsia="zh-CN" w:bidi="ar"/>
        </w:rPr>
        <w:t>3.4.6</w:t>
      </w:r>
      <w:r>
        <w:rPr>
          <w:rFonts w:ascii="宋体" w:hAnsi="宋体" w:eastAsia="宋体" w:cs="宋体"/>
          <w:snapToGrid w:val="0"/>
          <w:color w:val="000000"/>
          <w:kern w:val="0"/>
          <w:sz w:val="24"/>
          <w:szCs w:val="24"/>
          <w:lang w:val="en-US" w:eastAsia="zh-CN" w:bidi="ar"/>
        </w:rPr>
        <w:t>支持重点人群、时间、机构维度统计，支持按院区、科室、病区、出院时间筛选。</w:t>
      </w:r>
    </w:p>
    <w:p w14:paraId="217E2B7C">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260" w:beforeAutospacing="0" w:after="0" w:afterAutospacing="0" w:line="413" w:lineRule="auto"/>
        <w:ind w:left="0" w:right="0" w:firstLine="482" w:firstLineChars="200"/>
        <w:jc w:val="both"/>
        <w:textAlignment w:val="baseline"/>
        <w:rPr>
          <w:rFonts w:hint="eastAsia" w:ascii="宋体" w:hAnsi="宋体" w:eastAsia="宋体" w:cs="宋体"/>
          <w:b/>
          <w:bCs w:val="0"/>
          <w:snapToGrid w:val="0"/>
          <w:color w:val="000000"/>
          <w:kern w:val="0"/>
          <w:sz w:val="24"/>
          <w:szCs w:val="24"/>
          <w:lang w:val="en-US" w:eastAsia="en-US" w:bidi="ar-SA"/>
        </w:rPr>
      </w:pPr>
      <w:r>
        <w:rPr>
          <w:rFonts w:hint="eastAsia" w:ascii="宋体" w:hAnsi="宋体" w:eastAsia="宋体" w:cs="宋体"/>
          <w:b/>
          <w:bCs w:val="0"/>
          <w:snapToGrid w:val="0"/>
          <w:color w:val="000000"/>
          <w:kern w:val="0"/>
          <w:sz w:val="24"/>
          <w:szCs w:val="24"/>
          <w:lang w:val="en-US" w:eastAsia="en-US" w:bidi="ar-SA"/>
        </w:rPr>
        <w:t>3.5VTE诊断类指标</w:t>
      </w:r>
    </w:p>
    <w:p w14:paraId="10AC8BAA">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 xml:space="preserve">3.5.1 </w:t>
      </w:r>
      <w:r>
        <w:rPr>
          <w:color w:val="000000"/>
          <w:sz w:val="24"/>
          <w:szCs w:val="24"/>
        </w:rPr>
        <w:t>VTE检查率</w:t>
      </w:r>
      <w:r>
        <w:rPr>
          <w:rFonts w:hint="eastAsia" w:eastAsia="宋体"/>
          <w:color w:val="000000"/>
          <w:sz w:val="24"/>
          <w:szCs w:val="24"/>
          <w:lang w:eastAsia="zh-CN"/>
        </w:rPr>
        <w:t>：</w:t>
      </w:r>
      <w:r>
        <w:rPr>
          <w:color w:val="000000"/>
          <w:sz w:val="24"/>
          <w:szCs w:val="24"/>
        </w:rPr>
        <w:t>出院患者DVT/PE影像检查率、中高危患者DVT/PE影像检查率</w:t>
      </w:r>
    </w:p>
    <w:p w14:paraId="400BE76C">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 xml:space="preserve">3.5.2 </w:t>
      </w:r>
      <w:r>
        <w:rPr>
          <w:color w:val="000000"/>
          <w:sz w:val="24"/>
          <w:szCs w:val="24"/>
        </w:rPr>
        <w:t>D-二聚体检测率：出院患者检测率、中高危患者检测率</w:t>
      </w:r>
    </w:p>
    <w:p w14:paraId="47BBF5E1">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 xml:space="preserve">3.5.3 </w:t>
      </w:r>
      <w:r>
        <w:rPr>
          <w:color w:val="000000"/>
          <w:sz w:val="24"/>
          <w:szCs w:val="24"/>
        </w:rPr>
        <w:t>24h监测：凝血、心脏标志物、心电图、床旁超声监测比率</w:t>
      </w:r>
    </w:p>
    <w:p w14:paraId="21CE8557">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 xml:space="preserve">3.5.4 </w:t>
      </w:r>
      <w:r>
        <w:rPr>
          <w:color w:val="000000"/>
          <w:sz w:val="24"/>
          <w:szCs w:val="24"/>
        </w:rPr>
        <w:t>肺动脉造影、CTPA、VQ显像、下肢静脉</w:t>
      </w:r>
      <w:r>
        <w:rPr>
          <w:rFonts w:hint="eastAsia" w:eastAsia="宋体"/>
          <w:color w:val="000000"/>
          <w:sz w:val="24"/>
          <w:szCs w:val="24"/>
          <w:lang w:eastAsia="zh-CN"/>
        </w:rPr>
        <w:t>超声实时比率。</w:t>
      </w:r>
    </w:p>
    <w:p w14:paraId="1D3E0751">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260" w:beforeAutospacing="0" w:after="0" w:afterAutospacing="0" w:line="413" w:lineRule="auto"/>
        <w:ind w:left="0" w:right="0" w:firstLine="482" w:firstLineChars="200"/>
        <w:jc w:val="both"/>
        <w:textAlignment w:val="baseline"/>
        <w:rPr>
          <w:rFonts w:hint="eastAsia" w:ascii="宋体" w:hAnsi="宋体" w:eastAsia="宋体" w:cs="宋体"/>
          <w:b/>
          <w:bCs w:val="0"/>
          <w:snapToGrid w:val="0"/>
          <w:color w:val="000000"/>
          <w:kern w:val="0"/>
          <w:sz w:val="24"/>
          <w:szCs w:val="24"/>
          <w:lang w:val="en-US" w:eastAsia="en-US" w:bidi="ar-SA"/>
        </w:rPr>
      </w:pPr>
      <w:r>
        <w:rPr>
          <w:rFonts w:hint="eastAsia" w:ascii="宋体" w:hAnsi="宋体" w:eastAsia="宋体" w:cs="宋体"/>
          <w:b/>
          <w:bCs w:val="0"/>
          <w:snapToGrid w:val="0"/>
          <w:color w:val="000000"/>
          <w:kern w:val="0"/>
          <w:sz w:val="24"/>
          <w:szCs w:val="24"/>
          <w:lang w:val="en-US" w:eastAsia="en-US" w:bidi="ar-SA"/>
        </w:rPr>
        <w:t>3.6VTE治疗类指标</w:t>
      </w:r>
    </w:p>
    <w:p w14:paraId="220A4A4E">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3.6.1</w:t>
      </w:r>
      <w:r>
        <w:rPr>
          <w:color w:val="000000"/>
          <w:sz w:val="24"/>
          <w:szCs w:val="24"/>
        </w:rPr>
        <w:t>医院相关性VTE治疗指标：治疗率、规范治疗率、抗凝/溶栓/介入/手术治疗实施</w:t>
      </w:r>
      <w:r>
        <w:rPr>
          <w:rFonts w:hint="eastAsia" w:eastAsia="宋体"/>
          <w:color w:val="000000"/>
          <w:sz w:val="24"/>
          <w:szCs w:val="24"/>
          <w:lang w:eastAsia="zh-CN"/>
        </w:rPr>
        <w:t>率。</w:t>
      </w:r>
    </w:p>
    <w:p w14:paraId="44A2B883">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3.6.2</w:t>
      </w:r>
      <w:r>
        <w:rPr>
          <w:color w:val="000000"/>
          <w:sz w:val="24"/>
          <w:szCs w:val="24"/>
        </w:rPr>
        <w:t>全部VTE治疗指标：规范治疗率、抗凝/溶栓/介入/手术治疗实施率、出院医嘱抗凝药</w:t>
      </w:r>
      <w:r>
        <w:rPr>
          <w:rFonts w:hint="eastAsia" w:eastAsia="宋体"/>
          <w:color w:val="000000"/>
          <w:sz w:val="24"/>
          <w:szCs w:val="24"/>
          <w:lang w:eastAsia="zh-CN"/>
        </w:rPr>
        <w:t>比例。</w:t>
      </w:r>
    </w:p>
    <w:p w14:paraId="06B453D2">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260" w:beforeAutospacing="0" w:after="0" w:afterAutospacing="0" w:line="413" w:lineRule="auto"/>
        <w:ind w:left="0" w:right="0" w:firstLine="482" w:firstLineChars="200"/>
        <w:jc w:val="both"/>
        <w:textAlignment w:val="baseline"/>
        <w:rPr>
          <w:rFonts w:hint="eastAsia" w:ascii="宋体" w:hAnsi="宋体" w:eastAsia="宋体" w:cs="宋体"/>
          <w:b/>
          <w:bCs w:val="0"/>
          <w:snapToGrid w:val="0"/>
          <w:color w:val="000000"/>
          <w:kern w:val="0"/>
          <w:sz w:val="24"/>
          <w:szCs w:val="24"/>
          <w:lang w:val="en-US" w:eastAsia="en-US" w:bidi="ar-SA"/>
        </w:rPr>
      </w:pPr>
      <w:r>
        <w:rPr>
          <w:rFonts w:hint="eastAsia" w:ascii="宋体" w:hAnsi="宋体" w:eastAsia="宋体" w:cs="宋体"/>
          <w:b/>
          <w:bCs w:val="0"/>
          <w:snapToGrid w:val="0"/>
          <w:color w:val="000000"/>
          <w:kern w:val="0"/>
          <w:sz w:val="24"/>
          <w:szCs w:val="24"/>
          <w:lang w:val="en-US" w:eastAsia="en-US" w:bidi="ar-SA"/>
        </w:rPr>
        <w:t>3.7VTE结果类指标</w:t>
      </w:r>
    </w:p>
    <w:p w14:paraId="26413B0D">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3.7.1</w:t>
      </w:r>
      <w:r>
        <w:rPr>
          <w:color w:val="000000"/>
          <w:sz w:val="24"/>
          <w:szCs w:val="24"/>
        </w:rPr>
        <w:t>医院相关性VTE检出率：总检出率、单纯DVT/PTE、DVT合并PTE、手术患者、肌间静脉血栓</w:t>
      </w:r>
      <w:r>
        <w:rPr>
          <w:rFonts w:hint="eastAsia" w:eastAsia="宋体"/>
          <w:color w:val="000000"/>
          <w:sz w:val="24"/>
          <w:szCs w:val="24"/>
          <w:lang w:eastAsia="zh-CN"/>
        </w:rPr>
        <w:t>检出率。</w:t>
      </w:r>
    </w:p>
    <w:p w14:paraId="21098D87">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3.7.2</w:t>
      </w:r>
      <w:r>
        <w:rPr>
          <w:color w:val="000000"/>
          <w:sz w:val="24"/>
          <w:szCs w:val="24"/>
        </w:rPr>
        <w:t>全部VTE检出率：总检出率、单纯DVT/PTE、DVT合并PTE、肌间静脉血栓</w:t>
      </w:r>
      <w:r>
        <w:rPr>
          <w:rFonts w:hint="eastAsia" w:eastAsia="宋体"/>
          <w:color w:val="000000"/>
          <w:sz w:val="24"/>
          <w:szCs w:val="24"/>
          <w:lang w:eastAsia="zh-CN"/>
        </w:rPr>
        <w:t>检出率。</w:t>
      </w:r>
    </w:p>
    <w:p w14:paraId="0E6EAF01">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3.7.3</w:t>
      </w:r>
      <w:r>
        <w:rPr>
          <w:color w:val="000000"/>
          <w:sz w:val="24"/>
          <w:szCs w:val="24"/>
        </w:rPr>
        <w:t>出血事件发生率：总发生率，抗凝预防、抗凝/溶栓治疗相关大出血及非大出血</w:t>
      </w:r>
      <w:r>
        <w:rPr>
          <w:rFonts w:hint="eastAsia" w:eastAsia="宋体"/>
          <w:color w:val="000000"/>
          <w:sz w:val="24"/>
          <w:szCs w:val="24"/>
          <w:lang w:eastAsia="zh-CN"/>
        </w:rPr>
        <w:t>发生率。</w:t>
      </w:r>
    </w:p>
    <w:p w14:paraId="480BA1F9">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3.7.4</w:t>
      </w:r>
      <w:r>
        <w:rPr>
          <w:color w:val="000000"/>
          <w:sz w:val="24"/>
          <w:szCs w:val="24"/>
        </w:rPr>
        <w:t>医院相关性VTE主因死亡率：总死亡率、单纯DVT/PTE主因</w:t>
      </w:r>
      <w:r>
        <w:rPr>
          <w:rFonts w:hint="eastAsia" w:eastAsia="宋体"/>
          <w:color w:val="000000"/>
          <w:sz w:val="24"/>
          <w:szCs w:val="24"/>
          <w:lang w:eastAsia="zh-CN"/>
        </w:rPr>
        <w:t>死亡率。</w:t>
      </w:r>
    </w:p>
    <w:p w14:paraId="33077081">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3.7.5</w:t>
      </w:r>
      <w:r>
        <w:rPr>
          <w:color w:val="000000"/>
          <w:sz w:val="24"/>
          <w:szCs w:val="24"/>
        </w:rPr>
        <w:t>全部VTE患者死亡率：总死亡率、单纯DVT/PTE、DVT合并PTE</w:t>
      </w:r>
      <w:r>
        <w:rPr>
          <w:rFonts w:hint="eastAsia" w:eastAsia="宋体"/>
          <w:color w:val="000000"/>
          <w:sz w:val="24"/>
          <w:szCs w:val="24"/>
          <w:lang w:eastAsia="zh-CN"/>
        </w:rPr>
        <w:t>死亡率。</w:t>
      </w:r>
    </w:p>
    <w:p w14:paraId="3EB00FB6">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leftChars="0" w:right="0" w:rightChars="0" w:firstLine="480" w:firstLineChars="200"/>
        <w:jc w:val="both"/>
        <w:textAlignment w:val="baseline"/>
        <w:rPr>
          <w:color w:val="000000"/>
          <w:sz w:val="24"/>
          <w:szCs w:val="24"/>
        </w:rPr>
      </w:pPr>
      <w:r>
        <w:rPr>
          <w:rFonts w:hint="eastAsia" w:eastAsia="宋体"/>
          <w:color w:val="000000"/>
          <w:sz w:val="24"/>
          <w:szCs w:val="24"/>
          <w:lang w:val="en-US" w:eastAsia="zh-CN"/>
        </w:rPr>
        <w:t>3.7.6</w:t>
      </w:r>
      <w:r>
        <w:rPr>
          <w:color w:val="000000"/>
          <w:sz w:val="24"/>
          <w:szCs w:val="24"/>
        </w:rPr>
        <w:t>医疗安全指标：手术患者PE、DVT</w:t>
      </w:r>
      <w:r>
        <w:rPr>
          <w:rFonts w:hint="eastAsia" w:eastAsia="宋体"/>
          <w:color w:val="000000"/>
          <w:sz w:val="24"/>
          <w:szCs w:val="24"/>
          <w:lang w:eastAsia="zh-CN"/>
        </w:rPr>
        <w:t>发生率。</w:t>
      </w:r>
    </w:p>
    <w:p w14:paraId="2D00C1F1">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260" w:beforeAutospacing="0" w:after="0" w:afterAutospacing="0" w:line="413" w:lineRule="auto"/>
        <w:ind w:left="0" w:right="0" w:firstLine="482" w:firstLineChars="200"/>
        <w:jc w:val="both"/>
        <w:textAlignment w:val="baseline"/>
        <w:rPr>
          <w:rFonts w:hint="eastAsia" w:ascii="宋体" w:hAnsi="宋体" w:eastAsia="宋体" w:cs="宋体"/>
          <w:b/>
          <w:bCs w:val="0"/>
          <w:snapToGrid w:val="0"/>
          <w:color w:val="000000"/>
          <w:kern w:val="0"/>
          <w:sz w:val="24"/>
          <w:szCs w:val="24"/>
          <w:lang w:val="en-US" w:eastAsia="en-US" w:bidi="ar-SA"/>
        </w:rPr>
      </w:pPr>
      <w:r>
        <w:rPr>
          <w:rFonts w:hint="eastAsia" w:ascii="宋体" w:hAnsi="宋体" w:eastAsia="宋体" w:cs="宋体"/>
          <w:b/>
          <w:bCs w:val="0"/>
          <w:snapToGrid w:val="0"/>
          <w:color w:val="000000"/>
          <w:kern w:val="0"/>
          <w:sz w:val="24"/>
          <w:szCs w:val="24"/>
          <w:lang w:val="en-US" w:eastAsia="en-US" w:bidi="ar-SA"/>
        </w:rPr>
        <w:t>3.8VTE过程质量指标</w:t>
      </w:r>
    </w:p>
    <w:p w14:paraId="4B69D280">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right="0" w:firstLine="480" w:firstLineChars="200"/>
        <w:jc w:val="both"/>
        <w:textAlignment w:val="baseline"/>
        <w:rPr>
          <w:rFonts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3.8.1</w:t>
      </w:r>
      <w:r>
        <w:rPr>
          <w:rFonts w:ascii="宋体" w:hAnsi="宋体" w:eastAsia="宋体" w:cs="宋体"/>
          <w:snapToGrid w:val="0"/>
          <w:color w:val="000000"/>
          <w:kern w:val="0"/>
          <w:sz w:val="24"/>
          <w:szCs w:val="24"/>
          <w:lang w:val="en-US" w:eastAsia="zh-CN" w:bidi="ar"/>
        </w:rPr>
        <w:t>入院24h未评分、术后24h未评分、转科24h未评分、出院前24h未评分、在院未评分、出院补评分、出血未评分、24h评分未确认；</w:t>
      </w:r>
    </w:p>
    <w:p w14:paraId="7AD484E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right="0" w:firstLine="480" w:firstLineChars="200"/>
        <w:jc w:val="both"/>
        <w:textAlignment w:val="baseline"/>
        <w:rPr>
          <w:rFonts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3.8.2</w:t>
      </w:r>
      <w:r>
        <w:rPr>
          <w:rFonts w:ascii="宋体" w:hAnsi="宋体" w:eastAsia="宋体" w:cs="宋体"/>
          <w:snapToGrid w:val="0"/>
          <w:color w:val="000000"/>
          <w:kern w:val="0"/>
          <w:sz w:val="24"/>
          <w:szCs w:val="24"/>
          <w:lang w:val="en-US" w:eastAsia="zh-CN" w:bidi="ar"/>
        </w:rPr>
        <w:t>未基础预防（在院/出院）、中高危未预防（在院/出院，除基础预防）、未药物预防（在院/出院）、未机械预防（在院/出院）、高出血风险未机械预防（在院/出院）；</w:t>
      </w:r>
    </w:p>
    <w:p w14:paraId="0854F9C0">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right="0" w:firstLine="480" w:firstLineChars="200"/>
        <w:jc w:val="both"/>
        <w:textAlignment w:val="baseline"/>
        <w:rPr>
          <w:color w:val="000000"/>
          <w:sz w:val="24"/>
          <w:szCs w:val="24"/>
        </w:rPr>
      </w:pPr>
      <w:r>
        <w:rPr>
          <w:rFonts w:hint="eastAsia" w:ascii="宋体" w:hAnsi="宋体" w:eastAsia="宋体" w:cs="宋体"/>
          <w:snapToGrid w:val="0"/>
          <w:color w:val="000000"/>
          <w:kern w:val="0"/>
          <w:sz w:val="24"/>
          <w:szCs w:val="24"/>
          <w:lang w:val="en-US" w:eastAsia="zh-CN" w:bidi="ar"/>
        </w:rPr>
        <w:t>3.8.3</w:t>
      </w:r>
      <w:r>
        <w:rPr>
          <w:rFonts w:ascii="宋体" w:hAnsi="宋体" w:eastAsia="宋体" w:cs="宋体"/>
          <w:snapToGrid w:val="0"/>
          <w:color w:val="000000"/>
          <w:kern w:val="0"/>
          <w:sz w:val="24"/>
          <w:szCs w:val="24"/>
          <w:lang w:val="en-US" w:eastAsia="zh-CN" w:bidi="ar"/>
        </w:rPr>
        <w:t>不合理预防、不合理药物预防、不合理机械预防（在院/出院）</w:t>
      </w:r>
    </w:p>
    <w:p w14:paraId="33F17BBB">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260" w:beforeAutospacing="0" w:after="0" w:afterAutospacing="0" w:line="413" w:lineRule="auto"/>
        <w:ind w:left="0" w:right="0" w:firstLine="482" w:firstLineChars="200"/>
        <w:jc w:val="both"/>
        <w:textAlignment w:val="baseline"/>
        <w:rPr>
          <w:rFonts w:hint="eastAsia" w:ascii="宋体" w:hAnsi="宋体" w:eastAsia="宋体" w:cs="宋体"/>
          <w:b/>
          <w:bCs w:val="0"/>
          <w:snapToGrid w:val="0"/>
          <w:color w:val="000000"/>
          <w:kern w:val="0"/>
          <w:sz w:val="24"/>
          <w:szCs w:val="24"/>
          <w:lang w:val="en-US" w:eastAsia="en-US" w:bidi="ar-SA"/>
        </w:rPr>
      </w:pPr>
      <w:r>
        <w:rPr>
          <w:rFonts w:hint="eastAsia" w:ascii="宋体" w:hAnsi="宋体" w:eastAsia="宋体" w:cs="宋体"/>
          <w:b/>
          <w:bCs w:val="0"/>
          <w:snapToGrid w:val="0"/>
          <w:color w:val="000000"/>
          <w:kern w:val="0"/>
          <w:sz w:val="24"/>
          <w:szCs w:val="24"/>
          <w:lang w:val="en-US" w:eastAsia="en-US" w:bidi="ar-SA"/>
        </w:rPr>
        <w:t>3.9ICU专项指标</w:t>
      </w:r>
    </w:p>
    <w:p w14:paraId="11FBE61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right="0" w:firstLine="480" w:firstLineChars="200"/>
        <w:jc w:val="both"/>
        <w:textAlignment w:val="baseline"/>
        <w:rPr>
          <w:color w:val="000000"/>
          <w:sz w:val="24"/>
          <w:szCs w:val="24"/>
        </w:rPr>
      </w:pPr>
      <w:r>
        <w:rPr>
          <w:rFonts w:ascii="宋体" w:hAnsi="宋体" w:eastAsia="宋体" w:cs="宋体"/>
          <w:snapToGrid w:val="0"/>
          <w:color w:val="000000"/>
          <w:kern w:val="0"/>
          <w:sz w:val="24"/>
          <w:szCs w:val="24"/>
          <w:lang w:val="en-US" w:eastAsia="zh-CN" w:bidi="ar"/>
        </w:rPr>
        <w:t>入ICU患者VTE风险评估率、24h内VTE评估率、VTE中高危比例；出血风险评估率、出血高危比例；药物预防率、机械预防率、联合预防率</w:t>
      </w:r>
    </w:p>
    <w:p w14:paraId="0A5E402D">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260" w:beforeAutospacing="0" w:after="0" w:afterAutospacing="0" w:line="413" w:lineRule="auto"/>
        <w:ind w:left="0" w:right="0" w:firstLine="482" w:firstLineChars="200"/>
        <w:jc w:val="both"/>
        <w:textAlignment w:val="baseline"/>
        <w:rPr>
          <w:rFonts w:hint="eastAsia" w:ascii="宋体" w:hAnsi="宋体" w:eastAsia="宋体" w:cs="宋体"/>
          <w:b/>
          <w:bCs w:val="0"/>
          <w:snapToGrid w:val="0"/>
          <w:color w:val="000000"/>
          <w:kern w:val="0"/>
          <w:sz w:val="24"/>
          <w:szCs w:val="24"/>
          <w:lang w:val="en-US" w:eastAsia="en-US" w:bidi="ar-SA"/>
        </w:rPr>
      </w:pPr>
      <w:r>
        <w:rPr>
          <w:rFonts w:hint="eastAsia" w:ascii="宋体" w:hAnsi="宋体" w:eastAsia="宋体" w:cs="宋体"/>
          <w:b/>
          <w:bCs w:val="0"/>
          <w:snapToGrid w:val="0"/>
          <w:color w:val="000000"/>
          <w:kern w:val="0"/>
          <w:sz w:val="24"/>
          <w:szCs w:val="24"/>
          <w:lang w:val="en-US" w:eastAsia="en-US" w:bidi="ar-SA"/>
        </w:rPr>
        <w:t>3.10VTE随访指标</w:t>
      </w:r>
    </w:p>
    <w:p w14:paraId="623034D1">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val="0"/>
        <w:snapToGrid w:val="0"/>
        <w:spacing w:beforeAutospacing="0" w:afterAutospacing="0" w:line="360" w:lineRule="atLeast"/>
        <w:ind w:left="0" w:right="0" w:firstLine="480" w:firstLineChars="200"/>
        <w:jc w:val="both"/>
        <w:textAlignment w:val="baseline"/>
        <w:rPr>
          <w:color w:val="000000"/>
          <w:sz w:val="24"/>
          <w:szCs w:val="24"/>
        </w:rPr>
      </w:pPr>
      <w:r>
        <w:rPr>
          <w:rFonts w:ascii="宋体" w:hAnsi="宋体" w:eastAsia="宋体" w:cs="宋体"/>
          <w:snapToGrid w:val="0"/>
          <w:color w:val="000000"/>
          <w:kern w:val="0"/>
          <w:sz w:val="24"/>
          <w:szCs w:val="24"/>
          <w:lang w:val="en-US" w:eastAsia="zh-CN" w:bidi="ar"/>
        </w:rPr>
        <w:t>全周期随访率、90天随访率、有效随访率；未完成全周期随访率、90天未随访率、无效随访率</w:t>
      </w:r>
    </w:p>
    <w:p w14:paraId="6CA2C040">
      <w:pPr>
        <w:keepNext w:val="0"/>
        <w:keepLines w:val="0"/>
        <w:pageBreakBefore w:val="0"/>
        <w:widowControl w:val="0"/>
        <w:numPr>
          <w:ilvl w:val="0"/>
          <w:numId w:val="0"/>
        </w:numPr>
        <w:kinsoku/>
        <w:wordWrap/>
        <w:overflowPunct w:val="0"/>
        <w:topLinePunct w:val="0"/>
        <w:autoSpaceDE/>
        <w:autoSpaceDN/>
        <w:bidi w:val="0"/>
        <w:adjustRightInd/>
        <w:snapToGrid/>
        <w:jc w:val="both"/>
        <w:textAlignment w:val="auto"/>
        <w:rPr>
          <w:rFonts w:hint="eastAsia" w:ascii="宋体" w:hAnsi="宋体" w:cs="宋体"/>
          <w:b/>
          <w:bCs/>
          <w:color w:val="000000"/>
          <w:kern w:val="44"/>
          <w:sz w:val="32"/>
          <w:szCs w:val="44"/>
          <w:highlight w:val="none"/>
          <w:lang w:val="en-US" w:eastAsia="zh-CN" w:bidi="ar-SA"/>
        </w:rPr>
      </w:pPr>
    </w:p>
    <w:p w14:paraId="66D4C798">
      <w:pPr>
        <w:keepNext w:val="0"/>
        <w:keepLines w:val="0"/>
        <w:pageBreakBefore w:val="0"/>
        <w:widowControl w:val="0"/>
        <w:numPr>
          <w:ilvl w:val="0"/>
          <w:numId w:val="0"/>
        </w:numPr>
        <w:kinsoku/>
        <w:wordWrap/>
        <w:overflowPunct w:val="0"/>
        <w:topLinePunct w:val="0"/>
        <w:autoSpaceDE/>
        <w:autoSpaceDN/>
        <w:bidi w:val="0"/>
        <w:adjustRightInd/>
        <w:snapToGrid/>
        <w:ind w:left="0"/>
        <w:jc w:val="both"/>
        <w:textAlignment w:val="auto"/>
        <w:rPr>
          <w:rFonts w:hint="eastAsia" w:ascii="宋体" w:hAnsi="宋体" w:eastAsia="宋体" w:cs="宋体"/>
          <w:b/>
          <w:bCs/>
          <w:color w:val="000000"/>
          <w:kern w:val="44"/>
          <w:sz w:val="32"/>
          <w:szCs w:val="44"/>
          <w:highlight w:val="none"/>
          <w:lang w:val="en-US" w:eastAsia="zh-CN" w:bidi="ar-SA"/>
        </w:rPr>
      </w:pPr>
      <w:r>
        <w:rPr>
          <w:rFonts w:hint="eastAsia" w:ascii="宋体" w:hAnsi="宋体" w:cs="宋体"/>
          <w:b/>
          <w:bCs/>
          <w:color w:val="000000"/>
          <w:kern w:val="44"/>
          <w:sz w:val="32"/>
          <w:szCs w:val="44"/>
          <w:highlight w:val="none"/>
          <w:lang w:val="en-US" w:eastAsia="zh-CN" w:bidi="ar-SA"/>
        </w:rPr>
        <w:t>三、</w:t>
      </w:r>
      <w:r>
        <w:rPr>
          <w:rFonts w:hint="eastAsia" w:ascii="宋体" w:hAnsi="宋体" w:eastAsia="宋体" w:cs="宋体"/>
          <w:b/>
          <w:bCs/>
          <w:color w:val="000000"/>
          <w:kern w:val="44"/>
          <w:sz w:val="32"/>
          <w:szCs w:val="44"/>
          <w:highlight w:val="none"/>
          <w:lang w:val="en-US" w:eastAsia="zh-CN" w:bidi="ar-SA"/>
        </w:rPr>
        <w:t>商务和售后服务</w:t>
      </w:r>
    </w:p>
    <w:p w14:paraId="4A6FA1D6">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b/>
          <w:bCs/>
          <w:color w:val="000000"/>
          <w:kern w:val="0"/>
          <w:sz w:val="24"/>
          <w:szCs w:val="24"/>
          <w:highlight w:val="none"/>
          <w:lang w:val="en-US" w:eastAsia="zh-CN" w:bidi="ar"/>
        </w:rPr>
      </w:pPr>
    </w:p>
    <w:p w14:paraId="058DB0B9">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1.付款方式</w:t>
      </w:r>
      <w:r>
        <w:rPr>
          <w:rFonts w:hint="eastAsia" w:ascii="宋体" w:hAnsi="宋体" w:eastAsia="宋体" w:cs="宋体"/>
          <w:color w:val="000000"/>
          <w:kern w:val="0"/>
          <w:sz w:val="24"/>
          <w:szCs w:val="24"/>
          <w:highlight w:val="none"/>
          <w:lang w:val="en-US" w:eastAsia="zh-CN" w:bidi="ar"/>
        </w:rPr>
        <w:t>：签订合同后，货物安装验收合格后30个工作日内，支付合同总金额的80%；货物安装验收合格后两年内，无息支付合同总金额的10%；质保期满后，一次性无息付清剩余10%尾款。（采购方付款前，供应商须开具合法、全额的正规增值税发票及采购人要求的请款资料，否则采购方有权拒绝付款，且无需承担违约责任）</w:t>
      </w:r>
    </w:p>
    <w:p w14:paraId="135CC834">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2.交货期限</w:t>
      </w:r>
      <w:r>
        <w:rPr>
          <w:rFonts w:hint="eastAsia" w:ascii="宋体" w:hAnsi="宋体" w:eastAsia="宋体" w:cs="宋体"/>
          <w:color w:val="000000"/>
          <w:kern w:val="0"/>
          <w:sz w:val="24"/>
          <w:szCs w:val="24"/>
          <w:highlight w:val="none"/>
          <w:lang w:val="en-US" w:eastAsia="zh-CN" w:bidi="ar"/>
        </w:rPr>
        <w:t>：合同签订后30日内完成安装并交付使用。</w:t>
      </w:r>
    </w:p>
    <w:p w14:paraId="410E47AB">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3.履行地点：</w:t>
      </w:r>
      <w:r>
        <w:rPr>
          <w:rFonts w:hint="eastAsia" w:ascii="宋体" w:hAnsi="宋体" w:eastAsia="宋体" w:cs="宋体"/>
          <w:color w:val="000000"/>
          <w:kern w:val="0"/>
          <w:sz w:val="24"/>
          <w:szCs w:val="24"/>
          <w:highlight w:val="none"/>
          <w:lang w:val="en-US" w:eastAsia="zh-CN" w:bidi="ar"/>
        </w:rPr>
        <w:t>萍乡市第三人民医院指定地点。</w:t>
      </w:r>
    </w:p>
    <w:p w14:paraId="72D6C413">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4.履行方式：</w:t>
      </w:r>
      <w:r>
        <w:rPr>
          <w:rFonts w:hint="eastAsia" w:ascii="宋体" w:hAnsi="宋体" w:eastAsia="宋体" w:cs="宋体"/>
          <w:color w:val="000000"/>
          <w:kern w:val="0"/>
          <w:sz w:val="24"/>
          <w:szCs w:val="24"/>
          <w:highlight w:val="none"/>
          <w:lang w:val="en-US" w:eastAsia="zh-CN" w:bidi="ar"/>
        </w:rPr>
        <w:t>采购人为供应商完成工作提供必要的条件，其余工作由供应商自行完成。</w:t>
      </w:r>
    </w:p>
    <w:p w14:paraId="5018E634">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5.质保期：</w:t>
      </w:r>
      <w:r>
        <w:rPr>
          <w:rFonts w:hint="eastAsia" w:ascii="宋体" w:hAnsi="宋体" w:eastAsia="宋体" w:cs="宋体"/>
          <w:color w:val="000000"/>
          <w:kern w:val="0"/>
          <w:sz w:val="24"/>
          <w:szCs w:val="24"/>
          <w:highlight w:val="none"/>
          <w:lang w:val="en-US" w:eastAsia="zh-CN" w:bidi="ar"/>
        </w:rPr>
        <w:t>产品自最终验收合格之日起享有≥36个月的免费质保期。</w:t>
      </w:r>
      <w:r>
        <w:rPr>
          <w:rFonts w:ascii="宋体" w:hAnsi="宋体" w:eastAsia="宋体" w:cs="宋体"/>
          <w:b w:val="0"/>
          <w:bCs/>
          <w:color w:val="000000"/>
          <w:sz w:val="24"/>
          <w:highlight w:val="none"/>
          <w:shd w:val="clear" w:color="auto" w:fill="FFFFFF"/>
        </w:rPr>
        <w:t>保修期间要确保</w:t>
      </w:r>
      <w:r>
        <w:rPr>
          <w:rFonts w:hint="eastAsia" w:ascii="宋体" w:hAnsi="宋体" w:eastAsia="宋体" w:cs="宋体"/>
          <w:b w:val="0"/>
          <w:bCs/>
          <w:color w:val="000000"/>
          <w:sz w:val="24"/>
          <w:highlight w:val="none"/>
          <w:shd w:val="clear" w:color="auto" w:fill="FFFFFF"/>
          <w:lang w:val="en-US" w:eastAsia="zh-CN"/>
        </w:rPr>
        <w:t>VTE</w:t>
      </w:r>
      <w:r>
        <w:rPr>
          <w:rFonts w:ascii="宋体" w:hAnsi="宋体" w:eastAsia="宋体" w:cs="宋体"/>
          <w:b w:val="0"/>
          <w:bCs/>
          <w:color w:val="000000"/>
          <w:sz w:val="24"/>
          <w:highlight w:val="none"/>
          <w:shd w:val="clear" w:color="auto" w:fill="FFFFFF"/>
        </w:rPr>
        <w:t>系统的正常运行，保证全年开机率</w:t>
      </w:r>
      <w:r>
        <w:rPr>
          <w:rFonts w:hint="eastAsia" w:ascii="宋体" w:hAnsi="宋体" w:eastAsia="宋体" w:cs="宋体"/>
          <w:b w:val="0"/>
          <w:bCs/>
          <w:color w:val="000000"/>
          <w:sz w:val="24"/>
          <w:highlight w:val="none"/>
          <w:shd w:val="clear" w:color="auto" w:fill="FFFFFF"/>
          <w:lang w:eastAsia="zh-CN"/>
        </w:rPr>
        <w:t>（</w:t>
      </w:r>
      <w:r>
        <w:rPr>
          <w:rFonts w:ascii="宋体" w:hAnsi="宋体" w:eastAsia="宋体" w:cs="宋体"/>
          <w:b w:val="0"/>
          <w:bCs/>
          <w:color w:val="000000"/>
          <w:sz w:val="24"/>
          <w:highlight w:val="none"/>
          <w:shd w:val="clear" w:color="auto" w:fill="FFFFFF"/>
        </w:rPr>
        <w:t>按365天/年计算</w:t>
      </w:r>
      <w:r>
        <w:rPr>
          <w:rFonts w:hint="eastAsia" w:ascii="宋体" w:hAnsi="宋体" w:eastAsia="宋体" w:cs="宋体"/>
          <w:b w:val="0"/>
          <w:bCs/>
          <w:color w:val="000000"/>
          <w:sz w:val="24"/>
          <w:highlight w:val="none"/>
          <w:shd w:val="clear" w:color="auto" w:fill="FFFFFF"/>
          <w:lang w:eastAsia="zh-CN"/>
        </w:rPr>
        <w:t>）</w:t>
      </w:r>
      <w:r>
        <w:rPr>
          <w:rFonts w:ascii="宋体" w:hAnsi="宋体" w:eastAsia="宋体" w:cs="宋体"/>
          <w:b w:val="0"/>
          <w:bCs/>
          <w:color w:val="000000"/>
          <w:sz w:val="24"/>
          <w:highlight w:val="none"/>
          <w:shd w:val="clear" w:color="auto" w:fill="FFFFFF"/>
        </w:rPr>
        <w:t>不低于95%，如达不到此标准，停机一天延长三天</w:t>
      </w:r>
      <w:r>
        <w:rPr>
          <w:rFonts w:hint="eastAsia" w:ascii="宋体" w:hAnsi="宋体" w:eastAsia="宋体" w:cs="宋体"/>
          <w:b w:val="0"/>
          <w:bCs/>
          <w:color w:val="000000"/>
          <w:sz w:val="24"/>
          <w:highlight w:val="none"/>
          <w:shd w:val="clear" w:color="auto" w:fill="FFFFFF"/>
          <w:lang w:val="en-US" w:eastAsia="zh-CN"/>
        </w:rPr>
        <w:t>质保</w:t>
      </w:r>
      <w:r>
        <w:rPr>
          <w:rFonts w:ascii="宋体" w:hAnsi="宋体" w:eastAsia="宋体" w:cs="宋体"/>
          <w:b w:val="0"/>
          <w:bCs/>
          <w:color w:val="000000"/>
          <w:sz w:val="24"/>
          <w:highlight w:val="none"/>
          <w:shd w:val="clear" w:color="auto" w:fill="FFFFFF"/>
        </w:rPr>
        <w:t>，延长期中出现停机</w:t>
      </w:r>
      <w:r>
        <w:rPr>
          <w:rFonts w:hint="eastAsia" w:ascii="宋体" w:hAnsi="宋体" w:eastAsia="宋体" w:cs="宋体"/>
          <w:b w:val="0"/>
          <w:bCs/>
          <w:color w:val="000000"/>
          <w:sz w:val="24"/>
          <w:highlight w:val="none"/>
          <w:shd w:val="clear" w:color="auto" w:fill="FFFFFF"/>
          <w:lang w:eastAsia="zh-CN"/>
        </w:rPr>
        <w:t>，按</w:t>
      </w:r>
      <w:r>
        <w:rPr>
          <w:rFonts w:ascii="宋体" w:hAnsi="宋体" w:eastAsia="宋体" w:cs="宋体"/>
          <w:b w:val="0"/>
          <w:bCs/>
          <w:color w:val="000000"/>
          <w:sz w:val="24"/>
          <w:highlight w:val="none"/>
          <w:shd w:val="clear" w:color="auto" w:fill="FFFFFF"/>
        </w:rPr>
        <w:t>同样比例要求延长保修期。</w:t>
      </w:r>
    </w:p>
    <w:p w14:paraId="6FE2F9C2">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6.售后服务</w:t>
      </w:r>
      <w:r>
        <w:rPr>
          <w:rFonts w:hint="eastAsia" w:ascii="宋体" w:hAnsi="宋体" w:eastAsia="宋体" w:cs="宋体"/>
          <w:color w:val="000000"/>
          <w:kern w:val="0"/>
          <w:sz w:val="24"/>
          <w:szCs w:val="24"/>
          <w:highlight w:val="none"/>
          <w:lang w:val="en-US" w:eastAsia="zh-CN" w:bidi="ar"/>
        </w:rPr>
        <w:t>：6.1保修期内，非采购人的人为原因而出现质量问题，由中标人全权负责，并承担因此而产生的一切费用。</w:t>
      </w:r>
    </w:p>
    <w:p w14:paraId="06BFE148">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6.2人员培训：中标供应商应在设备安装地负责对采购人设备使用人员进行免费操作培训，保证使用人员正常操作设备的各项功能，培训时间与采购人协商确定；所需费用包含在投标报价内。培训结束后，中标供应商必须留下全套培训资料的纸质版或电子版。</w:t>
      </w:r>
    </w:p>
    <w:p w14:paraId="706E97A2">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6.3维修故障承诺：收到维修通知4小时内响应，24小时内维修工程师到达现场维修。若无法修复正常使用，中标方必须提供同规格、同型号、同参数的设备保证买方使用。</w:t>
      </w:r>
    </w:p>
    <w:p w14:paraId="3DC91239">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cs="宋体"/>
          <w:color w:val="000000"/>
          <w:kern w:val="0"/>
          <w:sz w:val="24"/>
          <w:szCs w:val="24"/>
          <w:highlight w:val="none"/>
          <w:lang w:val="en-US" w:eastAsia="zh-CN" w:bidi="ar"/>
        </w:rPr>
      </w:pPr>
      <w:r>
        <w:rPr>
          <w:rFonts w:hint="eastAsia" w:ascii="宋体" w:hAnsi="宋体" w:cs="宋体"/>
          <w:color w:val="000000"/>
          <w:kern w:val="0"/>
          <w:sz w:val="24"/>
          <w:szCs w:val="24"/>
          <w:highlight w:val="none"/>
          <w:lang w:val="en-US" w:eastAsia="zh-CN" w:bidi="ar"/>
        </w:rPr>
        <w:t>6.4安装培训要求：由设备供应方提供采购设备的安装和维护服务的全部内容，装机过程中即完成培训，对于安装场地无特殊要求，厂家技术人员为科室人员全面培训设备使用及操作，保证该仪器的正常运行。</w:t>
      </w:r>
    </w:p>
    <w:p w14:paraId="6A289CAA">
      <w:pPr>
        <w:pStyle w:val="2"/>
        <w:keepNext w:val="0"/>
        <w:keepLines w:val="0"/>
        <w:pageBreakBefore w:val="0"/>
        <w:widowControl w:val="0"/>
        <w:kinsoku/>
        <w:wordWrap/>
        <w:overflowPunct w:val="0"/>
        <w:topLinePunct w:val="0"/>
        <w:autoSpaceDE/>
        <w:autoSpaceDN/>
        <w:bidi w:val="0"/>
        <w:spacing w:line="360" w:lineRule="auto"/>
        <w:ind w:left="0" w:leftChars="0" w:firstLine="0" w:firstLineChars="0"/>
        <w:jc w:val="both"/>
        <w:rPr>
          <w:rFonts w:hint="default" w:ascii="宋体" w:hAnsi="宋体" w:eastAsia="Arial" w:cs="宋体"/>
          <w:snapToGrid w:val="0"/>
          <w:color w:val="000000"/>
          <w:kern w:val="0"/>
          <w:sz w:val="24"/>
          <w:szCs w:val="24"/>
          <w:highlight w:val="none"/>
          <w:lang w:val="en-US" w:eastAsia="zh-CN" w:bidi="ar"/>
        </w:rPr>
      </w:pPr>
      <w:r>
        <w:rPr>
          <w:rFonts w:hint="eastAsia" w:ascii="宋体" w:hAnsi="宋体" w:eastAsia="Arial" w:cs="宋体"/>
          <w:snapToGrid w:val="0"/>
          <w:color w:val="000000"/>
          <w:kern w:val="0"/>
          <w:sz w:val="24"/>
          <w:szCs w:val="24"/>
          <w:highlight w:val="none"/>
          <w:lang w:val="en-US" w:eastAsia="zh-CN" w:bidi="ar"/>
        </w:rPr>
        <w:t>6.5其他：承诺可以为采购人提供备用机，支持免费升级，</w:t>
      </w:r>
      <w:r>
        <w:rPr>
          <w:rFonts w:hint="eastAsia" w:ascii="宋体" w:hAnsi="宋体" w:eastAsia="Arial" w:cs="宋体"/>
          <w:b/>
          <w:bCs/>
          <w:snapToGrid w:val="0"/>
          <w:color w:val="000000"/>
          <w:kern w:val="0"/>
          <w:sz w:val="24"/>
          <w:szCs w:val="24"/>
          <w:highlight w:val="none"/>
          <w:lang w:val="en-US" w:eastAsia="zh-CN" w:bidi="ar"/>
        </w:rPr>
        <w:t>（提供承诺函并加盖投标人公章</w:t>
      </w:r>
      <w:r>
        <w:rPr>
          <w:rFonts w:hint="eastAsia" w:ascii="宋体" w:hAnsi="宋体" w:eastAsia="Arial" w:cs="宋体"/>
          <w:snapToGrid w:val="0"/>
          <w:color w:val="000000"/>
          <w:kern w:val="0"/>
          <w:sz w:val="24"/>
          <w:szCs w:val="24"/>
          <w:highlight w:val="none"/>
          <w:lang w:val="en-US" w:eastAsia="zh-CN" w:bidi="ar"/>
        </w:rPr>
        <w:t>）</w:t>
      </w:r>
    </w:p>
    <w:p w14:paraId="74FD6D05">
      <w:pPr>
        <w:pStyle w:val="16"/>
        <w:keepNext w:val="0"/>
        <w:keepLines w:val="0"/>
        <w:pageBreakBefore w:val="0"/>
        <w:widowControl w:val="0"/>
        <w:kinsoku/>
        <w:wordWrap/>
        <w:overflowPunct w:val="0"/>
        <w:topLinePunct w:val="0"/>
        <w:autoSpaceDE/>
        <w:autoSpaceDN/>
        <w:bidi w:val="0"/>
        <w:spacing w:before="0" w:beforeLines="0" w:after="0" w:afterLines="0" w:line="360" w:lineRule="auto"/>
        <w:ind w:left="1216" w:leftChars="0" w:hanging="1216" w:hangingChars="507"/>
        <w:jc w:val="both"/>
        <w:rPr>
          <w:rFonts w:hint="eastAsia" w:ascii="宋体" w:hAnsi="宋体" w:eastAsia="宋体" w:cs="宋体"/>
          <w:color w:val="000000"/>
          <w:kern w:val="0"/>
          <w:sz w:val="24"/>
          <w:szCs w:val="24"/>
          <w:highlight w:val="none"/>
          <w:lang w:val="en-US" w:eastAsia="zh-CN" w:bidi="ar"/>
        </w:rPr>
      </w:pPr>
      <w:r>
        <w:rPr>
          <w:rFonts w:hint="eastAsia" w:eastAsia="宋体" w:cs="宋体"/>
          <w:color w:val="000000"/>
          <w:kern w:val="0"/>
          <w:sz w:val="24"/>
          <w:szCs w:val="24"/>
          <w:highlight w:val="none"/>
          <w:lang w:val="en-US" w:eastAsia="zh-CN" w:bidi="ar"/>
        </w:rPr>
        <w:t>7.</w:t>
      </w:r>
      <w:r>
        <w:rPr>
          <w:rFonts w:hint="eastAsia" w:ascii="宋体" w:hAnsi="宋体" w:eastAsia="宋体" w:cs="宋体"/>
          <w:color w:val="000000"/>
          <w:kern w:val="0"/>
          <w:sz w:val="24"/>
          <w:szCs w:val="24"/>
          <w:highlight w:val="none"/>
          <w:lang w:val="en-US" w:eastAsia="zh-CN" w:bidi="ar"/>
        </w:rPr>
        <w:t>验收方式：</w:t>
      </w:r>
    </w:p>
    <w:p w14:paraId="4C46E5A8">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7.1货物安装调试完成以后，由采购人（或其授权代表）组织技术专家或委托第三方专业机构对货物依照竞磋文件上的技术规格要求，以及国家有关标准进行验收；货物性能达到技术要求的，给予签收；验收时如发现货物的质量、性能不符合竞磋文件规定标准的，本项目采购人有权在货物验收时予以拒收；因此产生的一切经济损失由成交供应商承担。（验收过程中如有产生任何费用均由卖方自行承担）</w:t>
      </w:r>
    </w:p>
    <w:p w14:paraId="510C4D4F">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7.2验收按国家有关规定、规范进行。</w:t>
      </w:r>
    </w:p>
    <w:p w14:paraId="2C6AAFDE">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8.VTE系统对接医院信息系统接口费2万元以内部分由中标公司支付，2万元以外部分医院支付。</w:t>
      </w:r>
    </w:p>
    <w:p w14:paraId="569FA9D0">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default"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9.提供VTE系统免费升级和维保服务。</w:t>
      </w:r>
    </w:p>
    <w:p w14:paraId="3EAE9AA8">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10.供方投标时需提供设备附件及各类易损配件、耗材详细报价清单。（格式4-2）并承诺后期的配件价格按报价下浮20%。（单个重复性使用的上肢套筒配件、单个重复性使用的下肢套筒配件、单个重复性使用的气体导管配件）以近三年取不少于三家成交均价为基础价，确保基础价的合理性，需提供三家成交价的合同或相关证明材料）；投标人在投标报价时，须出具承诺函加盖公章。</w:t>
      </w:r>
    </w:p>
    <w:p w14:paraId="5D709D00">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default"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若中标人违反上述价格承诺，构成根本违约，招标人有权依据合同约定及《中华人民共和国民法典》第五百六十三条、《中华人民共和国招标投标法》第六十条等规定，中止履行合同、追回多付金额、追究违约责任。</w:t>
      </w:r>
    </w:p>
    <w:p w14:paraId="3ACB0CEA">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b/>
          <w:bCs/>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注：技术参数和商务条款须全部响应，（以上技术参数须实质性响应，不得负偏离，投标文件参数不得对招标文件照搬照抄，须写明具体的数值！）；若不响应视为无效标；验收过程中，若经查实中标人存在虚假应标情形，由此产生的一切经济损失、违约责任及相关全部费用，均由中标人自行全额承担。</w:t>
      </w:r>
    </w:p>
    <w:p w14:paraId="75E14D0F">
      <w:pPr>
        <w:keepNext w:val="0"/>
        <w:keepLines w:val="0"/>
        <w:pageBreakBefore w:val="0"/>
        <w:widowControl w:val="0"/>
        <w:suppressLineNumbers w:val="0"/>
        <w:kinsoku/>
        <w:wordWrap/>
        <w:overflowPunct w:val="0"/>
        <w:topLinePunct w:val="0"/>
        <w:autoSpaceDE/>
        <w:autoSpaceDN/>
        <w:bidi w:val="0"/>
        <w:spacing w:line="360" w:lineRule="auto"/>
        <w:ind w:left="0"/>
        <w:jc w:val="both"/>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color w:val="000000"/>
          <w:kern w:val="0"/>
          <w:sz w:val="24"/>
          <w:szCs w:val="24"/>
          <w:highlight w:val="none"/>
          <w:lang w:val="en-US" w:eastAsia="zh-CN" w:bidi="ar"/>
        </w:rPr>
        <w:t>（若无特殊说明，本竞谈文件中所述及的“日”和“天”均指日历天数）</w:t>
      </w:r>
    </w:p>
    <w:p w14:paraId="254BF41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6819D5"/>
    <w:rsid w:val="516819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6">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7">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8">
    <w:name w:val="heading 3"/>
    <w:basedOn w:val="1"/>
    <w:next w:val="1"/>
    <w:qFormat/>
    <w:uiPriority w:val="0"/>
    <w:pPr>
      <w:keepNext/>
      <w:keepLines/>
      <w:tabs>
        <w:tab w:val="left" w:pos="6300"/>
      </w:tabs>
      <w:spacing w:before="260" w:beforeLines="0" w:beforeAutospacing="0" w:after="260" w:afterLines="0" w:afterAutospacing="0" w:line="413" w:lineRule="auto"/>
      <w:outlineLvl w:val="2"/>
    </w:pPr>
    <w:rPr>
      <w:rFonts w:ascii="宋体" w:hAnsi="宋体" w:eastAsia="宋体" w:cs="宋体"/>
      <w:b/>
      <w:sz w:val="28"/>
    </w:rPr>
  </w:style>
  <w:style w:type="character" w:default="1" w:styleId="12">
    <w:name w:val="Default Paragraph Font"/>
    <w:semiHidden/>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ind w:firstLine="420" w:firstLineChars="100"/>
    </w:pPr>
  </w:style>
  <w:style w:type="paragraph" w:styleId="3">
    <w:name w:val="Body Text"/>
    <w:basedOn w:val="1"/>
    <w:qFormat/>
    <w:uiPriority w:val="0"/>
    <w:rPr>
      <w:rFonts w:ascii="仿宋" w:hAnsi="仿宋" w:eastAsia="仿宋" w:cs="仿宋"/>
      <w:sz w:val="30"/>
      <w:szCs w:val="30"/>
    </w:rPr>
  </w:style>
  <w:style w:type="paragraph" w:styleId="4">
    <w:name w:val="Body Text First Indent 2"/>
    <w:basedOn w:val="5"/>
    <w:next w:val="1"/>
    <w:qFormat/>
    <w:uiPriority w:val="0"/>
    <w:pPr>
      <w:ind w:firstLine="420"/>
    </w:pPr>
  </w:style>
  <w:style w:type="paragraph" w:styleId="5">
    <w:name w:val="Body Text Indent"/>
    <w:basedOn w:val="1"/>
    <w:unhideWhenUsed/>
    <w:qFormat/>
    <w:uiPriority w:val="99"/>
    <w:pPr>
      <w:spacing w:after="120"/>
      <w:ind w:left="420" w:leftChars="200"/>
    </w:pPr>
    <w:rPr>
      <w:rFonts w:eastAsia="微软雅黑"/>
      <w:kern w:val="0"/>
      <w:sz w:val="24"/>
      <w:szCs w:val="20"/>
    </w:rPr>
  </w:style>
  <w:style w:type="paragraph" w:styleId="9">
    <w:name w:val="footer"/>
    <w:basedOn w:val="1"/>
    <w:qFormat/>
    <w:uiPriority w:val="0"/>
    <w:pPr>
      <w:tabs>
        <w:tab w:val="center" w:pos="4153"/>
        <w:tab w:val="right" w:pos="8306"/>
      </w:tabs>
    </w:pPr>
    <w:rPr>
      <w:sz w:val="18"/>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Strong"/>
    <w:basedOn w:val="12"/>
    <w:qFormat/>
    <w:uiPriority w:val="0"/>
    <w:rPr>
      <w:b/>
    </w:rPr>
  </w:style>
  <w:style w:type="paragraph" w:styleId="14">
    <w:name w:val="List Paragraph"/>
    <w:basedOn w:val="1"/>
    <w:qFormat/>
    <w:uiPriority w:val="34"/>
    <w:pPr>
      <w:ind w:firstLine="420" w:firstLineChars="200"/>
    </w:pPr>
  </w:style>
  <w:style w:type="paragraph" w:customStyle="1" w:styleId="1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16">
    <w:name w:val="表格文字"/>
    <w:basedOn w:val="1"/>
    <w:qFormat/>
    <w:uiPriority w:val="0"/>
    <w:pPr>
      <w:spacing w:before="15" w:beforeLines="5" w:after="15" w:afterLines="5" w:line="200" w:lineRule="atLeast"/>
      <w:ind w:left="10" w:leftChars="10"/>
      <w:jc w:val="left"/>
    </w:pPr>
    <w:rPr>
      <w:rFonts w:ascii="宋体" w:hAnsi="宋体"/>
      <w:color w:val="000000"/>
      <w:sz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2026-05-22T00:54:00Z</dcterms:created>
  <dc:creator>刘 刘 刘</dc:creator>
  <cp:lastModifiedBy>刘 刘 刘</cp:lastModifiedBy>
  <dcterms:modified xsi:type="dcterms:W3CDTF">2026-05-22T00:55:41Z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6696877AF79046EB803B2854379B6E0F_11</vt:lpwstr>
  </property>
  <property fmtid="{D5CDD505-2E9C-101B-9397-08002B2CF9AE}" pid="4" name="KSOTemplateDocerSaveRecord">
    <vt:lpwstr>eyJoZGlkIjoiNTViOTM3MWYwMmJkMTQ5Y2E2YmIwYTVlN2FiOTE2NjMiLCJ1c2VySWQiOiIxMTk3OTg5MjQyIn0=</vt:lpwstr>
  </property>
</Properties>
</file>