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52833C">
      <w:pPr>
        <w:pageBreakBefore w:val="0"/>
        <w:widowControl w:val="0"/>
        <w:wordWrap/>
        <w:overflowPunct/>
        <w:topLinePunct w:val="0"/>
        <w:bidi w:val="0"/>
        <w:spacing w:before="63" w:line="224" w:lineRule="auto"/>
        <w:jc w:val="center"/>
        <w:outlineLvl w:val="0"/>
        <w:rPr>
          <w:rFonts w:hint="eastAsia" w:ascii="仿宋" w:hAnsi="仿宋" w:eastAsia="仿宋" w:cs="仿宋"/>
          <w:color w:val="auto"/>
          <w:sz w:val="31"/>
          <w:szCs w:val="31"/>
          <w:highlight w:val="none"/>
          <w:lang w:val="en-US" w:eastAsia="zh-CN"/>
        </w:rPr>
      </w:pPr>
      <w:r>
        <w:rPr>
          <w:rFonts w:hint="eastAsia" w:ascii="仿宋" w:hAnsi="仿宋" w:eastAsia="仿宋" w:cs="仿宋"/>
          <w:color w:val="auto"/>
          <w:spacing w:val="9"/>
          <w:sz w:val="31"/>
          <w:szCs w:val="31"/>
          <w:highlight w:val="none"/>
          <w:lang w:eastAsia="zh-CN"/>
          <w14:textOutline w14:w="5791" w14:cap="sq" w14:cmpd="sng" w14:algn="ctr">
            <w14:solidFill>
              <w14:srgbClr w14:val="000000"/>
            </w14:solidFill>
            <w14:prstDash w14:val="solid"/>
            <w14:bevel/>
          </w14:textOutline>
        </w:rPr>
        <w:t>采购需求</w:t>
      </w:r>
      <w:r>
        <w:rPr>
          <w:rFonts w:hint="eastAsia" w:ascii="仿宋" w:hAnsi="仿宋" w:eastAsia="仿宋" w:cs="仿宋"/>
          <w:color w:val="auto"/>
          <w:spacing w:val="9"/>
          <w:sz w:val="31"/>
          <w:szCs w:val="31"/>
          <w:highlight w:val="none"/>
          <w:lang w:val="en-US" w:eastAsia="zh-CN"/>
          <w14:textOutline w14:w="5791" w14:cap="sq" w14:cmpd="sng" w14:algn="ctr">
            <w14:solidFill>
              <w14:srgbClr w14:val="000000"/>
            </w14:solidFill>
            <w14:prstDash w14:val="solid"/>
            <w14:bevel/>
          </w14:textOutline>
        </w:rPr>
        <w:t>表及采购要求</w:t>
      </w:r>
    </w:p>
    <w:p w14:paraId="509FD89D">
      <w:pPr>
        <w:pageBreakBefore w:val="0"/>
        <w:widowControl w:val="0"/>
        <w:wordWrap/>
        <w:overflowPunct/>
        <w:topLinePunct w:val="0"/>
        <w:bidi w:val="0"/>
        <w:spacing w:before="78" w:line="220" w:lineRule="auto"/>
        <w:outlineLvl w:val="9"/>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pPr>
    </w:p>
    <w:p w14:paraId="56DB44D5">
      <w:pPr>
        <w:pageBreakBefore w:val="0"/>
        <w:widowControl w:val="0"/>
        <w:wordWrap/>
        <w:overflowPunct/>
        <w:topLinePunct w:val="0"/>
        <w:bidi w:val="0"/>
        <w:spacing w:before="78" w:line="220" w:lineRule="auto"/>
        <w:jc w:val="both"/>
        <w:outlineLvl w:val="0"/>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pPr>
      <w:bookmarkStart w:id="0" w:name="_Toc30578"/>
      <w:bookmarkStart w:id="1" w:name="_Toc8015"/>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一、采购需求表</w:t>
      </w:r>
      <w:bookmarkEnd w:id="0"/>
      <w:bookmarkEnd w:id="1"/>
    </w:p>
    <w:tbl>
      <w:tblPr>
        <w:tblStyle w:val="7"/>
        <w:tblpPr w:leftFromText="180" w:rightFromText="180" w:vertAnchor="text" w:tblpY="1"/>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1"/>
        <w:gridCol w:w="6510"/>
      </w:tblGrid>
      <w:tr w14:paraId="2E7DA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701" w:type="dxa"/>
            <w:tcBorders>
              <w:top w:val="single" w:color="auto" w:sz="12" w:space="0"/>
              <w:left w:val="single" w:color="auto" w:sz="12" w:space="0"/>
              <w:tl2br w:val="single" w:color="auto" w:sz="4" w:space="0"/>
            </w:tcBorders>
          </w:tcPr>
          <w:p w14:paraId="3F6E885A">
            <w:pPr>
              <w:spacing w:line="360" w:lineRule="auto"/>
              <w:ind w:firstLine="465"/>
              <w:rPr>
                <w:rFonts w:hint="eastAsia" w:ascii="仿宋" w:hAnsi="仿宋" w:eastAsia="仿宋" w:cs="仿宋"/>
                <w:color w:val="auto"/>
                <w:sz w:val="24"/>
                <w:highlight w:val="none"/>
              </w:rPr>
            </w:pPr>
          </w:p>
          <w:p w14:paraId="4448E96D">
            <w:pPr>
              <w:spacing w:line="360" w:lineRule="auto"/>
              <w:ind w:firstLine="1300" w:firstLineChars="542"/>
              <w:rPr>
                <w:rFonts w:hint="eastAsia" w:ascii="仿宋" w:hAnsi="仿宋" w:eastAsia="仿宋" w:cs="仿宋"/>
                <w:color w:val="auto"/>
                <w:sz w:val="24"/>
                <w:highlight w:val="none"/>
              </w:rPr>
            </w:pPr>
            <w:r>
              <w:rPr>
                <w:rFonts w:hint="eastAsia" w:ascii="仿宋" w:hAnsi="仿宋" w:eastAsia="仿宋" w:cs="仿宋"/>
                <w:color w:val="auto"/>
                <w:sz w:val="24"/>
                <w:highlight w:val="none"/>
              </w:rPr>
              <w:t>采购名称</w:t>
            </w:r>
          </w:p>
          <w:p w14:paraId="203C0FCB">
            <w:pPr>
              <w:spacing w:line="360" w:lineRule="auto"/>
              <w:ind w:firstLine="465"/>
              <w:rPr>
                <w:rFonts w:hint="eastAsia" w:ascii="仿宋" w:hAnsi="仿宋" w:eastAsia="仿宋" w:cs="仿宋"/>
                <w:color w:val="auto"/>
                <w:sz w:val="24"/>
                <w:highlight w:val="none"/>
              </w:rPr>
            </w:pPr>
            <w:r>
              <w:rPr>
                <w:rFonts w:hint="eastAsia" w:ascii="仿宋" w:hAnsi="仿宋" w:eastAsia="仿宋" w:cs="仿宋"/>
                <w:color w:val="auto"/>
                <w:sz w:val="24"/>
                <w:highlight w:val="none"/>
              </w:rPr>
              <w:t>内容</w:t>
            </w:r>
          </w:p>
        </w:tc>
        <w:tc>
          <w:tcPr>
            <w:tcW w:w="6510" w:type="dxa"/>
            <w:tcBorders>
              <w:top w:val="single" w:color="auto" w:sz="12" w:space="0"/>
              <w:right w:val="single" w:color="auto" w:sz="12" w:space="0"/>
            </w:tcBorders>
            <w:vAlign w:val="center"/>
          </w:tcPr>
          <w:p w14:paraId="149F315C">
            <w:pPr>
              <w:pStyle w:val="9"/>
              <w:pageBreakBefore w:val="0"/>
              <w:widowControl w:val="0"/>
              <w:wordWrap/>
              <w:overflowPunct/>
              <w:topLinePunct w:val="0"/>
              <w:bidi w:val="0"/>
              <w:jc w:val="center"/>
              <w:rPr>
                <w:rFonts w:hint="default" w:ascii="仿宋" w:hAnsi="仿宋" w:eastAsia="仿宋" w:cs="仿宋"/>
                <w:color w:val="auto"/>
                <w:sz w:val="24"/>
                <w:highlight w:val="none"/>
                <w:lang w:val="en-US"/>
              </w:rPr>
            </w:pPr>
            <w:r>
              <w:rPr>
                <w:rFonts w:hint="eastAsia" w:ascii="仿宋" w:hAnsi="仿宋" w:eastAsia="仿宋" w:cs="仿宋"/>
                <w:color w:val="auto"/>
                <w:spacing w:val="0"/>
                <w:position w:val="0"/>
                <w:sz w:val="24"/>
                <w:szCs w:val="24"/>
                <w:lang w:eastAsia="zh-CN"/>
              </w:rPr>
              <w:t>2026年黎川县烤烟种植保险承保公司项目</w:t>
            </w:r>
          </w:p>
        </w:tc>
      </w:tr>
      <w:tr w14:paraId="2DF49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7804E0EF">
            <w:pPr>
              <w:pageBreakBefore w:val="0"/>
              <w:widowControl w:val="0"/>
              <w:wordWrap/>
              <w:overflowPunct/>
              <w:topLinePunct w:val="0"/>
              <w:bidi w:val="0"/>
              <w:spacing w:before="253" w:line="219" w:lineRule="auto"/>
              <w:ind w:left="1188"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rPr>
              <w:t>数量</w:t>
            </w:r>
          </w:p>
        </w:tc>
        <w:tc>
          <w:tcPr>
            <w:tcW w:w="6510" w:type="dxa"/>
            <w:tcBorders>
              <w:right w:val="single" w:color="auto" w:sz="12" w:space="0"/>
            </w:tcBorders>
            <w:vAlign w:val="center"/>
          </w:tcPr>
          <w:p w14:paraId="6B284115">
            <w:pPr>
              <w:pStyle w:val="9"/>
              <w:pageBreakBefore w:val="0"/>
              <w:widowControl w:val="0"/>
              <w:wordWrap/>
              <w:overflowPunct/>
              <w:topLinePunct w:val="0"/>
              <w:bidi w:val="0"/>
              <w:jc w:val="center"/>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1项</w:t>
            </w:r>
          </w:p>
        </w:tc>
      </w:tr>
      <w:tr w14:paraId="2418B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3369F0E4">
            <w:pPr>
              <w:pageBreakBefore w:val="0"/>
              <w:widowControl w:val="0"/>
              <w:wordWrap/>
              <w:overflowPunct/>
              <w:topLinePunct w:val="0"/>
              <w:bidi w:val="0"/>
              <w:spacing w:before="253" w:line="219" w:lineRule="auto"/>
              <w:ind w:left="1071"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服务</w:t>
            </w:r>
            <w:r>
              <w:rPr>
                <w:rFonts w:hint="eastAsia" w:ascii="仿宋" w:hAnsi="仿宋" w:eastAsia="仿宋" w:cs="仿宋"/>
                <w:color w:val="auto"/>
                <w:spacing w:val="0"/>
                <w:position w:val="0"/>
                <w:sz w:val="24"/>
                <w:szCs w:val="24"/>
              </w:rPr>
              <w:t>期</w:t>
            </w:r>
          </w:p>
        </w:tc>
        <w:tc>
          <w:tcPr>
            <w:tcW w:w="6510" w:type="dxa"/>
            <w:tcBorders>
              <w:right w:val="single" w:color="auto" w:sz="12" w:space="0"/>
            </w:tcBorders>
            <w:vAlign w:val="center"/>
          </w:tcPr>
          <w:p w14:paraId="17D2FA44">
            <w:pPr>
              <w:pStyle w:val="9"/>
              <w:pageBreakBefore w:val="0"/>
              <w:widowControl w:val="0"/>
              <w:wordWrap/>
              <w:overflowPunct/>
              <w:topLinePunct w:val="0"/>
              <w:bidi w:val="0"/>
              <w:jc w:val="center"/>
              <w:rPr>
                <w:rFonts w:hint="default" w:ascii="仿宋" w:hAnsi="仿宋" w:eastAsia="仿宋" w:cs="仿宋"/>
                <w:color w:val="auto"/>
                <w:sz w:val="24"/>
                <w:highlight w:val="none"/>
                <w:lang w:val="en-US" w:eastAsia="zh-CN"/>
              </w:rPr>
            </w:pPr>
            <w:r>
              <w:rPr>
                <w:rFonts w:hint="eastAsia" w:ascii="仿宋" w:hAnsi="仿宋" w:eastAsia="仿宋" w:cs="仿宋"/>
                <w:color w:val="auto"/>
                <w:spacing w:val="0"/>
                <w:position w:val="0"/>
                <w:sz w:val="24"/>
                <w:szCs w:val="24"/>
                <w:lang w:val="en-US" w:eastAsia="zh-CN"/>
              </w:rPr>
              <w:t>合同签订后1年服务期</w:t>
            </w:r>
          </w:p>
        </w:tc>
      </w:tr>
      <w:tr w14:paraId="595A7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452E2AAB">
            <w:pPr>
              <w:pageBreakBefore w:val="0"/>
              <w:widowControl w:val="0"/>
              <w:wordWrap/>
              <w:overflowPunct/>
              <w:topLinePunct w:val="0"/>
              <w:bidi w:val="0"/>
              <w:spacing w:before="256" w:line="219" w:lineRule="auto"/>
              <w:ind w:left="951"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服务</w:t>
            </w:r>
            <w:r>
              <w:rPr>
                <w:rFonts w:hint="eastAsia" w:ascii="仿宋" w:hAnsi="仿宋" w:eastAsia="仿宋" w:cs="仿宋"/>
                <w:color w:val="auto"/>
                <w:spacing w:val="0"/>
                <w:position w:val="0"/>
                <w:sz w:val="24"/>
                <w:szCs w:val="24"/>
              </w:rPr>
              <w:t>地点</w:t>
            </w:r>
          </w:p>
        </w:tc>
        <w:tc>
          <w:tcPr>
            <w:tcW w:w="6510" w:type="dxa"/>
            <w:tcBorders>
              <w:right w:val="single" w:color="auto" w:sz="12" w:space="0"/>
            </w:tcBorders>
            <w:vAlign w:val="center"/>
          </w:tcPr>
          <w:p w14:paraId="072BA1C3">
            <w:pPr>
              <w:pStyle w:val="9"/>
              <w:pageBreakBefore w:val="0"/>
              <w:widowControl w:val="0"/>
              <w:wordWrap/>
              <w:overflowPunct/>
              <w:topLinePunct w:val="0"/>
              <w:bidi w:val="0"/>
              <w:jc w:val="center"/>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采购人指定地点</w:t>
            </w:r>
          </w:p>
        </w:tc>
      </w:tr>
    </w:tbl>
    <w:p w14:paraId="4A6EA73A">
      <w:pPr>
        <w:jc w:val="center"/>
        <w:rPr>
          <w:rFonts w:hint="eastAsia" w:ascii="仿宋" w:hAnsi="仿宋" w:eastAsia="仿宋" w:cs="仿宋"/>
          <w:color w:val="auto"/>
          <w:spacing w:val="-6"/>
          <w:sz w:val="52"/>
          <w:highlight w:val="none"/>
          <w:lang w:eastAsia="zh-CN"/>
        </w:rPr>
      </w:pPr>
    </w:p>
    <w:p w14:paraId="36F0D9AD">
      <w:pPr>
        <w:pStyle w:val="3"/>
        <w:rPr>
          <w:rFonts w:hint="eastAsia" w:ascii="仿宋" w:hAnsi="仿宋" w:eastAsia="仿宋" w:cs="仿宋"/>
          <w:color w:val="auto"/>
          <w:highlight w:val="none"/>
          <w:lang w:eastAsia="zh-CN"/>
        </w:rPr>
      </w:pPr>
    </w:p>
    <w:p w14:paraId="76648F1D">
      <w:pPr>
        <w:jc w:val="center"/>
        <w:rPr>
          <w:rFonts w:hint="eastAsia" w:ascii="仿宋" w:hAnsi="仿宋" w:eastAsia="仿宋" w:cs="仿宋"/>
          <w:color w:val="auto"/>
          <w:spacing w:val="-6"/>
          <w:sz w:val="52"/>
          <w:highlight w:val="none"/>
        </w:rPr>
        <w:sectPr>
          <w:footerReference r:id="rId3" w:type="default"/>
          <w:pgSz w:w="11906" w:h="16838"/>
          <w:pgMar w:top="1440" w:right="1803" w:bottom="1440" w:left="1803" w:header="851" w:footer="850" w:gutter="0"/>
          <w:pgNumType w:fmt="decimal"/>
          <w:cols w:space="0" w:num="1"/>
          <w:rtlGutter w:val="0"/>
          <w:docGrid w:linePitch="312" w:charSpace="0"/>
        </w:sectPr>
      </w:pPr>
    </w:p>
    <w:p w14:paraId="19786838">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360" w:lineRule="auto"/>
        <w:ind w:left="0" w:right="0" w:firstLine="0"/>
        <w:jc w:val="center"/>
        <w:textAlignment w:val="baseline"/>
        <w:rPr>
          <w:rFonts w:hint="eastAsia" w:ascii="仿宋" w:hAnsi="仿宋" w:eastAsia="仿宋" w:cs="仿宋"/>
          <w:b/>
          <w:bCs/>
          <w:snapToGrid w:val="0"/>
          <w:color w:val="auto"/>
          <w:sz w:val="30"/>
          <w:szCs w:val="30"/>
          <w:highlight w:val="none"/>
          <w:lang w:val="en-US" w:eastAsia="zh-CN" w:bidi="ar-SA"/>
        </w:rPr>
      </w:pPr>
      <w:bookmarkStart w:id="2" w:name="_Toc507597381"/>
      <w:bookmarkStart w:id="3" w:name="_Toc4122"/>
      <w:r>
        <w:rPr>
          <w:rFonts w:hint="eastAsia" w:ascii="仿宋" w:hAnsi="仿宋" w:eastAsia="仿宋" w:cs="仿宋"/>
          <w:b/>
          <w:bCs/>
          <w:snapToGrid w:val="0"/>
          <w:color w:val="auto"/>
          <w:sz w:val="30"/>
          <w:szCs w:val="30"/>
          <w:highlight w:val="none"/>
          <w:lang w:val="en-US" w:eastAsia="zh-CN" w:bidi="ar-SA"/>
        </w:rPr>
        <w:t>采购要求</w:t>
      </w:r>
      <w:bookmarkEnd w:id="2"/>
      <w:bookmarkEnd w:id="3"/>
    </w:p>
    <w:p w14:paraId="25F54BC9">
      <w:pPr>
        <w:pStyle w:val="2"/>
        <w:keepNext w:val="0"/>
        <w:keepLines w:val="0"/>
        <w:widowControl/>
        <w:suppressLineNumbers w:val="0"/>
        <w:spacing w:before="0" w:beforeAutospacing="0" w:after="120" w:afterAutospacing="0" w:line="360" w:lineRule="auto"/>
        <w:ind w:left="0" w:right="0"/>
        <w:jc w:val="left"/>
      </w:pPr>
      <w:r>
        <w:rPr>
          <w:rFonts w:ascii="仿宋" w:hAnsi="仿宋" w:eastAsia="仿宋" w:cs="仿宋"/>
          <w:b/>
          <w:bCs/>
          <w:i w:val="0"/>
          <w:iCs w:val="0"/>
          <w:color w:val="333333"/>
          <w:spacing w:val="0"/>
          <w:w w:val="100"/>
          <w:sz w:val="24"/>
          <w:szCs w:val="24"/>
          <w:shd w:val="clear" w:fill="FFFFFF"/>
          <w:vertAlign w:val="baseline"/>
        </w:rPr>
        <w:t>一、项目概况</w:t>
      </w:r>
    </w:p>
    <w:p w14:paraId="0E94956A">
      <w:pPr>
        <w:pStyle w:val="5"/>
        <w:keepNext w:val="0"/>
        <w:keepLines w:val="0"/>
        <w:widowControl/>
        <w:suppressLineNumbers w:val="0"/>
        <w:spacing w:before="0" w:beforeAutospacing="0" w:after="180" w:afterAutospacing="0" w:line="360" w:lineRule="auto"/>
        <w:ind w:left="0" w:right="0"/>
        <w:jc w:val="left"/>
      </w:pPr>
      <w:r>
        <w:rPr>
          <w:rFonts w:hint="eastAsia" w:ascii="仿宋" w:hAnsi="仿宋" w:eastAsia="仿宋" w:cs="仿宋"/>
          <w:b w:val="0"/>
          <w:bCs w:val="0"/>
          <w:i w:val="0"/>
          <w:iCs w:val="0"/>
          <w:color w:val="333333"/>
          <w:spacing w:val="0"/>
          <w:w w:val="100"/>
          <w:sz w:val="24"/>
          <w:szCs w:val="24"/>
          <w:shd w:val="clear" w:fill="FFFFFF"/>
          <w:vertAlign w:val="baseline"/>
        </w:rPr>
        <w:t>为保障全县烤烟种植户利益，稳定烟叶生产，现面向具备资质的保险公司采购烟叶种植保险和烟叶种植责任险服务，实现全县烤烟种植100%参保目标，服务周期为保险合同约定的保险期间，服务费用按实际参保面积核算。</w:t>
      </w:r>
    </w:p>
    <w:p w14:paraId="1DF330C5">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二、保险服务基本要求</w:t>
      </w:r>
    </w:p>
    <w:p w14:paraId="718048B6">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（一）投保范围要求</w:t>
      </w:r>
    </w:p>
    <w:p w14:paraId="23B34F4F">
      <w:pPr>
        <w:pStyle w:val="5"/>
        <w:keepNext w:val="0"/>
        <w:keepLines w:val="0"/>
        <w:widowControl/>
        <w:numPr>
          <w:ilvl w:val="0"/>
          <w:numId w:val="2"/>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承保范围覆盖全县所有乡镇种植的全部烤烟，从种植到烘烤的全过程，不得遗漏任何区域。</w:t>
      </w:r>
    </w:p>
    <w:p w14:paraId="5107000C">
      <w:pPr>
        <w:pStyle w:val="5"/>
        <w:keepNext w:val="0"/>
        <w:keepLines w:val="0"/>
        <w:widowControl/>
        <w:numPr>
          <w:ilvl w:val="0"/>
          <w:numId w:val="2"/>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参保率需达到100%，参保面积以烟叶种植合同面积为准，需与农业农村部门、烟草公司核实确认。</w:t>
      </w:r>
    </w:p>
    <w:p w14:paraId="72F40409">
      <w:pPr>
        <w:pStyle w:val="5"/>
        <w:keepNext w:val="0"/>
        <w:keepLines w:val="0"/>
        <w:widowControl/>
        <w:numPr>
          <w:ilvl w:val="0"/>
          <w:numId w:val="2"/>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保险标的限定为生长和管理正常的烤烟，对不符合生长管理要求的烟株可拒绝承保。</w:t>
      </w:r>
    </w:p>
    <w:p w14:paraId="729B3EFE">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（二）保险责任要求</w:t>
      </w:r>
    </w:p>
    <w:p w14:paraId="2049523C">
      <w:pPr>
        <w:pStyle w:val="5"/>
        <w:keepNext w:val="0"/>
        <w:keepLines w:val="0"/>
        <w:widowControl/>
        <w:numPr>
          <w:ilvl w:val="0"/>
          <w:numId w:val="3"/>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承保风险需覆盖冰雹、风灾、暴雨、洪水、内涝、旱灾、火灾、病虫害等自然灾害和意外事故（包括烘烤过程中除人为因素以外所造成的损失），以及烟叶种植户在从事生产过程中受到的意外伤害。</w:t>
      </w:r>
    </w:p>
    <w:p w14:paraId="131B976C">
      <w:pPr>
        <w:pStyle w:val="5"/>
        <w:keepNext w:val="0"/>
        <w:keepLines w:val="0"/>
        <w:widowControl/>
        <w:numPr>
          <w:ilvl w:val="0"/>
          <w:numId w:val="3"/>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赔偿触发条件：保险期间内，上述原因直接造成保险烟株有效叶片损失，且损失率达到15%及以上（含15%）时启动赔偿。</w:t>
      </w:r>
    </w:p>
    <w:p w14:paraId="65EB81A8">
      <w:pPr>
        <w:pStyle w:val="5"/>
        <w:keepNext w:val="0"/>
        <w:keepLines w:val="0"/>
        <w:widowControl/>
        <w:numPr>
          <w:ilvl w:val="0"/>
          <w:numId w:val="3"/>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保险期间：自保险烟叶移栽大田成活时起，至有效烟叶采收完成时止，具体起止日期需在保险单中明确载明，不得超出约定范围。</w:t>
      </w:r>
    </w:p>
    <w:p w14:paraId="4C82024C">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（三）保险金额及费率要求</w:t>
      </w:r>
    </w:p>
    <w:p w14:paraId="704C3ED5">
      <w:pPr>
        <w:pStyle w:val="5"/>
        <w:keepNext w:val="0"/>
        <w:keepLines w:val="0"/>
        <w:widowControl/>
        <w:numPr>
          <w:ilvl w:val="0"/>
          <w:numId w:val="4"/>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烟叶种植保险每亩保险金额固定为1000元/亩，保险费率固定为6%，烟叶种植责任险每人保险金额固定为10万/人，保险费率固定为0.01%，不得随意调整。</w:t>
      </w:r>
    </w:p>
    <w:p w14:paraId="4EEE893D">
      <w:pPr>
        <w:pStyle w:val="5"/>
        <w:keepNext w:val="0"/>
        <w:keepLines w:val="0"/>
        <w:widowControl/>
        <w:numPr>
          <w:ilvl w:val="0"/>
          <w:numId w:val="4"/>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计算公式：</w:t>
      </w:r>
    </w:p>
    <w:p w14:paraId="59279AD7">
      <w:pPr>
        <w:pStyle w:val="5"/>
        <w:keepNext w:val="0"/>
        <w:keepLines w:val="0"/>
        <w:widowControl/>
        <w:numPr>
          <w:ilvl w:val="1"/>
          <w:numId w:val="3"/>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保险金额=每亩（每人）保险金额×保险面积</w:t>
      </w:r>
    </w:p>
    <w:p w14:paraId="2AD3D8EB">
      <w:pPr>
        <w:pStyle w:val="5"/>
        <w:keepNext w:val="0"/>
        <w:keepLines w:val="0"/>
        <w:widowControl/>
        <w:numPr>
          <w:ilvl w:val="1"/>
          <w:numId w:val="3"/>
        </w:numPr>
        <w:suppressLineNumbers w:val="0"/>
        <w:spacing w:before="0" w:beforeAutospacing="0" w:after="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保险费=保险金额×保险费率</w:t>
      </w:r>
    </w:p>
    <w:p w14:paraId="7284CCCC">
      <w:pPr>
        <w:pStyle w:val="5"/>
        <w:keepNext w:val="0"/>
        <w:keepLines w:val="0"/>
        <w:widowControl/>
        <w:numPr>
          <w:ilvl w:val="0"/>
          <w:numId w:val="4"/>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需按实际核实参保面积核算保费，不得虚报、漏报面积。</w:t>
      </w:r>
    </w:p>
    <w:p w14:paraId="60E6D3BE">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（四）赔偿标准要求</w:t>
      </w:r>
    </w:p>
    <w:p w14:paraId="7793DE33">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赔偿金额计算公式：赔偿金额=不同生长期每亩最高赔偿标准×损失率×受损面积</w:t>
      </w:r>
    </w:p>
    <w:p w14:paraId="3264C6D4">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损失率核定方式：损失率=1-(抽样的受损样本单株有效叶片基数/单株有效叶片基数)，单株有效叶片基数需由投保人与保险人协商确定，并在保险单中载明。</w:t>
      </w:r>
    </w:p>
    <w:p w14:paraId="4FFA8F3A">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分生长期赔偿标准：</w:t>
      </w:r>
    </w:p>
    <w:tbl>
      <w:tblPr>
        <w:tblStyle w:val="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441"/>
        <w:gridCol w:w="3335"/>
        <w:gridCol w:w="3890"/>
      </w:tblGrid>
      <w:tr w14:paraId="64A83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441" w:type="dxa"/>
            <w:tcBorders>
              <w:top w:val="nil"/>
              <w:left w:val="nil"/>
              <w:bottom w:val="nil"/>
              <w:right w:val="single" w:color="E8EAED" w:sz="6" w:space="0"/>
            </w:tcBorders>
            <w:shd w:val="clear" w:color="auto" w:fill="auto"/>
            <w:tcMar>
              <w:top w:w="135" w:type="dxa"/>
              <w:left w:w="180" w:type="dxa"/>
              <w:bottom w:w="135" w:type="dxa"/>
              <w:right w:w="180" w:type="dxa"/>
            </w:tcMar>
            <w:vAlign w:val="top"/>
          </w:tcPr>
          <w:p w14:paraId="05AB4514">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生长期阶段</w:t>
            </w:r>
          </w:p>
        </w:tc>
        <w:tc>
          <w:tcPr>
            <w:tcW w:w="3335" w:type="dxa"/>
            <w:tcBorders>
              <w:top w:val="nil"/>
              <w:left w:val="nil"/>
              <w:bottom w:val="nil"/>
              <w:right w:val="single" w:color="E8EAED" w:sz="6" w:space="0"/>
            </w:tcBorders>
            <w:shd w:val="clear" w:color="auto" w:fill="auto"/>
            <w:tcMar>
              <w:top w:w="135" w:type="dxa"/>
              <w:left w:w="180" w:type="dxa"/>
              <w:bottom w:w="135" w:type="dxa"/>
              <w:right w:w="180" w:type="dxa"/>
            </w:tcMar>
            <w:vAlign w:val="top"/>
          </w:tcPr>
          <w:p w14:paraId="2D882BA6">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时间范围</w:t>
            </w:r>
          </w:p>
        </w:tc>
        <w:tc>
          <w:tcPr>
            <w:tcW w:w="3890" w:type="dxa"/>
            <w:tcBorders>
              <w:top w:val="nil"/>
              <w:left w:val="nil"/>
              <w:bottom w:val="nil"/>
              <w:right w:val="nil"/>
            </w:tcBorders>
            <w:shd w:val="clear" w:color="auto" w:fill="auto"/>
            <w:tcMar>
              <w:top w:w="135" w:type="dxa"/>
              <w:left w:w="180" w:type="dxa"/>
              <w:bottom w:w="135" w:type="dxa"/>
              <w:right w:w="180" w:type="dxa"/>
            </w:tcMar>
            <w:vAlign w:val="top"/>
          </w:tcPr>
          <w:p w14:paraId="343D4154">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最高赔偿标准</w:t>
            </w:r>
          </w:p>
        </w:tc>
      </w:tr>
      <w:tr w14:paraId="43865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441"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2E879AC7">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第一阶段</w:t>
            </w:r>
          </w:p>
        </w:tc>
        <w:tc>
          <w:tcPr>
            <w:tcW w:w="3335"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0C10CC43">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移栽大田之日起至打顶结束期止</w:t>
            </w:r>
          </w:p>
        </w:tc>
        <w:tc>
          <w:tcPr>
            <w:tcW w:w="3890" w:type="dxa"/>
            <w:tcBorders>
              <w:top w:val="nil"/>
              <w:left w:val="nil"/>
              <w:bottom w:val="nil"/>
              <w:right w:val="nil"/>
            </w:tcBorders>
            <w:shd w:val="clear" w:color="auto" w:fill="FFFFFF"/>
            <w:tcMar>
              <w:top w:w="135" w:type="dxa"/>
              <w:left w:w="180" w:type="dxa"/>
              <w:bottom w:w="135" w:type="dxa"/>
              <w:right w:w="180" w:type="dxa"/>
            </w:tcMar>
            <w:vAlign w:val="top"/>
          </w:tcPr>
          <w:p w14:paraId="1DF6F185">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每亩保险金额的80%（即800元/亩）</w:t>
            </w:r>
          </w:p>
        </w:tc>
      </w:tr>
      <w:tr w14:paraId="04688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441"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3CB2AC78">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第二阶段</w:t>
            </w:r>
          </w:p>
        </w:tc>
        <w:tc>
          <w:tcPr>
            <w:tcW w:w="3335" w:type="dxa"/>
            <w:tcBorders>
              <w:top w:val="nil"/>
              <w:left w:val="nil"/>
              <w:bottom w:val="nil"/>
              <w:right w:val="single" w:color="E8EAED" w:sz="6" w:space="0"/>
            </w:tcBorders>
            <w:shd w:val="clear" w:color="auto" w:fill="FFFFFF"/>
            <w:tcMar>
              <w:top w:w="135" w:type="dxa"/>
              <w:left w:w="180" w:type="dxa"/>
              <w:bottom w:w="135" w:type="dxa"/>
              <w:right w:w="180" w:type="dxa"/>
            </w:tcMar>
            <w:vAlign w:val="top"/>
          </w:tcPr>
          <w:p w14:paraId="613F9370">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烟叶采收阶段</w:t>
            </w:r>
          </w:p>
        </w:tc>
        <w:tc>
          <w:tcPr>
            <w:tcW w:w="3890" w:type="dxa"/>
            <w:tcBorders>
              <w:top w:val="nil"/>
              <w:left w:val="nil"/>
              <w:bottom w:val="nil"/>
              <w:right w:val="nil"/>
            </w:tcBorders>
            <w:shd w:val="clear" w:color="auto" w:fill="FFFFFF"/>
            <w:tcMar>
              <w:top w:w="135" w:type="dxa"/>
              <w:left w:w="180" w:type="dxa"/>
              <w:bottom w:w="135" w:type="dxa"/>
              <w:right w:w="180" w:type="dxa"/>
            </w:tcMar>
            <w:vAlign w:val="top"/>
          </w:tcPr>
          <w:p w14:paraId="062B55F7">
            <w:pPr>
              <w:pStyle w:val="5"/>
              <w:keepNext w:val="0"/>
              <w:keepLines w:val="0"/>
              <w:widowControl/>
              <w:suppressLineNumbers w:val="0"/>
              <w:spacing w:before="0" w:beforeAutospacing="0" w:after="0" w:afterAutospacing="0" w:line="360" w:lineRule="auto"/>
              <w:ind w:left="0" w:right="0"/>
              <w:jc w:val="left"/>
            </w:pPr>
            <w:r>
              <w:rPr>
                <w:rFonts w:hint="eastAsia" w:ascii="仿宋" w:hAnsi="仿宋" w:eastAsia="仿宋" w:cs="仿宋"/>
                <w:b w:val="0"/>
                <w:bCs w:val="0"/>
                <w:i w:val="0"/>
                <w:iCs w:val="0"/>
                <w:color w:val="000000"/>
                <w:spacing w:val="0"/>
                <w:w w:val="100"/>
                <w:sz w:val="24"/>
                <w:szCs w:val="24"/>
                <w:vertAlign w:val="baseline"/>
              </w:rPr>
              <w:t>每亩保险金额的100%（即1000元/亩）</w:t>
            </w:r>
          </w:p>
        </w:tc>
      </w:tr>
    </w:tbl>
    <w:p w14:paraId="4FB38ABA">
      <w:pPr>
        <w:pStyle w:val="5"/>
        <w:keepNext w:val="0"/>
        <w:keepLines w:val="0"/>
        <w:widowControl/>
        <w:numPr>
          <w:ilvl w:val="0"/>
          <w:numId w:val="5"/>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000000"/>
          <w:spacing w:val="0"/>
          <w:w w:val="100"/>
          <w:sz w:val="24"/>
          <w:szCs w:val="24"/>
          <w:vertAlign w:val="baseline"/>
        </w:rPr>
        <w:t>烘烤期间赔偿标准：以实际造成损失为准，不超过总的保险金额。</w:t>
      </w:r>
    </w:p>
    <w:p w14:paraId="1E2F78D4">
      <w:pPr>
        <w:pStyle w:val="5"/>
        <w:keepNext w:val="0"/>
        <w:keepLines w:val="0"/>
        <w:widowControl/>
        <w:numPr>
          <w:ilvl w:val="0"/>
          <w:numId w:val="5"/>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各阶段具体起止日期需在保险单中明确约定，不得模糊表述。</w:t>
      </w:r>
    </w:p>
    <w:p w14:paraId="72CF7542">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三、服务质量要求</w:t>
      </w:r>
    </w:p>
    <w:p w14:paraId="7AD36A62">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查勘时效要求</w:t>
      </w:r>
      <w:r>
        <w:rPr>
          <w:rFonts w:hint="eastAsia" w:ascii="仿宋" w:hAnsi="仿宋" w:eastAsia="仿宋" w:cs="仿宋"/>
          <w:b w:val="0"/>
          <w:bCs w:val="0"/>
          <w:i w:val="0"/>
          <w:iCs w:val="0"/>
          <w:color w:val="333333"/>
          <w:spacing w:val="0"/>
          <w:w w:val="100"/>
          <w:sz w:val="24"/>
          <w:szCs w:val="24"/>
          <w:shd w:val="clear" w:fill="FFFFFF"/>
          <w:vertAlign w:val="baseline"/>
        </w:rPr>
        <w:t>：接到出险报案后，需在24小时内完成现场查勘，出具查勘报告，重大灾害需4小时内响应。</w:t>
      </w:r>
    </w:p>
    <w:p w14:paraId="006D6A9E">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定损准确性要求</w:t>
      </w:r>
      <w:r>
        <w:rPr>
          <w:rFonts w:hint="eastAsia" w:ascii="仿宋" w:hAnsi="仿宋" w:eastAsia="仿宋" w:cs="仿宋"/>
          <w:b w:val="0"/>
          <w:bCs w:val="0"/>
          <w:i w:val="0"/>
          <w:iCs w:val="0"/>
          <w:color w:val="333333"/>
          <w:spacing w:val="0"/>
          <w:w w:val="100"/>
          <w:sz w:val="24"/>
          <w:szCs w:val="24"/>
          <w:shd w:val="clear" w:fill="FFFFFF"/>
          <w:vertAlign w:val="baseline"/>
        </w:rPr>
        <w:t>：定损过程需抽样规范、数据准确，损失率核定误差不得超过5%，需邀请种植户代表参与监督。</w:t>
      </w:r>
    </w:p>
    <w:p w14:paraId="6CCAF630">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理赔时效要求</w:t>
      </w:r>
      <w:r>
        <w:rPr>
          <w:rFonts w:hint="eastAsia" w:ascii="仿宋" w:hAnsi="仿宋" w:eastAsia="仿宋" w:cs="仿宋"/>
          <w:b w:val="0"/>
          <w:bCs w:val="0"/>
          <w:i w:val="0"/>
          <w:iCs w:val="0"/>
          <w:color w:val="333333"/>
          <w:spacing w:val="0"/>
          <w:w w:val="100"/>
          <w:sz w:val="24"/>
          <w:szCs w:val="24"/>
          <w:shd w:val="clear" w:fill="FFFFFF"/>
          <w:vertAlign w:val="baseline"/>
        </w:rPr>
        <w:t>：完成定损后，需在10个工作日内完成赔款支付，不得无故拖延。</w:t>
      </w:r>
    </w:p>
    <w:p w14:paraId="34245ED5">
      <w:pPr>
        <w:pStyle w:val="5"/>
        <w:keepNext w:val="0"/>
        <w:keepLines w:val="0"/>
        <w:widowControl/>
        <w:numPr>
          <w:ilvl w:val="0"/>
          <w:numId w:val="6"/>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人员配置要求</w:t>
      </w:r>
      <w:r>
        <w:rPr>
          <w:rFonts w:hint="eastAsia" w:ascii="仿宋" w:hAnsi="仿宋" w:eastAsia="仿宋" w:cs="仿宋"/>
          <w:b w:val="0"/>
          <w:bCs w:val="0"/>
          <w:i w:val="0"/>
          <w:iCs w:val="0"/>
          <w:color w:val="333333"/>
          <w:spacing w:val="0"/>
          <w:w w:val="100"/>
          <w:sz w:val="24"/>
          <w:szCs w:val="24"/>
          <w:shd w:val="clear" w:fill="FFFFFF"/>
          <w:vertAlign w:val="baseline"/>
        </w:rPr>
        <w:t>：需配备不少于2名熟悉烤烟种植、灾害评估的专业查勘定损人员，服务期内保持稳定。</w:t>
      </w:r>
    </w:p>
    <w:p w14:paraId="6ED26B7C">
      <w:pPr>
        <w:pStyle w:val="5"/>
        <w:keepNext w:val="0"/>
        <w:keepLines w:val="0"/>
        <w:widowControl/>
        <w:numPr>
          <w:ilvl w:val="0"/>
          <w:numId w:val="6"/>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培训服务要求</w:t>
      </w:r>
      <w:r>
        <w:rPr>
          <w:rFonts w:hint="eastAsia" w:ascii="仿宋" w:hAnsi="仿宋" w:eastAsia="仿宋" w:cs="仿宋"/>
          <w:b w:val="0"/>
          <w:bCs w:val="0"/>
          <w:i w:val="0"/>
          <w:iCs w:val="0"/>
          <w:color w:val="333333"/>
          <w:spacing w:val="0"/>
          <w:w w:val="100"/>
          <w:sz w:val="24"/>
          <w:szCs w:val="24"/>
          <w:shd w:val="clear" w:fill="FFFFFF"/>
          <w:vertAlign w:val="baseline"/>
        </w:rPr>
        <w:t>：每年需为种植户、基层工作人员提供不少于2次保险政策、防灾防损知识培训。</w:t>
      </w:r>
    </w:p>
    <w:p w14:paraId="4CDAEBA7">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四、考核标准</w:t>
      </w:r>
    </w:p>
    <w:p w14:paraId="08FC0C41">
      <w:pPr>
        <w:pStyle w:val="5"/>
        <w:keepNext w:val="0"/>
        <w:keepLines w:val="0"/>
        <w:widowControl/>
        <w:numPr>
          <w:ilvl w:val="0"/>
          <w:numId w:val="7"/>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参保进度考核</w:t>
      </w:r>
    </w:p>
    <w:p w14:paraId="72F4FAE5">
      <w:pPr>
        <w:pStyle w:val="5"/>
        <w:keepNext w:val="0"/>
        <w:keepLines w:val="0"/>
        <w:widowControl/>
        <w:numPr>
          <w:ilvl w:val="1"/>
          <w:numId w:val="8"/>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2026年7月1日前参保率需达到100%，每降低1个百分点扣1分。</w:t>
      </w:r>
    </w:p>
    <w:p w14:paraId="278AB0FD">
      <w:pPr>
        <w:pStyle w:val="5"/>
        <w:keepNext w:val="0"/>
        <w:keepLines w:val="0"/>
        <w:widowControl/>
        <w:numPr>
          <w:ilvl w:val="1"/>
          <w:numId w:val="8"/>
        </w:numPr>
        <w:suppressLineNumbers w:val="0"/>
        <w:spacing w:before="0" w:beforeAutospacing="0" w:after="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未在规定时间内完成参保核实、保单出具的，每延迟1个工作日扣1分。</w:t>
      </w:r>
    </w:p>
    <w:p w14:paraId="5D99FA04">
      <w:pPr>
        <w:pStyle w:val="5"/>
        <w:keepNext w:val="0"/>
        <w:keepLines w:val="0"/>
        <w:widowControl/>
        <w:numPr>
          <w:ilvl w:val="0"/>
          <w:numId w:val="7"/>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理赔服务考核</w:t>
      </w:r>
    </w:p>
    <w:p w14:paraId="7A7D6A1E">
      <w:pPr>
        <w:pStyle w:val="5"/>
        <w:keepNext w:val="0"/>
        <w:keepLines w:val="0"/>
        <w:widowControl/>
        <w:numPr>
          <w:ilvl w:val="1"/>
          <w:numId w:val="9"/>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查勘响应时效：重大灾害4小时内未响应、普通灾害24小时内未响应的，每次扣1分。</w:t>
      </w:r>
    </w:p>
    <w:p w14:paraId="6385D433">
      <w:pPr>
        <w:pStyle w:val="5"/>
        <w:keepNext w:val="0"/>
        <w:keepLines w:val="0"/>
        <w:widowControl/>
        <w:numPr>
          <w:ilvl w:val="1"/>
          <w:numId w:val="9"/>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定损准确性：损失率核定误差超过5%的，每次扣0.5分；因定损错误导致种植户投诉的，每次扣1分。</w:t>
      </w:r>
    </w:p>
    <w:p w14:paraId="626B9766">
      <w:pPr>
        <w:pStyle w:val="5"/>
        <w:keepNext w:val="0"/>
        <w:keepLines w:val="0"/>
        <w:widowControl/>
        <w:numPr>
          <w:ilvl w:val="1"/>
          <w:numId w:val="9"/>
        </w:numPr>
        <w:suppressLineNumbers w:val="0"/>
        <w:spacing w:before="0" w:beforeAutospacing="0" w:after="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理赔时效：完成定损后，未在10个工作日内完成赔款支付的，每延迟1个工作日扣1分。</w:t>
      </w:r>
    </w:p>
    <w:p w14:paraId="5A689779">
      <w:pPr>
        <w:pStyle w:val="5"/>
        <w:keepNext w:val="0"/>
        <w:keepLines w:val="0"/>
        <w:widowControl/>
        <w:numPr>
          <w:ilvl w:val="0"/>
          <w:numId w:val="7"/>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服务质量考核</w:t>
      </w:r>
    </w:p>
    <w:p w14:paraId="738391F0">
      <w:pPr>
        <w:pStyle w:val="5"/>
        <w:keepNext w:val="0"/>
        <w:keepLines w:val="0"/>
        <w:widowControl/>
        <w:numPr>
          <w:ilvl w:val="1"/>
          <w:numId w:val="10"/>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未按要求开展种植户培训的，每少1次扣1分。</w:t>
      </w:r>
    </w:p>
    <w:p w14:paraId="41C9DEC0">
      <w:pPr>
        <w:pStyle w:val="5"/>
        <w:keepNext w:val="0"/>
        <w:keepLines w:val="0"/>
        <w:widowControl/>
        <w:numPr>
          <w:ilvl w:val="1"/>
          <w:numId w:val="10"/>
        </w:numPr>
        <w:suppressLineNumbers w:val="0"/>
        <w:spacing w:before="0" w:beforeAutospacing="0" w:after="120" w:afterAutospacing="0" w:line="360" w:lineRule="auto"/>
        <w:ind w:left="36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查勘定损人员不足2人的，每少1人扣1分。</w:t>
      </w:r>
    </w:p>
    <w:p w14:paraId="58FF7FE5">
      <w:pPr>
        <w:pStyle w:val="5"/>
        <w:keepNext w:val="0"/>
        <w:keepLines w:val="0"/>
        <w:widowControl/>
        <w:numPr>
          <w:ilvl w:val="0"/>
          <w:numId w:val="7"/>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bCs/>
          <w:i w:val="0"/>
          <w:iCs w:val="0"/>
          <w:color w:val="333333"/>
          <w:spacing w:val="0"/>
          <w:w w:val="100"/>
          <w:sz w:val="24"/>
          <w:szCs w:val="24"/>
          <w:shd w:val="clear" w:fill="FFFFFF"/>
          <w:vertAlign w:val="baseline"/>
        </w:rPr>
        <w:t>考核运用</w:t>
      </w:r>
    </w:p>
    <w:tbl>
      <w:tblPr>
        <w:tblStyle w:val="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674"/>
        <w:gridCol w:w="1380"/>
        <w:gridCol w:w="1395"/>
        <w:gridCol w:w="1275"/>
        <w:gridCol w:w="1377"/>
        <w:gridCol w:w="1421"/>
      </w:tblGrid>
      <w:tr w14:paraId="4F323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1674"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771F0EB0">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年度得分</w:t>
            </w:r>
          </w:p>
        </w:tc>
        <w:tc>
          <w:tcPr>
            <w:tcW w:w="1380"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1378AD35">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[95,100]</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50966B38">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[90,95)</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51316CE8">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[85,90)</w:t>
            </w:r>
          </w:p>
        </w:tc>
        <w:tc>
          <w:tcPr>
            <w:tcW w:w="1377"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7AB98F2C">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[80,85)</w:t>
            </w:r>
          </w:p>
        </w:tc>
        <w:tc>
          <w:tcPr>
            <w:tcW w:w="1421"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494EAFFA">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(0,80)</w:t>
            </w:r>
          </w:p>
        </w:tc>
      </w:tr>
      <w:tr w14:paraId="0B84E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trPr>
        <w:tc>
          <w:tcPr>
            <w:tcW w:w="1674"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3EF907C5">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扣罚金额(元)</w:t>
            </w:r>
          </w:p>
        </w:tc>
        <w:tc>
          <w:tcPr>
            <w:tcW w:w="1380"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10846750">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0</w:t>
            </w:r>
          </w:p>
        </w:tc>
        <w:tc>
          <w:tcPr>
            <w:tcW w:w="139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1BF08834">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500</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2607C489">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1000</w:t>
            </w:r>
          </w:p>
        </w:tc>
        <w:tc>
          <w:tcPr>
            <w:tcW w:w="1377"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7C02D517">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2000</w:t>
            </w:r>
          </w:p>
        </w:tc>
        <w:tc>
          <w:tcPr>
            <w:tcW w:w="1421" w:type="dxa"/>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vAlign w:val="top"/>
          </w:tcPr>
          <w:p w14:paraId="2F1068B5">
            <w:pPr>
              <w:pStyle w:val="5"/>
              <w:keepNext w:val="0"/>
              <w:keepLines w:val="0"/>
              <w:widowControl/>
              <w:suppressLineNumbers w:val="0"/>
              <w:spacing w:before="0" w:beforeAutospacing="0" w:after="0" w:afterAutospacing="0" w:line="360" w:lineRule="auto"/>
              <w:ind w:left="0" w:right="0"/>
              <w:jc w:val="center"/>
            </w:pPr>
            <w:r>
              <w:rPr>
                <w:rFonts w:hint="eastAsia" w:ascii="仿宋" w:hAnsi="仿宋" w:eastAsia="仿宋" w:cs="仿宋"/>
                <w:b w:val="0"/>
                <w:bCs w:val="0"/>
                <w:i w:val="0"/>
                <w:iCs w:val="0"/>
                <w:color w:val="000000"/>
                <w:spacing w:val="0"/>
                <w:w w:val="100"/>
                <w:sz w:val="24"/>
                <w:szCs w:val="24"/>
                <w:vertAlign w:val="baseline"/>
              </w:rPr>
              <w:t>3000</w:t>
            </w:r>
          </w:p>
        </w:tc>
      </w:tr>
    </w:tbl>
    <w:p w14:paraId="02593DE8">
      <w:pPr>
        <w:pStyle w:val="5"/>
        <w:keepNext w:val="0"/>
        <w:keepLines w:val="0"/>
        <w:widowControl/>
        <w:suppressLineNumbers w:val="0"/>
        <w:spacing w:before="0" w:beforeAutospacing="0" w:after="12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五、违约责任</w:t>
      </w:r>
    </w:p>
    <w:p w14:paraId="7DFE7518">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（一）轻微违约</w:t>
      </w:r>
    </w:p>
    <w:p w14:paraId="157B90EC">
      <w:pPr>
        <w:pStyle w:val="5"/>
        <w:keepNext w:val="0"/>
        <w:keepLines w:val="0"/>
        <w:widowControl/>
        <w:numPr>
          <w:ilvl w:val="0"/>
          <w:numId w:val="11"/>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因服务方原因导致参保进度延迟、数据报表未按时提交的，服务方需在3个工作日内完成整改。</w:t>
      </w:r>
    </w:p>
    <w:p w14:paraId="1F81C896">
      <w:pPr>
        <w:pStyle w:val="5"/>
        <w:keepNext w:val="0"/>
        <w:keepLines w:val="0"/>
        <w:widowControl/>
        <w:numPr>
          <w:ilvl w:val="0"/>
          <w:numId w:val="11"/>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查勘定损人员临时缺岗超过2人的，服务方需在24小时内补充合格人员，否则按每日100元标准支付违约金。</w:t>
      </w:r>
    </w:p>
    <w:p w14:paraId="422C776F">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（二）一般违约</w:t>
      </w:r>
    </w:p>
    <w:p w14:paraId="588246E9">
      <w:pPr>
        <w:pStyle w:val="5"/>
        <w:keepNext w:val="0"/>
        <w:keepLines w:val="0"/>
        <w:widowControl/>
        <w:numPr>
          <w:ilvl w:val="0"/>
          <w:numId w:val="12"/>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未按约定开展种植户培训，或培训内容不符合要求的，采购方有权要求重新培训，服务方需承担相关费用。</w:t>
      </w:r>
    </w:p>
    <w:p w14:paraId="0042C443">
      <w:pPr>
        <w:pStyle w:val="5"/>
        <w:keepNext w:val="0"/>
        <w:keepLines w:val="0"/>
        <w:widowControl/>
        <w:numPr>
          <w:ilvl w:val="0"/>
          <w:numId w:val="12"/>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因服务方数据错误导致种植户投诉，经核实属实的，服务方需承担投诉处理费用，并按每次100元标准支付违约金。</w:t>
      </w:r>
    </w:p>
    <w:p w14:paraId="645FCE86">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（三）严重违约</w:t>
      </w:r>
    </w:p>
    <w:p w14:paraId="724552AF">
      <w:pPr>
        <w:pStyle w:val="5"/>
        <w:keepNext w:val="0"/>
        <w:keepLines w:val="0"/>
        <w:widowControl/>
        <w:numPr>
          <w:ilvl w:val="0"/>
          <w:numId w:val="13"/>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服务方擅自调整保险金额、费率，或虚报参保面积的，采购方有权终止合同，服务方需退还已收取的全部保费，并按合同金额的5%支付违约金。</w:t>
      </w:r>
    </w:p>
    <w:p w14:paraId="3BAA550D">
      <w:pPr>
        <w:pStyle w:val="5"/>
        <w:keepNext w:val="0"/>
        <w:keepLines w:val="0"/>
        <w:widowControl/>
        <w:numPr>
          <w:ilvl w:val="0"/>
          <w:numId w:val="13"/>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服务方泄露种植户信息、理赔数据等涉密内容的，采购方有权立即终止合同，服务方需承担由此造成的所有损失，并按合同金额的5%支付违约金。</w:t>
      </w:r>
    </w:p>
    <w:p w14:paraId="75C7172C">
      <w:pPr>
        <w:pStyle w:val="5"/>
        <w:keepNext w:val="0"/>
        <w:keepLines w:val="0"/>
        <w:widowControl/>
        <w:numPr>
          <w:ilvl w:val="0"/>
          <w:numId w:val="13"/>
        </w:numPr>
        <w:suppressLineNumbers w:val="0"/>
        <w:spacing w:before="0" w:beforeAutospacing="0" w:after="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服务方无故拖延理赔超过15个工作日，或累计发生3次以上重大理赔纠纷的，采购方有权终止合同，并按合同金额的5%支付违约金。</w:t>
      </w:r>
    </w:p>
    <w:p w14:paraId="4A618A3A">
      <w:pPr>
        <w:pStyle w:val="5"/>
        <w:keepNext w:val="0"/>
        <w:keepLines w:val="0"/>
        <w:widowControl/>
        <w:suppressLineNumbers w:val="0"/>
        <w:spacing w:before="0" w:beforeAutospacing="0" w:after="60" w:afterAutospacing="0" w:line="360" w:lineRule="auto"/>
        <w:ind w:left="0" w:right="0"/>
        <w:jc w:val="left"/>
      </w:pPr>
      <w:r>
        <w:rPr>
          <w:rFonts w:hint="eastAsia" w:ascii="仿宋" w:hAnsi="仿宋" w:eastAsia="仿宋" w:cs="仿宋"/>
          <w:b/>
          <w:bCs/>
          <w:i w:val="0"/>
          <w:iCs w:val="0"/>
          <w:color w:val="333333"/>
          <w:spacing w:val="0"/>
          <w:w w:val="100"/>
          <w:sz w:val="24"/>
          <w:szCs w:val="24"/>
          <w:shd w:val="clear" w:fill="FFFFFF"/>
          <w:vertAlign w:val="baseline"/>
        </w:rPr>
        <w:t>（四）合同终止</w:t>
      </w:r>
    </w:p>
    <w:p w14:paraId="0A17D0F1">
      <w:pPr>
        <w:pStyle w:val="5"/>
        <w:keepNext w:val="0"/>
        <w:keepLines w:val="0"/>
        <w:widowControl/>
        <w:numPr>
          <w:ilvl w:val="0"/>
          <w:numId w:val="14"/>
        </w:numPr>
        <w:suppressLineNumbers w:val="0"/>
        <w:spacing w:before="0" w:beforeAutospacing="0" w:after="120" w:afterAutospacing="0" w:line="360" w:lineRule="auto"/>
        <w:ind w:left="0" w:right="0" w:hanging="360"/>
        <w:jc w:val="both"/>
      </w:pPr>
      <w:r>
        <w:t xml:space="preserve"> </w:t>
      </w:r>
      <w:r>
        <w:rPr>
          <w:rFonts w:hint="eastAsia" w:ascii="仿宋" w:hAnsi="仿宋" w:eastAsia="仿宋" w:cs="仿宋"/>
          <w:b w:val="0"/>
          <w:bCs w:val="0"/>
          <w:i w:val="0"/>
          <w:iCs w:val="0"/>
          <w:color w:val="333333"/>
          <w:spacing w:val="0"/>
          <w:w w:val="100"/>
          <w:sz w:val="24"/>
          <w:szCs w:val="24"/>
          <w:shd w:val="clear" w:fill="FFFFFF"/>
          <w:vertAlign w:val="baseline"/>
        </w:rPr>
        <w:t>因服务方严重违约导致合同终止的，采购方有权将服务方列入供应商黑名单，3年内不得参与本县任何采购项目。</w:t>
      </w:r>
    </w:p>
    <w:p w14:paraId="1C9BA69F">
      <w:pPr>
        <w:pStyle w:val="5"/>
        <w:keepNext w:val="0"/>
        <w:keepLines w:val="0"/>
        <w:widowControl/>
        <w:suppressLineNumbers w:val="0"/>
        <w:spacing w:before="0" w:beforeAutospacing="0" w:after="0" w:afterAutospacing="0" w:line="360" w:lineRule="auto"/>
        <w:ind w:left="0" w:right="0"/>
        <w:jc w:val="both"/>
        <w:rPr>
          <w:rFonts w:hint="eastAsia" w:ascii="仿宋" w:hAnsi="仿宋" w:eastAsia="仿宋" w:cs="仿宋"/>
          <w:b/>
          <w:bCs/>
          <w:snapToGrid w:val="0"/>
          <w:color w:val="auto"/>
          <w:sz w:val="24"/>
          <w:szCs w:val="24"/>
          <w:highlight w:val="none"/>
          <w:lang w:val="en-US" w:eastAsia="zh-CN" w:bidi="ar-SA"/>
        </w:rPr>
      </w:pPr>
      <w:r>
        <w:rPr>
          <w:rFonts w:hint="eastAsia" w:ascii="仿宋" w:hAnsi="仿宋" w:eastAsia="仿宋" w:cs="仿宋"/>
          <w:b w:val="0"/>
          <w:bCs w:val="0"/>
          <w:i w:val="0"/>
          <w:iCs w:val="0"/>
          <w:color w:val="333333"/>
          <w:spacing w:val="0"/>
          <w:w w:val="100"/>
          <w:sz w:val="24"/>
          <w:szCs w:val="24"/>
          <w:shd w:val="clear" w:fill="FFFFFF"/>
          <w:vertAlign w:val="baseline"/>
        </w:rPr>
        <w:t>因不可抗力或政策调整导致合同无法履行的，双方协商解除合同，服务方需按实际完成工作量结算保费。</w:t>
      </w:r>
    </w:p>
    <w:p w14:paraId="17348B87">
      <w:pPr>
        <w:numPr>
          <w:ilvl w:val="0"/>
          <w:numId w:val="15"/>
        </w:numPr>
        <w:spacing w:line="360" w:lineRule="auto"/>
        <w:ind w:left="0" w:leftChars="0" w:firstLine="0" w:firstLineChars="0"/>
        <w:outlineLvl w:val="0"/>
        <w:rPr>
          <w:rFonts w:hint="eastAsia" w:ascii="仿宋" w:hAnsi="仿宋" w:eastAsia="仿宋" w:cs="仿宋"/>
          <w:b/>
          <w:bCs/>
          <w:sz w:val="24"/>
          <w:szCs w:val="24"/>
        </w:rPr>
      </w:pPr>
      <w:bookmarkStart w:id="4" w:name="_Toc23281"/>
      <w:r>
        <w:rPr>
          <w:rFonts w:hint="eastAsia" w:ascii="仿宋" w:hAnsi="仿宋" w:eastAsia="仿宋" w:cs="仿宋"/>
          <w:b/>
          <w:bCs/>
          <w:sz w:val="24"/>
          <w:szCs w:val="24"/>
        </w:rPr>
        <w:t>商务条款</w:t>
      </w:r>
      <w:bookmarkEnd w:id="4"/>
    </w:p>
    <w:p w14:paraId="5CECBDDB">
      <w:pPr>
        <w:spacing w:line="360" w:lineRule="auto"/>
        <w:rPr>
          <w:rFonts w:hint="eastAsia" w:ascii="仿宋" w:hAnsi="仿宋" w:eastAsia="仿宋" w:cs="仿宋"/>
          <w:bCs/>
          <w:sz w:val="24"/>
          <w:szCs w:val="24"/>
        </w:rPr>
      </w:pPr>
      <w:r>
        <w:rPr>
          <w:rFonts w:hint="eastAsia" w:ascii="仿宋" w:hAnsi="仿宋" w:eastAsia="仿宋" w:cs="仿宋"/>
          <w:bCs/>
          <w:sz w:val="24"/>
          <w:szCs w:val="24"/>
          <w:lang w:val="en-US" w:eastAsia="zh-CN"/>
        </w:rPr>
        <w:t xml:space="preserve">1、本磋商文件提出的是最低限度的要求，投标人应达到或优于本磋商文件要求，且符合国家（行业）相关规划、标准和规范要求。 </w:t>
      </w:r>
    </w:p>
    <w:p w14:paraId="2950AD06">
      <w:pPr>
        <w:spacing w:line="360" w:lineRule="auto"/>
        <w:rPr>
          <w:rFonts w:hint="eastAsia" w:ascii="仿宋" w:hAnsi="仿宋" w:eastAsia="仿宋" w:cs="仿宋"/>
          <w:bCs/>
          <w:sz w:val="24"/>
          <w:szCs w:val="24"/>
        </w:rPr>
      </w:pPr>
      <w:r>
        <w:rPr>
          <w:rFonts w:hint="eastAsia" w:ascii="仿宋" w:hAnsi="仿宋" w:eastAsia="仿宋" w:cs="仿宋"/>
          <w:bCs/>
          <w:sz w:val="24"/>
          <w:szCs w:val="24"/>
          <w:lang w:val="en-US" w:eastAsia="zh-CN"/>
        </w:rPr>
        <w:t xml:space="preserve">2、投标人须提供符合要求及标准的服务，并负责服务中出现的任何问题。 </w:t>
      </w:r>
    </w:p>
    <w:p w14:paraId="7F8967FF">
      <w:pPr>
        <w:spacing w:line="360" w:lineRule="auto"/>
      </w:pPr>
      <w:r>
        <w:rPr>
          <w:rFonts w:hint="eastAsia" w:ascii="仿宋" w:hAnsi="仿宋" w:eastAsia="仿宋" w:cs="仿宋"/>
          <w:bCs/>
          <w:sz w:val="24"/>
          <w:szCs w:val="24"/>
          <w:lang w:val="en-US" w:eastAsia="zh-CN"/>
        </w:rPr>
        <w:t>3、所有标的的知识产权问题，由各投标人自行负责。</w:t>
      </w:r>
    </w:p>
    <w:p w14:paraId="37A2E004">
      <w:pPr>
        <w:spacing w:line="360" w:lineRule="auto"/>
      </w:pPr>
      <w:r>
        <w:rPr>
          <w:rFonts w:hint="eastAsia" w:ascii="仿宋" w:hAnsi="仿宋" w:eastAsia="仿宋" w:cs="仿宋"/>
          <w:bCs/>
          <w:sz w:val="24"/>
          <w:szCs w:val="24"/>
          <w:lang w:val="en-US" w:eastAsia="zh-CN"/>
        </w:rPr>
        <w:t>4</w:t>
      </w:r>
      <w:r>
        <w:rPr>
          <w:rFonts w:hint="eastAsia" w:ascii="仿宋" w:hAnsi="仿宋" w:eastAsia="仿宋" w:cs="仿宋"/>
          <w:bCs/>
          <w:sz w:val="24"/>
          <w:szCs w:val="24"/>
        </w:rPr>
        <w:t>、报价要求：本项目为交钥匙项目，投标报价包含磋商文件规定的完成本项目相关服务所需的设备、人员、培训、技术支持、税费等一切相关费用。</w:t>
      </w:r>
    </w:p>
    <w:p w14:paraId="598126A2">
      <w:pPr>
        <w:spacing w:line="360" w:lineRule="auto"/>
        <w:rPr>
          <w:rFonts w:ascii="仿宋" w:hAnsi="仿宋" w:eastAsia="仿宋" w:cs="仿宋"/>
          <w:bCs/>
          <w:sz w:val="24"/>
          <w:szCs w:val="24"/>
        </w:rPr>
      </w:pPr>
      <w:r>
        <w:rPr>
          <w:rFonts w:hint="eastAsia" w:ascii="仿宋" w:hAnsi="仿宋" w:eastAsia="仿宋" w:cs="仿宋"/>
          <w:bCs/>
          <w:sz w:val="24"/>
          <w:szCs w:val="24"/>
          <w:lang w:val="en-US" w:eastAsia="zh-CN"/>
        </w:rPr>
        <w:t>5</w:t>
      </w:r>
      <w:r>
        <w:rPr>
          <w:rFonts w:hint="eastAsia" w:ascii="仿宋" w:hAnsi="仿宋" w:eastAsia="仿宋" w:cs="仿宋"/>
          <w:bCs/>
          <w:sz w:val="24"/>
          <w:szCs w:val="24"/>
        </w:rPr>
        <w:t>、付款方式：签订合同，保单生效后，成交供应商开具增值税发票，采购人一次性拨付保险费。</w:t>
      </w:r>
    </w:p>
    <w:p w14:paraId="2E452C60">
      <w:pPr>
        <w:spacing w:line="360" w:lineRule="auto"/>
        <w:rPr>
          <w:rFonts w:ascii="仿宋" w:hAnsi="仿宋" w:eastAsia="仿宋" w:cs="仿宋"/>
          <w:bCs/>
          <w:sz w:val="24"/>
          <w:szCs w:val="24"/>
        </w:rPr>
      </w:pPr>
      <w:r>
        <w:rPr>
          <w:rFonts w:hint="eastAsia" w:ascii="仿宋" w:hAnsi="仿宋" w:eastAsia="仿宋" w:cs="仿宋"/>
          <w:bCs/>
          <w:sz w:val="24"/>
          <w:szCs w:val="24"/>
          <w:lang w:val="en-US" w:eastAsia="zh-CN"/>
        </w:rPr>
        <w:t>6</w:t>
      </w:r>
      <w:r>
        <w:rPr>
          <w:rFonts w:hint="eastAsia" w:ascii="仿宋" w:hAnsi="仿宋" w:eastAsia="仿宋" w:cs="仿宋"/>
          <w:bCs/>
          <w:sz w:val="24"/>
          <w:szCs w:val="24"/>
        </w:rPr>
        <w:t>、合同履行期限：服务期限为一年。</w:t>
      </w:r>
    </w:p>
    <w:p w14:paraId="2C205CE0">
      <w:pPr>
        <w:spacing w:line="360" w:lineRule="auto"/>
      </w:pPr>
      <w:r>
        <w:rPr>
          <w:rFonts w:hint="eastAsia" w:ascii="仿宋" w:hAnsi="仿宋" w:eastAsia="仿宋" w:cs="仿宋"/>
          <w:bCs/>
          <w:sz w:val="24"/>
          <w:szCs w:val="24"/>
          <w:lang w:val="en-US" w:eastAsia="zh-CN"/>
        </w:rPr>
        <w:t>7</w:t>
      </w:r>
      <w:r>
        <w:rPr>
          <w:rFonts w:hint="eastAsia" w:ascii="仿宋" w:hAnsi="仿宋" w:eastAsia="仿宋" w:cs="仿宋"/>
          <w:bCs/>
          <w:sz w:val="24"/>
          <w:szCs w:val="24"/>
        </w:rPr>
        <w:t>、服务地点：采购人指定地点。</w:t>
      </w:r>
      <w:bookmarkStart w:id="5" w:name="_GoBack"/>
      <w:bookmarkEnd w:id="5"/>
    </w:p>
    <w:p w14:paraId="6A3118F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9F85D">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57ECC3">
                          <w:pPr>
                            <w:pStyle w:val="4"/>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1B57ECC3">
                    <w:pPr>
                      <w:pStyle w:val="4"/>
                    </w:pPr>
                    <w:r>
                      <w:fldChar w:fldCharType="begin"/>
                    </w:r>
                    <w:r>
                      <w:instrText xml:space="preserve"> PAGE  \* MERGEFORMAT </w:instrText>
                    </w:r>
                    <w:r>
                      <w:fldChar w:fldCharType="separate"/>
                    </w:r>
                    <w:r>
                      <w:t>45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CF1E"/>
    <w:multiLevelType w:val="multilevel"/>
    <w:tmpl w:val="8370CF1E"/>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
    <w:nsid w:val="97494A09"/>
    <w:multiLevelType w:val="multilevel"/>
    <w:tmpl w:val="97494A09"/>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2">
    <w:nsid w:val="97EB8B57"/>
    <w:multiLevelType w:val="multilevel"/>
    <w:tmpl w:val="97EB8B57"/>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3">
    <w:nsid w:val="9990E7F5"/>
    <w:multiLevelType w:val="multilevel"/>
    <w:tmpl w:val="9990E7F5"/>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4">
    <w:nsid w:val="B68BEB66"/>
    <w:multiLevelType w:val="multilevel"/>
    <w:tmpl w:val="B68BEB66"/>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5">
    <w:nsid w:val="DA00EEB4"/>
    <w:multiLevelType w:val="multilevel"/>
    <w:tmpl w:val="DA00EEB4"/>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6">
    <w:nsid w:val="DA5C8127"/>
    <w:multiLevelType w:val="singleLevel"/>
    <w:tmpl w:val="DA5C8127"/>
    <w:lvl w:ilvl="0" w:tentative="0">
      <w:start w:val="2"/>
      <w:numFmt w:val="chineseCounting"/>
      <w:suff w:val="nothing"/>
      <w:lvlText w:val="%1、"/>
      <w:lvlJc w:val="left"/>
      <w:rPr>
        <w:rFonts w:hint="eastAsia"/>
      </w:rPr>
    </w:lvl>
  </w:abstractNum>
  <w:abstractNum w:abstractNumId="7">
    <w:nsid w:val="E05363D9"/>
    <w:multiLevelType w:val="multilevel"/>
    <w:tmpl w:val="E05363D9"/>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8">
    <w:nsid w:val="EA36093F"/>
    <w:multiLevelType w:val="singleLevel"/>
    <w:tmpl w:val="EA36093F"/>
    <w:lvl w:ilvl="0" w:tentative="0">
      <w:start w:val="1"/>
      <w:numFmt w:val="chineseCounting"/>
      <w:suff w:val="nothing"/>
      <w:lvlText w:val="%1、"/>
      <w:lvlJc w:val="left"/>
      <w:rPr>
        <w:rFonts w:hint="eastAsia"/>
      </w:rPr>
    </w:lvl>
  </w:abstractNum>
  <w:abstractNum w:abstractNumId="9">
    <w:nsid w:val="0CC07364"/>
    <w:multiLevelType w:val="multilevel"/>
    <w:tmpl w:val="0CC07364"/>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0">
    <w:nsid w:val="408DFAD0"/>
    <w:multiLevelType w:val="multilevel"/>
    <w:tmpl w:val="408DFAD0"/>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1">
    <w:nsid w:val="5BBD05AA"/>
    <w:multiLevelType w:val="multilevel"/>
    <w:tmpl w:val="5BBD05AA"/>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2">
    <w:nsid w:val="68D969DB"/>
    <w:multiLevelType w:val="multilevel"/>
    <w:tmpl w:val="68D969DB"/>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3">
    <w:nsid w:val="77CDF0B0"/>
    <w:multiLevelType w:val="multilevel"/>
    <w:tmpl w:val="77CDF0B0"/>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abstractNum w:abstractNumId="14">
    <w:nsid w:val="7B766D66"/>
    <w:multiLevelType w:val="multilevel"/>
    <w:tmpl w:val="7B766D66"/>
    <w:lvl w:ilvl="0" w:tentative="0">
      <w:start w:val="1"/>
      <w:numFmt w:val="decimal"/>
      <w:lvlText w:val="%1."/>
      <w:lvlJc w:val="left"/>
      <w:pPr>
        <w:ind w:left="720"/>
      </w:pPr>
      <w:rPr>
        <w:rFonts w:hint="default" w:ascii="Times New Roman" w:hAnsi="Times New Roman" w:cs="Times New Roman"/>
      </w:rPr>
    </w:lvl>
    <w:lvl w:ilvl="1" w:tentative="0">
      <w:start w:val="1"/>
      <w:numFmt w:val="decimal"/>
      <w:lvlText w:val="%2."/>
      <w:lvlJc w:val="left"/>
      <w:pPr>
        <w:ind w:left="1440"/>
      </w:pPr>
      <w:rPr>
        <w:rFonts w:hint="default" w:ascii="Times New Roman" w:hAnsi="Times New Roman" w:cs="Times New Roman"/>
      </w:rPr>
    </w:lvl>
    <w:lvl w:ilvl="2" w:tentative="0">
      <w:start w:val="1"/>
      <w:numFmt w:val="decimal"/>
      <w:lvlText w:val="%3."/>
      <w:lvlJc w:val="left"/>
      <w:pPr>
        <w:ind w:left="2160"/>
      </w:pPr>
      <w:rPr>
        <w:rFonts w:hint="default" w:ascii="Times New Roman" w:hAnsi="Times New Roman" w:cs="Times New Roman"/>
      </w:rPr>
    </w:lvl>
    <w:lvl w:ilvl="3" w:tentative="0">
      <w:start w:val="1"/>
      <w:numFmt w:val="decimal"/>
      <w:lvlText w:val="%4."/>
      <w:lvlJc w:val="left"/>
      <w:pPr>
        <w:ind w:left="2880"/>
      </w:pPr>
      <w:rPr>
        <w:rFonts w:hint="default" w:ascii="Times New Roman" w:hAnsi="Times New Roman" w:cs="Times New Roman"/>
      </w:rPr>
    </w:lvl>
    <w:lvl w:ilvl="4" w:tentative="0">
      <w:start w:val="1"/>
      <w:numFmt w:val="decimal"/>
      <w:lvlText w:val="%5."/>
      <w:lvlJc w:val="left"/>
      <w:pPr>
        <w:ind w:left="3600"/>
      </w:pPr>
      <w:rPr>
        <w:rFonts w:hint="default" w:ascii="Times New Roman" w:hAnsi="Times New Roman" w:cs="Times New Roman"/>
      </w:rPr>
    </w:lvl>
    <w:lvl w:ilvl="5" w:tentative="0">
      <w:start w:val="1"/>
      <w:numFmt w:val="decimal"/>
      <w:lvlText w:val="%6."/>
      <w:lvlJc w:val="left"/>
      <w:pPr>
        <w:ind w:left="4320"/>
      </w:pPr>
      <w:rPr>
        <w:rFonts w:hint="default" w:ascii="Times New Roman" w:hAnsi="Times New Roman" w:cs="Times New Roman"/>
      </w:rPr>
    </w:lvl>
    <w:lvl w:ilvl="6" w:tentative="0">
      <w:start w:val="1"/>
      <w:numFmt w:val="decimal"/>
      <w:lvlText w:val="%7."/>
      <w:lvlJc w:val="left"/>
      <w:pPr>
        <w:ind w:left="5040"/>
      </w:pPr>
      <w:rPr>
        <w:rFonts w:hint="default" w:ascii="Times New Roman" w:hAnsi="Times New Roman" w:cs="Times New Roman"/>
      </w:rPr>
    </w:lvl>
    <w:lvl w:ilvl="7" w:tentative="0">
      <w:start w:val="1"/>
      <w:numFmt w:val="decimal"/>
      <w:lvlText w:val="%8."/>
      <w:lvlJc w:val="left"/>
      <w:pPr>
        <w:ind w:left="5760"/>
      </w:pPr>
      <w:rPr>
        <w:rFonts w:hint="default" w:ascii="Times New Roman" w:hAnsi="Times New Roman" w:cs="Times New Roman"/>
      </w:rPr>
    </w:lvl>
    <w:lvl w:ilvl="8" w:tentative="0">
      <w:start w:val="1"/>
      <w:numFmt w:val="decimal"/>
      <w:lvlText w:val="%9."/>
      <w:lvlJc w:val="left"/>
      <w:pPr>
        <w:ind w:left="6480"/>
      </w:pPr>
      <w:rPr>
        <w:rFonts w:hint="default" w:ascii="Times New Roman" w:hAnsi="Times New Roman" w:cs="Times New Roman"/>
      </w:rPr>
    </w:lvl>
  </w:abstractNum>
  <w:num w:numId="1">
    <w:abstractNumId w:val="6"/>
  </w:num>
  <w:num w:numId="2">
    <w:abstractNumId w:val="12"/>
  </w:num>
  <w:num w:numId="3">
    <w:abstractNumId w:val="9"/>
  </w:num>
  <w:num w:numId="4">
    <w:abstractNumId w:val="14"/>
  </w:num>
  <w:num w:numId="5">
    <w:abstractNumId w:val="10"/>
  </w:num>
  <w:num w:numId="6">
    <w:abstractNumId w:val="13"/>
  </w:num>
  <w:num w:numId="7">
    <w:abstractNumId w:val="1"/>
  </w:num>
  <w:num w:numId="8">
    <w:abstractNumId w:val="5"/>
  </w:num>
  <w:num w:numId="9">
    <w:abstractNumId w:val="3"/>
  </w:num>
  <w:num w:numId="10">
    <w:abstractNumId w:val="7"/>
  </w:num>
  <w:num w:numId="11">
    <w:abstractNumId w:val="4"/>
  </w:num>
  <w:num w:numId="12">
    <w:abstractNumId w:val="0"/>
  </w:num>
  <w:num w:numId="13">
    <w:abstractNumId w:val="2"/>
  </w:num>
  <w:num w:numId="14">
    <w:abstractNumId w:val="1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10080E"/>
    <w:rsid w:val="1F1008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paragraph" w:styleId="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6">
    <w:name w:val="Body Text First Indent"/>
    <w:basedOn w:val="3"/>
    <w:qFormat/>
    <w:uiPriority w:val="0"/>
    <w:pPr>
      <w:ind w:firstLine="420" w:firstLineChars="100"/>
    </w:pPr>
  </w:style>
  <w:style w:type="paragraph" w:customStyle="1" w:styleId="9">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2026-05-22T07:52:00Z</dcterms:created>
  <dc:creator>Administrator</dc:creator>
  <cp:lastModifiedBy>Administrator</cp:lastModifiedBy>
  <dcterms:modified xsi:type="dcterms:W3CDTF">2026-05-22T07:52:19Z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34CEA48C03B74C3086E216E5250E60B0_11</vt:lpwstr>
  </property>
  <property fmtid="{D5CDD505-2E9C-101B-9397-08002B2CF9AE}" pid="4" name="KSOTemplateDocerSaveRecord">
    <vt:lpwstr>eyJoZGlkIjoiODY3MTAyYmNmMTVlOTZjNmY2ZjZiYzk1ZWFkOTBlYmMiLCJ1c2VySWQiOiIxMjE0MjIyOTYzIn0=</vt:lpwstr>
  </property>
</Properties>
</file>