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1364F">
      <w:pPr>
        <w:pageBreakBefore w:val="0"/>
        <w:widowControl w:val="0"/>
        <w:numPr>
          <w:ilvl w:val="0"/>
          <w:numId w:val="0"/>
        </w:numPr>
        <w:wordWrap/>
        <w:overflowPunct/>
        <w:topLinePunct w:val="0"/>
        <w:bidi w:val="0"/>
        <w:spacing w:beforeAutospacing="0" w:line="224" w:lineRule="auto"/>
        <w:jc w:val="center"/>
        <w:outlineLvl w:val="0"/>
        <w:rPr>
          <w:rFonts w:hint="eastAsia" w:ascii="宋体" w:hAnsi="宋体" w:eastAsia="宋体" w:cs="宋体"/>
          <w:snapToGrid w:val="0"/>
          <w:color w:val="auto"/>
          <w:spacing w:val="0"/>
          <w:w w:val="100"/>
          <w:position w:val="0"/>
          <w:sz w:val="31"/>
          <w:szCs w:val="31"/>
          <w:lang w:val="en-US" w:eastAsia="zh-CN" w:bidi="ar-SA"/>
          <w14:textOutline w14:w="5791" w14:cap="sq" w14:cmpd="sng" w14:algn="ctr">
            <w14:solidFill>
              <w14:srgbClr w14:val="000000"/>
            </w14:solidFill>
            <w14:prstDash w14:val="solid"/>
            <w14:bevel/>
          </w14:textOutline>
        </w:rPr>
      </w:pPr>
      <w:bookmarkStart w:id="0" w:name="_Toc13264"/>
      <w:r>
        <w:rPr>
          <w:rFonts w:hint="eastAsia" w:ascii="宋体" w:hAnsi="宋体" w:eastAsia="宋体" w:cs="宋体"/>
          <w:snapToGrid w:val="0"/>
          <w:color w:val="auto"/>
          <w:spacing w:val="0"/>
          <w:w w:val="100"/>
          <w:position w:val="0"/>
          <w:sz w:val="31"/>
          <w:szCs w:val="31"/>
          <w:lang w:val="en-US" w:eastAsia="zh-CN" w:bidi="ar-SA"/>
          <w14:textOutline w14:w="5791" w14:cap="sq" w14:cmpd="sng" w14:algn="ctr">
            <w14:solidFill>
              <w14:srgbClr w14:val="000000"/>
            </w14:solidFill>
            <w14:prstDash w14:val="solid"/>
            <w14:bevel/>
          </w14:textOutline>
        </w:rPr>
        <w:t>第五章  货物需求表及采购需求</w:t>
      </w:r>
      <w:bookmarkEnd w:id="0"/>
    </w:p>
    <w:p w14:paraId="55EE8BFF">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color w:val="auto"/>
          <w:spacing w:val="0"/>
          <w:w w:val="100"/>
          <w:position w:val="0"/>
        </w:rPr>
      </w:pPr>
      <w:bookmarkStart w:id="1" w:name="_Toc22543"/>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bookmarkEnd w:id="1"/>
    </w:p>
    <w:tbl>
      <w:tblPr>
        <w:tblStyle w:val="11"/>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267216">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rPr>
            </w:pPr>
            <w:r>
              <w:rPr>
                <w:color w:val="auto"/>
                <w:spacing w:val="0"/>
                <w:w w:val="100"/>
                <w:position w:val="0"/>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r>
              <w:rPr>
                <w:rFonts w:ascii="宋体" w:hAnsi="宋体" w:eastAsia="宋体" w:cs="宋体"/>
                <w:color w:val="auto"/>
                <w:spacing w:val="0"/>
                <w:w w:val="100"/>
                <w:position w:val="0"/>
                <w:sz w:val="24"/>
                <w:szCs w:val="24"/>
              </w:rPr>
              <w:t>名</w:t>
            </w:r>
          </w:p>
          <w:p w14:paraId="1DB9A859">
            <w:pPr>
              <w:pStyle w:val="12"/>
              <w:pageBreakBefore w:val="0"/>
              <w:widowControl w:val="0"/>
              <w:wordWrap/>
              <w:overflowPunct/>
              <w:topLinePunct w:val="0"/>
              <w:bidi w:val="0"/>
              <w:spacing w:line="245" w:lineRule="auto"/>
              <w:rPr>
                <w:color w:val="auto"/>
                <w:spacing w:val="0"/>
                <w:w w:val="100"/>
                <w:position w:val="0"/>
              </w:rPr>
            </w:pPr>
          </w:p>
          <w:p w14:paraId="1A0ABBBA">
            <w:pPr>
              <w:pStyle w:val="12"/>
              <w:pageBreakBefore w:val="0"/>
              <w:widowControl w:val="0"/>
              <w:wordWrap/>
              <w:overflowPunct/>
              <w:topLinePunct w:val="0"/>
              <w:bidi w:val="0"/>
              <w:spacing w:line="246" w:lineRule="auto"/>
              <w:rPr>
                <w:color w:val="auto"/>
                <w:spacing w:val="0"/>
                <w:w w:val="100"/>
                <w:position w:val="0"/>
              </w:rPr>
            </w:pPr>
          </w:p>
          <w:p w14:paraId="42FB7C05">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内</w:t>
            </w:r>
          </w:p>
          <w:p w14:paraId="3CC81F50">
            <w:pPr>
              <w:pStyle w:val="12"/>
              <w:pageBreakBefore w:val="0"/>
              <w:widowControl w:val="0"/>
              <w:wordWrap/>
              <w:overflowPunct/>
              <w:topLinePunct w:val="0"/>
              <w:bidi w:val="0"/>
              <w:spacing w:line="338" w:lineRule="auto"/>
              <w:rPr>
                <w:color w:val="auto"/>
                <w:spacing w:val="0"/>
                <w:w w:val="100"/>
                <w:position w:val="0"/>
              </w:rPr>
            </w:pPr>
          </w:p>
          <w:p w14:paraId="17FBCE88">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容</w:t>
            </w:r>
          </w:p>
        </w:tc>
        <w:tc>
          <w:tcPr>
            <w:tcW w:w="1101" w:type="dxa"/>
            <w:tcBorders>
              <w:left w:val="nil"/>
            </w:tcBorders>
          </w:tcPr>
          <w:p w14:paraId="641D948D">
            <w:pPr>
              <w:pStyle w:val="12"/>
              <w:pageBreakBefore w:val="0"/>
              <w:widowControl w:val="0"/>
              <w:wordWrap/>
              <w:overflowPunct/>
              <w:topLinePunct w:val="0"/>
              <w:bidi w:val="0"/>
              <w:spacing w:line="263" w:lineRule="auto"/>
              <w:rPr>
                <w:color w:val="auto"/>
                <w:spacing w:val="0"/>
                <w:w w:val="100"/>
                <w:position w:val="0"/>
              </w:rPr>
            </w:pPr>
          </w:p>
          <w:p w14:paraId="7AA9A68E">
            <w:pPr>
              <w:pStyle w:val="12"/>
              <w:pageBreakBefore w:val="0"/>
              <w:widowControl w:val="0"/>
              <w:wordWrap/>
              <w:overflowPunct/>
              <w:topLinePunct w:val="0"/>
              <w:bidi w:val="0"/>
              <w:spacing w:line="263" w:lineRule="auto"/>
              <w:rPr>
                <w:color w:val="auto"/>
                <w:spacing w:val="0"/>
                <w:w w:val="100"/>
                <w:position w:val="0"/>
              </w:rPr>
            </w:pPr>
          </w:p>
          <w:p w14:paraId="7CB2990A">
            <w:pPr>
              <w:pStyle w:val="12"/>
              <w:pageBreakBefore w:val="0"/>
              <w:widowControl w:val="0"/>
              <w:wordWrap/>
              <w:overflowPunct/>
              <w:topLinePunct w:val="0"/>
              <w:bidi w:val="0"/>
              <w:spacing w:line="264" w:lineRule="auto"/>
              <w:rPr>
                <w:color w:val="auto"/>
                <w:spacing w:val="0"/>
                <w:w w:val="100"/>
                <w:position w:val="0"/>
              </w:rPr>
            </w:pPr>
          </w:p>
          <w:p w14:paraId="4419B0BC">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称</w:t>
            </w:r>
          </w:p>
        </w:tc>
        <w:tc>
          <w:tcPr>
            <w:tcW w:w="6263" w:type="dxa"/>
            <w:vAlign w:val="center"/>
          </w:tcPr>
          <w:p w14:paraId="3ABDAAD3">
            <w:pPr>
              <w:pStyle w:val="12"/>
              <w:pageBreakBefore w:val="0"/>
              <w:widowControl w:val="0"/>
              <w:wordWrap/>
              <w:overflowPunct/>
              <w:topLinePunct w:val="0"/>
              <w:bidi w:val="0"/>
              <w:jc w:val="center"/>
              <w:rPr>
                <w:rFonts w:hint="eastAsia" w:eastAsia="宋体"/>
                <w:color w:val="auto"/>
                <w:spacing w:val="0"/>
                <w:w w:val="100"/>
                <w:position w:val="0"/>
                <w:lang w:eastAsia="zh-CN"/>
              </w:rPr>
            </w:pPr>
            <w:r>
              <w:rPr>
                <w:rFonts w:hint="eastAsia" w:eastAsia="宋体"/>
                <w:color w:val="auto"/>
                <w:spacing w:val="0"/>
                <w:w w:val="100"/>
                <w:position w:val="0"/>
                <w:sz w:val="24"/>
                <w:szCs w:val="24"/>
                <w:lang w:eastAsia="zh-CN"/>
              </w:rPr>
              <w:t>奉新县入河排污口规范化采购项目</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23F6119">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数量</w:t>
            </w:r>
          </w:p>
        </w:tc>
        <w:tc>
          <w:tcPr>
            <w:tcW w:w="6263" w:type="dxa"/>
            <w:vAlign w:val="center"/>
          </w:tcPr>
          <w:p w14:paraId="50433C51">
            <w:pPr>
              <w:pStyle w:val="12"/>
              <w:pageBreakBefore w:val="0"/>
              <w:widowControl w:val="0"/>
              <w:wordWrap/>
              <w:overflowPunct/>
              <w:topLinePunct w:val="0"/>
              <w:bidi w:val="0"/>
              <w:jc w:val="center"/>
              <w:rPr>
                <w:color w:val="auto"/>
                <w:spacing w:val="0"/>
                <w:w w:val="100"/>
                <w:position w:val="0"/>
              </w:rPr>
            </w:pPr>
            <w:r>
              <w:rPr>
                <w:rFonts w:hint="default" w:ascii="宋体" w:hAnsi="宋体" w:eastAsia="宋体" w:cs="宋体"/>
                <w:color w:val="auto"/>
                <w:spacing w:val="0"/>
                <w:w w:val="100"/>
                <w:position w:val="0"/>
                <w:sz w:val="24"/>
                <w:szCs w:val="24"/>
                <w:lang w:val="en-US" w:eastAsia="zh-CN"/>
              </w:rPr>
              <w:t>详见第五章“</w:t>
            </w:r>
            <w:r>
              <w:rPr>
                <w:rFonts w:hint="eastAsia" w:ascii="宋体" w:hAnsi="宋体" w:eastAsia="宋体" w:cs="宋体"/>
                <w:color w:val="auto"/>
                <w:spacing w:val="0"/>
                <w:w w:val="100"/>
                <w:position w:val="0"/>
                <w:sz w:val="24"/>
                <w:szCs w:val="24"/>
                <w:lang w:val="en-US" w:eastAsia="zh-CN"/>
              </w:rPr>
              <w:t>二、</w:t>
            </w:r>
            <w:r>
              <w:rPr>
                <w:rFonts w:hint="default" w:ascii="宋体" w:hAnsi="宋体" w:eastAsia="宋体" w:cs="宋体"/>
                <w:color w:val="auto"/>
                <w:spacing w:val="0"/>
                <w:w w:val="100"/>
                <w:position w:val="0"/>
                <w:sz w:val="24"/>
                <w:szCs w:val="24"/>
                <w:lang w:val="en-US" w:eastAsia="zh-CN"/>
              </w:rPr>
              <w:t>采购需求”</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F15DEBD">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交货期</w:t>
            </w:r>
          </w:p>
        </w:tc>
        <w:tc>
          <w:tcPr>
            <w:tcW w:w="6263" w:type="dxa"/>
            <w:vAlign w:val="center"/>
          </w:tcPr>
          <w:p w14:paraId="4C162A4E">
            <w:pPr>
              <w:pageBreakBefore w:val="0"/>
              <w:widowControl w:val="0"/>
              <w:wordWrap/>
              <w:overflowPunct/>
              <w:topLinePunct w:val="0"/>
              <w:bidi w:val="0"/>
              <w:jc w:val="center"/>
              <w:rPr>
                <w:color w:val="auto"/>
                <w:spacing w:val="0"/>
                <w:w w:val="100"/>
                <w:position w:val="0"/>
              </w:rPr>
            </w:pPr>
            <w:r>
              <w:rPr>
                <w:rFonts w:hint="default" w:ascii="宋体" w:hAnsi="宋体" w:eastAsia="宋体" w:cs="宋体"/>
                <w:color w:val="auto"/>
                <w:spacing w:val="0"/>
                <w:w w:val="100"/>
                <w:position w:val="0"/>
                <w:sz w:val="24"/>
                <w:szCs w:val="24"/>
                <w:lang w:val="en-US" w:eastAsia="zh-CN"/>
              </w:rPr>
              <w:t>详见第五章“</w:t>
            </w:r>
            <w:r>
              <w:rPr>
                <w:rFonts w:hint="eastAsia" w:ascii="宋体" w:hAnsi="宋体" w:eastAsia="宋体" w:cs="宋体"/>
                <w:color w:val="auto"/>
                <w:spacing w:val="0"/>
                <w:w w:val="100"/>
                <w:position w:val="0"/>
                <w:sz w:val="24"/>
                <w:szCs w:val="24"/>
                <w:lang w:val="en-US" w:eastAsia="zh-CN"/>
              </w:rPr>
              <w:t>二、</w:t>
            </w:r>
            <w:r>
              <w:rPr>
                <w:rFonts w:hint="default" w:ascii="宋体" w:hAnsi="宋体" w:eastAsia="宋体" w:cs="宋体"/>
                <w:color w:val="auto"/>
                <w:spacing w:val="0"/>
                <w:w w:val="100"/>
                <w:position w:val="0"/>
                <w:sz w:val="24"/>
                <w:szCs w:val="24"/>
                <w:lang w:val="en-US" w:eastAsia="zh-CN"/>
              </w:rPr>
              <w:t>采购需求”</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9F9A8">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交货地点</w:t>
            </w:r>
          </w:p>
        </w:tc>
        <w:tc>
          <w:tcPr>
            <w:tcW w:w="6263" w:type="dxa"/>
            <w:vAlign w:val="center"/>
          </w:tcPr>
          <w:p w14:paraId="4AA19BD4">
            <w:pPr>
              <w:pageBreakBefore w:val="0"/>
              <w:widowControl w:val="0"/>
              <w:wordWrap/>
              <w:overflowPunct/>
              <w:topLinePunct w:val="0"/>
              <w:bidi w:val="0"/>
              <w:jc w:val="center"/>
              <w:rPr>
                <w:color w:val="auto"/>
                <w:spacing w:val="0"/>
                <w:w w:val="100"/>
                <w:position w:val="0"/>
              </w:rPr>
            </w:pPr>
            <w:r>
              <w:rPr>
                <w:rFonts w:hint="default" w:ascii="宋体" w:hAnsi="宋体" w:eastAsia="宋体" w:cs="宋体"/>
                <w:color w:val="auto"/>
                <w:spacing w:val="0"/>
                <w:w w:val="100"/>
                <w:position w:val="0"/>
                <w:sz w:val="24"/>
                <w:szCs w:val="24"/>
                <w:lang w:val="en-US" w:eastAsia="zh-CN"/>
              </w:rPr>
              <w:t>详见第五章“</w:t>
            </w:r>
            <w:r>
              <w:rPr>
                <w:rFonts w:hint="eastAsia" w:ascii="宋体" w:hAnsi="宋体" w:eastAsia="宋体" w:cs="宋体"/>
                <w:color w:val="auto"/>
                <w:spacing w:val="0"/>
                <w:w w:val="100"/>
                <w:position w:val="0"/>
                <w:sz w:val="24"/>
                <w:szCs w:val="24"/>
                <w:lang w:val="en-US" w:eastAsia="zh-CN"/>
              </w:rPr>
              <w:t>二、</w:t>
            </w:r>
            <w:r>
              <w:rPr>
                <w:rFonts w:hint="default" w:ascii="宋体" w:hAnsi="宋体" w:eastAsia="宋体" w:cs="宋体"/>
                <w:color w:val="auto"/>
                <w:spacing w:val="0"/>
                <w:w w:val="100"/>
                <w:position w:val="0"/>
                <w:sz w:val="24"/>
                <w:szCs w:val="24"/>
                <w:lang w:val="en-US" w:eastAsia="zh-CN"/>
              </w:rPr>
              <w:t>采购需求”</w:t>
            </w:r>
          </w:p>
        </w:tc>
      </w:tr>
      <w:tr w14:paraId="26FD8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C7F6BB4">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安装地点</w:t>
            </w:r>
          </w:p>
        </w:tc>
        <w:tc>
          <w:tcPr>
            <w:tcW w:w="6263" w:type="dxa"/>
            <w:vAlign w:val="center"/>
          </w:tcPr>
          <w:p w14:paraId="3C56C754">
            <w:pPr>
              <w:pageBreakBefore w:val="0"/>
              <w:widowControl w:val="0"/>
              <w:wordWrap/>
              <w:overflowPunct/>
              <w:topLinePunct w:val="0"/>
              <w:bidi w:val="0"/>
              <w:jc w:val="center"/>
              <w:rPr>
                <w:color w:val="auto"/>
                <w:spacing w:val="0"/>
                <w:w w:val="100"/>
                <w:position w:val="0"/>
              </w:rPr>
            </w:pPr>
            <w:r>
              <w:rPr>
                <w:rFonts w:hint="default" w:ascii="宋体" w:hAnsi="宋体" w:eastAsia="宋体" w:cs="宋体"/>
                <w:color w:val="auto"/>
                <w:spacing w:val="0"/>
                <w:w w:val="100"/>
                <w:position w:val="0"/>
                <w:sz w:val="24"/>
                <w:szCs w:val="24"/>
                <w:lang w:val="en-US" w:eastAsia="zh-CN"/>
              </w:rPr>
              <w:t>详见第五章“</w:t>
            </w:r>
            <w:r>
              <w:rPr>
                <w:rFonts w:hint="eastAsia" w:ascii="宋体" w:hAnsi="宋体" w:eastAsia="宋体" w:cs="宋体"/>
                <w:color w:val="auto"/>
                <w:spacing w:val="0"/>
                <w:w w:val="100"/>
                <w:position w:val="0"/>
                <w:sz w:val="24"/>
                <w:szCs w:val="24"/>
                <w:lang w:val="en-US" w:eastAsia="zh-CN"/>
              </w:rPr>
              <w:t>二、</w:t>
            </w:r>
            <w:r>
              <w:rPr>
                <w:rFonts w:hint="default" w:ascii="宋体" w:hAnsi="宋体" w:eastAsia="宋体" w:cs="宋体"/>
                <w:color w:val="auto"/>
                <w:spacing w:val="0"/>
                <w:w w:val="100"/>
                <w:position w:val="0"/>
                <w:sz w:val="24"/>
                <w:szCs w:val="24"/>
                <w:lang w:val="en-US" w:eastAsia="zh-CN"/>
              </w:rPr>
              <w:t>采购需求”</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6AA25FED">
            <w:pPr>
              <w:pageBreakBefore w:val="0"/>
              <w:widowControl w:val="0"/>
              <w:wordWrap/>
              <w:overflowPunct/>
              <w:topLinePunct w:val="0"/>
              <w:bidi w:val="0"/>
              <w:spacing w:before="256" w:line="221" w:lineRule="auto"/>
              <w:ind w:left="1189"/>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备注</w:t>
            </w:r>
          </w:p>
        </w:tc>
        <w:tc>
          <w:tcPr>
            <w:tcW w:w="6263" w:type="dxa"/>
          </w:tcPr>
          <w:p w14:paraId="35768CA4">
            <w:pPr>
              <w:pStyle w:val="12"/>
              <w:pageBreakBefore w:val="0"/>
              <w:widowControl w:val="0"/>
              <w:wordWrap/>
              <w:overflowPunct/>
              <w:topLinePunct w:val="0"/>
              <w:bidi w:val="0"/>
              <w:rPr>
                <w:color w:val="auto"/>
                <w:spacing w:val="0"/>
                <w:w w:val="100"/>
                <w:position w:val="0"/>
              </w:rPr>
            </w:pPr>
          </w:p>
        </w:tc>
      </w:tr>
    </w:tbl>
    <w:p w14:paraId="3F1E91F4">
      <w:pPr>
        <w:pageBreakBefore w:val="0"/>
        <w:widowControl w:val="0"/>
        <w:wordWrap/>
        <w:overflowPunct/>
        <w:topLinePunct w:val="0"/>
        <w:bidi w:val="0"/>
        <w:rPr>
          <w:color w:val="auto"/>
          <w:spacing w:val="0"/>
          <w:w w:val="100"/>
          <w:position w:val="0"/>
        </w:rPr>
        <w:sectPr>
          <w:footerReference r:id="rId3" w:type="default"/>
          <w:pgSz w:w="11906" w:h="16839"/>
          <w:pgMar w:top="1429" w:right="1587" w:bottom="1429" w:left="1587" w:header="0" w:footer="994" w:gutter="0"/>
          <w:cols w:space="720" w:num="1"/>
        </w:sectPr>
      </w:pPr>
    </w:p>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2" w:name="bookmark81"/>
      <w:bookmarkEnd w:id="2"/>
      <w:bookmarkStart w:id="3" w:name="_Toc2623"/>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3"/>
    </w:p>
    <w:p w14:paraId="50EC529F">
      <w:pPr>
        <w:pageBreakBefore w:val="0"/>
        <w:widowControl w:val="0"/>
        <w:wordWrap/>
        <w:overflowPunct/>
        <w:topLinePunct w:val="0"/>
        <w:bidi w:val="0"/>
        <w:spacing w:line="258" w:lineRule="auto"/>
        <w:rPr>
          <w:color w:val="auto"/>
          <w:spacing w:val="0"/>
          <w:w w:val="100"/>
          <w:position w:val="0"/>
        </w:rPr>
      </w:pPr>
    </w:p>
    <w:p w14:paraId="79EFFA9B">
      <w:pPr>
        <w:pageBreakBefore w:val="0"/>
        <w:widowControl w:val="0"/>
        <w:numPr>
          <w:ilvl w:val="0"/>
          <w:numId w:val="2"/>
        </w:numPr>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技术需求</w:t>
      </w:r>
    </w:p>
    <w:p w14:paraId="4CBCE5D4">
      <w:pPr>
        <w:pStyle w:val="3"/>
        <w:numPr>
          <w:ilvl w:val="2"/>
          <w:numId w:val="0"/>
        </w:numPr>
        <w:bidi w:val="0"/>
        <w:ind w:left="0" w:leftChars="0" w:firstLine="402" w:firstLineChars="0"/>
        <w:rPr>
          <w:rFonts w:hint="default"/>
          <w:color w:val="auto"/>
          <w:lang w:val="en-US" w:eastAsia="zh-CN"/>
        </w:rPr>
      </w:pPr>
      <w:r>
        <w:rPr>
          <w:rFonts w:hint="eastAsia" w:ascii="Arial" w:hAnsi="Arial" w:eastAsia="黑体" w:cs="Times New Roman"/>
          <w:b/>
          <w:bCs/>
          <w:snapToGrid w:val="0"/>
          <w:color w:val="auto"/>
          <w:sz w:val="28"/>
          <w:szCs w:val="32"/>
          <w:lang w:val="en-US" w:eastAsia="zh-CN" w:bidi="ar-SA"/>
        </w:rPr>
        <w:t>1.1</w:t>
      </w:r>
      <w:r>
        <w:rPr>
          <w:rFonts w:hint="default"/>
          <w:color w:val="auto"/>
          <w:lang w:val="en-US" w:eastAsia="zh-CN"/>
        </w:rPr>
        <w:t>项目概况</w:t>
      </w:r>
    </w:p>
    <w:p w14:paraId="5BD0318E">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奉新县于截至2023年底共计排查发现96个入河排污口，对排查的入河排污口进行梳理分类、分级标注，并建立排污口台账。基于96个入河排污口台账分析：从排污口类型来看，主要分为工业排污口、城镇污水处理厂排污口及其他排口等3大类，其中其他排口占比最高约占72.9%，其次为工业排污口占比18.8%，最低占比的为城镇污水处理厂排污口为8.3%。入河湖排污口及管网的管理大多数是通过人工巡视及现场抽查完成，但通过入河湖排污口的偷排漏排事件随机性强、变化快，发现的及时性较差。并且，排水管道堵塞等情况只有在暴雨等情况下连续人工观察，才可能判断，加大了发现的难度。在问题发现后，由于上游管道较长且复杂，很难高效、精准溯源。</w:t>
      </w:r>
    </w:p>
    <w:p w14:paraId="3E33B405">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color w:val="auto"/>
          <w:lang w:val="en-US" w:eastAsia="zh-CN"/>
        </w:rPr>
        <w:t>为完善全县入河排污口的监控监管模式，丰富环境监管手段，确保潦河水质在“十五五”期间稳定达标，因此，需要加强入河排污口排查与规范化建设，实现入河排污口入河流量、水质的在线监测，为打赢水污染防治攻坚战奠定坚实的基础。</w:t>
      </w:r>
    </w:p>
    <w:p w14:paraId="3B29EACE">
      <w:pPr>
        <w:pStyle w:val="3"/>
        <w:numPr>
          <w:ilvl w:val="2"/>
          <w:numId w:val="0"/>
        </w:numPr>
        <w:bidi w:val="0"/>
        <w:ind w:left="0" w:leftChars="0" w:firstLine="402" w:firstLineChars="0"/>
        <w:rPr>
          <w:rFonts w:hint="default"/>
          <w:color w:val="auto"/>
          <w:lang w:val="en-US" w:eastAsia="zh-CN"/>
        </w:rPr>
      </w:pPr>
      <w:r>
        <w:rPr>
          <w:rFonts w:hint="eastAsia" w:ascii="Arial" w:hAnsi="Arial" w:eastAsia="黑体" w:cs="Times New Roman"/>
          <w:b/>
          <w:bCs/>
          <w:snapToGrid w:val="0"/>
          <w:color w:val="auto"/>
          <w:sz w:val="28"/>
          <w:szCs w:val="32"/>
          <w:lang w:val="en-US" w:eastAsia="zh-CN" w:bidi="ar-SA"/>
        </w:rPr>
        <w:t>1.2</w:t>
      </w:r>
      <w:r>
        <w:rPr>
          <w:rFonts w:hint="default"/>
          <w:color w:val="auto"/>
          <w:lang w:val="en-US" w:eastAsia="zh-CN"/>
        </w:rPr>
        <w:t>项目内容与技术要求</w:t>
      </w:r>
    </w:p>
    <w:p w14:paraId="7D2DF55A">
      <w:pPr>
        <w:pStyle w:val="4"/>
        <w:numPr>
          <w:ilvl w:val="4"/>
          <w:numId w:val="0"/>
        </w:numPr>
        <w:bidi w:val="0"/>
        <w:ind w:leftChars="0"/>
        <w:rPr>
          <w:rFonts w:hint="default"/>
          <w:color w:val="auto"/>
          <w:lang w:val="en-US" w:eastAsia="zh-CN"/>
        </w:rPr>
      </w:pPr>
      <w:bookmarkStart w:id="4" w:name="_Toc32506"/>
      <w:bookmarkStart w:id="5" w:name="_Toc11069"/>
      <w:r>
        <w:rPr>
          <w:rFonts w:hint="eastAsia"/>
          <w:color w:val="auto"/>
          <w:lang w:val="en-US" w:eastAsia="zh-CN"/>
        </w:rPr>
        <w:t>1.</w:t>
      </w:r>
      <w:r>
        <w:rPr>
          <w:rFonts w:hint="default"/>
          <w:color w:val="auto"/>
          <w:lang w:val="en-US" w:eastAsia="zh-CN"/>
        </w:rPr>
        <w:t>项目内容</w:t>
      </w:r>
      <w:bookmarkEnd w:id="4"/>
      <w:bookmarkEnd w:id="5"/>
    </w:p>
    <w:p w14:paraId="42CD13AA">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依据《入河入海排污口监督管理技术指南排污口分类》（HJ1312—2023）规范中4.1入河入海排污口分为工业排污口、城镇污水处理厂排污口、农业排口</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其他排口四大类。通过</w:t>
      </w:r>
      <w:r>
        <w:rPr>
          <w:rFonts w:hint="default" w:ascii="Times New Roman" w:hAnsi="Times New Roman" w:eastAsia="宋体" w:cs="Times New Roman"/>
          <w:snapToGrid w:val="0"/>
          <w:color w:val="auto"/>
          <w:kern w:val="0"/>
          <w:szCs w:val="21"/>
          <w:lang w:eastAsia="zh-CN"/>
        </w:rPr>
        <w:t>奉新</w:t>
      </w:r>
      <w:r>
        <w:rPr>
          <w:rFonts w:hint="default" w:ascii="Times New Roman" w:hAnsi="Times New Roman" w:eastAsia="宋体" w:cs="Times New Roman"/>
          <w:snapToGrid w:val="0"/>
          <w:color w:val="auto"/>
          <w:kern w:val="0"/>
          <w:szCs w:val="21"/>
          <w:lang w:eastAsia="en-US"/>
        </w:rPr>
        <w:t>县对入河排污口的现场实际踏勘，根据入河排污口现场及周边环境特点，将本次踏勘的</w:t>
      </w:r>
      <w:r>
        <w:rPr>
          <w:rFonts w:hint="default" w:ascii="Times New Roman" w:hAnsi="Times New Roman" w:eastAsia="宋体" w:cs="Times New Roman"/>
          <w:snapToGrid w:val="0"/>
          <w:color w:val="auto"/>
          <w:kern w:val="0"/>
          <w:szCs w:val="21"/>
          <w:lang w:val="en-US" w:eastAsia="zh-CN"/>
        </w:rPr>
        <w:t>96</w:t>
      </w:r>
      <w:r>
        <w:rPr>
          <w:rFonts w:hint="default" w:ascii="Times New Roman" w:hAnsi="Times New Roman" w:eastAsia="宋体" w:cs="Times New Roman"/>
          <w:snapToGrid w:val="0"/>
          <w:color w:val="auto"/>
          <w:kern w:val="0"/>
          <w:szCs w:val="21"/>
          <w:lang w:eastAsia="en-US"/>
        </w:rPr>
        <w:t>个入河排污口根据规范标准进行分类</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val="en-US" w:eastAsia="zh-CN"/>
        </w:rPr>
        <w:t>并进行规范化建设。</w:t>
      </w:r>
      <w:r>
        <w:rPr>
          <w:rFonts w:hint="default" w:ascii="Times New Roman" w:hAnsi="Times New Roman" w:eastAsia="宋体" w:cs="Times New Roman"/>
          <w:snapToGrid w:val="0"/>
          <w:color w:val="auto"/>
          <w:kern w:val="0"/>
          <w:szCs w:val="21"/>
          <w:lang w:eastAsia="en-US"/>
        </w:rPr>
        <w:t>当入河排污口排水发现问题，进行有效的问题溯源，在入河排污口上游安装溯源监测设备，从“大海捞针转化为碗里捞针”具体实施内容如下：</w:t>
      </w:r>
    </w:p>
    <w:p w14:paraId="55E44C48">
      <w:pPr>
        <w:keepNext w:val="0"/>
        <w:keepLines w:val="0"/>
        <w:pageBreakBefore w:val="0"/>
        <w:widowControl/>
        <w:kinsoku w:val="0"/>
        <w:wordWrap/>
        <w:overflowPunct/>
        <w:topLinePunct w:val="0"/>
        <w:autoSpaceDE w:val="0"/>
        <w:autoSpaceDN w:val="0"/>
        <w:bidi w:val="0"/>
        <w:adjustRightInd w:val="0"/>
        <w:snapToGrid w:val="0"/>
        <w:ind w:firstLine="422"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b/>
          <w:bCs/>
          <w:snapToGrid w:val="0"/>
          <w:color w:val="auto"/>
          <w:kern w:val="0"/>
          <w:szCs w:val="21"/>
          <w:lang w:eastAsia="en-US"/>
        </w:rPr>
        <w:t>入河排污口标志牌：</w:t>
      </w:r>
      <w:r>
        <w:rPr>
          <w:rFonts w:hint="default" w:ascii="Times New Roman" w:hAnsi="Times New Roman" w:eastAsia="宋体" w:cs="Times New Roman"/>
          <w:snapToGrid w:val="0"/>
          <w:color w:val="auto"/>
          <w:kern w:val="0"/>
          <w:szCs w:val="21"/>
          <w:lang w:eastAsia="en-US"/>
        </w:rPr>
        <w:t>对全县</w:t>
      </w:r>
      <w:r>
        <w:rPr>
          <w:rFonts w:hint="default" w:ascii="Times New Roman" w:hAnsi="Times New Roman" w:eastAsia="宋体" w:cs="Times New Roman"/>
          <w:snapToGrid w:val="0"/>
          <w:color w:val="auto"/>
          <w:kern w:val="0"/>
          <w:szCs w:val="21"/>
          <w:lang w:val="en-US" w:eastAsia="zh-CN"/>
        </w:rPr>
        <w:t>73</w:t>
      </w:r>
      <w:r>
        <w:rPr>
          <w:rFonts w:hint="default" w:ascii="Times New Roman" w:hAnsi="Times New Roman" w:eastAsia="宋体" w:cs="Times New Roman"/>
          <w:snapToGrid w:val="0"/>
          <w:color w:val="auto"/>
          <w:kern w:val="0"/>
          <w:szCs w:val="21"/>
          <w:lang w:eastAsia="en-US"/>
        </w:rPr>
        <w:t>个入河排污口设置标志牌，包括排污口名称、编码、类型、管理单位、责任主体、监督电话、二维码等信息，采用</w:t>
      </w:r>
      <w:r>
        <w:rPr>
          <w:rFonts w:hint="default" w:ascii="Times New Roman" w:hAnsi="Times New Roman" w:eastAsia="宋体" w:cs="Times New Roman"/>
          <w:snapToGrid w:val="0"/>
          <w:color w:val="auto"/>
          <w:kern w:val="0"/>
          <w:szCs w:val="21"/>
          <w:lang w:val="en-US" w:eastAsia="zh-CN"/>
        </w:rPr>
        <w:t>卧式</w:t>
      </w:r>
      <w:r>
        <w:rPr>
          <w:rFonts w:hint="default" w:ascii="Times New Roman" w:hAnsi="Times New Roman" w:eastAsia="宋体" w:cs="Times New Roman"/>
          <w:snapToGrid w:val="0"/>
          <w:color w:val="auto"/>
          <w:kern w:val="0"/>
          <w:szCs w:val="21"/>
          <w:lang w:eastAsia="en-US"/>
        </w:rPr>
        <w:t>固定式标志牌，尺寸</w:t>
      </w:r>
      <w:r>
        <w:rPr>
          <w:rFonts w:hint="default" w:ascii="Times New Roman" w:hAnsi="Times New Roman" w:eastAsia="宋体" w:cs="Times New Roman"/>
          <w:snapToGrid w:val="0"/>
          <w:color w:val="auto"/>
          <w:kern w:val="0"/>
          <w:szCs w:val="21"/>
          <w:lang w:val="en-US" w:eastAsia="zh-CN"/>
        </w:rPr>
        <w:t>不小于90</w:t>
      </w:r>
      <w:r>
        <w:rPr>
          <w:rFonts w:hint="default" w:ascii="Times New Roman" w:hAnsi="Times New Roman" w:eastAsia="宋体" w:cs="Times New Roman"/>
          <w:snapToGrid w:val="0"/>
          <w:color w:val="auto"/>
          <w:kern w:val="0"/>
          <w:szCs w:val="21"/>
          <w:lang w:eastAsia="en-US"/>
        </w:rPr>
        <w:t>0mm×</w:t>
      </w:r>
      <w:r>
        <w:rPr>
          <w:rFonts w:hint="default" w:ascii="Times New Roman" w:hAnsi="Times New Roman" w:eastAsia="宋体" w:cs="Times New Roman"/>
          <w:snapToGrid w:val="0"/>
          <w:color w:val="auto"/>
          <w:kern w:val="0"/>
          <w:szCs w:val="21"/>
          <w:lang w:val="en-US" w:eastAsia="zh-CN"/>
        </w:rPr>
        <w:t>60</w:t>
      </w:r>
      <w:r>
        <w:rPr>
          <w:rFonts w:hint="default" w:ascii="Times New Roman" w:hAnsi="Times New Roman" w:eastAsia="宋体" w:cs="Times New Roman"/>
          <w:snapToGrid w:val="0"/>
          <w:color w:val="auto"/>
          <w:kern w:val="0"/>
          <w:szCs w:val="21"/>
          <w:lang w:eastAsia="en-US"/>
        </w:rPr>
        <w:t>0mm</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val="en-US" w:eastAsia="zh-CN"/>
        </w:rPr>
        <w:t>可根据实际情况调整</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，相关材质及安装要求符合规范</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val="en-US" w:eastAsia="zh-CN"/>
        </w:rPr>
        <w:t>为了预防标识牌内容的变更或损坏，本次采购标识牌数量为83块，其中10块为备品</w:t>
      </w:r>
      <w:r>
        <w:rPr>
          <w:rFonts w:hint="default" w:ascii="Times New Roman" w:hAnsi="Times New Roman" w:eastAsia="宋体" w:cs="Times New Roman"/>
          <w:snapToGrid w:val="0"/>
          <w:color w:val="auto"/>
          <w:kern w:val="0"/>
          <w:szCs w:val="21"/>
          <w:lang w:eastAsia="en-US"/>
        </w:rPr>
        <w:t>。</w:t>
      </w:r>
    </w:p>
    <w:p w14:paraId="17D3CC6D">
      <w:pPr>
        <w:keepNext w:val="0"/>
        <w:keepLines w:val="0"/>
        <w:pageBreakBefore w:val="0"/>
        <w:widowControl/>
        <w:kinsoku w:val="0"/>
        <w:wordWrap/>
        <w:overflowPunct/>
        <w:topLinePunct w:val="0"/>
        <w:autoSpaceDE w:val="0"/>
        <w:autoSpaceDN w:val="0"/>
        <w:bidi w:val="0"/>
        <w:adjustRightInd w:val="0"/>
        <w:snapToGrid w:val="0"/>
        <w:ind w:firstLine="422"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b/>
          <w:bCs/>
          <w:snapToGrid w:val="0"/>
          <w:color w:val="auto"/>
          <w:kern w:val="0"/>
          <w:szCs w:val="21"/>
          <w:lang w:eastAsia="en-US"/>
        </w:rPr>
        <w:t>入河排污</w:t>
      </w:r>
      <w:r>
        <w:rPr>
          <w:rFonts w:hint="default" w:ascii="Times New Roman" w:hAnsi="Times New Roman" w:eastAsia="宋体" w:cs="Times New Roman"/>
          <w:b/>
          <w:bCs/>
          <w:snapToGrid w:val="0"/>
          <w:color w:val="auto"/>
          <w:kern w:val="0"/>
          <w:szCs w:val="21"/>
          <w:highlight w:val="none"/>
          <w:lang w:eastAsia="en-US"/>
        </w:rPr>
        <w:t>口</w:t>
      </w:r>
      <w:r>
        <w:rPr>
          <w:rFonts w:hint="default" w:ascii="Times New Roman" w:hAnsi="Times New Roman" w:eastAsia="宋体" w:cs="Times New Roman"/>
          <w:b/>
          <w:bCs/>
          <w:snapToGrid w:val="0"/>
          <w:color w:val="auto"/>
          <w:kern w:val="0"/>
          <w:szCs w:val="21"/>
          <w:highlight w:val="none"/>
          <w:lang w:val="en-US" w:eastAsia="zh-CN"/>
        </w:rPr>
        <w:t>流量</w:t>
      </w:r>
      <w:r>
        <w:rPr>
          <w:rFonts w:hint="default" w:ascii="Times New Roman" w:hAnsi="Times New Roman" w:eastAsia="宋体" w:cs="Times New Roman"/>
          <w:b/>
          <w:bCs/>
          <w:snapToGrid w:val="0"/>
          <w:color w:val="auto"/>
          <w:kern w:val="0"/>
          <w:szCs w:val="21"/>
          <w:highlight w:val="none"/>
          <w:lang w:eastAsia="en-US"/>
        </w:rPr>
        <w:t>监测</w:t>
      </w:r>
      <w:r>
        <w:rPr>
          <w:rFonts w:hint="default" w:ascii="Times New Roman" w:hAnsi="Times New Roman" w:eastAsia="宋体" w:cs="Times New Roman"/>
          <w:b/>
          <w:bCs/>
          <w:snapToGrid w:val="0"/>
          <w:color w:val="auto"/>
          <w:kern w:val="0"/>
          <w:szCs w:val="21"/>
          <w:highlight w:val="none"/>
          <w:lang w:val="en-US" w:eastAsia="zh-CN"/>
        </w:rPr>
        <w:t>设备</w:t>
      </w:r>
      <w:r>
        <w:rPr>
          <w:rFonts w:hint="default" w:ascii="Times New Roman" w:hAnsi="Times New Roman" w:eastAsia="宋体" w:cs="Times New Roman"/>
          <w:b/>
          <w:bCs/>
          <w:snapToGrid w:val="0"/>
          <w:color w:val="auto"/>
          <w:kern w:val="0"/>
          <w:szCs w:val="21"/>
          <w:lang w:eastAsia="en-US"/>
        </w:rPr>
        <w:t>：</w:t>
      </w:r>
      <w:r>
        <w:rPr>
          <w:rFonts w:hint="default" w:ascii="Times New Roman" w:hAnsi="Times New Roman" w:eastAsia="宋体" w:cs="Times New Roman"/>
          <w:snapToGrid w:val="0"/>
          <w:color w:val="auto"/>
          <w:kern w:val="0"/>
          <w:szCs w:val="21"/>
          <w:lang w:eastAsia="en-US"/>
        </w:rPr>
        <w:t>根据点位选取原则，在</w:t>
      </w:r>
      <w:r>
        <w:rPr>
          <w:rFonts w:hint="default" w:ascii="Times New Roman" w:hAnsi="Times New Roman" w:eastAsia="宋体" w:cs="Times New Roman"/>
          <w:snapToGrid w:val="0"/>
          <w:color w:val="auto"/>
          <w:kern w:val="0"/>
          <w:szCs w:val="21"/>
          <w:lang w:val="en-US" w:eastAsia="zh-CN"/>
        </w:rPr>
        <w:t>5</w:t>
      </w:r>
      <w:r>
        <w:rPr>
          <w:rFonts w:hint="default" w:ascii="Times New Roman" w:hAnsi="Times New Roman" w:eastAsia="宋体" w:cs="Times New Roman"/>
          <w:snapToGrid w:val="0"/>
          <w:color w:val="auto"/>
          <w:kern w:val="0"/>
          <w:szCs w:val="21"/>
          <w:lang w:eastAsia="en-US"/>
        </w:rPr>
        <w:t>个入河排污口处安装</w:t>
      </w:r>
      <w:r>
        <w:rPr>
          <w:rFonts w:hint="default" w:ascii="Times New Roman" w:hAnsi="Times New Roman" w:eastAsia="宋体" w:cs="Times New Roman"/>
          <w:snapToGrid w:val="0"/>
          <w:color w:val="auto"/>
          <w:kern w:val="0"/>
          <w:szCs w:val="21"/>
          <w:lang w:val="en-US" w:eastAsia="zh-CN"/>
        </w:rPr>
        <w:t>流量</w:t>
      </w:r>
      <w:r>
        <w:rPr>
          <w:rFonts w:hint="default" w:ascii="Times New Roman" w:hAnsi="Times New Roman" w:eastAsia="宋体" w:cs="Times New Roman"/>
          <w:snapToGrid w:val="0"/>
          <w:color w:val="auto"/>
          <w:kern w:val="0"/>
          <w:szCs w:val="21"/>
          <w:lang w:eastAsia="en-US"/>
        </w:rPr>
        <w:t>实时监控装置，监测入河污水排放量，设备</w:t>
      </w:r>
      <w:r>
        <w:rPr>
          <w:rFonts w:hint="default" w:ascii="Times New Roman" w:hAnsi="Times New Roman" w:eastAsia="宋体" w:cs="Times New Roman"/>
          <w:snapToGrid w:val="0"/>
          <w:color w:val="auto"/>
          <w:kern w:val="0"/>
          <w:szCs w:val="21"/>
          <w:lang w:val="en-US" w:eastAsia="zh-CN"/>
        </w:rPr>
        <w:t>可采用</w:t>
      </w:r>
      <w:r>
        <w:rPr>
          <w:rFonts w:hint="default" w:ascii="Times New Roman" w:hAnsi="Times New Roman" w:eastAsia="宋体" w:cs="Times New Roman"/>
          <w:snapToGrid w:val="0"/>
          <w:color w:val="auto"/>
          <w:kern w:val="0"/>
          <w:szCs w:val="21"/>
          <w:lang w:eastAsia="en-US"/>
        </w:rPr>
        <w:t>超声波流量计</w:t>
      </w:r>
      <w:r>
        <w:rPr>
          <w:rFonts w:hint="default" w:ascii="Times New Roman" w:hAnsi="Times New Roman" w:eastAsia="宋体" w:cs="Times New Roman"/>
          <w:snapToGrid w:val="0"/>
          <w:color w:val="auto"/>
          <w:kern w:val="0"/>
          <w:szCs w:val="21"/>
          <w:lang w:val="en-US" w:eastAsia="zh-CN"/>
        </w:rPr>
        <w:t>方式测量</w:t>
      </w:r>
      <w:r>
        <w:rPr>
          <w:rFonts w:hint="default" w:ascii="Times New Roman" w:hAnsi="Times New Roman" w:eastAsia="宋体" w:cs="Times New Roman"/>
          <w:snapToGrid w:val="0"/>
          <w:color w:val="auto"/>
          <w:kern w:val="0"/>
          <w:szCs w:val="21"/>
          <w:lang w:eastAsia="en-US"/>
        </w:rPr>
        <w:t>，确保数据准确上传至</w:t>
      </w:r>
      <w:r>
        <w:rPr>
          <w:rFonts w:hint="default" w:ascii="Times New Roman" w:hAnsi="Times New Roman" w:eastAsia="宋体" w:cs="Times New Roman"/>
          <w:snapToGrid w:val="0"/>
          <w:color w:val="auto"/>
          <w:kern w:val="0"/>
          <w:szCs w:val="21"/>
          <w:lang w:val="en-US" w:eastAsia="zh-CN"/>
        </w:rPr>
        <w:t>云存储管理</w:t>
      </w:r>
      <w:r>
        <w:rPr>
          <w:rFonts w:hint="default" w:ascii="Times New Roman" w:hAnsi="Times New Roman" w:eastAsia="宋体" w:cs="Times New Roman"/>
          <w:snapToGrid w:val="0"/>
          <w:color w:val="auto"/>
          <w:kern w:val="0"/>
          <w:szCs w:val="21"/>
          <w:lang w:eastAsia="en-US"/>
        </w:rPr>
        <w:t>。</w:t>
      </w:r>
    </w:p>
    <w:p w14:paraId="17E242FA">
      <w:pPr>
        <w:keepNext w:val="0"/>
        <w:keepLines w:val="0"/>
        <w:pageBreakBefore w:val="0"/>
        <w:widowControl/>
        <w:kinsoku w:val="0"/>
        <w:wordWrap/>
        <w:overflowPunct/>
        <w:topLinePunct w:val="0"/>
        <w:autoSpaceDE w:val="0"/>
        <w:autoSpaceDN w:val="0"/>
        <w:bidi w:val="0"/>
        <w:adjustRightInd w:val="0"/>
        <w:snapToGrid w:val="0"/>
        <w:ind w:firstLine="422"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b/>
          <w:bCs/>
          <w:snapToGrid w:val="0"/>
          <w:color w:val="auto"/>
          <w:kern w:val="0"/>
          <w:szCs w:val="21"/>
          <w:lang w:eastAsia="en-US"/>
        </w:rPr>
        <w:t>入河排污口水质监测</w:t>
      </w:r>
      <w:r>
        <w:rPr>
          <w:rFonts w:hint="default" w:ascii="Times New Roman" w:hAnsi="Times New Roman" w:eastAsia="宋体" w:cs="Times New Roman"/>
          <w:b/>
          <w:bCs/>
          <w:snapToGrid w:val="0"/>
          <w:color w:val="auto"/>
          <w:kern w:val="0"/>
          <w:szCs w:val="21"/>
          <w:lang w:val="en-US" w:eastAsia="zh-CN"/>
        </w:rPr>
        <w:t>设备</w:t>
      </w:r>
      <w:r>
        <w:rPr>
          <w:rFonts w:hint="default" w:ascii="Times New Roman" w:hAnsi="Times New Roman" w:eastAsia="宋体" w:cs="Times New Roman"/>
          <w:b/>
          <w:bCs/>
          <w:snapToGrid w:val="0"/>
          <w:color w:val="auto"/>
          <w:kern w:val="0"/>
          <w:szCs w:val="21"/>
          <w:lang w:eastAsia="en-US"/>
        </w:rPr>
        <w:t>：</w:t>
      </w:r>
      <w:r>
        <w:rPr>
          <w:rFonts w:hint="default" w:ascii="Times New Roman" w:hAnsi="Times New Roman" w:eastAsia="宋体" w:cs="Times New Roman"/>
          <w:snapToGrid w:val="0"/>
          <w:color w:val="auto"/>
          <w:kern w:val="0"/>
          <w:szCs w:val="21"/>
          <w:lang w:eastAsia="en-US"/>
        </w:rPr>
        <w:t>选取</w:t>
      </w:r>
      <w:r>
        <w:rPr>
          <w:rFonts w:hint="default" w:ascii="Times New Roman" w:hAnsi="Times New Roman" w:eastAsia="宋体" w:cs="Times New Roman"/>
          <w:snapToGrid w:val="0"/>
          <w:color w:val="auto"/>
          <w:kern w:val="0"/>
          <w:szCs w:val="21"/>
          <w:lang w:val="en-US" w:eastAsia="zh-CN"/>
        </w:rPr>
        <w:t>3</w:t>
      </w:r>
      <w:r>
        <w:rPr>
          <w:rFonts w:hint="default" w:ascii="Times New Roman" w:hAnsi="Times New Roman" w:eastAsia="宋体" w:cs="Times New Roman"/>
          <w:snapToGrid w:val="0"/>
          <w:color w:val="auto"/>
          <w:kern w:val="0"/>
          <w:szCs w:val="21"/>
          <w:lang w:eastAsia="en-US"/>
        </w:rPr>
        <w:t>个入河排污口进行水质在线监测，监测指标包括pH、COD、氨氮、浊度、电导率、溶解氧</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水温</w:t>
      </w:r>
      <w:r>
        <w:rPr>
          <w:rFonts w:hint="default" w:ascii="Times New Roman" w:hAnsi="Times New Roman" w:eastAsia="宋体" w:cs="Times New Roman"/>
          <w:snapToGrid w:val="0"/>
          <w:color w:val="auto"/>
          <w:kern w:val="0"/>
          <w:szCs w:val="21"/>
          <w:lang w:val="en-US" w:eastAsia="zh-CN"/>
        </w:rPr>
        <w:t>共7</w:t>
      </w:r>
      <w:r>
        <w:rPr>
          <w:rFonts w:hint="default" w:ascii="Times New Roman" w:hAnsi="Times New Roman" w:eastAsia="宋体" w:cs="Times New Roman"/>
          <w:snapToGrid w:val="0"/>
          <w:color w:val="auto"/>
          <w:kern w:val="0"/>
          <w:szCs w:val="21"/>
          <w:lang w:eastAsia="en-US"/>
        </w:rPr>
        <w:t>个参数，</w:t>
      </w:r>
      <w:r>
        <w:rPr>
          <w:rFonts w:hint="default" w:ascii="Times New Roman" w:hAnsi="Times New Roman" w:eastAsia="宋体" w:cs="Times New Roman"/>
          <w:snapToGrid w:val="0"/>
          <w:color w:val="auto"/>
          <w:kern w:val="0"/>
          <w:szCs w:val="21"/>
          <w:lang w:val="en-US" w:eastAsia="zh-CN"/>
        </w:rPr>
        <w:t>其中一个监测点位增加1套氟化物监测设备。</w:t>
      </w:r>
      <w:r>
        <w:rPr>
          <w:rFonts w:hint="default" w:ascii="Times New Roman" w:hAnsi="Times New Roman" w:eastAsia="宋体" w:cs="Times New Roman"/>
          <w:snapToGrid w:val="0"/>
          <w:color w:val="auto"/>
          <w:kern w:val="0"/>
          <w:szCs w:val="21"/>
          <w:lang w:eastAsia="en-US"/>
        </w:rPr>
        <w:t>采用微型监测站，实现水质数据实时上传，便于掌握水质变化状况。</w:t>
      </w:r>
    </w:p>
    <w:p w14:paraId="645D3F96">
      <w:pPr>
        <w:keepNext w:val="0"/>
        <w:keepLines w:val="0"/>
        <w:pageBreakBefore w:val="0"/>
        <w:widowControl/>
        <w:kinsoku w:val="0"/>
        <w:wordWrap/>
        <w:overflowPunct/>
        <w:topLinePunct w:val="0"/>
        <w:autoSpaceDE w:val="0"/>
        <w:autoSpaceDN w:val="0"/>
        <w:bidi w:val="0"/>
        <w:adjustRightInd w:val="0"/>
        <w:snapToGrid w:val="0"/>
        <w:ind w:firstLine="422"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b/>
          <w:bCs/>
          <w:snapToGrid w:val="0"/>
          <w:color w:val="auto"/>
          <w:kern w:val="0"/>
          <w:szCs w:val="21"/>
          <w:lang w:val="en-US" w:eastAsia="zh-CN"/>
        </w:rPr>
        <w:t>入河排污口溯源监测设备：</w:t>
      </w:r>
      <w:r>
        <w:rPr>
          <w:rFonts w:hint="default" w:ascii="Times New Roman" w:hAnsi="Times New Roman" w:eastAsia="宋体" w:cs="Times New Roman"/>
          <w:snapToGrid w:val="0"/>
          <w:color w:val="auto"/>
          <w:kern w:val="0"/>
          <w:szCs w:val="21"/>
          <w:lang w:val="en-US" w:eastAsia="zh-CN"/>
        </w:rPr>
        <w:t>选取6个溯源监测设备为入河排污口做污染溯源使用，监测指标包括：液位、电导率、pH、COD、氨氮、浊度，同时配置采样器使用，实现水质数据实时监测，异常水质及时采样，为污染溯源提供有效反馈。</w:t>
      </w:r>
    </w:p>
    <w:p w14:paraId="2DD3EBF2">
      <w:pPr>
        <w:keepNext w:val="0"/>
        <w:keepLines w:val="0"/>
        <w:pageBreakBefore w:val="0"/>
        <w:widowControl/>
        <w:kinsoku w:val="0"/>
        <w:wordWrap/>
        <w:overflowPunct/>
        <w:topLinePunct w:val="0"/>
        <w:autoSpaceDE w:val="0"/>
        <w:autoSpaceDN w:val="0"/>
        <w:bidi w:val="0"/>
        <w:adjustRightInd w:val="0"/>
        <w:snapToGrid w:val="0"/>
        <w:ind w:firstLine="422"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b/>
          <w:bCs/>
          <w:snapToGrid w:val="0"/>
          <w:color w:val="auto"/>
          <w:kern w:val="0"/>
          <w:szCs w:val="21"/>
          <w:lang w:eastAsia="en-US"/>
        </w:rPr>
        <w:t>入河排污口视频监控</w:t>
      </w:r>
      <w:r>
        <w:rPr>
          <w:rFonts w:hint="default" w:ascii="Times New Roman" w:hAnsi="Times New Roman" w:eastAsia="宋体" w:cs="Times New Roman"/>
          <w:b/>
          <w:bCs/>
          <w:snapToGrid w:val="0"/>
          <w:color w:val="auto"/>
          <w:kern w:val="0"/>
          <w:szCs w:val="21"/>
          <w:lang w:val="en-US" w:eastAsia="zh-CN"/>
        </w:rPr>
        <w:t>设备</w:t>
      </w:r>
      <w:r>
        <w:rPr>
          <w:rFonts w:hint="default" w:ascii="Times New Roman" w:hAnsi="Times New Roman" w:eastAsia="宋体" w:cs="Times New Roman"/>
          <w:b/>
          <w:bCs/>
          <w:snapToGrid w:val="0"/>
          <w:color w:val="auto"/>
          <w:kern w:val="0"/>
          <w:szCs w:val="21"/>
          <w:lang w:eastAsia="en-US"/>
        </w:rPr>
        <w:t>：</w:t>
      </w:r>
      <w:r>
        <w:rPr>
          <w:rFonts w:hint="default" w:ascii="Times New Roman" w:hAnsi="Times New Roman" w:eastAsia="宋体" w:cs="Times New Roman"/>
          <w:snapToGrid w:val="0"/>
          <w:color w:val="auto"/>
          <w:kern w:val="0"/>
          <w:szCs w:val="21"/>
          <w:lang w:eastAsia="en-US"/>
        </w:rPr>
        <w:t>对2</w:t>
      </w:r>
      <w:r>
        <w:rPr>
          <w:rFonts w:hint="default" w:ascii="Times New Roman" w:hAnsi="Times New Roman" w:eastAsia="宋体" w:cs="Times New Roman"/>
          <w:snapToGrid w:val="0"/>
          <w:color w:val="auto"/>
          <w:kern w:val="0"/>
          <w:szCs w:val="21"/>
          <w:lang w:val="en-US" w:eastAsia="zh-CN"/>
        </w:rPr>
        <w:t>5</w:t>
      </w:r>
      <w:r>
        <w:rPr>
          <w:rFonts w:hint="default" w:ascii="Times New Roman" w:hAnsi="Times New Roman" w:eastAsia="宋体" w:cs="Times New Roman"/>
          <w:snapToGrid w:val="0"/>
          <w:color w:val="auto"/>
          <w:kern w:val="0"/>
          <w:szCs w:val="21"/>
          <w:lang w:eastAsia="en-US"/>
        </w:rPr>
        <w:t>个入河排污口进行视频监控，建设视频监控系统，采用</w:t>
      </w:r>
      <w:r>
        <w:rPr>
          <w:rFonts w:hint="default" w:ascii="Times New Roman" w:hAnsi="Times New Roman" w:eastAsia="宋体" w:cs="Times New Roman"/>
          <w:snapToGrid w:val="0"/>
          <w:color w:val="auto"/>
          <w:kern w:val="0"/>
          <w:szCs w:val="21"/>
          <w:lang w:val="en-US" w:eastAsia="zh-CN"/>
        </w:rPr>
        <w:t>市电</w:t>
      </w:r>
      <w:r>
        <w:rPr>
          <w:rFonts w:hint="default" w:ascii="Times New Roman" w:hAnsi="Times New Roman" w:eastAsia="宋体" w:cs="Times New Roman"/>
          <w:snapToGrid w:val="0"/>
          <w:color w:val="auto"/>
          <w:kern w:val="0"/>
          <w:szCs w:val="21"/>
          <w:lang w:eastAsia="en-US"/>
        </w:rPr>
        <w:t>+太阳能供电组合，实现实时视频监控、录像回放、远程配置维护等功能。</w:t>
      </w:r>
    </w:p>
    <w:p w14:paraId="31AA2107">
      <w:pPr>
        <w:keepNext w:val="0"/>
        <w:keepLines w:val="0"/>
        <w:pageBreakBefore w:val="0"/>
        <w:widowControl/>
        <w:kinsoku w:val="0"/>
        <w:wordWrap/>
        <w:overflowPunct/>
        <w:topLinePunct w:val="0"/>
        <w:autoSpaceDE w:val="0"/>
        <w:autoSpaceDN w:val="0"/>
        <w:bidi w:val="0"/>
        <w:adjustRightInd w:val="0"/>
        <w:snapToGrid w:val="0"/>
        <w:ind w:firstLine="422" w:firstLineChars="200"/>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b/>
          <w:bCs/>
          <w:snapToGrid w:val="0"/>
          <w:color w:val="auto"/>
          <w:kern w:val="0"/>
          <w:szCs w:val="21"/>
          <w:lang w:val="en-US" w:eastAsia="zh-CN"/>
        </w:rPr>
        <w:t>入河排污口动态</w:t>
      </w:r>
      <w:r>
        <w:rPr>
          <w:rFonts w:hint="default" w:ascii="Times New Roman" w:hAnsi="Times New Roman" w:eastAsia="宋体" w:cs="Times New Roman"/>
          <w:b/>
          <w:bCs/>
          <w:snapToGrid w:val="0"/>
          <w:color w:val="auto"/>
          <w:kern w:val="0"/>
          <w:szCs w:val="21"/>
          <w:lang w:eastAsia="en-US"/>
        </w:rPr>
        <w:t>监管</w:t>
      </w:r>
      <w:r>
        <w:rPr>
          <w:rFonts w:hint="default" w:ascii="Times New Roman" w:hAnsi="Times New Roman" w:eastAsia="宋体" w:cs="Times New Roman"/>
          <w:b/>
          <w:bCs/>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构建入河排污口</w:t>
      </w:r>
      <w:r>
        <w:rPr>
          <w:rFonts w:hint="default" w:ascii="Times New Roman" w:hAnsi="Times New Roman" w:eastAsia="宋体" w:cs="Times New Roman"/>
          <w:snapToGrid w:val="0"/>
          <w:color w:val="auto"/>
          <w:kern w:val="0"/>
          <w:szCs w:val="21"/>
          <w:lang w:val="en-US" w:eastAsia="zh-CN"/>
        </w:rPr>
        <w:t>动态监管能力</w:t>
      </w:r>
      <w:r>
        <w:rPr>
          <w:rFonts w:hint="default" w:ascii="Times New Roman" w:hAnsi="Times New Roman" w:eastAsia="宋体" w:cs="Times New Roman"/>
          <w:snapToGrid w:val="0"/>
          <w:color w:val="auto"/>
          <w:kern w:val="0"/>
          <w:szCs w:val="21"/>
          <w:lang w:eastAsia="en-US"/>
        </w:rPr>
        <w:t>，</w:t>
      </w:r>
      <w:r>
        <w:rPr>
          <w:rFonts w:hint="default" w:ascii="Times New Roman" w:hAnsi="Times New Roman" w:eastAsia="宋体" w:cs="Times New Roman"/>
          <w:snapToGrid w:val="0"/>
          <w:color w:val="auto"/>
          <w:kern w:val="0"/>
          <w:szCs w:val="21"/>
          <w:lang w:val="en-US" w:eastAsia="zh-CN"/>
        </w:rPr>
        <w:t>围绕着“查、测、溯、治”为核心，</w:t>
      </w:r>
      <w:r>
        <w:rPr>
          <w:rFonts w:hint="default" w:ascii="Times New Roman" w:hAnsi="Times New Roman" w:eastAsia="宋体" w:cs="Times New Roman"/>
          <w:snapToGrid w:val="0"/>
          <w:color w:val="auto"/>
          <w:kern w:val="0"/>
          <w:szCs w:val="21"/>
          <w:lang w:eastAsia="en-US"/>
        </w:rPr>
        <w:t>实现对入河排污口的全面管理。</w:t>
      </w:r>
    </w:p>
    <w:p w14:paraId="4D8D157E">
      <w:pPr>
        <w:pStyle w:val="4"/>
        <w:numPr>
          <w:ilvl w:val="4"/>
          <w:numId w:val="0"/>
        </w:numPr>
        <w:bidi w:val="0"/>
        <w:ind w:left="402" w:leftChars="0"/>
        <w:rPr>
          <w:rFonts w:hint="default"/>
          <w:color w:val="auto"/>
          <w:lang w:val="en-US" w:eastAsia="zh-CN"/>
        </w:rPr>
      </w:pPr>
      <w:r>
        <w:rPr>
          <w:rFonts w:hint="eastAsia"/>
          <w:color w:val="auto"/>
          <w:lang w:val="en-US" w:eastAsia="zh-CN"/>
        </w:rPr>
        <w:t>2.</w:t>
      </w:r>
      <w:r>
        <w:rPr>
          <w:rFonts w:hint="default"/>
          <w:color w:val="auto"/>
          <w:lang w:val="en-US" w:eastAsia="zh-CN"/>
        </w:rPr>
        <w:t>技术要求</w:t>
      </w:r>
    </w:p>
    <w:p w14:paraId="0B9C433A">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eastAsia" w:ascii="Times New Roman" w:hAnsi="Times New Roman" w:eastAsia="宋体" w:cs="Times New Roman"/>
          <w:b w:val="0"/>
          <w:bCs w:val="0"/>
          <w:snapToGrid w:val="0"/>
          <w:color w:val="auto"/>
          <w:kern w:val="0"/>
          <w:szCs w:val="21"/>
          <w:lang w:val="en-US" w:eastAsia="zh-CN"/>
        </w:rPr>
      </w:pPr>
      <w:r>
        <w:rPr>
          <w:rFonts w:hint="eastAsia" w:ascii="Times New Roman" w:hAnsi="Times New Roman" w:eastAsia="宋体" w:cs="Times New Roman"/>
          <w:b w:val="0"/>
          <w:bCs w:val="0"/>
          <w:snapToGrid w:val="0"/>
          <w:color w:val="auto"/>
          <w:kern w:val="0"/>
          <w:szCs w:val="21"/>
          <w:lang w:val="en-US" w:eastAsia="zh-CN"/>
        </w:rPr>
        <w:t>总体要求：</w:t>
      </w:r>
    </w:p>
    <w:p w14:paraId="6B5E3B58">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b w:val="0"/>
          <w:bCs w:val="0"/>
          <w:snapToGrid w:val="0"/>
          <w:color w:val="auto"/>
          <w:kern w:val="0"/>
          <w:szCs w:val="21"/>
          <w:lang w:val="en-US" w:eastAsia="zh-CN"/>
        </w:rPr>
      </w:pPr>
      <w:r>
        <w:rPr>
          <w:rFonts w:hint="eastAsia" w:ascii="Times New Roman" w:hAnsi="Times New Roman" w:eastAsia="宋体" w:cs="Times New Roman"/>
          <w:b w:val="0"/>
          <w:bCs w:val="0"/>
          <w:snapToGrid w:val="0"/>
          <w:color w:val="auto"/>
          <w:kern w:val="0"/>
          <w:szCs w:val="21"/>
          <w:lang w:val="en-US" w:eastAsia="zh-CN"/>
        </w:rPr>
        <w:t>（1）实际供货的尺寸允许有所偏离，但不得实质性影响货物性能，影响货物安装及用户的使用体验，技术要求中产品外形（长、宽、高）的极限偏差±5mm (技术参数中另行规定的按</w:t>
      </w:r>
      <w:r>
        <w:rPr>
          <w:rFonts w:hint="eastAsia" w:ascii="Times New Roman" w:hAnsi="Times New Roman" w:eastAsia="宋体" w:cs="Times New Roman"/>
          <w:b w:val="0"/>
          <w:bCs w:val="0"/>
          <w:snapToGrid w:val="0"/>
          <w:color w:val="auto"/>
          <w:kern w:val="0"/>
          <w:szCs w:val="21"/>
          <w:highlight w:val="none"/>
          <w:lang w:val="en-US" w:eastAsia="zh-CN"/>
        </w:rPr>
        <w:t>规定)。</w:t>
      </w:r>
    </w:p>
    <w:p w14:paraId="2B6DB060">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eastAsia" w:ascii="Times New Roman" w:hAnsi="Times New Roman" w:eastAsia="宋体" w:cs="Times New Roman"/>
          <w:b w:val="0"/>
          <w:bCs w:val="0"/>
          <w:snapToGrid w:val="0"/>
          <w:color w:val="auto"/>
          <w:kern w:val="0"/>
          <w:szCs w:val="21"/>
          <w:lang w:val="en-US" w:eastAsia="zh-CN"/>
        </w:rPr>
      </w:pPr>
      <w:r>
        <w:rPr>
          <w:rFonts w:hint="eastAsia" w:ascii="Times New Roman" w:hAnsi="Times New Roman" w:eastAsia="宋体" w:cs="Times New Roman"/>
          <w:b w:val="0"/>
          <w:bCs w:val="0"/>
          <w:snapToGrid w:val="0"/>
          <w:color w:val="auto"/>
          <w:kern w:val="0"/>
          <w:szCs w:val="21"/>
          <w:lang w:val="en-US" w:eastAsia="zh-CN"/>
        </w:rPr>
        <w:t>（2 ）采购清单中的技术要求为招标文件提出的最低限度的要求，投标人提供的产品应达到或优于下表中的详细技术要求，且符合国家有关标准和规范要求，否则将视为投标无效。</w:t>
      </w:r>
    </w:p>
    <w:p w14:paraId="75097891">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b w:val="0"/>
          <w:bCs w:val="0"/>
          <w:snapToGrid w:val="0"/>
          <w:color w:val="auto"/>
          <w:kern w:val="0"/>
          <w:szCs w:val="21"/>
          <w:lang w:val="en-US" w:eastAsia="zh-CN"/>
        </w:rPr>
      </w:pPr>
    </w:p>
    <w:p w14:paraId="7F773709">
      <w:pPr>
        <w:bidi w:val="0"/>
        <w:rPr>
          <w:rFonts w:hint="eastAsia"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2.1采购清单及技术参数</w:t>
      </w:r>
    </w:p>
    <w:tbl>
      <w:tblPr>
        <w:tblStyle w:val="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24"/>
        <w:gridCol w:w="1031"/>
        <w:gridCol w:w="4709"/>
        <w:gridCol w:w="924"/>
        <w:gridCol w:w="934"/>
      </w:tblGrid>
      <w:tr w14:paraId="7675C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325C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序号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1EC7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设备名称</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A959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highlight w:val="none"/>
                <w:shd w:val="clear"/>
                <w:lang w:val="en-US" w:eastAsia="zh-CN"/>
              </w:rPr>
              <w:t>技术参数</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D910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数量</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6642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单位</w:t>
            </w:r>
          </w:p>
        </w:tc>
      </w:tr>
      <w:tr w14:paraId="2E5B3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A8CD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44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3D6AA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入河排污口标志牌</w:t>
            </w:r>
          </w:p>
        </w:tc>
      </w:tr>
      <w:tr w14:paraId="2ECD7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EA97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420F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标志牌面板</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C939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一、左侧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在标志牌的正面，注明排口的所处位置、排放类型、排入河流、所属乡镇等基本信息内容，标志牌牌面信息中向管理人员及公众展示入河排口基本信息及管理信息，方便公众进行监管。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二、右侧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书写“加强水资源保护，建设生态文明”等类似的宣传标语和口号，可根据业主及项目地要求进行定制</w:t>
            </w:r>
            <w:r>
              <w:rPr>
                <w:rFonts w:hint="eastAsia" w:ascii="Times New Roman" w:hAnsi="Times New Roman" w:cs="Times New Roman"/>
                <w:snapToGrid w:val="0"/>
                <w:color w:val="auto"/>
                <w:kern w:val="0"/>
                <w:sz w:val="21"/>
                <w:szCs w:val="21"/>
                <w:lang w:val="en-US" w:eastAsia="zh-CN"/>
              </w:rPr>
              <w:t>。</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三、标志牌二维码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标志牌二维码中包含的信息包括排口基本信息和平台中公众端显示的排口数据，以及公众反馈链接，公众可以在此链接中填写排口异常并上传图片，提交平台审核，一经核实可迅速联动处理</w:t>
            </w:r>
            <w:r>
              <w:rPr>
                <w:rFonts w:hint="eastAsia" w:ascii="Times New Roman" w:hAnsi="Times New Roman" w:cs="Times New Roman"/>
                <w:snapToGrid w:val="0"/>
                <w:color w:val="auto"/>
                <w:kern w:val="0"/>
                <w:sz w:val="21"/>
                <w:szCs w:val="21"/>
                <w:lang w:val="en-US" w:eastAsia="zh-CN"/>
              </w:rPr>
              <w:t>。</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四、安装方式及材质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安装方式采用卧式标识牌且安装在便于查看及维护的位置。标识牌内容信息采用喷涂或雕刻展示，尺寸</w:t>
            </w:r>
            <w:r>
              <w:rPr>
                <w:rFonts w:hint="eastAsia" w:ascii="Times New Roman" w:hAnsi="Times New Roman" w:cs="Times New Roman"/>
                <w:snapToGrid w:val="0"/>
                <w:color w:val="auto"/>
                <w:kern w:val="0"/>
                <w:sz w:val="21"/>
                <w:szCs w:val="21"/>
                <w:lang w:val="en-US" w:eastAsia="zh-CN"/>
              </w:rPr>
              <w:t>不</w:t>
            </w:r>
            <w:r>
              <w:rPr>
                <w:rFonts w:hint="default" w:ascii="Times New Roman" w:hAnsi="Times New Roman" w:eastAsia="宋体" w:cs="Times New Roman"/>
                <w:snapToGrid w:val="0"/>
                <w:color w:val="auto"/>
                <w:kern w:val="0"/>
                <w:sz w:val="21"/>
                <w:szCs w:val="21"/>
                <w:lang w:val="en-US" w:eastAsia="zh-CN"/>
              </w:rPr>
              <w:t>小于900mm*600mm，材质：大理石，样式符合《入河入海排污口监督管理技术指南入河排污口规范化建设》（HJ1309—2023）等国家相关技术规范，具体内容与甲方商定。</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五、其他</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单项标识牌费用包含但不限于标志牌主体材料、雕刻费用、设计费用、安装费、运输费、基座费等相关费用</w:t>
            </w:r>
            <w:r>
              <w:rPr>
                <w:rFonts w:hint="eastAsia" w:ascii="Times New Roman" w:hAnsi="Times New Roman" w:cs="Times New Roman"/>
                <w:snapToGrid w:val="0"/>
                <w:color w:val="auto"/>
                <w:kern w:val="0"/>
                <w:sz w:val="21"/>
                <w:szCs w:val="21"/>
                <w:lang w:val="en-US" w:eastAsia="zh-CN"/>
              </w:rPr>
              <w:t>。</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5890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83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791B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块</w:t>
            </w:r>
          </w:p>
        </w:tc>
      </w:tr>
      <w:tr w14:paraId="4C7BA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207C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w:t>
            </w:r>
          </w:p>
        </w:tc>
        <w:tc>
          <w:tcPr>
            <w:tcW w:w="44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5873A3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入河排污口水量、水质监测设备</w:t>
            </w:r>
          </w:p>
        </w:tc>
      </w:tr>
      <w:tr w14:paraId="215AB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FB9C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2.1</w:t>
            </w:r>
          </w:p>
        </w:tc>
        <w:tc>
          <w:tcPr>
            <w:tcW w:w="44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16998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val="en-US" w:eastAsia="en-US"/>
              </w:rPr>
            </w:pPr>
            <w:r>
              <w:rPr>
                <w:rFonts w:hint="default" w:ascii="Times New Roman" w:hAnsi="Times New Roman" w:eastAsia="宋体" w:cs="Times New Roman"/>
                <w:snapToGrid w:val="0"/>
                <w:color w:val="auto"/>
                <w:kern w:val="0"/>
                <w:sz w:val="21"/>
                <w:szCs w:val="21"/>
                <w:highlight w:val="none"/>
                <w:lang w:val="en-US" w:eastAsia="zh-CN"/>
              </w:rPr>
              <w:t>水量监测设备</w:t>
            </w:r>
          </w:p>
        </w:tc>
      </w:tr>
      <w:tr w14:paraId="79179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4E7B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2.1.1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80E5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智能排</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水管网流量监测终</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端</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44B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一、测量要求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1.无线监测终端实时分析、计算、存储、传输相关数据。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2.对雨水管网的浅流、非满管、满管、过载、溢流等工况下应能准确测量。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3.流速量程：±0.01m/s～±6.00m/s；流速精度：±2%FS；流速分辨率</w:t>
            </w:r>
            <w:r>
              <w:rPr>
                <w:rFonts w:hint="default" w:ascii="Times New Roman" w:hAnsi="Times New Roman" w:eastAsia="宋体" w:cs="Times New Roman"/>
                <w:snapToGrid w:val="0"/>
                <w:color w:val="auto"/>
                <w:kern w:val="0"/>
                <w:sz w:val="21"/>
                <w:szCs w:val="21"/>
                <w:highlight w:val="none"/>
                <w:lang w:val="en-US" w:eastAsia="zh-CN"/>
              </w:rPr>
              <w:t>：0.001m/s。</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4.流速标准测量频率：每60s一次，测量频率应可调节，测量数据均带有时标。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5.为了便于雨水管网日常维护（尤其管道清理机器人的工作），安装于管道底部的流速传感器厚度不应该高于4cm。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6.流速传感器采用法拉第电磁感应原理，流速测量不应受流体密度、粘度、温度、压力和电导率变化的影响；既可测量一般导电液体的流速，也可测量液固两相流体。</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7.液位传感器能安装在管道内（顶部）进行非接触式测量。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8.鉴于雨水管网大部分时间为非满管状态，而暴雨等天气下经常会满管；为了有效防止淤泥和水中杂质对传感器的堵塞和腐蚀破坏，提高测量可靠性，减轻后期维护工作量。故日常管道液位测量通过超声波液位传感器实现雨水管网中非接触式精确测</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量；当管道液位即将到达超声波传感器测量盲区时，自动切换为静压液位传感器测量液位高度，实现全量程无盲区液位测量。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9.液位量程：0-10m，水位进入超声波盲区时，通过电接点传感器自动切换为静压液位传感器测量；实现全量程无盲区测量。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10.液位精度：当水位未满管时，管道液位精度为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±0.2%FS；当水位满管时，窨井液位精度为±0.5%FS；液位分辨率：0.001m；带温度补偿。</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11.液位标准测量频率：每1min一次，测量频率应可调节，测量数据均带有时标。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12.液位传感器应能够有效克服泡沫、喘动、漂浮垃圾等现场干扰。</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二、自供电要求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1.设备内置高性能锂电池；保障液位、流速、流量测量，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设备自身状态监测，设备防盗监测，数据处理与无线通信；电池续航时间不少于3年。</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三、通信要求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1.设备内置NB-IoT或4G无线通信模块，在井下运营商无线信号不好的情况下，可替换为Lora无线中继通信，可保障平台能够不间断收到测量的数据。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2.标准传输频率：每30min一次（NB-IoT无线传输）,每1h一次（4G无线传输），每5min一次（Lora无线中继传输），可自定义传输频率1min～24h。开关唤醒后实时上传。告警数据立即上传，并加快传输频率。</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C790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5</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B856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495B8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8EB8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w:t>
            </w:r>
          </w:p>
        </w:tc>
        <w:tc>
          <w:tcPr>
            <w:tcW w:w="44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7E9E8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水质监测设备</w:t>
            </w:r>
          </w:p>
        </w:tc>
      </w:tr>
      <w:tr w14:paraId="25DA8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D277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FDC8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多参数水质通用控制器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CACF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支持接入数字化水质分析探头，并且拥有完善的对外接口，可以方便地实现传感器探头组网、远程控制、故障诊断等工作，旨在为用户提供全面、准确的水质监测解决方案。技术要求：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1、探头接入不少于6路水质分析探头，包括pH值、溶解氧（DO）、浊度、电导率、COD等关键水质指标。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2、人机交互：</w:t>
            </w:r>
            <w:r>
              <w:rPr>
                <w:rFonts w:hint="eastAsia" w:ascii="Times New Roman" w:hAnsi="Times New Roman" w:cs="Times New Roman"/>
                <w:snapToGrid w:val="0"/>
                <w:color w:val="auto"/>
                <w:kern w:val="0"/>
                <w:sz w:val="21"/>
                <w:szCs w:val="21"/>
                <w:lang w:val="en-US" w:eastAsia="zh-CN"/>
              </w:rPr>
              <w:t>配备</w:t>
            </w:r>
            <w:r>
              <w:rPr>
                <w:rFonts w:hint="default" w:ascii="Times New Roman" w:hAnsi="Times New Roman" w:eastAsia="宋体" w:cs="Times New Roman"/>
                <w:snapToGrid w:val="0"/>
                <w:color w:val="auto"/>
                <w:kern w:val="0"/>
                <w:sz w:val="21"/>
                <w:szCs w:val="21"/>
                <w:lang w:val="en-US" w:eastAsia="zh-CN"/>
              </w:rPr>
              <w:t>彩色触摸屏，作为人机交互方式，可以显示不少于6个参数。</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3、数据存储：设备本地能存储至少100000条数据。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4、数据传输：支持RS485有线通讯，并具备根据实际需求扩展4G全网通信的能力，以便实现数据的远程传输与实时监控。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5、数据采集频率：5min/次（采集周期可自定义），确保数据的实时性和准确性。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6、数据传输频率：实时传输（传输周期可自定义），以便及时获取水质数据并进行处理。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7、工作温度：设备在0-45℃（不结冰）的温度范围内正常工作。</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8、工作湿度：设备在0~97%RH无凝结的湿度条件下正常工作。</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9、供电方式：设备支持交流电、直流电或太阳能供电，以适多种供电环境。</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10、工作电压：市电供电时，工作电压为220VAC，50Hz。</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057D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B233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094BB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2159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2.2.2</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4096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水质取样单元</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1A83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水质取样单元是入河排污口水质采样监测站的关键部分，专门负责超标样品的留样执行。该模块能够智能响远程或现场的指令，自主完成样品的采集与排空任务，全程无需人工</w:t>
            </w:r>
            <w:r>
              <w:rPr>
                <w:rFonts w:hint="default" w:ascii="Times New Roman" w:hAnsi="Times New Roman" w:eastAsia="宋体" w:cs="Times New Roman"/>
                <w:snapToGrid w:val="0"/>
                <w:color w:val="auto"/>
                <w:kern w:val="0"/>
                <w:sz w:val="21"/>
                <w:szCs w:val="21"/>
                <w:highlight w:val="none"/>
                <w:lang w:val="en-US" w:eastAsia="zh-CN"/>
              </w:rPr>
              <w:t>现场操作，从而实现了高效、便捷的自动化管理。采样瓶设计精巧，具备密封、自动排空及自动润洗等多重功能，不仅保证了样品采集的准确性和无污染性，而且采样瓶可循环使用，大大降低了使用成本，采样瓶符合AI水质实验室要求。</w:t>
            </w:r>
            <w:r>
              <w:rPr>
                <w:rFonts w:hint="default" w:ascii="Times New Roman" w:hAnsi="Times New Roman" w:eastAsia="宋体" w:cs="Times New Roman"/>
                <w:snapToGrid w:val="0"/>
                <w:color w:val="auto"/>
                <w:kern w:val="0"/>
                <w:sz w:val="21"/>
                <w:szCs w:val="21"/>
                <w:highlight w:val="cyan"/>
                <w:lang w:val="en-US" w:eastAsia="zh-CN"/>
              </w:rPr>
              <w:br w:type="textWrapping"/>
            </w:r>
            <w:r>
              <w:rPr>
                <w:rFonts w:hint="default" w:ascii="Times New Roman" w:hAnsi="Times New Roman" w:eastAsia="宋体" w:cs="Times New Roman"/>
                <w:snapToGrid w:val="0"/>
                <w:color w:val="auto"/>
                <w:kern w:val="0"/>
                <w:sz w:val="21"/>
                <w:szCs w:val="21"/>
                <w:lang w:val="en-US" w:eastAsia="zh-CN"/>
              </w:rPr>
              <w:t>1、取样单元</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①采样瓶数：≥8瓶；</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②采样瓶容量：500ml</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③采样间隔：1min～9999min可设；</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④采样量误差：±7%；</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⑤等比例采样量误差：±7%；</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⑥垂直采样高度：≥8米；</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2、采样瓶管理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①采样瓶配备二维码，支持信息录入与追踪。通过项目平台自带APP扫描二维码，快速获取采样瓶相关信息，实现快速取样、填充采样瓶，实现采样人员的质量控制管理。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②采样</w:t>
            </w:r>
            <w:r>
              <w:rPr>
                <w:rFonts w:hint="default" w:ascii="Times New Roman" w:hAnsi="Times New Roman" w:eastAsia="宋体" w:cs="Times New Roman"/>
                <w:snapToGrid w:val="0"/>
                <w:color w:val="auto"/>
                <w:kern w:val="0"/>
                <w:sz w:val="21"/>
                <w:szCs w:val="21"/>
                <w:highlight w:val="none"/>
                <w:lang w:val="en-US" w:eastAsia="zh-CN"/>
              </w:rPr>
              <w:t>瓶二维码符合实</w:t>
            </w:r>
            <w:r>
              <w:rPr>
                <w:rFonts w:hint="default" w:ascii="Times New Roman" w:hAnsi="Times New Roman" w:eastAsia="宋体" w:cs="Times New Roman"/>
                <w:snapToGrid w:val="0"/>
                <w:color w:val="auto"/>
                <w:kern w:val="0"/>
                <w:sz w:val="21"/>
                <w:szCs w:val="21"/>
                <w:lang w:val="en-US" w:eastAsia="zh-CN"/>
              </w:rPr>
              <w:t>验室管理系统及AI实验室管理要求，且可重复使用。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3、制冷单元</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①支持智能启动/关闭，系统接收到样品采集指令后，制冷单元会立即响，自动启动冷藏箱进行运行。</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F10E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58FB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2C7D1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73E7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2.2.3</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EE96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物联网智能网关</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AB10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一、产品功能要求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1、设备管理功能</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①产品应具有RTC实时时钟，设备断电时时钟不丢失。</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②为了保障产品长期时间准确，产品应支持互联网同步对时。</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2、通信功能</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①产品应具有至少2个以太网通信端口，可实现以太网通信。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②鉴于现场可能无法提供宽带联网，产品应支持4G全网通无线通信。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③产品应支持ModbusRTU、ModbusTCP、PLC以太网协议、MQTT通信协议。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④数据传输应符合《污染物在线监控(监测)系统数据传输标准》。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⑤产品具有至少1路RS232通信接口，支持至少4路RS485通信接口。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⑥为了方便现场查看数据，产品具有与工控显示屏直连，并可实时显示采集的数据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二、电源及可靠性要求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1、应具有1路电源输出，可控制电源开关，并且具有电源输出过流保护。</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2、产品应具有防反接保护、欠压保护、过压保护功能。</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3、应通过自然风冷散热，无需外加散热风扇。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4、抗电强度应符合AC3000V，50Hz，1min，无飞弧或击穿现象。</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4C1D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E823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7E279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E019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1334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物联网网关</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1BE5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一、通信与安全要求：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1、支持4G全网通通信机制。</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2、为有效避免SIM在潮湿、高温、震动的情况下出现生锈、松动等故障，产品采用工业级贴片式SIM卡。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二、仪表接入与控制要求：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1、为提高监测站点运维质量和效率，且不增加设备故障节点，产品无需额外增加设备，能远距离持续接收2.45G主动式电子工牌，接收距离大于30M。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2、为确保站点动力设备正常运转，及时发现设备问题，产品支持监测电气设备电流值（不少于2路），通过设备运行电流变化检测其过载、欠载故障，并切断对的控制输出，给出故障报警信号。</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为实现监测站点运行情况全了解的目标，产品支持不少于3路模拟量输入（4-20mA输入）；支持不少于3路485接口（支持接入液位计、水质监测仪等设备，支持接入工业相机进行远程图像抓拍）；支持不少于4路开关量输入；支持不少于2路继电器远程控制。</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4、为方便后期监测站点功能扩展，且不增加额外成本，产品支持在不增加额外设备情况下，支持远距离接受现场Lora无线传感器数据。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三、可靠性及管理要求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1、鉴于现场可能会发生停电现象，产品在断电后，在无额外电池情况下，支持通过无线通信上传报警信息，且支持离线数据存储，当通信恢复后自动补传历史数据。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2、支持互联网同步对时。</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3、支持平台远程对产品进行采集配置、重启、查看无线通讯信号、监测联网率，支持远程固件升级。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四、技术指标要求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1、电气规格要求：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①工作电压：DC12~24V；</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②设备消耗功率：&lt;5W，DC12V供电情况下</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2、工作环境要求：湿度&lt;95%,无凝结，温度：-10℃~65℃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3、一般技术规格要求：结构金属结构，TH35标准导轨安装</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106C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1CC8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3C8EC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894B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C779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供电单元</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B1D8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1、光伏组件参数：电池类型单晶-16BB工作温度：-40℃~+85℃;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2、太阳能逆控一体机：带485通讯输出、内置MPPT太阳能控制器、逆变输出220V±</w:t>
            </w:r>
            <w:r>
              <w:rPr>
                <w:rFonts w:hint="eastAsia" w:ascii="Times New Roman" w:hAnsi="Times New Roman" w:cs="Times New Roman"/>
                <w:snapToGrid w:val="0"/>
                <w:color w:val="auto"/>
                <w:kern w:val="0"/>
                <w:sz w:val="21"/>
                <w:szCs w:val="21"/>
                <w:lang w:val="en-US" w:eastAsia="zh-CN"/>
              </w:rPr>
              <w:t>5</w:t>
            </w:r>
            <w:r>
              <w:rPr>
                <w:rFonts w:hint="default" w:ascii="Times New Roman" w:hAnsi="Times New Roman" w:eastAsia="宋体" w:cs="Times New Roman"/>
                <w:snapToGrid w:val="0"/>
                <w:color w:val="auto"/>
                <w:kern w:val="0"/>
                <w:sz w:val="21"/>
                <w:szCs w:val="21"/>
                <w:lang w:val="en-US" w:eastAsia="zh-CN"/>
              </w:rPr>
              <w:t>%、过载逆变模式、带蓄电池过压和低压保护、过载保护、短路保护、过温保护、使用温度-10℃~40℃、操作湿度&lt;95%且无结露情形、工作模式：逆变优先/市电优先/节能模式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3、储能电池：锂电池、能量≥15KWh、循环次数≥6000次、工作温度-20℃~+</w:t>
            </w:r>
            <w:r>
              <w:rPr>
                <w:rFonts w:hint="eastAsia" w:ascii="Times New Roman" w:hAnsi="Times New Roman" w:cs="Times New Roman"/>
                <w:snapToGrid w:val="0"/>
                <w:color w:val="auto"/>
                <w:kern w:val="0"/>
                <w:sz w:val="21"/>
                <w:szCs w:val="21"/>
                <w:lang w:val="en-US" w:eastAsia="zh-CN"/>
              </w:rPr>
              <w:t>60</w:t>
            </w:r>
            <w:r>
              <w:rPr>
                <w:rFonts w:hint="default" w:ascii="Times New Roman" w:hAnsi="Times New Roman" w:eastAsia="宋体" w:cs="Times New Roman"/>
                <w:snapToGrid w:val="0"/>
                <w:color w:val="auto"/>
                <w:kern w:val="0"/>
                <w:sz w:val="21"/>
                <w:szCs w:val="21"/>
                <w:lang w:val="en-US" w:eastAsia="zh-CN"/>
              </w:rPr>
              <w:t>℃、工作湿度10%~85%</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3ED6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8355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09673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AB6C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2.2.6</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9042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信号隔离器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B15C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1、兼容RS-422、RS-485TIA／EIA标准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2、自动发送、接收数据：RS-485二线（A．B）制通信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3、输入接口：1路RS-485接口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4、输出接口：2路RS-485接口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5、工作电源：DC9-40V500mA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6、负载能力：每接口RS485能够连接8个设备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7、工作方式：异步半双工（RS-485双向通讯）。</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8、光电隔离：隔离电压1KVrms／500VDC绝缘，隔离DC／DC模块，RS-485提供600W的防雷浪涌，15KVESD保护</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9、使用环境：-40℃到</w:t>
            </w:r>
            <w:r>
              <w:rPr>
                <w:rFonts w:hint="eastAsia" w:ascii="Times New Roman" w:hAnsi="Times New Roman" w:cs="Times New Roman"/>
                <w:snapToGrid w:val="0"/>
                <w:color w:val="auto"/>
                <w:kern w:val="0"/>
                <w:sz w:val="21"/>
                <w:szCs w:val="21"/>
                <w:lang w:val="en-US" w:eastAsia="zh-CN"/>
              </w:rPr>
              <w:t>6</w:t>
            </w:r>
            <w:r>
              <w:rPr>
                <w:rFonts w:hint="default" w:ascii="Times New Roman" w:hAnsi="Times New Roman" w:eastAsia="宋体" w:cs="Times New Roman"/>
                <w:snapToGrid w:val="0"/>
                <w:color w:val="auto"/>
                <w:kern w:val="0"/>
                <w:sz w:val="21"/>
                <w:szCs w:val="21"/>
                <w:lang w:val="en-US" w:eastAsia="zh-CN"/>
              </w:rPr>
              <w:t>5℃,相对湿度＞95％RH、</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3DED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AFD0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3344A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DA48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2.2.7</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D27C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集成机柜</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14B51">
            <w:pPr>
              <w:keepNext w:val="0"/>
              <w:keepLines w:val="0"/>
              <w:pageBreakBefore w:val="0"/>
              <w:widowControl/>
              <w:numPr>
                <w:ilvl w:val="0"/>
                <w:numId w:val="3"/>
              </w:numPr>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柜体及材质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1、机柜防护等级：不低于IP55，确保柜体在恶劣环境下具备良好的防尘和防水性能，保护内部设备免受外界侵害。</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2、机柜材质：采用优质碳钢材料，经过喷塑处理，增强防腐性和耐用性，延</w:t>
            </w:r>
            <w:r>
              <w:rPr>
                <w:rFonts w:hint="default" w:ascii="Times New Roman" w:hAnsi="Times New Roman" w:eastAsia="宋体" w:cs="Times New Roman"/>
                <w:snapToGrid w:val="0"/>
                <w:color w:val="auto"/>
                <w:kern w:val="0"/>
                <w:sz w:val="21"/>
                <w:szCs w:val="21"/>
                <w:highlight w:val="none"/>
                <w:lang w:val="en-US" w:eastAsia="zh-CN"/>
              </w:rPr>
              <w:t>长使用寿命。</w:t>
            </w:r>
            <w:r>
              <w:rPr>
                <w:rFonts w:hint="default" w:ascii="Times New Roman" w:hAnsi="Times New Roman" w:eastAsia="宋体" w:cs="Times New Roman"/>
                <w:snapToGrid w:val="0"/>
                <w:color w:val="auto"/>
                <w:kern w:val="0"/>
                <w:sz w:val="21"/>
                <w:szCs w:val="21"/>
                <w:highlight w:val="none"/>
                <w:lang w:val="en-US" w:eastAsia="zh-CN"/>
              </w:rPr>
              <w:br w:type="textWrapping"/>
            </w:r>
            <w:r>
              <w:rPr>
                <w:rFonts w:hint="default" w:ascii="Times New Roman" w:hAnsi="Times New Roman" w:eastAsia="宋体" w:cs="Times New Roman"/>
                <w:snapToGrid w:val="0"/>
                <w:color w:val="auto"/>
                <w:kern w:val="0"/>
                <w:sz w:val="21"/>
                <w:szCs w:val="21"/>
                <w:highlight w:val="none"/>
                <w:lang w:val="en-US" w:eastAsia="zh-CN"/>
              </w:rPr>
              <w:t>3、尺寸规格：占地面积（长×宽）：不超过2平方米，优化空间利用率。高度：不超过2米，</w:t>
            </w:r>
            <w:r>
              <w:rPr>
                <w:rFonts w:hint="default" w:ascii="Times New Roman" w:hAnsi="Times New Roman" w:eastAsia="宋体" w:cs="Times New Roman"/>
                <w:snapToGrid w:val="0"/>
                <w:color w:val="auto"/>
                <w:kern w:val="0"/>
                <w:sz w:val="21"/>
                <w:szCs w:val="21"/>
                <w:lang w:val="en-US" w:eastAsia="zh-CN"/>
              </w:rPr>
              <w:t>便于操作与维护。</w:t>
            </w:r>
          </w:p>
          <w:p w14:paraId="155E49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4、箱体结构：箱体厚度≥1.5mm，门厚度≥1.5mm，确保结构强度。必要部分需加筋加固，提升整体稳固性。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5、环境适应性：设计适用于户外环境，能在-10℃至50℃的温度范围内稳定工作，满足各种气候条件下的使用需求。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6、箱体美化：外部配备美化素材，提升视觉效果（须有安全警示标语，例如有电危险等字样）。</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二、电气系统</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1、电源供应：提供稳定的220V/50Hz电源供应系统，确保设备正常运行。</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2、安全保护：配备过载保护和短路保护功能，有效防止电气故障对设备造成损害。</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3、防雷防浪涌：集成防雷击和防浪涌设计，保护设备免受雷电和电网波动的影响。</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三、流路系统</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1、采水单元：配备自吸泵，电源AC220V/50Hz，功率不小于150W、扬程≥20m、吸程≥6米。</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2、配水单元：自带多参数池、电动阀门、过滤装置，确保水质样本的均匀分布和有效检测。</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四、安装方式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现浇设备基础，能够承受设备重力，确保稳定。</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297F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58E8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4226A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3ECA8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2.2.8</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904B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pH传感器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A046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量程范围：0～14</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分辨率：0.01</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精确度：小于1%（pH：0.5）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稳定性能：±1%FS/Y</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温度漂移：±1%FS/℃（温度补偿范围内）</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B887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7605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14347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6809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2.2.9</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F2C4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电导率传感器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7B3D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量程范围:0-9999μS/cm</w:t>
            </w:r>
          </w:p>
          <w:p w14:paraId="785EA5C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分辨率：1μS/cm；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精确度：±5%FS。</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0786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C6FC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5F461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5AB5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5F96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浊度传感器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22C1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量程：0-1000NTU</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结构：一体式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接口：防水接头</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精度：＜5%或0.3NTU</w:t>
            </w:r>
            <w:r>
              <w:rPr>
                <w:rFonts w:hint="eastAsia" w:ascii="Times New Roman" w:hAnsi="Times New Roman" w:cs="Times New Roman"/>
                <w:snapToGrid w:val="0"/>
                <w:color w:val="auto"/>
                <w:kern w:val="0"/>
                <w:sz w:val="21"/>
                <w:szCs w:val="21"/>
                <w:lang w:val="en-US" w:eastAsia="zh-CN"/>
              </w:rPr>
              <w:t>（满足任意条件即可）</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通讯：RS485（标准modbusrtu协议）</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7020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31B0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667F1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81FE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9E2A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溶解氧传感器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6304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测量原理：荧光法</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量程：0-20mg/L</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结构：一体式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接口：防水接头</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通讯：RS485（标准modbusrtu协议）</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7689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2A4F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30BB7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BF48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2.2.12</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D864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智能氨氮传感器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5B52C">
            <w:pPr>
              <w:keepNext w:val="0"/>
              <w:keepLines w:val="0"/>
              <w:pageBreakBefore w:val="0"/>
              <w:widowControl/>
              <w:numPr>
                <w:ilvl w:val="0"/>
                <w:numId w:val="4"/>
              </w:numPr>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测量要求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1.量测范围：0～20mg/L，0～100mg/L，0～1000mg/L（可选）；</w:t>
            </w:r>
          </w:p>
          <w:p w14:paraId="39AAFC3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2.精确度：±5%FS；</w:t>
            </w:r>
          </w:p>
          <w:p w14:paraId="2E52F11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3.分辨率：1mg/L。</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4.测量原理：离子选择法。</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5.通讯：RS485（标准modbusrtu协议）。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二、其他要求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1.整机防护等级为IP67。</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A80A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E1F9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17DED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B359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2.2.13</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17A1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智能COD传感器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3D402">
            <w:pPr>
              <w:keepNext w:val="0"/>
              <w:keepLines w:val="0"/>
              <w:pageBreakBefore w:val="0"/>
              <w:widowControl/>
              <w:numPr>
                <w:ilvl w:val="0"/>
                <w:numId w:val="5"/>
              </w:numPr>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测量要求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1.COD量程：0-500mg/L；</w:t>
            </w:r>
          </w:p>
          <w:p w14:paraId="1703BA6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2.分辨率：0.1mg/L；</w:t>
            </w:r>
          </w:p>
          <w:p w14:paraId="44883F1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3.精确度：±5%FS；</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4.测量原理：紫外吸收法。</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5.通讯：RS485（标准modbusrtu协议）。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二、其他要求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1.整机防护等级为IP67。</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E5AF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9</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92BC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110C5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2A84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0671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氟化物传感器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E763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一、测量要求</w:t>
            </w:r>
          </w:p>
          <w:p w14:paraId="1AF9194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1.量程:0.1-1900mg/L(以内自定义);</w:t>
            </w:r>
          </w:p>
          <w:p w14:paraId="050A898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2.精度:士5.0%FS;</w:t>
            </w:r>
          </w:p>
          <w:p w14:paraId="379548E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3.耐压:0-3bar;</w:t>
            </w:r>
          </w:p>
          <w:p w14:paraId="01E3745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4.螺纹:NPT3/4;</w:t>
            </w:r>
          </w:p>
          <w:p w14:paraId="75942EE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5.防护等级:IP67;</w:t>
            </w:r>
          </w:p>
          <w:p w14:paraId="3809448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6.材质:PC;</w:t>
            </w:r>
          </w:p>
          <w:p w14:paraId="2970C9B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7.通讯:RS485（标准modbusrtu协议）</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B6E3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9FEE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27757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FEF9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15C5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微功耗无线智能监测终端</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F787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一、数据采集要求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1.不少于2路RS485接口。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2.支持外部传感器3.3V、12V、24V供电。</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3.主机支持接入液位、流速、压力、温湿度、气体监测等各类传感器。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二、管理要求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1.设备能远程设定各类水质传感器、压力、温湿度、气体监测等各类传感器的告警阈值，当超过阈值和恢复正常时能实时上发告警信息。</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三、自供电要求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1.设备内置高性能锂电池；保障设备自身状态监测，设备防盗监测，数据处理与无线通信；电池续航时间不少于3年。</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四、通信要求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1.设备内置4G或NB-IoT无线通信模块（含3年无线通信费），在运营商无线信号不好的情况下，可替换为Lora无线中继通信，可保障平台能够不间断收到测量的数据。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2.标准传输频率：每30min一次（NB-IoT无线传输）,每1h一次（4G无线传输），每5min一次（Lora无线中继传输），可自定义传输频率1min～24h。开关唤醒后实时上传。告警数据立即上传，并加快传输频率。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3.采用工业级贴片式SIM卡。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五、其他要求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1.整机防护等级为IP67。</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highlight w:val="none"/>
                <w:lang w:val="en-US" w:eastAsia="zh-CN"/>
              </w:rPr>
              <w:t>2、整机需取得防爆合格证。</w:t>
            </w:r>
            <w:r>
              <w:rPr>
                <w:rFonts w:hint="eastAsia" w:ascii="Times New Roman" w:hAnsi="Times New Roman" w:eastAsia="宋体" w:cs="Times New Roman"/>
                <w:b/>
                <w:bCs/>
                <w:snapToGrid w:val="0"/>
                <w:color w:val="auto"/>
                <w:kern w:val="0"/>
                <w:sz w:val="21"/>
                <w:szCs w:val="21"/>
                <w:highlight w:val="none"/>
                <w:lang w:val="en-US" w:eastAsia="zh-CN"/>
              </w:rPr>
              <w:t>（投标文件中需要提供防爆合格证）</w:t>
            </w:r>
            <w:r>
              <w:rPr>
                <w:rFonts w:hint="default" w:ascii="Times New Roman" w:hAnsi="Times New Roman" w:eastAsia="宋体" w:cs="Times New Roman"/>
                <w:b/>
                <w:bCs/>
                <w:snapToGrid w:val="0"/>
                <w:color w:val="auto"/>
                <w:kern w:val="0"/>
                <w:sz w:val="21"/>
                <w:szCs w:val="21"/>
                <w:highlight w:val="none"/>
                <w:lang w:val="en-US" w:eastAsia="zh-CN"/>
              </w:rPr>
              <w:br w:type="textWrapping"/>
            </w:r>
            <w:r>
              <w:rPr>
                <w:rFonts w:hint="default" w:ascii="Times New Roman" w:hAnsi="Times New Roman" w:eastAsia="宋体" w:cs="Times New Roman"/>
                <w:snapToGrid w:val="0"/>
                <w:color w:val="auto"/>
                <w:kern w:val="0"/>
                <w:sz w:val="21"/>
                <w:szCs w:val="21"/>
                <w:lang w:val="en-US" w:eastAsia="zh-CN"/>
              </w:rPr>
              <w:t>3、设备需有防腐能力，</w:t>
            </w:r>
            <w:r>
              <w:rPr>
                <w:rFonts w:hint="default" w:ascii="Times New Roman" w:hAnsi="Times New Roman" w:eastAsia="宋体" w:cs="Times New Roman"/>
                <w:snapToGrid w:val="0"/>
                <w:color w:val="auto"/>
                <w:kern w:val="0"/>
                <w:sz w:val="21"/>
                <w:szCs w:val="21"/>
                <w:highlight w:val="none"/>
                <w:lang w:val="en-US" w:eastAsia="zh-CN"/>
              </w:rPr>
              <w:t>需通过酸性盐雾防腐测试，</w:t>
            </w:r>
            <w:r>
              <w:rPr>
                <w:rFonts w:hint="default" w:ascii="Times New Roman" w:hAnsi="Times New Roman" w:eastAsia="宋体" w:cs="Times New Roman"/>
                <w:snapToGrid w:val="0"/>
                <w:color w:val="auto"/>
                <w:kern w:val="0"/>
                <w:sz w:val="21"/>
                <w:szCs w:val="21"/>
                <w:lang w:val="en-US" w:eastAsia="zh-CN"/>
              </w:rPr>
              <w:t>不能有任何腐蚀情况。</w:t>
            </w:r>
            <w:r>
              <w:rPr>
                <w:rFonts w:hint="eastAsia" w:ascii="Times New Roman" w:hAnsi="Times New Roman" w:eastAsia="宋体" w:cs="Times New Roman"/>
                <w:b/>
                <w:bCs/>
                <w:snapToGrid w:val="0"/>
                <w:color w:val="auto"/>
                <w:kern w:val="0"/>
                <w:sz w:val="21"/>
                <w:szCs w:val="21"/>
                <w:highlight w:val="none"/>
                <w:lang w:val="en-US" w:eastAsia="zh-CN"/>
              </w:rPr>
              <w:t>（投标文件中需要提供测试（检测）</w:t>
            </w:r>
            <w:r>
              <w:rPr>
                <w:rFonts w:hint="eastAsia" w:ascii="Times New Roman" w:hAnsi="Times New Roman" w:eastAsia="宋体" w:cs="Times New Roman"/>
                <w:b/>
                <w:bCs/>
                <w:snapToGrid w:val="0"/>
                <w:color w:val="auto"/>
                <w:kern w:val="0"/>
                <w:sz w:val="21"/>
                <w:szCs w:val="21"/>
                <w:lang w:val="en-US" w:eastAsia="zh-CN"/>
              </w:rPr>
              <w:t>报告）</w:t>
            </w:r>
            <w:r>
              <w:rPr>
                <w:rFonts w:hint="default" w:ascii="Times New Roman" w:hAnsi="Times New Roman" w:eastAsia="宋体" w:cs="Times New Roman"/>
                <w:b/>
                <w:bCs/>
                <w:snapToGrid w:val="0"/>
                <w:color w:val="auto"/>
                <w:kern w:val="0"/>
                <w:sz w:val="21"/>
                <w:szCs w:val="21"/>
                <w:lang w:val="en-US" w:eastAsia="zh-CN"/>
              </w:rPr>
              <w:br w:type="textWrapping"/>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9D1D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6</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D7B5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076A2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26"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E7D9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2.2.16</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674E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微功耗无线智能液位监测终端</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65F1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eastAsia"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一、测量要求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1.设备支持超声波液位传感器的非接触式测量，液位到达超声波盲区时自动切换到静压液位传感器，实现不同工况下的全量程无盲区液位测量。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2.考虑到可安装性、可维护性，液位传感器应为融合了超声波液位传感器、高精度静压液位传感器的一体化产品，拒绝接受以上两种独立液位传感器拼凑在一起的产品。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3.超声波液位量程≥3m，液位量程：≥7m。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4.液位精度：超声波液位精度：±0.2%FS，静压液位精度：±0.5%FS。</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5.标准测量频率：每60s一次(可设置测量频率10s-24H)，测量数据均带有时标。</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6.鉴于施工无法保证液位传感器100%垂直安装，液位传感器内置高精度倾角传感器；传感器可测量XY轴角度，测量范围0-180°,实时监测液位传感器实际安装与垂直方向倾斜角度，异常时能进行数据上报告警。</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7.液位传感器应内置温度传感器，实时自动温度补偿。</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二、其他要求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1、整机防护等级为IP67</w:t>
            </w:r>
            <w:r>
              <w:rPr>
                <w:rFonts w:hint="eastAsia" w:ascii="Times New Roman" w:hAnsi="Times New Roman" w:eastAsia="宋体" w:cs="Times New Roman"/>
                <w:snapToGrid w:val="0"/>
                <w:color w:val="auto"/>
                <w:kern w:val="0"/>
                <w:sz w:val="21"/>
                <w:szCs w:val="21"/>
                <w:lang w:val="en-US" w:eastAsia="zh-CN"/>
              </w:rPr>
              <w:t>。</w:t>
            </w:r>
          </w:p>
          <w:p w14:paraId="79928EC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highlight w:val="none"/>
                <w:lang w:val="en-US" w:eastAsia="zh-CN"/>
              </w:rPr>
              <w:t>2、整机需取得防爆合格证。</w:t>
            </w:r>
            <w:r>
              <w:rPr>
                <w:rFonts w:hint="default" w:ascii="Times New Roman" w:hAnsi="Times New Roman" w:eastAsia="宋体" w:cs="Times New Roman"/>
                <w:b/>
                <w:bCs/>
                <w:snapToGrid w:val="0"/>
                <w:color w:val="auto"/>
                <w:kern w:val="0"/>
                <w:sz w:val="21"/>
                <w:szCs w:val="21"/>
                <w:highlight w:val="none"/>
                <w:lang w:val="en-US" w:eastAsia="zh-CN"/>
              </w:rPr>
              <w:t>（</w:t>
            </w:r>
            <w:r>
              <w:rPr>
                <w:rFonts w:hint="eastAsia" w:ascii="Times New Roman" w:hAnsi="Times New Roman" w:eastAsia="宋体" w:cs="Times New Roman"/>
                <w:b/>
                <w:bCs/>
                <w:snapToGrid w:val="0"/>
                <w:color w:val="auto"/>
                <w:kern w:val="0"/>
                <w:sz w:val="21"/>
                <w:szCs w:val="21"/>
                <w:highlight w:val="none"/>
                <w:lang w:val="en-US" w:eastAsia="zh-CN"/>
              </w:rPr>
              <w:t>投标文件中需要</w:t>
            </w:r>
            <w:r>
              <w:rPr>
                <w:rFonts w:hint="default" w:ascii="Times New Roman" w:hAnsi="Times New Roman" w:eastAsia="宋体" w:cs="Times New Roman"/>
                <w:b/>
                <w:bCs/>
                <w:snapToGrid w:val="0"/>
                <w:color w:val="auto"/>
                <w:kern w:val="0"/>
                <w:sz w:val="21"/>
                <w:szCs w:val="21"/>
                <w:highlight w:val="none"/>
                <w:lang w:val="en-US" w:eastAsia="zh-CN"/>
              </w:rPr>
              <w:t>提供防爆合格证）</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DBD8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6</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1036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1F646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0112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2.2.17</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A898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智能采样模块</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E6C3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1、设备具备多种采样方式，包括定时采样、水质参数超标触发采样、手动采样、远程采样。</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2、设备专为无市电环境设计，采用太阳能与锂电池结合的供电方式。其容量保证设备在完全无阳光补充的条件下，至少完成3次完整采样与制冷周期（制冷周期不少于16小时）。</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3、设备采用低功耗制冷技术。采样完成后，在120分钟内将500ml水样从环境温度降至设定的保存温度。</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4、设备在留样工作过程中，支持保存温度在4℃至10℃范围内可调，温度的偏差＜±2℃。</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5、设备待机功耗≤0.1W，制冷功耗≤45W。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6、设备采样系统具备不小于8米的垂直提升能力。</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7、设备能存储至少2份独立水样。每个采样瓶的有效容积不得低于500毫升。样品瓶采用独立封装设计，避免交叉污染，并便于取放和更换。</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8、设备具备完备的智能自诊断功能，能实时监测设备姿态、电池电压及箱体内温湿度等关键状态。当发生包括但不限于设备破坏、电池低压、制冷失效、取水异常等故障时，立即生成告警事件，并通过设备内置的4G网络将详细的告警信息与采样状态数据直接、实时上传至监控平台。</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9、设备具备基于水样保存区实时智能温控功能，能够根据设定阈值自动、精确地启停制冷机制，以实现低功耗运行。</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10、设备具备智能能源管理功能，在高温季节利用过剩太阳能对保存腔进行提前降温。</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11、设备具备自动排空、自动润洗功能，保证留样的代表性。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12、设备整机防护等级不低于IP55</w:t>
            </w:r>
            <w:r>
              <w:rPr>
                <w:rFonts w:hint="default" w:ascii="Times New Roman" w:hAnsi="Times New Roman" w:eastAsia="宋体" w:cs="Times New Roman"/>
                <w:snapToGrid w:val="0"/>
                <w:color w:val="auto"/>
                <w:kern w:val="0"/>
                <w:sz w:val="21"/>
                <w:szCs w:val="21"/>
                <w:highlight w:val="none"/>
                <w:lang w:val="en-US" w:eastAsia="zh-CN"/>
              </w:rPr>
              <w:t>，关键核心部件</w:t>
            </w:r>
            <w:r>
              <w:rPr>
                <w:rFonts w:hint="eastAsia" w:ascii="Times New Roman" w:hAnsi="Times New Roman" w:eastAsia="宋体" w:cs="Times New Roman"/>
                <w:snapToGrid w:val="0"/>
                <w:color w:val="auto"/>
                <w:kern w:val="0"/>
                <w:sz w:val="21"/>
                <w:szCs w:val="21"/>
                <w:highlight w:val="none"/>
                <w:lang w:val="en-US" w:eastAsia="zh-CN"/>
              </w:rPr>
              <w:t>（控制单元）</w:t>
            </w:r>
            <w:r>
              <w:rPr>
                <w:rFonts w:hint="default" w:ascii="Times New Roman" w:hAnsi="Times New Roman" w:eastAsia="宋体" w:cs="Times New Roman"/>
                <w:snapToGrid w:val="0"/>
                <w:color w:val="auto"/>
                <w:kern w:val="0"/>
                <w:sz w:val="21"/>
                <w:szCs w:val="21"/>
                <w:lang w:val="en-US" w:eastAsia="zh-CN"/>
              </w:rPr>
              <w:t>防护等级不低于IP68。</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D24C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6</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E3CF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18D24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90CC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2.2.18</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1C90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人工水质采样监测</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6862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排污口水质定期人工采样检测</w:t>
            </w:r>
            <w:r>
              <w:rPr>
                <w:rFonts w:hint="eastAsia" w:ascii="Times New Roman" w:hAnsi="Times New Roman" w:cs="Times New Roman"/>
                <w:snapToGrid w:val="0"/>
                <w:color w:val="auto"/>
                <w:kern w:val="0"/>
                <w:sz w:val="21"/>
                <w:szCs w:val="21"/>
                <w:lang w:val="en-US" w:eastAsia="zh-CN"/>
              </w:rPr>
              <w:t>。</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6284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438</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18FB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个</w:t>
            </w:r>
          </w:p>
        </w:tc>
      </w:tr>
      <w:tr w14:paraId="38D29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E08B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2.2.19</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9991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排污口动态管理</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1C82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对排污口位置、材质、形态、上游管网等内容进行动态监管，动态管理周期3年</w:t>
            </w:r>
            <w:r>
              <w:rPr>
                <w:rFonts w:hint="eastAsia" w:ascii="Times New Roman" w:hAnsi="Times New Roman" w:cs="Times New Roman"/>
                <w:snapToGrid w:val="0"/>
                <w:color w:val="auto"/>
                <w:kern w:val="0"/>
                <w:sz w:val="21"/>
                <w:szCs w:val="21"/>
                <w:lang w:val="en-US" w:eastAsia="zh-CN"/>
              </w:rPr>
              <w:t>。</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EEF4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2835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项</w:t>
            </w:r>
          </w:p>
        </w:tc>
      </w:tr>
      <w:tr w14:paraId="0C721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7764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44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F3691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入河排污口视频监控系统设备</w:t>
            </w:r>
          </w:p>
        </w:tc>
      </w:tr>
      <w:tr w14:paraId="30FBB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C063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A54F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排污口球机摄像头</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3F15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支持排污口监测智能算法，支持排污口排水检测、漂浮物检测（</w:t>
            </w:r>
            <w:r>
              <w:rPr>
                <w:rFonts w:hint="eastAsia" w:ascii="Times New Roman" w:hAnsi="Times New Roman" w:cs="Times New Roman"/>
                <w:snapToGrid w:val="0"/>
                <w:color w:val="auto"/>
                <w:kern w:val="0"/>
                <w:sz w:val="21"/>
                <w:szCs w:val="21"/>
                <w:lang w:val="en-US" w:eastAsia="zh-CN"/>
              </w:rPr>
              <w:t>支持不少于</w:t>
            </w:r>
            <w:r>
              <w:rPr>
                <w:rFonts w:hint="default" w:ascii="Times New Roman" w:hAnsi="Times New Roman" w:eastAsia="宋体" w:cs="Times New Roman"/>
                <w:snapToGrid w:val="0"/>
                <w:color w:val="auto"/>
                <w:kern w:val="0"/>
                <w:sz w:val="21"/>
                <w:szCs w:val="21"/>
                <w:lang w:val="en-US" w:eastAsia="zh-CN"/>
              </w:rPr>
              <w:t>三个AI智能算法通过预置点切换实现）</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适用于工业污染源废水、自来水厂、污水处理厂、江河湖泊排污口、入海排污口等场景</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采用双镜头设计，兼顾全景细节</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全景采用1个F1.0大光圈全彩镜头，支持内置水尺读取智能算法、支持全天24小时自动读取标准水尺获取水位数据、支持SL651-2014水文通讯规约</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支持全功耗模式、低功耗模式、休眠模式，最低功耗0.5W以内</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支持磁编，运动精度偏差小于0.08度</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支持翻斗式雨量计接入和雨量数据上报</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支持远程唤醒功能，休眠状态可通过平台下发指令唤醒</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支持定时抓图和录像功能，每个通道独立配置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支持除雾配置功能，内置加热玻璃，有效除雾</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细节路支持周界、水位检测、AI开放平台，默认水位检测，全景路支持周界</w:t>
            </w:r>
            <w:r>
              <w:rPr>
                <w:rFonts w:hint="default" w:ascii="Times New Roman" w:hAnsi="Times New Roman" w:eastAsia="宋体" w:cs="Times New Roman"/>
                <w:snapToGrid w:val="0"/>
                <w:color w:val="auto"/>
                <w:kern w:val="0"/>
                <w:sz w:val="21"/>
                <w:szCs w:val="21"/>
                <w:shd w:val="clear" w:fill="FFFF00"/>
                <w:lang w:val="en-US" w:eastAsia="zh-CN"/>
              </w:rPr>
              <w:br w:type="textWrapping"/>
            </w:r>
            <w:r>
              <w:rPr>
                <w:rFonts w:hint="default" w:ascii="Times New Roman" w:hAnsi="Times New Roman" w:eastAsia="宋体" w:cs="Times New Roman"/>
                <w:snapToGrid w:val="0"/>
                <w:color w:val="auto"/>
                <w:kern w:val="0"/>
                <w:sz w:val="21"/>
                <w:szCs w:val="21"/>
                <w:lang w:val="en-US" w:eastAsia="zh-CN"/>
              </w:rPr>
              <w:t>Smar跟随：手动跟随,支持多场景巡航跟随,事件跟随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支持声光警戒：报警联动白光闪烁报警和声音报警，声音内容可选</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支持全景路2560×1440@30fps高清画面输出，细节路最大2560×1440@30fps高清画面输出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支持H.265高效压缩算法，可较大节省存储空间</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支持陀螺仪</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IP67；6000V防雷、防浪涌、防突波，符合GB/T17626.2/3/4/5/6四级标准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支持雨刷</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内置MicroSD卡插槽，支持MicroSD(即TF卡)/MicroSDHC/MicroSDXC卡，最大支持256GB</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highlight w:val="none"/>
                <w:lang w:val="en-US" w:eastAsia="zh-CN"/>
              </w:rPr>
              <w:t>支持排水口排水状态识别，可识别排水口是否有水流出，支持触发报警</w:t>
            </w:r>
            <w:r>
              <w:rPr>
                <w:rFonts w:hint="default" w:ascii="Times New Roman" w:hAnsi="Times New Roman" w:eastAsia="宋体" w:cs="Times New Roman"/>
                <w:snapToGrid w:val="0"/>
                <w:color w:val="auto"/>
                <w:kern w:val="0"/>
                <w:sz w:val="21"/>
                <w:szCs w:val="21"/>
                <w:highlight w:val="yellow"/>
                <w:lang w:val="en-US" w:eastAsia="zh-CN"/>
              </w:rPr>
              <w:br w:type="textWrapping"/>
            </w:r>
            <w:r>
              <w:rPr>
                <w:rFonts w:hint="default" w:ascii="Times New Roman" w:hAnsi="Times New Roman" w:eastAsia="宋体" w:cs="Times New Roman"/>
                <w:snapToGrid w:val="0"/>
                <w:color w:val="auto"/>
                <w:kern w:val="0"/>
                <w:sz w:val="21"/>
                <w:szCs w:val="21"/>
                <w:highlight w:val="none"/>
                <w:shd w:val="clear"/>
                <w:lang w:val="en-US" w:eastAsia="zh-CN"/>
              </w:rPr>
              <w:t>支持漂浮物检测，当水面出现漂浮物且漂浮物面积大于阈值时，可给出报警提示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设备支持在IE浏览器下，可配置全功耗模式和低功耗模式。全功耗模式下，全景和细节通道都处于工作状态，低功耗模式下，全景通道处于工作状态，细节通道处于休眠状态；设备在定时休眠状态下，可通过平台下发指令被唤醒</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当设备进入低电休眠或定时休眠状态后，功耗≤0.5W</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7D14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22</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FFEE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75ABA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9BD4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3.2</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7826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排污口太阳能枪机摄像头</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30AD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采用深度学习硬件及算法，支持越界侦测，区域入侵侦测，进入区域侦测和离开区域侦测，支持联动声音报警</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最高分辨率可达2688×1520@25fps，在该分辨率下可输出实时图像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支持背光补偿，强光抑制，3D数字降噪，120dB宽动态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支持ROI感兴趣区域增强编码，支持Smart265/264编码，可根据场景情况自适应调整码率分配，有效节省存储成本</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1个内置麦克风，1个内置扬声器，支持双向语音对讲</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支持最大256GBMicroSD/MicroSDHC/MicroSDXC卡本地存储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支持1路报警输入，1路报警输出（报警输出最大支持AC24V/DC24V，1A），1路音频输入，1路音频输出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支持：DC12V，100mA电源输出，可用于拾音器供电</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支持白光/红外双补光，红外最远可达50m，白光最远可达30m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传感器类型：1/3"ProgressiveScanCMOS</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最低照度：彩色：0.005Lux@（F1.2，AGCON），0LuxwithIR</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宽动态：120dB</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补光灯类型：智能补光，可切换白光灯、红外灯</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补光距离：红外光最远可达50m，白光最远可达30m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防补光过曝：支持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最大图像尺寸：2688×1520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视频压缩标准：主码流：H.265/H.264</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子码流：H.265/H.264/MJPEG</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第三码流：H.265/H.264</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网络：1个RJ4510M/100M自适应以太网口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SD卡扩展：内置MicroSD/MicroSDHC/MicroSDXC插槽，最大支持256GB，配置256GBTF卡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音频：1路输入（Linein）：2芯端子，最大输入幅值：3.3Vpp，输入阻抗：2.2kΩ，接口类型：非平衡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1路输出（Lineout）：2芯端子，最大输出幅值：3.3Vpp，输出阻抗：100Ω，接口类型：非平衡</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1个内置麦克风，1个内置扬声器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报警：1路输入，1路输出（报警输出最大支持AC24V/DC24V，1A）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启动及工作温湿度：-30℃~60℃，湿度小于95%（无凝结）</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电流及功耗：DC：12V，0.84A，最大功耗：10W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PoE：802.3af，36V~57V，0.35A~0.22A，最大功耗：12.5W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供电方式：DC：12V±25%，支持防反接保护</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PoE：802.3af，Class3</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电源接口类型：Ø5.5mm圆口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防护：IP66</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1052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9F4E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2BE9F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B0E0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3.3</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21A9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太阳能供电系统</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CDEC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太阳能锂电供电系统_100AH电池180W太阳能板</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专为无网无电设计的电力解决方案，实现离网电力自给自足</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电池12.8V100AH，太阳能板180W，支持宽压DC11.6~14.6V输出，最大瞬时输出功率100W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电池续航：按照10W负载评估，每天24小时工作可以实现阴雨天续航5.1天（受实际安装环境和地理位置影响，存在部分偏差）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采用高品质单晶硅片，光电转化高，严苛质检程序，25年发电效率保障</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采用磷酸铁锂电池，优异的高温与低温放电性能，独特SOC算法，电量显示更精准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通过BMS-485远程监控SOC状态，太阳能板状态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LED指示灯和按键，便于查询SOC、充电CHG、放电DHG状态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Q235碳钢支架，表面防腐喷涂，抱箍安装形式，无需打孔</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工作温湿度：湿度＜90%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防护：TVS4000V防雷、防浪涌、防突波，符合GB/T17626.5四级标准</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太阳能组件类型：单晶硅太阳能板</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太阳能组件转换效率：19%</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太阳能组件功耗/电压/电流：180W/18.2V/9.86A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太阳能板尺寸：1290*760*30mm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电池类型：磷酸铁锂蓄电池</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电池电芯数量/容量：100Ah（0.1C@25℃）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电池额定电压：12.8VDC</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电池充电限制电压：14.6V</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工作电压范围：11.6-14.6V</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电池最大持续工作电流：放电：10A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充电：15A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电池循环使用次数：＞2000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电池保护功能：温度保护，过充过放保护，过流短路保护</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电池充电温度：-20℃~60℃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电池放电温度：-25℃~60℃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电池尺寸：300*280*150mm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安装方式：抱箍安装，适用于杆径89-210mm立杆</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DB14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3179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5BB3E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D1A6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AD30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立杆套件</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B5AF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立杆：4.5米立杆，主干直径≥114mm；主干壁厚：</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2.5~3mm；横臂直径≥76mm；横臂壁厚：≥2mm及配地笼。</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含电控箱；</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C47E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25</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0316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34448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EC78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CF54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云服务器1</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36ED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国产化云服务器，配置8核CPU/32GB内存，系统盘50GB，数据盘500G（SSD）</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A1ED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FE02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1A479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C508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3.6</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A07E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云服务器2</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F823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国产化云服务器，配置16核CPU/64GB内存，系统盘50GB，数据盘1TB（SSD）</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098B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61FF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5E6AB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8182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3.7</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1811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云数据库</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9C10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国产信创云数据4核16G，500G存储（SSD）</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5C40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E4F5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5E240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B471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3.8</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E65B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国信创操作系统</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664B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snapToGrid w:val="0"/>
                <w:color w:val="auto"/>
                <w:kern w:val="0"/>
                <w:sz w:val="21"/>
                <w:szCs w:val="21"/>
                <w:highlight w:val="none"/>
                <w:lang w:val="en-US" w:eastAsia="zh-CN"/>
              </w:rPr>
              <w:t>国产信创操作系统服务器版本</w:t>
            </w:r>
          </w:p>
          <w:p w14:paraId="20F66EA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highlight w:val="none"/>
                <w:lang w:val="en-US" w:eastAsia="en-US"/>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6D7C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83D2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22CD5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4E44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3.9</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DF54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云WAF</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710B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保护域名授权上限2个，新建2000，并发15000，防护流量20Mbps</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DAD8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C276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77473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D9F9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CA2C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云数据库审计</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A3C0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1个数据库实例审计，纯数据库流量上限：100Mbs，峰值事务处理能力:10000(条/秒)</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日志数量存储:4亿条</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5599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56D5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4EE67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346C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B855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云日志审计</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A841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支持5个日志源审计</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FB18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F643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1261A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5BB5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3.12</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AA7C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云宽带</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3AC6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20M独享带宽</w:t>
            </w:r>
            <w:r>
              <w:rPr>
                <w:rFonts w:hint="eastAsia" w:ascii="Times New Roman" w:hAnsi="Times New Roman" w:eastAsia="宋体" w:cs="Times New Roman"/>
                <w:snapToGrid w:val="0"/>
                <w:color w:val="auto"/>
                <w:kern w:val="0"/>
                <w:sz w:val="21"/>
                <w:szCs w:val="21"/>
                <w:lang w:val="en-US" w:eastAsia="zh-CN"/>
              </w:rPr>
              <w:t>（1条）</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F931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23BF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年</w:t>
            </w:r>
          </w:p>
        </w:tc>
      </w:tr>
      <w:tr w14:paraId="6397F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A586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3.13</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D0EF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网络安全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17C9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二级等保检测服务</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683C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93C3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项</w:t>
            </w:r>
          </w:p>
        </w:tc>
      </w:tr>
      <w:tr w14:paraId="6B4F9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3509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1085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视频综合管理一体机</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688A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left"/>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4路HDMI输入+8路HDMI输出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3U标准机架式机箱，运营级ATCA机箱系统</w:t>
            </w:r>
            <w:r>
              <w:rPr>
                <w:rFonts w:hint="default" w:ascii="Times New Roman" w:hAnsi="Times New Roman" w:eastAsia="宋体" w:cs="Times New Roman"/>
                <w:snapToGrid w:val="0"/>
                <w:color w:val="auto"/>
                <w:kern w:val="0"/>
                <w:sz w:val="21"/>
                <w:szCs w:val="21"/>
                <w:highlight w:val="yellow"/>
                <w:shd w:val="clear" w:fill="FFFF00"/>
                <w:lang w:val="en-US" w:eastAsia="zh-CN"/>
              </w:rPr>
              <w:br w:type="textWrapping"/>
            </w:r>
            <w:r>
              <w:rPr>
                <w:rFonts w:hint="default" w:ascii="Times New Roman" w:hAnsi="Times New Roman" w:eastAsia="宋体" w:cs="Times New Roman"/>
                <w:snapToGrid w:val="0"/>
                <w:color w:val="auto"/>
                <w:kern w:val="0"/>
                <w:sz w:val="21"/>
                <w:szCs w:val="21"/>
                <w:lang w:val="en-US" w:eastAsia="zh-CN"/>
              </w:rPr>
              <w:t>插拔式模块化设计，可根据需求灵活选择机型</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业务模块支持智能风扇自动调温，确保系统稳定可靠</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支持HDMI信号输入输出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支持H.264/H.265编码，默认采用H.265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解码支持H.265、H.264、MJPEG等主流的编码格式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支持4路高清视频编码能力</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支持64路高清视频解码能力</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视频输出最大的LED带载能力为单口260W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支持3200W高清视频解码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支持8个显示屏的任意大屏拼接</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单输出口支持1/4/6/8/9/16/25画面分割显示</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支持开窗和漫游，最多支持128个窗口，单屏支持4个1080p或者2个4K</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支持电视墙预览</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最大支持128个预设场景，用户可以自定义每个场景电视墙布局</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支持虚拟LED功能，最多添加字幕8个，单墙3个</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支持WEB方式访问和操作</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支持ONVIF协议接入设备解码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支持GB协议接入平台实现管理和操作</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总线类型：千兆网交换</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配置主控板数量：1</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电源槽位数：2</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配置电源数量：1</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业务板槽位数：6</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整机解码能力：64路1080P30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整机拼接能力：8路</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USB接口：2个，USB2.0</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电视墙数量：8个</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电视墙规模：≤8</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开窗数量：128</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单口画面分割数：1/4/6/8/9/16/25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输入源复制能力：支持</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工作温度：0°C~50°C</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工作湿度：10%～90%</w:t>
            </w:r>
            <w:r>
              <w:rPr>
                <w:rFonts w:hint="default" w:ascii="Times New Roman" w:hAnsi="Times New Roman" w:eastAsia="宋体" w:cs="Times New Roman"/>
                <w:snapToGrid w:val="0"/>
                <w:color w:val="auto"/>
                <w:kern w:val="0"/>
                <w:sz w:val="21"/>
                <w:szCs w:val="21"/>
                <w:shd w:val="clear" w:fill="FFFF00"/>
                <w:lang w:val="en-US" w:eastAsia="zh-CN"/>
              </w:rPr>
              <w:br w:type="textWrapping"/>
            </w:r>
            <w:r>
              <w:rPr>
                <w:rFonts w:hint="default" w:ascii="Times New Roman" w:hAnsi="Times New Roman" w:eastAsia="宋体" w:cs="Times New Roman"/>
                <w:snapToGrid w:val="0"/>
                <w:color w:val="auto"/>
                <w:kern w:val="0"/>
                <w:sz w:val="21"/>
                <w:szCs w:val="21"/>
                <w:lang w:val="en-US" w:eastAsia="zh-CN"/>
              </w:rPr>
              <w:t>音频输入接口数：4</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音频输入接口类型：HDMI内嵌</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C742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96E0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07644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8E51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ACA5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视频存储设备</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1C2D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4U机架式24盘位网络存储设备，搭载64位多核处理器，1+1冗余电源、冗余风扇，实现7×24小时稳定运行</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处理器：1颗64位多核处理器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系统内存：16GB（可扩展至64GB）</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系统盘：1×240GBSSD</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数据盘：1×480GBSSD（数据存储）</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存储接口：24个SATA接口，支持硬盘热插拔</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网络接口：2个千兆数据网口，1个千兆管理口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其他接口：1×COM，2×USB2.0，2×USB3.0，1×VGA，1×HDMI</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整机电源：550W，1+1冗余电源</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支持视频流直写</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支持ONVIF、GB/T28181、RTSP等标准协议</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支持VRAID、RAID0、1、5、6、10、50等多种RAID模式</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支持一键配置（VRAID模式），可快速部署阵列和存储池</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支持局部重构，原盘或其克隆盘拔出设备后再插回，未被覆盖数据可快速恢复</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支持视频检索功能，按照监控点编号、录像类型、时间组合等条件查询</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支持视频回放功能：正序回放、定位回放、倍速回放等功能</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支持按需取流功能，未处于录像计划时间内的通道不占用网络带宽</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支持运维总览展示，可快速定位设备异常情况</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CC4AB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214E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0C415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2D2B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3.16</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1904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存储硬盘</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5AEE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12TB容量，3.5英寸，SATA3.0接口，7200RPM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空气盘，CMR传统磁记录</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传输速率267MB/s，256MB高速缓存，流畅存储视频有效防止丢帧</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接口类型：SATA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转速：7200RPM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平均读写功率（W）：10.4W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缓存：256MB</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刻录技术：CMR</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接口传输速率（最大值）：6.0Gb/s</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MTBF：2,000,000</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5C70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18</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58C2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3D570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7752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3.17</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46D8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AI分析服务器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7D17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CPU：2个(12C,120W,2.1GHz)</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内存：2*32GRDIMMDDR4</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硬盘：2*240GSSD2.5+3*4TSATA</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RAID卡：支持RAID0,1,5</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网卡：双千兆网口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电源：2*1300W</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显卡：1*TeslaT4</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8963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2B50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套</w:t>
            </w:r>
          </w:p>
        </w:tc>
      </w:tr>
      <w:tr w14:paraId="2C85F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45DF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3.18</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431D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网络交换机</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C542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千兆级，支持≥24口，适配VPDN网络汇聚</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F561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6E27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1E2DD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3CFA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3.19</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5FEA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路由器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8EC9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LAN口数量：4个</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LAN输出口：千兆网口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无线协议：WiFi6</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WAN接入口：千兆网口</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天线：外置天线</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无线速率：3000M</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内存容量：256MB支持IPv6：</w:t>
            </w:r>
            <w:r>
              <w:rPr>
                <w:rFonts w:hint="default" w:ascii="Times New Roman" w:hAnsi="Times New Roman" w:eastAsia="宋体" w:cs="Times New Roman"/>
                <w:snapToGrid w:val="0"/>
                <w:color w:val="auto"/>
                <w:kern w:val="0"/>
                <w:sz w:val="21"/>
                <w:szCs w:val="21"/>
                <w:lang w:val="en-US" w:eastAsia="zh-CN"/>
              </w:rPr>
              <w:br w:type="textWrapping"/>
            </w:r>
            <w:r>
              <w:rPr>
                <w:rFonts w:hint="default" w:ascii="Times New Roman" w:hAnsi="Times New Roman" w:eastAsia="宋体" w:cs="Times New Roman"/>
                <w:snapToGrid w:val="0"/>
                <w:color w:val="auto"/>
                <w:kern w:val="0"/>
                <w:sz w:val="21"/>
                <w:szCs w:val="21"/>
                <w:lang w:val="en-US" w:eastAsia="zh-CN"/>
              </w:rPr>
              <w:t>支持防火墙</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C8F8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B0BE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47BA4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0E3B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3.20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9A22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显示屏</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A02C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规格：不小于100寸LED显示屏；分辨率：3840×2160；用于监控中心展示。</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1984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6D49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6E2FF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F6CC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3.21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B751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管理电脑</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8881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国产高性能电脑，规格：台式机；处理器：8核16线程；内存：16GB；硬盘：512GBSSD；国产信创操作系统。</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2897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2</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EC99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台</w:t>
            </w:r>
          </w:p>
        </w:tc>
      </w:tr>
      <w:tr w14:paraId="5752E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30BC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3.22</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B310E">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VPDN网络费用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5CDC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VPDN网络费</w:t>
            </w:r>
            <w:r>
              <w:rPr>
                <w:rFonts w:hint="eastAsia" w:ascii="Times New Roman" w:hAnsi="Times New Roman" w:eastAsia="宋体" w:cs="Times New Roman"/>
                <w:snapToGrid w:val="0"/>
                <w:color w:val="auto"/>
                <w:kern w:val="0"/>
                <w:sz w:val="21"/>
                <w:szCs w:val="21"/>
                <w:lang w:val="en-US" w:eastAsia="zh-CN"/>
              </w:rPr>
              <w:t xml:space="preserve"> （50M）</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EF98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23</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81A3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eastAsia" w:ascii="Times New Roman" w:hAnsi="Times New Roman" w:eastAsia="宋体" w:cs="Times New Roman"/>
                <w:snapToGrid w:val="0"/>
                <w:color w:val="auto"/>
                <w:kern w:val="0"/>
                <w:sz w:val="21"/>
                <w:szCs w:val="21"/>
                <w:highlight w:val="none"/>
                <w:lang w:val="en-US" w:eastAsia="zh-CN"/>
              </w:rPr>
              <w:t>条</w:t>
            </w:r>
          </w:p>
        </w:tc>
      </w:tr>
      <w:tr w14:paraId="6BC2A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88F1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3.23</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1C9F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NB物联网网络费用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740A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NB卡费用</w:t>
            </w:r>
            <w:r>
              <w:rPr>
                <w:rFonts w:hint="eastAsia" w:ascii="Times New Roman" w:hAnsi="Times New Roman" w:eastAsia="宋体" w:cs="Times New Roman"/>
                <w:snapToGrid w:val="0"/>
                <w:color w:val="auto"/>
                <w:kern w:val="0"/>
                <w:sz w:val="21"/>
                <w:szCs w:val="21"/>
                <w:lang w:val="en-US" w:eastAsia="zh-CN"/>
              </w:rPr>
              <w:t xml:space="preserve"> （20G/月）</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700C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5</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3AE1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val="en-US" w:eastAsia="en-US"/>
              </w:rPr>
            </w:pPr>
            <w:r>
              <w:rPr>
                <w:rFonts w:hint="eastAsia" w:ascii="Times New Roman" w:hAnsi="Times New Roman" w:eastAsia="宋体" w:cs="Times New Roman"/>
                <w:snapToGrid w:val="0"/>
                <w:color w:val="auto"/>
                <w:kern w:val="0"/>
                <w:sz w:val="21"/>
                <w:szCs w:val="21"/>
                <w:highlight w:val="none"/>
                <w:lang w:val="en-US" w:eastAsia="zh-CN"/>
              </w:rPr>
              <w:t>张</w:t>
            </w:r>
          </w:p>
        </w:tc>
      </w:tr>
      <w:tr w14:paraId="73E6A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1915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3.24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2C00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机房主网络费用</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32D6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both"/>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固定IP（100M）</w:t>
            </w:r>
            <w:r>
              <w:rPr>
                <w:rFonts w:hint="eastAsia" w:ascii="Times New Roman" w:hAnsi="Times New Roman" w:eastAsia="宋体" w:cs="Times New Roman"/>
                <w:snapToGrid w:val="0"/>
                <w:color w:val="auto"/>
                <w:kern w:val="0"/>
                <w:sz w:val="21"/>
                <w:szCs w:val="21"/>
                <w:lang w:val="en-US" w:eastAsia="zh-CN"/>
              </w:rPr>
              <w:t xml:space="preserve"> </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FF5A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default" w:ascii="Times New Roman" w:hAnsi="Times New Roman" w:eastAsia="宋体" w:cs="Times New Roman"/>
                <w:snapToGrid w:val="0"/>
                <w:color w:val="auto"/>
                <w:kern w:val="0"/>
                <w:sz w:val="21"/>
                <w:szCs w:val="21"/>
                <w:highlight w:val="none"/>
                <w:lang w:val="en-US" w:eastAsia="zh-CN"/>
              </w:rPr>
              <w:t>2</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3FFE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highlight w:val="none"/>
                <w:lang w:eastAsia="en-US"/>
              </w:rPr>
            </w:pPr>
            <w:r>
              <w:rPr>
                <w:rFonts w:hint="eastAsia" w:ascii="Times New Roman" w:hAnsi="Times New Roman" w:eastAsia="宋体" w:cs="Times New Roman"/>
                <w:snapToGrid w:val="0"/>
                <w:color w:val="auto"/>
                <w:kern w:val="0"/>
                <w:sz w:val="21"/>
                <w:szCs w:val="21"/>
                <w:highlight w:val="none"/>
                <w:lang w:val="en-US" w:eastAsia="zh-CN"/>
              </w:rPr>
              <w:t>条</w:t>
            </w:r>
          </w:p>
        </w:tc>
      </w:tr>
    </w:tbl>
    <w:p w14:paraId="1E0D3AA7">
      <w:pPr>
        <w:bidi w:val="0"/>
        <w:rPr>
          <w:rFonts w:hint="eastAsia" w:asciiTheme="minorEastAsia" w:hAnsiTheme="minorEastAsia" w:eastAsiaTheme="minorEastAsia" w:cstheme="minorEastAsia"/>
          <w:b/>
          <w:bCs/>
          <w:color w:val="auto"/>
          <w:sz w:val="28"/>
          <w:szCs w:val="28"/>
          <w:lang w:val="en-US" w:eastAsia="zh-CN"/>
        </w:rPr>
      </w:pPr>
      <w:bookmarkStart w:id="6" w:name="_Toc5241"/>
      <w:bookmarkStart w:id="7" w:name="_Toc19441"/>
    </w:p>
    <w:p w14:paraId="5A97FF19">
      <w:pPr>
        <w:bidi w:val="0"/>
        <w:rPr>
          <w:rFonts w:hint="default"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2.2</w:t>
      </w:r>
      <w:r>
        <w:rPr>
          <w:rFonts w:hint="default" w:asciiTheme="minorEastAsia" w:hAnsiTheme="minorEastAsia" w:eastAsiaTheme="minorEastAsia" w:cstheme="minorEastAsia"/>
          <w:b/>
          <w:bCs/>
          <w:color w:val="auto"/>
          <w:sz w:val="28"/>
          <w:szCs w:val="28"/>
          <w:lang w:val="en-US" w:eastAsia="zh-CN"/>
        </w:rPr>
        <w:t>入河排污口动态排查</w:t>
      </w:r>
    </w:p>
    <w:p w14:paraId="456A097D">
      <w:pPr>
        <w:bidi w:val="0"/>
        <w:ind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对奉新县主城区范围内入河排污口、管网及相关排水户开展全覆盖排查与溯源，建立“排污口-管网-排水户”全链条信息档案。排查对象包括所有通过管道、检查井、入河排污口及相关涉及的排水户；区域范围内入河排污口连接的管线。</w:t>
      </w:r>
    </w:p>
    <w:p w14:paraId="095873DB">
      <w:pPr>
        <w:bidi w:val="0"/>
        <w:ind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通过资料收集与整理、现场踏勘等其他技术手段排查分析出入河排污口及管网排情况，排查直至排水户。形成主体由一张图（调查成果图）、一张表（入河排污口、管网及排水户表）、一个问题清单、以及整改初步建议等组成成果报告。</w:t>
      </w:r>
    </w:p>
    <w:p w14:paraId="37407B4B">
      <w:pPr>
        <w:bidi w:val="0"/>
        <w:rPr>
          <w:rFonts w:hint="eastAsia" w:asciiTheme="minorEastAsia" w:hAnsiTheme="minorEastAsia" w:eastAsiaTheme="minorEastAsia" w:cstheme="minorEastAsia"/>
          <w:b/>
          <w:bCs/>
          <w:color w:val="auto"/>
          <w:sz w:val="28"/>
          <w:szCs w:val="28"/>
          <w:lang w:val="en-US" w:eastAsia="zh-CN"/>
        </w:rPr>
      </w:pPr>
    </w:p>
    <w:p w14:paraId="61F2C4D4">
      <w:pPr>
        <w:bidi w:val="0"/>
        <w:rPr>
          <w:rFonts w:hint="default"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2.3</w:t>
      </w:r>
      <w:r>
        <w:rPr>
          <w:rFonts w:hint="default" w:asciiTheme="minorEastAsia" w:hAnsiTheme="minorEastAsia" w:eastAsiaTheme="minorEastAsia" w:cstheme="minorEastAsia"/>
          <w:b/>
          <w:bCs/>
          <w:color w:val="auto"/>
          <w:sz w:val="28"/>
          <w:szCs w:val="28"/>
          <w:lang w:val="en-US" w:eastAsia="zh-CN"/>
        </w:rPr>
        <w:t>入河排污口在线监测</w:t>
      </w:r>
    </w:p>
    <w:p w14:paraId="4495F920">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b/>
          <w:bCs/>
          <w:snapToGrid w:val="0"/>
          <w:color w:val="auto"/>
          <w:sz w:val="28"/>
          <w:szCs w:val="32"/>
          <w:lang w:val="en-US" w:eastAsia="zh-CN" w:bidi="ar-SA"/>
        </w:rPr>
        <w:t>2.3.1</w:t>
      </w:r>
      <w:r>
        <w:rPr>
          <w:rFonts w:hint="default" w:ascii="Times New Roman" w:hAnsi="Times New Roman" w:eastAsia="宋体" w:cs="Times New Roman"/>
          <w:color w:val="auto"/>
          <w:lang w:val="en-US" w:eastAsia="zh-CN"/>
        </w:rPr>
        <w:t>基本要求</w:t>
      </w:r>
    </w:p>
    <w:p w14:paraId="71C91F0F">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入河排污口规范化建设应满足以下几个基本要求：</w:t>
      </w:r>
    </w:p>
    <w:p w14:paraId="48005BFC">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1、入河排污口设置应遵循便于采集样品、计量监控、日常现场监督检查、公众参与监督管理的原则。</w:t>
      </w:r>
    </w:p>
    <w:p w14:paraId="5D7E536E">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2、入河排污口应设置在设计洪水淹没线之上，且不影响河道、堤防、涵闸等水利设施行洪，不破坏周围环境，不会造成二次污染。</w:t>
      </w:r>
    </w:p>
    <w:p w14:paraId="3E458E42">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3、入河排污口应按最大排污量设置。未经审批单位许可，任何单位和个人不得擅自移动和扩大入河排污口，增加、调整、改造更新入河排污口的，须履行相关变更申报、登记手续。</w:t>
      </w:r>
    </w:p>
    <w:p w14:paraId="676B65A1">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4、入河排污口设置单位应在厂区外、入河前段设置监测点，以便实施水质采样及流量监测；入河排污口口门不得设暗管通入河道或湖库底部，如特殊情况需要接管道的，必须留出观测窗口，以便采样和监督。</w:t>
      </w:r>
    </w:p>
    <w:p w14:paraId="51DEBAE6">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5、入河排污口设置单位应在监测点处设置明显的标志牌、公示入河排污口的基本信息和监督管理单位信息。</w:t>
      </w:r>
    </w:p>
    <w:p w14:paraId="133F7437">
      <w:pPr>
        <w:keepNext w:val="0"/>
        <w:keepLines w:val="0"/>
        <w:pageBreakBefore w:val="0"/>
        <w:widowControl/>
        <w:kinsoku w:val="0"/>
        <w:wordWrap/>
        <w:overflowPunct/>
        <w:topLinePunct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6、入河排污口设置单位应在监测点处安装流量装置、记录仪及监控装置，并将相关监控信息接入水资源管理实时监控系统或监督管理单位。</w:t>
      </w:r>
    </w:p>
    <w:p w14:paraId="67B4AC9A">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val="en-US" w:eastAsia="zh-CN"/>
        </w:rPr>
      </w:pPr>
      <w:r>
        <w:rPr>
          <w:rFonts w:hint="default" w:ascii="Times New Roman" w:hAnsi="Times New Roman" w:eastAsia="宋体" w:cs="Times New Roman"/>
          <w:snapToGrid w:val="0"/>
          <w:color w:val="auto"/>
          <w:kern w:val="0"/>
          <w:szCs w:val="21"/>
          <w:lang w:eastAsia="en-US"/>
        </w:rPr>
        <w:t>7、入河排污口设置单位应对监测点、标志牌、计量和监控设备开展日常维护，保证有关设施的正常运行。</w:t>
      </w:r>
    </w:p>
    <w:p w14:paraId="67CF97E8">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2.3.2</w:t>
      </w:r>
      <w:r>
        <w:rPr>
          <w:rFonts w:hint="default" w:ascii="Times New Roman" w:hAnsi="Times New Roman" w:eastAsia="宋体" w:cs="Times New Roman"/>
          <w:color w:val="auto"/>
          <w:lang w:val="en-US" w:eastAsia="zh-CN"/>
        </w:rPr>
        <w:t>入河排污口标志牌建设</w:t>
      </w:r>
    </w:p>
    <w:p w14:paraId="41B352AF">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cs="Times New Roman"/>
          <w:b/>
          <w:bCs/>
          <w:snapToGrid w:val="0"/>
          <w:color w:val="auto"/>
          <w:sz w:val="28"/>
          <w:szCs w:val="24"/>
          <w:lang w:val="en-US" w:eastAsia="zh-CN" w:bidi="ar-SA"/>
          <w14:ligatures w14:val="standardContextual"/>
        </w:rPr>
        <w:t>2.3.2.1</w:t>
      </w:r>
      <w:r>
        <w:rPr>
          <w:rFonts w:hint="default" w:ascii="Times New Roman" w:hAnsi="Times New Roman" w:eastAsia="宋体" w:cs="Times New Roman"/>
          <w:color w:val="auto"/>
          <w:lang w:val="en-US" w:eastAsia="zh-CN"/>
        </w:rPr>
        <w:t>基本要求</w:t>
      </w:r>
    </w:p>
    <w:p w14:paraId="6AB73022">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jc w:val="left"/>
        <w:textAlignment w:val="baseline"/>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标志牌应符合《入河入海排污口监督管理技术指南入河排污口规范化建设》（HJ1309—2023）的要求。标识牌设置在污水入河处或监测采样点等位置，便于公众监督。标识牌公示信息包含但不限于排污口名称、编码、类型、管理单位、责任主体、监督电话等，可根据实际需求采用文字或二维码等形式展示。立柱式或平面式等。标识牌应具有耐候、耐腐蚀等理化性能，保证一定的使用寿命。标识牌公示信息发生变化的，责任主体应及时更新或更换标识牌。</w:t>
      </w:r>
    </w:p>
    <w:p w14:paraId="1BD1E7BD">
      <w:pPr>
        <w:bidi w:val="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（1）标志牌设置要求</w:t>
      </w:r>
    </w:p>
    <w:p w14:paraId="3F18F140">
      <w:pPr>
        <w:bidi w:val="0"/>
        <w:ind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根据《入河入海排污口监督管理技术指南入河排污口规范化建设》（HJ1309-2023）对入河排污口设置提出如下要求：</w:t>
      </w:r>
    </w:p>
    <w:p w14:paraId="53C53185">
      <w:pPr>
        <w:bidi w:val="0"/>
        <w:ind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1）标志牌设置在污水入河处或监测采样点等位置，便于公众监督。</w:t>
      </w:r>
    </w:p>
    <w:p w14:paraId="4A85DEC4">
      <w:pPr>
        <w:bidi w:val="0"/>
        <w:ind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2）标志牌公示信息包括：</w:t>
      </w:r>
    </w:p>
    <w:p w14:paraId="369B5AC8">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入河排污口名称；</w:t>
      </w:r>
    </w:p>
    <w:p w14:paraId="2BAF41B9">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入河排污口编码；</w:t>
      </w:r>
    </w:p>
    <w:p w14:paraId="08E29693">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入河排污口类型；</w:t>
      </w:r>
    </w:p>
    <w:p w14:paraId="540F020B">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入河排污口管理单位；</w:t>
      </w:r>
    </w:p>
    <w:p w14:paraId="1C5D0A2E">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入河排污口责任主体；</w:t>
      </w:r>
    </w:p>
    <w:p w14:paraId="660D82B5">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入河排污口监督电话；</w:t>
      </w:r>
    </w:p>
    <w:p w14:paraId="0A867008">
      <w:pPr>
        <w:numPr>
          <w:ilvl w:val="0"/>
          <w:numId w:val="6"/>
        </w:numPr>
        <w:bidi w:val="0"/>
        <w:ind w:left="0" w:leftChars="0"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入河排污口二维码（二维码应关联入河排污口信息；包括包括入河排污口名称、入河排污口编号、入河排污口审批、备案及登记文号（如有）；受纳水体信息，包括受纳水体名称、受纳水体使用功能、汇入受纳水体位置等。）</w:t>
      </w:r>
    </w:p>
    <w:p w14:paraId="46C6B36A">
      <w:pPr>
        <w:bidi w:val="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w:t>
      </w:r>
      <w:r>
        <w:rPr>
          <w:rFonts w:hint="eastAsia" w:ascii="Times New Roman" w:hAnsi="Times New Roman" w:eastAsia="宋体" w:cs="Times New Roman"/>
          <w:color w:val="auto"/>
          <w:lang w:val="en-US" w:eastAsia="zh-CN"/>
        </w:rPr>
        <w:t>2</w:t>
      </w:r>
      <w:r>
        <w:rPr>
          <w:rFonts w:hint="default" w:ascii="Times New Roman" w:hAnsi="Times New Roman" w:eastAsia="宋体" w:cs="Times New Roman"/>
          <w:color w:val="auto"/>
          <w:lang w:val="en-US" w:eastAsia="zh-CN"/>
        </w:rPr>
        <w:t>）本次标识牌选择立式固定式标志牌，标志牌要求：</w:t>
      </w:r>
    </w:p>
    <w:p w14:paraId="60B4AB22">
      <w:pPr>
        <w:bidi w:val="0"/>
        <w:ind w:firstLine="420" w:firstLineChars="20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安装方式采用卧式标识牌且安装在便于查看及维护的位置。标识牌内容信息采用喷涂或雕刻展示，尺寸不小于：900*600mm（可根据实际情况调整），材质：大理石，具体内容与甲方商定。</w:t>
      </w:r>
    </w:p>
    <w:p w14:paraId="075A64CD">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cs="Times New Roman"/>
          <w:b/>
          <w:bCs/>
          <w:snapToGrid w:val="0"/>
          <w:color w:val="auto"/>
          <w:sz w:val="28"/>
          <w:szCs w:val="24"/>
          <w:lang w:val="en-US" w:eastAsia="zh-CN" w:bidi="ar-SA"/>
          <w14:ligatures w14:val="standardContextual"/>
        </w:rPr>
        <w:t>2.3.2.</w:t>
      </w:r>
      <w:bookmarkEnd w:id="6"/>
      <w:bookmarkEnd w:id="7"/>
      <w:r>
        <w:rPr>
          <w:rFonts w:hint="default" w:ascii="Times New Roman" w:hAnsi="Times New Roman" w:eastAsia="宋体" w:cs="Times New Roman"/>
          <w:color w:val="auto"/>
          <w:lang w:val="en-US" w:eastAsia="zh-CN"/>
        </w:rPr>
        <w:t>标识牌设置入河排污口清单</w:t>
      </w:r>
    </w:p>
    <w:p w14:paraId="335896ED">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en-US"/>
        </w:rPr>
      </w:pPr>
      <w:r>
        <w:rPr>
          <w:rFonts w:hint="default" w:ascii="Times New Roman" w:hAnsi="Times New Roman" w:eastAsia="宋体" w:cs="Times New Roman"/>
          <w:snapToGrid w:val="0"/>
          <w:color w:val="auto"/>
          <w:kern w:val="0"/>
          <w:szCs w:val="21"/>
          <w:lang w:eastAsia="en-US"/>
        </w:rPr>
        <w:t>根据调查，本项目对</w:t>
      </w:r>
      <w:r>
        <w:rPr>
          <w:rFonts w:hint="default" w:ascii="Times New Roman" w:hAnsi="Times New Roman" w:eastAsia="宋体" w:cs="Times New Roman"/>
          <w:snapToGrid w:val="0"/>
          <w:color w:val="auto"/>
          <w:kern w:val="0"/>
          <w:szCs w:val="21"/>
          <w:lang w:val="en-US" w:eastAsia="zh-CN"/>
        </w:rPr>
        <w:t>73</w:t>
      </w:r>
      <w:r>
        <w:rPr>
          <w:rFonts w:hint="default" w:ascii="Times New Roman" w:hAnsi="Times New Roman" w:eastAsia="宋体" w:cs="Times New Roman"/>
          <w:snapToGrid w:val="0"/>
          <w:color w:val="auto"/>
          <w:kern w:val="0"/>
          <w:szCs w:val="21"/>
          <w:lang w:eastAsia="en-US"/>
        </w:rPr>
        <w:t>个入河排污口设置标识牌，具体入河排污口清单如下表</w:t>
      </w:r>
      <w:r>
        <w:rPr>
          <w:rFonts w:hint="default" w:ascii="Times New Roman" w:hAnsi="Times New Roman" w:eastAsia="宋体" w:cs="Times New Roman"/>
          <w:snapToGrid w:val="0"/>
          <w:color w:val="auto"/>
          <w:kern w:val="0"/>
          <w:szCs w:val="21"/>
          <w:lang w:eastAsia="zh-CN"/>
        </w:rPr>
        <w:t>。</w:t>
      </w:r>
    </w:p>
    <w:p w14:paraId="7B500E7F">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0" w:firstLineChars="0"/>
        <w:jc w:val="center"/>
        <w:textAlignment w:val="baseline"/>
        <w:rPr>
          <w:rFonts w:hint="default" w:ascii="Times New Roman" w:hAnsi="Times New Roman" w:eastAsia="宋体" w:cs="Times New Roman"/>
          <w:b/>
          <w:bCs/>
          <w:snapToGrid w:val="0"/>
          <w:color w:val="auto"/>
          <w:kern w:val="0"/>
          <w:sz w:val="24"/>
          <w:szCs w:val="24"/>
          <w:lang w:val="en-US" w:eastAsia="en-US" w:bidi="ar-SA"/>
        </w:rPr>
      </w:pPr>
      <w:r>
        <w:rPr>
          <w:rFonts w:hint="default" w:ascii="Times New Roman" w:hAnsi="Times New Roman" w:eastAsia="宋体" w:cs="Times New Roman"/>
          <w:b/>
          <w:bCs/>
          <w:snapToGrid w:val="0"/>
          <w:color w:val="auto"/>
          <w:kern w:val="0"/>
          <w:sz w:val="24"/>
          <w:szCs w:val="24"/>
          <w:lang w:val="en-US" w:eastAsia="en-US" w:bidi="ar-SA"/>
        </w:rPr>
        <w:t>表</w:t>
      </w:r>
      <w:r>
        <w:rPr>
          <w:rFonts w:hint="default" w:ascii="Times New Roman" w:hAnsi="Times New Roman" w:eastAsia="宋体" w:cs="Times New Roman"/>
          <w:b/>
          <w:bCs/>
          <w:snapToGrid w:val="0"/>
          <w:color w:val="auto"/>
          <w:kern w:val="0"/>
          <w:sz w:val="24"/>
          <w:szCs w:val="24"/>
          <w:lang w:val="en-US" w:eastAsia="en-US" w:bidi="ar-SA"/>
        </w:rPr>
        <w:fldChar w:fldCharType="begin"/>
      </w:r>
      <w:r>
        <w:rPr>
          <w:rFonts w:hint="default" w:ascii="Times New Roman" w:hAnsi="Times New Roman" w:eastAsia="宋体" w:cs="Times New Roman"/>
          <w:b/>
          <w:bCs/>
          <w:snapToGrid w:val="0"/>
          <w:color w:val="auto"/>
          <w:kern w:val="0"/>
          <w:sz w:val="24"/>
          <w:szCs w:val="24"/>
          <w:lang w:val="en-US" w:eastAsia="en-US" w:bidi="ar-SA"/>
        </w:rPr>
        <w:instrText xml:space="preserve"> STYLEREF 2 \s </w:instrText>
      </w:r>
      <w:r>
        <w:rPr>
          <w:rFonts w:hint="default" w:ascii="Times New Roman" w:hAnsi="Times New Roman" w:eastAsia="宋体" w:cs="Times New Roman"/>
          <w:b/>
          <w:bCs/>
          <w:snapToGrid w:val="0"/>
          <w:color w:val="auto"/>
          <w:kern w:val="0"/>
          <w:sz w:val="24"/>
          <w:szCs w:val="24"/>
          <w:lang w:val="en-US" w:eastAsia="en-US" w:bidi="ar-SA"/>
        </w:rPr>
        <w:fldChar w:fldCharType="separate"/>
      </w:r>
      <w:r>
        <w:rPr>
          <w:rFonts w:hint="default" w:ascii="Times New Roman" w:hAnsi="Times New Roman" w:eastAsia="宋体" w:cs="Times New Roman"/>
          <w:b/>
          <w:bCs/>
          <w:snapToGrid w:val="0"/>
          <w:color w:val="auto"/>
          <w:kern w:val="0"/>
          <w:sz w:val="24"/>
          <w:szCs w:val="24"/>
          <w:lang w:val="en-US" w:eastAsia="en-US" w:bidi="ar-SA"/>
        </w:rPr>
        <w:t>3</w:t>
      </w:r>
      <w:r>
        <w:rPr>
          <w:rFonts w:hint="default" w:ascii="Times New Roman" w:hAnsi="Times New Roman" w:eastAsia="宋体" w:cs="Times New Roman"/>
          <w:b/>
          <w:bCs/>
          <w:snapToGrid w:val="0"/>
          <w:color w:val="auto"/>
          <w:kern w:val="0"/>
          <w:sz w:val="24"/>
          <w:szCs w:val="24"/>
          <w:lang w:val="en-US" w:eastAsia="en-US" w:bidi="ar-SA"/>
        </w:rPr>
        <w:fldChar w:fldCharType="end"/>
      </w:r>
      <w:r>
        <w:rPr>
          <w:rFonts w:hint="default" w:ascii="Times New Roman" w:hAnsi="Times New Roman" w:eastAsia="宋体" w:cs="Times New Roman"/>
          <w:b/>
          <w:bCs/>
          <w:snapToGrid w:val="0"/>
          <w:color w:val="auto"/>
          <w:kern w:val="0"/>
          <w:sz w:val="24"/>
          <w:szCs w:val="24"/>
          <w:lang w:val="en-US" w:eastAsia="zh-CN" w:bidi="ar-SA"/>
        </w:rPr>
        <w:t>-</w:t>
      </w:r>
      <w:r>
        <w:rPr>
          <w:rFonts w:hint="default" w:ascii="Times New Roman" w:hAnsi="Times New Roman" w:eastAsia="宋体" w:cs="Times New Roman"/>
          <w:b/>
          <w:bCs/>
          <w:snapToGrid w:val="0"/>
          <w:color w:val="auto"/>
          <w:kern w:val="0"/>
          <w:sz w:val="24"/>
          <w:szCs w:val="24"/>
          <w:lang w:val="en-US" w:eastAsia="en-US" w:bidi="ar-SA"/>
        </w:rPr>
        <w:fldChar w:fldCharType="begin"/>
      </w:r>
      <w:r>
        <w:rPr>
          <w:rFonts w:hint="default" w:ascii="Times New Roman" w:hAnsi="Times New Roman" w:eastAsia="宋体" w:cs="Times New Roman"/>
          <w:b/>
          <w:bCs/>
          <w:snapToGrid w:val="0"/>
          <w:color w:val="auto"/>
          <w:kern w:val="0"/>
          <w:sz w:val="24"/>
          <w:szCs w:val="24"/>
          <w:lang w:val="en-US" w:eastAsia="en-US" w:bidi="ar-SA"/>
        </w:rPr>
        <w:instrText xml:space="preserve"> SEQ 表 \* ARABIC \s 2 </w:instrText>
      </w:r>
      <w:r>
        <w:rPr>
          <w:rFonts w:hint="default" w:ascii="Times New Roman" w:hAnsi="Times New Roman" w:eastAsia="宋体" w:cs="Times New Roman"/>
          <w:b/>
          <w:bCs/>
          <w:snapToGrid w:val="0"/>
          <w:color w:val="auto"/>
          <w:kern w:val="0"/>
          <w:sz w:val="24"/>
          <w:szCs w:val="24"/>
          <w:lang w:val="en-US" w:eastAsia="en-US" w:bidi="ar-SA"/>
        </w:rPr>
        <w:fldChar w:fldCharType="separate"/>
      </w:r>
      <w:r>
        <w:rPr>
          <w:rFonts w:hint="default" w:ascii="Times New Roman" w:hAnsi="Times New Roman" w:eastAsia="宋体" w:cs="Times New Roman"/>
          <w:b/>
          <w:bCs/>
          <w:snapToGrid w:val="0"/>
          <w:color w:val="auto"/>
          <w:kern w:val="0"/>
          <w:sz w:val="24"/>
          <w:szCs w:val="24"/>
          <w:lang w:val="en-US" w:eastAsia="en-US" w:bidi="ar-SA"/>
        </w:rPr>
        <w:t>1</w:t>
      </w:r>
      <w:r>
        <w:rPr>
          <w:rFonts w:hint="default" w:ascii="Times New Roman" w:hAnsi="Times New Roman" w:eastAsia="宋体" w:cs="Times New Roman"/>
          <w:b/>
          <w:bCs/>
          <w:snapToGrid w:val="0"/>
          <w:color w:val="auto"/>
          <w:kern w:val="0"/>
          <w:sz w:val="24"/>
          <w:szCs w:val="24"/>
          <w:lang w:val="en-US" w:eastAsia="en-US" w:bidi="ar-SA"/>
        </w:rPr>
        <w:fldChar w:fldCharType="end"/>
      </w:r>
      <w:r>
        <w:rPr>
          <w:rFonts w:hint="default" w:ascii="Times New Roman" w:hAnsi="Times New Roman" w:eastAsia="宋体" w:cs="Times New Roman"/>
          <w:b/>
          <w:bCs/>
          <w:snapToGrid w:val="0"/>
          <w:color w:val="auto"/>
          <w:spacing w:val="6"/>
          <w:kern w:val="0"/>
          <w:sz w:val="24"/>
          <w:szCs w:val="24"/>
          <w:lang w:val="en-US" w:eastAsia="en-US" w:bidi="ar-SA"/>
        </w:rPr>
        <w:t>标识牌设置入河排污口清单</w:t>
      </w:r>
    </w:p>
    <w:tbl>
      <w:tblPr>
        <w:tblStyle w:val="9"/>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1"/>
        <w:gridCol w:w="1338"/>
        <w:gridCol w:w="2596"/>
        <w:gridCol w:w="1656"/>
        <w:gridCol w:w="2216"/>
      </w:tblGrid>
      <w:tr w14:paraId="04E67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1E2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0"/>
                <w:szCs w:val="20"/>
                <w:u w:val="none"/>
                <w:lang w:eastAsia="en-US"/>
              </w:rPr>
            </w:pPr>
            <w:r>
              <w:rPr>
                <w:rFonts w:hint="default" w:ascii="Times New Roman" w:hAnsi="Times New Roman" w:eastAsia="宋体" w:cs="Times New Roman"/>
                <w:b/>
                <w:bCs/>
                <w:i w:val="0"/>
                <w:iCs w:val="0"/>
                <w:snapToGrid w:val="0"/>
                <w:color w:val="auto"/>
                <w:kern w:val="0"/>
                <w:sz w:val="20"/>
                <w:szCs w:val="20"/>
                <w:u w:val="none"/>
                <w:lang w:val="en-US" w:eastAsia="zh-CN" w:bidi="ar"/>
              </w:rPr>
              <w:t>序号</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4525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0"/>
                <w:szCs w:val="20"/>
                <w:u w:val="none"/>
                <w:lang w:eastAsia="en-US"/>
              </w:rPr>
            </w:pPr>
            <w:r>
              <w:rPr>
                <w:rFonts w:hint="default" w:ascii="Times New Roman" w:hAnsi="Times New Roman" w:eastAsia="宋体" w:cs="Times New Roman"/>
                <w:b/>
                <w:bCs/>
                <w:i w:val="0"/>
                <w:iCs w:val="0"/>
                <w:snapToGrid w:val="0"/>
                <w:color w:val="auto"/>
                <w:kern w:val="0"/>
                <w:sz w:val="20"/>
                <w:szCs w:val="20"/>
                <w:u w:val="none"/>
                <w:lang w:val="en-US" w:eastAsia="zh-CN" w:bidi="ar"/>
              </w:rPr>
              <w:t>详细地址</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8736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0"/>
                <w:szCs w:val="20"/>
                <w:u w:val="none"/>
                <w:lang w:eastAsia="en-US"/>
              </w:rPr>
            </w:pPr>
            <w:r>
              <w:rPr>
                <w:rFonts w:hint="default" w:ascii="Times New Roman" w:hAnsi="Times New Roman" w:eastAsia="宋体" w:cs="Times New Roman"/>
                <w:b/>
                <w:bCs/>
                <w:i w:val="0"/>
                <w:iCs w:val="0"/>
                <w:snapToGrid w:val="0"/>
                <w:color w:val="auto"/>
                <w:kern w:val="0"/>
                <w:sz w:val="20"/>
                <w:szCs w:val="20"/>
                <w:u w:val="none"/>
                <w:lang w:val="en-US" w:eastAsia="zh-CN" w:bidi="ar"/>
              </w:rPr>
              <w:t>入河排污口名称</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9E9F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0"/>
                <w:szCs w:val="20"/>
                <w:u w:val="none"/>
                <w:lang w:eastAsia="en-US"/>
              </w:rPr>
            </w:pPr>
            <w:r>
              <w:rPr>
                <w:rFonts w:hint="default" w:ascii="Times New Roman" w:hAnsi="Times New Roman" w:eastAsia="宋体" w:cs="Times New Roman"/>
                <w:b/>
                <w:bCs/>
                <w:i w:val="0"/>
                <w:iCs w:val="0"/>
                <w:snapToGrid w:val="0"/>
                <w:color w:val="auto"/>
                <w:kern w:val="0"/>
                <w:sz w:val="20"/>
                <w:szCs w:val="20"/>
                <w:u w:val="none"/>
                <w:lang w:val="en-US" w:eastAsia="zh-CN" w:bidi="ar"/>
              </w:rPr>
              <w:t>入河排污口编码</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2BC6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0"/>
                <w:szCs w:val="20"/>
                <w:u w:val="none"/>
                <w:lang w:eastAsia="en-US"/>
              </w:rPr>
            </w:pPr>
            <w:r>
              <w:rPr>
                <w:rFonts w:hint="default" w:ascii="Times New Roman" w:hAnsi="Times New Roman" w:eastAsia="宋体" w:cs="Times New Roman"/>
                <w:b/>
                <w:bCs/>
                <w:i w:val="0"/>
                <w:iCs w:val="0"/>
                <w:snapToGrid w:val="0"/>
                <w:color w:val="auto"/>
                <w:kern w:val="0"/>
                <w:sz w:val="20"/>
                <w:szCs w:val="20"/>
                <w:u w:val="none"/>
                <w:lang w:val="en-US" w:eastAsia="zh-CN" w:bidi="ar"/>
              </w:rPr>
              <w:t>入河排污</w:t>
            </w:r>
            <w:r>
              <w:rPr>
                <w:rFonts w:hint="default" w:ascii="Times New Roman" w:hAnsi="Times New Roman" w:eastAsia="宋体" w:cs="Times New Roman"/>
                <w:b/>
                <w:bCs/>
                <w:i w:val="0"/>
                <w:iCs w:val="0"/>
                <w:snapToGrid w:val="0"/>
                <w:color w:val="auto"/>
                <w:kern w:val="0"/>
                <w:sz w:val="20"/>
                <w:szCs w:val="20"/>
                <w:u w:val="none"/>
                <w:lang w:val="en-US" w:eastAsia="zh-CN" w:bidi="ar"/>
              </w:rPr>
              <w:br w:type="textWrapping"/>
            </w:r>
            <w:r>
              <w:rPr>
                <w:rFonts w:hint="default" w:ascii="Times New Roman" w:hAnsi="Times New Roman" w:eastAsia="宋体" w:cs="Times New Roman"/>
                <w:b/>
                <w:bCs/>
                <w:i w:val="0"/>
                <w:iCs w:val="0"/>
                <w:snapToGrid w:val="0"/>
                <w:color w:val="auto"/>
                <w:kern w:val="0"/>
                <w:sz w:val="20"/>
                <w:szCs w:val="20"/>
                <w:u w:val="none"/>
                <w:lang w:val="en-US" w:eastAsia="zh-CN" w:bidi="ar"/>
              </w:rPr>
              <w:t>口类型细分</w:t>
            </w:r>
          </w:p>
        </w:tc>
      </w:tr>
      <w:tr w14:paraId="1E566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431F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19E2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柳溪乡柳溪村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4C43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宜春市奉新县柳溪乡城镇污水集中处理设施排污口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38C0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FH-360921-0049-GQ-01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3810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5733D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4B0C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D814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甘坊镇甘坊村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E74B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宜春市奉新甘坊镇城镇污水集中处理设施排污口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388A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FH-360921-0065-SH-01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F8DC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1E20B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5CAE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116C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上富镇路口村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F754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宜春市奉新县上富中学污水处理站污水处理设施排口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6DA1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FH-360921-0003-SH-00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F9AE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5DA76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A59A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8ECA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上富镇湖东村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0040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宜春市奉新县上富镇污水处理站集镇污水处理设施排口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234B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FH-360921-0004-SH-00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BEBB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10CC7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7C85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E323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罗市镇梧岗村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DE96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宜春市奉新县罗市镇生活污水排污口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A896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FH-360921-0009-SH-01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9402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沟渠</w:t>
            </w:r>
          </w:p>
        </w:tc>
      </w:tr>
      <w:tr w14:paraId="13A25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3081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D887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罗市镇湖头村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C77E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宜春市奉新县罗市镇湖头村生活污水排污口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1785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FH-360921-0010-NY-01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DB1A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农村生活污水排污口</w:t>
            </w:r>
          </w:p>
        </w:tc>
      </w:tr>
      <w:tr w14:paraId="41831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0D0E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457B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会埠镇会埠村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DB0A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宜春市奉新县会埠镇集镇生活污水排口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793A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FH-360921-0014-SH-01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167F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63B4D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E98E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88D7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赤岸镇赤岸村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0859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宜春市奉新县滨江花园酒店对面人行道旁城镇雨洪排口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F491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FH-360921-0021-YH-01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F644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4273F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591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B2BB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宋埠镇青湖村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C17D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宜春市奉新县宋埠化工小区对面500米沟渠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414D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FH-360921-0040-GQ-01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1F22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沟渠</w:t>
            </w:r>
          </w:p>
        </w:tc>
      </w:tr>
      <w:tr w14:paraId="6FA4A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72C4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5719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宋埠镇污水处理站</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A811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宜春市奉新县宋埠镇城镇污水集中处理设施排污口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7B02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FH-360921-0042-SH-01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6813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555E2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87D1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AEE8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仰山乡仰山村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5AE5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宜春市奉新县仰山乡城镇污水集中处理设施排污口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842A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FH-360921-0054-SH-01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80C5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78908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E326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E512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甘坊镇横桥村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970D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宜春市奉新县甘坊镇横桥村生活污水入河排污口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31B2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FH-360921-0067-NY-01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8C9A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农村生活污水排污口</w:t>
            </w:r>
          </w:p>
        </w:tc>
      </w:tr>
      <w:tr w14:paraId="28867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58A7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DF37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罗市镇港下村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1652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宜春市奉新县罗市镇港下村生活污水排污口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CD03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FH-360921-0011-NY-01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F60A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农村生活污水排污口</w:t>
            </w:r>
          </w:p>
        </w:tc>
      </w:tr>
      <w:tr w14:paraId="3CCBB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49CB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E798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澡下镇澡下村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4EE1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宜春市奉新县澡下镇城镇污水集中处理设施排污口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1B02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FH-360921-0055-SH-01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9AF6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69F71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DD8E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7C75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赤岸镇赤岸村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DADF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宜春市奉新县潦河西路上桥旁雨洪排口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B367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FH-360921-0022-YH-01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4BF6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20B41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E0B9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5B53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赤岸镇历富村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95B4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宜春市奉新县华林大桥旁沟渠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8812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FH-360921-0023-GQ-01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C80D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沟渠</w:t>
            </w:r>
          </w:p>
        </w:tc>
      </w:tr>
      <w:tr w14:paraId="0AD93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08AA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ABF5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冯川镇沙溪村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38CB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宜春市奉新县滨河西路人行道柱子旁城镇雨洪排口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604A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FH-360921-0058-YH-01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4EA7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40040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7076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3CD7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百丈山管委会冷水井村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7C91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宜春市奉新县百丈山管委会冷水井村茶坑组农村生活污水排污口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E057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FH-360921-0062-NY-01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7290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48274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A895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19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D0B2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赤岸镇下堡村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782F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宜春市奉新县应星南大道公安局旁西侧20米雨洪排口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D9C1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FH-360921-0024-YH-01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D3BA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6C91F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D48C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FA3C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赤岸镇下堡村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9982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宜春市奉新县应星南大道公安局旁南侧30米雨洪排口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D728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FH-360921-0025-YH-01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F7C3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5D76C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7852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FA29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冯川镇郑家村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A0D2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宜春市奉新县天工大桥上游50米西岸城镇雨洪排口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A9AA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FH-360921-0063-YH-01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7735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337A9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0C51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B82F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冯川镇郑家村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2081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宜春市奉新县城市污水处理厂入河排污口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B229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FH-360921-0001-SH-00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8A5E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城镇污水集中处理设施排污口</w:t>
            </w:r>
          </w:p>
        </w:tc>
      </w:tr>
      <w:tr w14:paraId="0305E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4CC0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468C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冯川镇滨河东路湿地公园</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C793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宜春市奉新县湿地公园入园口5米城镇雨洪排口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5B5F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FH-360921-0064-YH-01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8CB5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034BF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4886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1B56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干洲镇张家村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CA65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宜春市奉新县干州中心小学后面集镇入河南（1）岸城镇雨洪沟渠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FA70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FH-360921-0029-YH-01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5731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1D934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63E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4E93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干洲镇张家村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AF9E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宜春市奉新县干州中心小学后面集镇入河南（2）岸城镇雨洪沟渠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1545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FH-360921-0030-YH-01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90E6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37CFA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F019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C2B7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干洲镇张家村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D288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宜春市奉新县干州中心小学后面集镇入河南（3）岸城镇雨洪沟渠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CE0E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FH-360921-0031-YH-01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7EF5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0DF78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5DDD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444C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干洲镇张家村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191D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宜春市奉新县干洲镇任重中学南侧生活污水排污口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B919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FH-360921-0032-NY-01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BDA9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生活污水排污口</w:t>
            </w:r>
          </w:p>
        </w:tc>
      </w:tr>
      <w:tr w14:paraId="72025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9D92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24FF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干洲镇刘家岭</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5871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宜春市奉新县农牧渔场刘家岭分场沟渠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A134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FH-360921-0034-GQ-01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83E0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沟渠</w:t>
            </w:r>
          </w:p>
        </w:tc>
      </w:tr>
      <w:tr w14:paraId="3052F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E08A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29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2B85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干洲镇三溪村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FAFD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奉新县城市污水处理厂新建（提标扩容）工程（4万t/d）入河排污口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6460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FH-360921-0070-SH-01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E582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r w14:paraId="7E32B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AC28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A344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宋埠镇桥头村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A4D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宜春市奉新县宋埠镇桥头村下梅组生活污水排放口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2598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FH-360921-0076-SH-01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0174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农村生活污水排污口</w:t>
            </w:r>
          </w:p>
        </w:tc>
      </w:tr>
      <w:tr w14:paraId="00528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0826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E338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游洛村王车组</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15A2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宜春市奉新县会埠镇游洛村王车组生活污水排放口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59D3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FH-360921-0077-SH-01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4534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农村生活污水排污口</w:t>
            </w:r>
          </w:p>
        </w:tc>
      </w:tr>
      <w:tr w14:paraId="4EE83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E0D0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22E0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干洲镇集镇</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DCF5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宜春市奉新县干洲镇集镇雨洪排口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90DC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FH-360921-0078-YH-01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7B1B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雨洪排口</w:t>
            </w:r>
          </w:p>
        </w:tc>
      </w:tr>
      <w:tr w14:paraId="23B28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F754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563D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赤田镇环城路兽医站后30米</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5CEF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宜春市奉新县赤田镇第一污水处理厂排污口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1A98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FH-360921-0006-SH-00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2C8E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r w14:paraId="20EC4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8AAD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C60B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赤田派出所后</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2391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宜春市奉新县赤田镇第二污水处理厂排污口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802F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FH-360921-0007-SH-00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91D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r w14:paraId="78920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558C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330C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干洲镇中心小学东南侧50米</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25EF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宜春市奉新县干洲镇污水处理厂排污口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9A68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FH-360921-0008-SH-00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829C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r w14:paraId="2D144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AA83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D48A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澡溪乡敬老院旁</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63D8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宜春市澡溪乡澡溪乡污水处理厂排污口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0B40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FH-360921-0094-SH-00</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ED15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r w14:paraId="18C2D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DB87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DCF3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干洲镇北溪村李家组</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F58F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宜春市奉新县干洲镇北溪村李家组闸坝</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8808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FH-360921-0091-QT-01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339D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3F7D2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6323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4845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干洲镇洪川村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43B9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宜春市奉新县干洲镇洪川村沟渠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FCFE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FH-360921-0092-QT-01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56EC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7FBF2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1917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39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A1BB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干洲镇北溪村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2521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宜春市奉新县干洲镇北溪村樟树组沟渠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8481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FH-360921-0093-QT-01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1F29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50298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7B72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EA67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干洲镇北溪村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8F6D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宜春市奉新县干洲镇北溪村郑家组沟渠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7647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FH-360921-0069-QT-01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692F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4BC33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7B45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77FF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干洲镇溪畔村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CD92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宜春市奉新县干洲镇溪畔村沟渠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90DC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FH-360921-0068-QT-01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E4A4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5001D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7D78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B32B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干洲镇前进村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A1BC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宜春市奉新县干洲镇前进村沙田组桥上游北面600米沟渠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ADB4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FH-360921-0066-QT-01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38E7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12322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610D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682B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干洲镇洪川村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170A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宜春市奉新县干洲镇洪川村黄家组沟渠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DAF8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FH-360921-0060-QT-01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C1D0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711E9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49AD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E1A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干洲镇洪川村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AC62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宜春市奉新县干洲镇洪川村廖庄组沟渠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FDA6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FH-360921-0057-QT-01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6619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07EB5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2465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FF0C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干洲镇前进村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82E3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宜春市奉新县干洲镇前进村芒洲组闸坝</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107F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FH-360921-0056-QT-01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75BF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59E10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B450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D9E3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干垦场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5A2C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宜春市奉新县干垦场永红电站闸坝</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09B9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FH-360921-0053-QT-01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E137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193AA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3E6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F037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宋埠镇集镇</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B05E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宜春市奉新县宋埠镇集镇雨洪排口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5E79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FH-360921-0052-QT-01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2943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2E3C0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3F50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BC31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宋埠镇集镇</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882A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宜春市奉新县宋埠镇黄洲大桥西侧上游50米闸坝</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24E3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FH-360921-0051-QT-01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FA8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79B91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0DA1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49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8F68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宋埠镇青湖村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20A2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宜春市奉新县宋埠青湖村提防站沟渠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59D5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FH-360921-0050-QT-01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34BD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63BD5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9E51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669D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宋埠镇三洪村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E3B5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宜春市奉新县宋埠镇三洪村桥头旁沟渠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1FD8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FH-360921-0048-QT-01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F252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2ABBF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E00A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9F92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宋埠镇三洪村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9068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宜春市奉新县宋埠镇十里坪闸沟渠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F1C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FH-360921-0047-QT-01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53C4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11CAD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AEA4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0858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宋埠镇集镇</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425B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宜春市奉新县宋埠垃圾中转站旁5米沟渠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0D81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FH-360921-0046-QT-01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C09D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1FD28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3C5A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0288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80E5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宜春市奉新县融汇山水前雨洪排口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054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FH-360921-0090-QT-01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67C0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1CA29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E225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DB6D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7C4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宜春市奉新县水墨林溪前雨洪排口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6AFC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FH-360921-0089-QT-01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C154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31673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0CDA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3EB5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4A12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宜春市奉新县河头村前排口下游5米雨洪排口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30AE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FH-360921-0088-QT-01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FCB3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59DA7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CBE9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C0EA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AED7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宜春市奉新县河头村前自动监测站房雨洪排口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0AE1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FH-360921-0087-QT-01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AC2E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1B8CC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7C2E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529F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CD00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宜春市奉新县上桥北侧上游上侧100米雨洪排口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A050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FH-360921-0086-QT-01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B3F6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702F0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DBC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3B8A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B875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宜春市奉新县天工大桥上游西侧100米雨洪排口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03B5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FH-360921-0085-QT-01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6A9C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5D215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7C2F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59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E4C5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3B16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宜春市奉新县天工大桥上游西侧50米雨洪排口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551F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FH-360921-0084-QT-01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4E08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4054E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FEB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3501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C378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宜春市奉新县文体艺术中心雨洪排口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9527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FH-360921-0083-QT-01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E594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602CD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D513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013E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5459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宜春市奉新县橡皮坝下游30m雨洪排口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5952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FH-360921-0082-QT-01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A070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40B44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212A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79F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D0B8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宜春市奉新县洗沙廖家前雨洪排口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096A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FH-360921-0081-QT-01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BFDF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2125B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D5F6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148C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247C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宜春市奉新县文体艺术中心上游200米雨洪排口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5DC8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FH-360921-0096-QT-01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0721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3FB1D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22C9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64</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5596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75A0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宜春市奉新县天工大桥桥底雨洪排口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995A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FH-360921-0045-QT-01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FC51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城镇雨洪排口</w:t>
            </w:r>
          </w:p>
        </w:tc>
      </w:tr>
      <w:tr w14:paraId="4D8C5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C50D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65</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3C55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505D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宜春市奉新县中堡港支流</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6118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FH-360921-0044-QT-01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7363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57B21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316F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66</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57AA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云石电站</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9E0E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宜春市奉新县赤岸镇云石电站闸坝</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C7C6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FH-360921-0043-QT-01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7C22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3BB3A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28E9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67</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0603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龙溪河入河口</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A6B9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宜春市奉新县龙溪河支流</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241F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FH-360921-0041-QT-01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B598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479AF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D7A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68</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E60F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洪塘村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7558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宜春市奉新县赤岸镇洪塘村塘尾桥旁沟渠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F8B9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FH-360921-0039-QT-01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919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09DBA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5B43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69</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3901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游洛村</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A5CD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宜春市奉新县会埠镇游洛村旁沟渠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2738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FH-360921-0038-QT-01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2F5A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416AB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C6D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70</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77EC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耕香寺</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4361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宜春市奉新县会埠镇耕乡寺沟渠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704E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FH-360921-0037-QT-01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CAAB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大中型灌区排口</w:t>
            </w:r>
          </w:p>
        </w:tc>
      </w:tr>
      <w:tr w14:paraId="7DCEC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D32D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71</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952C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越王农庄</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2B19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宜春市奉新县会埠镇岳王农庄西面30米沟渠</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55EA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FH-360921-0036-QT-01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5F0D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其他排污口</w:t>
            </w:r>
          </w:p>
        </w:tc>
      </w:tr>
      <w:tr w14:paraId="4BB08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1063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72</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05D7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上富镇集镇</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1921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宜春市奉新县上富镇第二污水处理厂入河排污口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BDCE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FH-360921-0035-SH-01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E9E4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r w14:paraId="543BD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85C6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73</w:t>
            </w:r>
          </w:p>
        </w:tc>
        <w:tc>
          <w:tcPr>
            <w:tcW w:w="7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4AF1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百丈山风景名胜区管委会</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998A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宜春市奉新县百丈山风景名胜区管委会污水处理厂入河排污口</w:t>
            </w:r>
          </w:p>
        </w:tc>
        <w:tc>
          <w:tcPr>
            <w:tcW w:w="9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4E7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FH-360921-0033-SH-01</w:t>
            </w:r>
          </w:p>
        </w:tc>
        <w:tc>
          <w:tcPr>
            <w:tcW w:w="13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25D0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0"/>
                <w:szCs w:val="20"/>
                <w:u w:val="none"/>
                <w:lang w:eastAsia="en-US"/>
              </w:rPr>
            </w:pPr>
            <w:r>
              <w:rPr>
                <w:rFonts w:hint="default" w:ascii="Times New Roman" w:hAnsi="Times New Roman" w:eastAsia="宋体" w:cs="Times New Roman"/>
                <w:i w:val="0"/>
                <w:iCs w:val="0"/>
                <w:snapToGrid w:val="0"/>
                <w:color w:val="auto"/>
                <w:kern w:val="0"/>
                <w:sz w:val="20"/>
                <w:szCs w:val="20"/>
                <w:u w:val="none"/>
                <w:lang w:val="en-US" w:eastAsia="zh-CN" w:bidi="ar"/>
              </w:rPr>
              <w:t>城镇污水处理厂排污口</w:t>
            </w:r>
          </w:p>
        </w:tc>
      </w:tr>
    </w:tbl>
    <w:p w14:paraId="77E07903">
      <w:pPr>
        <w:bidi w:val="0"/>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除表格内的排口数量，鉴于后续入河排口的增加或标识牌损坏或内容变更，此项目中增加10块标识牌作为备用。建设内容可根据实际情况调整，由业主确认后可调整。</w:t>
      </w:r>
    </w:p>
    <w:p w14:paraId="0979CEA6">
      <w:pPr>
        <w:bidi w:val="0"/>
        <w:rPr>
          <w:rFonts w:hint="default" w:ascii="Times New Roman" w:hAnsi="Times New Roman" w:eastAsia="宋体" w:cs="Times New Roman"/>
          <w:snapToGrid w:val="0"/>
          <w:color w:val="auto"/>
          <w:kern w:val="0"/>
          <w:szCs w:val="21"/>
          <w:lang w:val="en-US" w:eastAsia="zh-CN"/>
        </w:rPr>
      </w:pPr>
    </w:p>
    <w:p w14:paraId="291276C9">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b/>
          <w:bCs/>
          <w:snapToGrid w:val="0"/>
          <w:color w:val="auto"/>
          <w:sz w:val="28"/>
          <w:szCs w:val="32"/>
          <w:lang w:val="en-US" w:eastAsia="zh-CN" w:bidi="ar-SA"/>
        </w:rPr>
        <w:t>2.3.3</w:t>
      </w:r>
      <w:r>
        <w:rPr>
          <w:rFonts w:hint="default" w:ascii="Times New Roman" w:hAnsi="Times New Roman" w:eastAsia="宋体" w:cs="Times New Roman"/>
          <w:color w:val="auto"/>
          <w:lang w:val="en-US" w:eastAsia="zh-CN"/>
        </w:rPr>
        <w:t>入河排污口流量监测</w:t>
      </w:r>
    </w:p>
    <w:p w14:paraId="3C59942A">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cs="Times New Roman"/>
          <w:b/>
          <w:bCs/>
          <w:snapToGrid w:val="0"/>
          <w:color w:val="auto"/>
          <w:sz w:val="28"/>
          <w:szCs w:val="24"/>
          <w:lang w:val="en-US" w:eastAsia="zh-CN" w:bidi="ar-SA"/>
          <w14:ligatures w14:val="standardContextual"/>
        </w:rPr>
        <w:t>2.3.3</w:t>
      </w:r>
      <w:r>
        <w:rPr>
          <w:rFonts w:hint="eastAsia" w:ascii="Times New Roman" w:hAnsi="Times New Roman" w:eastAsia="宋体" w:cs="Times New Roman"/>
          <w:b/>
          <w:bCs/>
          <w:snapToGrid w:val="0"/>
          <w:color w:val="auto"/>
          <w:sz w:val="28"/>
          <w:szCs w:val="24"/>
          <w:lang w:val="en-US" w:eastAsia="zh-CN" w:bidi="ar-SA"/>
          <w14:ligatures w14:val="standardContextual"/>
        </w:rPr>
        <w:t>.1</w:t>
      </w:r>
      <w:r>
        <w:rPr>
          <w:rFonts w:hint="default" w:ascii="Times New Roman" w:hAnsi="Times New Roman" w:eastAsia="宋体" w:cs="Times New Roman"/>
          <w:color w:val="auto"/>
          <w:lang w:val="en-US" w:eastAsia="zh-CN"/>
        </w:rPr>
        <w:t>基本要求</w:t>
      </w:r>
    </w:p>
    <w:p w14:paraId="49D9AD8E">
      <w:pPr>
        <w:keepNext w:val="0"/>
        <w:keepLines w:val="0"/>
        <w:pageBreakBefore w:val="0"/>
        <w:widowControl/>
        <w:kinsoku w:val="0"/>
        <w:wordWrap/>
        <w:overflowPunct/>
        <w:topLinePunct w:val="0"/>
        <w:autoSpaceDE w:val="0"/>
        <w:autoSpaceDN w:val="0"/>
        <w:bidi w:val="0"/>
        <w:adjustRightInd w:val="0"/>
        <w:snapToGrid w:val="0"/>
        <w:ind w:leftChars="0" w:firstLine="420" w:firstLineChars="200"/>
        <w:jc w:val="left"/>
        <w:textAlignment w:val="baseline"/>
        <w:rPr>
          <w:rFonts w:hint="default" w:ascii="Times New Roman" w:hAnsi="Times New Roman" w:eastAsia="宋体" w:cs="Times New Roman"/>
          <w:snapToGrid w:val="0"/>
          <w:color w:val="auto"/>
          <w:kern w:val="0"/>
          <w:szCs w:val="21"/>
          <w:lang w:eastAsia="zh-CN"/>
        </w:rPr>
      </w:pPr>
      <w:r>
        <w:rPr>
          <w:rFonts w:hint="default" w:ascii="Times New Roman" w:hAnsi="Times New Roman" w:eastAsia="宋体" w:cs="Times New Roman"/>
          <w:snapToGrid w:val="0"/>
          <w:color w:val="auto"/>
          <w:kern w:val="0"/>
          <w:szCs w:val="21"/>
          <w:lang w:val="en-US" w:eastAsia="zh-CN"/>
        </w:rPr>
        <w:t>本</w:t>
      </w:r>
      <w:r>
        <w:rPr>
          <w:rFonts w:hint="default" w:ascii="Times New Roman" w:hAnsi="Times New Roman" w:eastAsia="宋体" w:cs="Times New Roman"/>
          <w:snapToGrid w:val="0"/>
          <w:color w:val="auto"/>
          <w:kern w:val="0"/>
          <w:szCs w:val="21"/>
          <w:lang w:eastAsia="en-US"/>
        </w:rPr>
        <w:t>项目将为</w:t>
      </w:r>
      <w:r>
        <w:rPr>
          <w:rFonts w:hint="default" w:ascii="Times New Roman" w:hAnsi="Times New Roman" w:eastAsia="宋体" w:cs="Times New Roman"/>
          <w:snapToGrid w:val="0"/>
          <w:color w:val="auto"/>
          <w:kern w:val="0"/>
          <w:szCs w:val="21"/>
          <w:lang w:eastAsia="zh-CN"/>
        </w:rPr>
        <w:t>奉新县</w:t>
      </w:r>
      <w:r>
        <w:rPr>
          <w:rFonts w:hint="default" w:ascii="Times New Roman" w:hAnsi="Times New Roman" w:eastAsia="宋体" w:cs="Times New Roman"/>
          <w:snapToGrid w:val="0"/>
          <w:color w:val="auto"/>
          <w:kern w:val="0"/>
          <w:szCs w:val="21"/>
          <w:lang w:eastAsia="en-US"/>
        </w:rPr>
        <w:t>重点入河排污口，如工业排污口、城镇污水处理厂排污口</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农业排口等重点关注的排污口配备水量计量设施</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val="en-US" w:eastAsia="zh-CN"/>
        </w:rPr>
        <w:t>通过流量实时监控，对</w:t>
      </w:r>
      <w:r>
        <w:rPr>
          <w:rFonts w:hint="default" w:ascii="Times New Roman" w:hAnsi="Times New Roman" w:eastAsia="宋体" w:cs="Times New Roman"/>
          <w:snapToGrid w:val="0"/>
          <w:color w:val="auto"/>
          <w:kern w:val="0"/>
          <w:szCs w:val="21"/>
          <w:lang w:eastAsia="en-US"/>
        </w:rPr>
        <w:t>污水入河的污染物质的量和污水总量</w:t>
      </w:r>
      <w:r>
        <w:rPr>
          <w:rFonts w:hint="default" w:ascii="Times New Roman" w:hAnsi="Times New Roman" w:eastAsia="宋体" w:cs="Times New Roman"/>
          <w:snapToGrid w:val="0"/>
          <w:color w:val="auto"/>
          <w:kern w:val="0"/>
          <w:szCs w:val="21"/>
          <w:lang w:val="en-US" w:eastAsia="zh-CN"/>
        </w:rPr>
        <w:t>进行</w:t>
      </w:r>
      <w:r>
        <w:rPr>
          <w:rFonts w:hint="default" w:ascii="Times New Roman" w:hAnsi="Times New Roman" w:eastAsia="宋体" w:cs="Times New Roman"/>
          <w:snapToGrid w:val="0"/>
          <w:color w:val="auto"/>
          <w:kern w:val="0"/>
          <w:szCs w:val="21"/>
          <w:lang w:eastAsia="en-US"/>
        </w:rPr>
        <w:t>计量监测，实时掌握排污情况</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为分析排污口的空间分布、排放规律和对受纳水体水质的影响提供数据支撑，辅助用户有效管控入河污染物排放</w:t>
      </w:r>
      <w:r>
        <w:rPr>
          <w:rFonts w:hint="default" w:ascii="Times New Roman" w:hAnsi="Times New Roman" w:eastAsia="宋体" w:cs="Times New Roman"/>
          <w:snapToGrid w:val="0"/>
          <w:color w:val="auto"/>
          <w:kern w:val="0"/>
          <w:szCs w:val="21"/>
          <w:lang w:eastAsia="zh-CN"/>
        </w:rPr>
        <w:t>。</w:t>
      </w:r>
    </w:p>
    <w:p w14:paraId="3AECF607">
      <w:pPr>
        <w:keepNext w:val="0"/>
        <w:keepLines w:val="0"/>
        <w:pageBreakBefore w:val="0"/>
        <w:widowControl/>
        <w:numPr>
          <w:ilvl w:val="0"/>
          <w:numId w:val="0"/>
        </w:numPr>
        <w:kinsoku w:val="0"/>
        <w:wordWrap/>
        <w:overflowPunct/>
        <w:topLinePunct w:val="0"/>
        <w:autoSpaceDE w:val="0"/>
        <w:autoSpaceDN w:val="0"/>
        <w:bidi w:val="0"/>
        <w:adjustRightInd w:val="0"/>
        <w:snapToGrid w:val="0"/>
        <w:ind w:leftChars="0" w:firstLine="420" w:firstLineChars="200"/>
        <w:textAlignment w:val="baseline"/>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（1）设置原则</w:t>
      </w:r>
    </w:p>
    <w:p w14:paraId="022118FD">
      <w:pPr>
        <w:keepNext w:val="0"/>
        <w:keepLines w:val="0"/>
        <w:pageBreakBefore w:val="0"/>
        <w:widowControl/>
        <w:kinsoku w:val="0"/>
        <w:wordWrap/>
        <w:overflowPunct/>
        <w:topLinePunct w:val="0"/>
        <w:autoSpaceDE w:val="0"/>
        <w:autoSpaceDN w:val="0"/>
        <w:bidi w:val="0"/>
        <w:adjustRightInd w:val="0"/>
        <w:snapToGrid w:val="0"/>
        <w:ind w:leftChars="0"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按照《入河入海排污口监督管理技术指南入河排污口规范化建设》、《水环境监测规范》和《入河排污口管理技术导则》等入河排污口流量在线监测相关规范要求，并结合用户实际监管需求，制定本项目入河排污口流量监测点的设置原则如下：</w:t>
      </w:r>
    </w:p>
    <w:p w14:paraId="62D95389">
      <w:pPr>
        <w:keepNext w:val="0"/>
        <w:keepLines w:val="0"/>
        <w:pageBreakBefore w:val="0"/>
        <w:widowControl/>
        <w:kinsoku w:val="0"/>
        <w:wordWrap/>
        <w:overflowPunct/>
        <w:topLinePunct w:val="0"/>
        <w:autoSpaceDE w:val="0"/>
        <w:autoSpaceDN w:val="0"/>
        <w:bidi w:val="0"/>
        <w:adjustRightInd w:val="0"/>
        <w:snapToGrid w:val="0"/>
        <w:ind w:leftChars="0"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1）对工业园区重点污染源下游，且排污量较大、存在汛期超标风险直排入江的入河排污口，应设置水质在线监测。</w:t>
      </w:r>
    </w:p>
    <w:p w14:paraId="09E6D5E3">
      <w:pPr>
        <w:keepNext w:val="0"/>
        <w:keepLines w:val="0"/>
        <w:pageBreakBefore w:val="0"/>
        <w:widowControl/>
        <w:kinsoku w:val="0"/>
        <w:wordWrap/>
        <w:overflowPunct/>
        <w:topLinePunct w:val="0"/>
        <w:autoSpaceDE w:val="0"/>
        <w:autoSpaceDN w:val="0"/>
        <w:bidi w:val="0"/>
        <w:adjustRightInd w:val="0"/>
        <w:snapToGrid w:val="0"/>
        <w:ind w:leftChars="0"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2）针对重点监管、水质异常等已设置水质在线监测的排污口，应设置流量在线监测。</w:t>
      </w:r>
    </w:p>
    <w:p w14:paraId="4307FBDA">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cs="Times New Roman"/>
          <w:b/>
          <w:bCs/>
          <w:snapToGrid w:val="0"/>
          <w:color w:val="auto"/>
          <w:sz w:val="28"/>
          <w:szCs w:val="24"/>
          <w:lang w:val="en-US" w:eastAsia="zh-CN" w:bidi="ar-SA"/>
          <w14:ligatures w14:val="standardContextual"/>
        </w:rPr>
        <w:t>2.3.3</w:t>
      </w:r>
      <w:r>
        <w:rPr>
          <w:rFonts w:hint="eastAsia" w:ascii="Times New Roman" w:hAnsi="Times New Roman" w:eastAsia="宋体" w:cs="Times New Roman"/>
          <w:b/>
          <w:bCs/>
          <w:snapToGrid w:val="0"/>
          <w:color w:val="auto"/>
          <w:sz w:val="28"/>
          <w:szCs w:val="24"/>
          <w:lang w:val="en-US" w:eastAsia="zh-CN" w:bidi="ar-SA"/>
          <w14:ligatures w14:val="standardContextual"/>
        </w:rPr>
        <w:t>.2</w:t>
      </w:r>
      <w:r>
        <w:rPr>
          <w:rFonts w:hint="default" w:ascii="Times New Roman" w:hAnsi="Times New Roman" w:eastAsia="宋体" w:cs="Times New Roman"/>
          <w:color w:val="auto"/>
          <w:lang w:val="en-US" w:eastAsia="zh-CN"/>
        </w:rPr>
        <w:t>监测点位及排污口信息</w:t>
      </w:r>
    </w:p>
    <w:p w14:paraId="61698230">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为加强对江西省奉新县水环境质量的监管，准确掌握入河排污情况，根据相关环保法规和政策要求，需对奉新高新技术产业园区污水处理厂、宜春市奉新县江西省定海钽铌、奉新县城市污水处理厂新建（提标扩容）工程（4万t/d）、会埠镇污水处理厂入河排污口、百丈山风景名胜区污水处理厂入河排污口五个入河排污口进行流量监测。为水污染防治、排污许可管理及水生态系统保护提供科学依据。</w:t>
      </w:r>
    </w:p>
    <w:p w14:paraId="045FD78C">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0" w:firstLine="0" w:firstLineChars="0"/>
        <w:jc w:val="center"/>
        <w:textAlignment w:val="baseline"/>
        <w:rPr>
          <w:rFonts w:hint="default" w:ascii="Times New Roman" w:hAnsi="Times New Roman" w:eastAsia="宋体" w:cs="Times New Roman"/>
          <w:b/>
          <w:snapToGrid w:val="0"/>
          <w:color w:val="auto"/>
          <w:kern w:val="0"/>
          <w:sz w:val="28"/>
          <w:szCs w:val="21"/>
          <w:lang w:val="en-US" w:eastAsia="zh-CN" w:bidi="ar-SA"/>
        </w:rPr>
      </w:pPr>
      <w:r>
        <w:rPr>
          <w:rFonts w:hint="default" w:ascii="Times New Roman" w:hAnsi="Times New Roman" w:eastAsia="宋体" w:cs="Times New Roman"/>
          <w:b/>
          <w:bCs/>
          <w:snapToGrid w:val="0"/>
          <w:color w:val="auto"/>
          <w:kern w:val="0"/>
          <w:sz w:val="24"/>
          <w:szCs w:val="24"/>
          <w:lang w:val="en-US" w:eastAsia="en-US" w:bidi="ar-SA"/>
        </w:rPr>
        <w:t>表</w:t>
      </w:r>
      <w:r>
        <w:rPr>
          <w:rFonts w:hint="default" w:ascii="Times New Roman" w:hAnsi="Times New Roman" w:eastAsia="宋体" w:cs="Times New Roman"/>
          <w:b/>
          <w:bCs/>
          <w:snapToGrid w:val="0"/>
          <w:color w:val="auto"/>
          <w:kern w:val="0"/>
          <w:sz w:val="24"/>
          <w:szCs w:val="24"/>
          <w:lang w:val="en-US" w:eastAsia="en-US" w:bidi="ar-SA"/>
        </w:rPr>
        <w:fldChar w:fldCharType="begin"/>
      </w:r>
      <w:r>
        <w:rPr>
          <w:rFonts w:hint="default" w:ascii="Times New Roman" w:hAnsi="Times New Roman" w:eastAsia="宋体" w:cs="Times New Roman"/>
          <w:b/>
          <w:bCs/>
          <w:snapToGrid w:val="0"/>
          <w:color w:val="auto"/>
          <w:kern w:val="0"/>
          <w:sz w:val="24"/>
          <w:szCs w:val="24"/>
          <w:lang w:val="en-US" w:eastAsia="en-US" w:bidi="ar-SA"/>
        </w:rPr>
        <w:instrText xml:space="preserve"> STYLEREF 2 \s </w:instrText>
      </w:r>
      <w:r>
        <w:rPr>
          <w:rFonts w:hint="default" w:ascii="Times New Roman" w:hAnsi="Times New Roman" w:eastAsia="宋体" w:cs="Times New Roman"/>
          <w:b/>
          <w:bCs/>
          <w:snapToGrid w:val="0"/>
          <w:color w:val="auto"/>
          <w:kern w:val="0"/>
          <w:sz w:val="24"/>
          <w:szCs w:val="24"/>
          <w:lang w:val="en-US" w:eastAsia="en-US" w:bidi="ar-SA"/>
        </w:rPr>
        <w:fldChar w:fldCharType="separate"/>
      </w:r>
      <w:r>
        <w:rPr>
          <w:rFonts w:hint="default" w:ascii="Times New Roman" w:hAnsi="Times New Roman" w:eastAsia="宋体" w:cs="Times New Roman"/>
          <w:b/>
          <w:bCs/>
          <w:snapToGrid w:val="0"/>
          <w:color w:val="auto"/>
          <w:kern w:val="0"/>
          <w:sz w:val="24"/>
          <w:szCs w:val="24"/>
          <w:lang w:val="en-US" w:eastAsia="en-US" w:bidi="ar-SA"/>
        </w:rPr>
        <w:t>2</w:t>
      </w:r>
      <w:r>
        <w:rPr>
          <w:rFonts w:hint="default" w:ascii="Times New Roman" w:hAnsi="Times New Roman" w:eastAsia="宋体" w:cs="Times New Roman"/>
          <w:b/>
          <w:bCs/>
          <w:snapToGrid w:val="0"/>
          <w:color w:val="auto"/>
          <w:kern w:val="0"/>
          <w:sz w:val="24"/>
          <w:szCs w:val="24"/>
          <w:lang w:val="en-US" w:eastAsia="en-US" w:bidi="ar-SA"/>
        </w:rPr>
        <w:fldChar w:fldCharType="end"/>
      </w:r>
      <w:r>
        <w:rPr>
          <w:rFonts w:hint="default" w:ascii="Times New Roman" w:hAnsi="Times New Roman" w:eastAsia="宋体" w:cs="Times New Roman"/>
          <w:b/>
          <w:bCs/>
          <w:snapToGrid w:val="0"/>
          <w:color w:val="auto"/>
          <w:kern w:val="0"/>
          <w:sz w:val="24"/>
          <w:szCs w:val="24"/>
          <w:lang w:val="en-US" w:eastAsia="zh-CN" w:bidi="ar-SA"/>
        </w:rPr>
        <w:t>-</w:t>
      </w:r>
      <w:r>
        <w:rPr>
          <w:rFonts w:hint="default" w:ascii="Times New Roman" w:hAnsi="Times New Roman" w:eastAsia="宋体" w:cs="Times New Roman"/>
          <w:b/>
          <w:bCs/>
          <w:snapToGrid w:val="0"/>
          <w:color w:val="auto"/>
          <w:kern w:val="0"/>
          <w:sz w:val="24"/>
          <w:szCs w:val="24"/>
          <w:lang w:val="en-US" w:eastAsia="en-US" w:bidi="ar-SA"/>
        </w:rPr>
        <w:fldChar w:fldCharType="begin"/>
      </w:r>
      <w:r>
        <w:rPr>
          <w:rFonts w:hint="default" w:ascii="Times New Roman" w:hAnsi="Times New Roman" w:eastAsia="宋体" w:cs="Times New Roman"/>
          <w:b/>
          <w:bCs/>
          <w:snapToGrid w:val="0"/>
          <w:color w:val="auto"/>
          <w:kern w:val="0"/>
          <w:sz w:val="24"/>
          <w:szCs w:val="24"/>
          <w:lang w:val="en-US" w:eastAsia="en-US" w:bidi="ar-SA"/>
        </w:rPr>
        <w:instrText xml:space="preserve"> SEQ 表 \* ARABIC \s 2 </w:instrText>
      </w:r>
      <w:r>
        <w:rPr>
          <w:rFonts w:hint="default" w:ascii="Times New Roman" w:hAnsi="Times New Roman" w:eastAsia="宋体" w:cs="Times New Roman"/>
          <w:b/>
          <w:bCs/>
          <w:snapToGrid w:val="0"/>
          <w:color w:val="auto"/>
          <w:kern w:val="0"/>
          <w:sz w:val="24"/>
          <w:szCs w:val="24"/>
          <w:lang w:val="en-US" w:eastAsia="en-US" w:bidi="ar-SA"/>
        </w:rPr>
        <w:fldChar w:fldCharType="separate"/>
      </w:r>
      <w:r>
        <w:rPr>
          <w:rFonts w:hint="default" w:ascii="Times New Roman" w:hAnsi="Times New Roman" w:eastAsia="宋体" w:cs="Times New Roman"/>
          <w:b/>
          <w:bCs/>
          <w:snapToGrid w:val="0"/>
          <w:color w:val="auto"/>
          <w:kern w:val="0"/>
          <w:sz w:val="24"/>
          <w:szCs w:val="24"/>
          <w:lang w:val="en-US" w:eastAsia="en-US" w:bidi="ar-SA"/>
        </w:rPr>
        <w:t>2</w:t>
      </w:r>
      <w:r>
        <w:rPr>
          <w:rFonts w:hint="default" w:ascii="Times New Roman" w:hAnsi="Times New Roman" w:eastAsia="宋体" w:cs="Times New Roman"/>
          <w:b/>
          <w:bCs/>
          <w:snapToGrid w:val="0"/>
          <w:color w:val="auto"/>
          <w:kern w:val="0"/>
          <w:sz w:val="24"/>
          <w:szCs w:val="24"/>
          <w:lang w:val="en-US" w:eastAsia="en-US" w:bidi="ar-SA"/>
        </w:rPr>
        <w:fldChar w:fldCharType="end"/>
      </w:r>
      <w:r>
        <w:rPr>
          <w:rFonts w:hint="default" w:ascii="Times New Roman" w:hAnsi="Times New Roman" w:eastAsia="宋体" w:cs="Times New Roman"/>
          <w:b/>
          <w:bCs/>
          <w:snapToGrid w:val="0"/>
          <w:color w:val="auto"/>
          <w:kern w:val="0"/>
          <w:sz w:val="24"/>
          <w:szCs w:val="24"/>
          <w:lang w:val="en-US" w:eastAsia="zh-CN" w:bidi="ar-SA"/>
        </w:rPr>
        <w:t>监测点位及排污口信息​</w:t>
      </w:r>
    </w:p>
    <w:tbl>
      <w:tblPr>
        <w:tblStyle w:val="11"/>
        <w:tblW w:w="527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30"/>
        <w:gridCol w:w="2179"/>
        <w:gridCol w:w="1619"/>
        <w:gridCol w:w="1259"/>
        <w:gridCol w:w="1270"/>
        <w:gridCol w:w="908"/>
        <w:gridCol w:w="1009"/>
      </w:tblGrid>
      <w:tr w14:paraId="7246E5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02" w:type="pct"/>
            <w:vAlign w:val="center"/>
          </w:tcPr>
          <w:p w14:paraId="6AFBAF2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序号</w:t>
            </w:r>
          </w:p>
        </w:tc>
        <w:tc>
          <w:tcPr>
            <w:tcW w:w="1241" w:type="pct"/>
            <w:vAlign w:val="center"/>
          </w:tcPr>
          <w:p w14:paraId="537FA98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入河排污口名称</w:t>
            </w:r>
          </w:p>
        </w:tc>
        <w:tc>
          <w:tcPr>
            <w:tcW w:w="922" w:type="pct"/>
            <w:vAlign w:val="center"/>
          </w:tcPr>
          <w:p w14:paraId="7C5C6EB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排污口类型</w:t>
            </w:r>
          </w:p>
        </w:tc>
        <w:tc>
          <w:tcPr>
            <w:tcW w:w="717" w:type="pct"/>
            <w:vAlign w:val="center"/>
          </w:tcPr>
          <w:p w14:paraId="0731B95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经度</w:t>
            </w:r>
          </w:p>
        </w:tc>
        <w:tc>
          <w:tcPr>
            <w:tcW w:w="723" w:type="pct"/>
            <w:vAlign w:val="center"/>
          </w:tcPr>
          <w:p w14:paraId="24A79B3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纬度</w:t>
            </w:r>
          </w:p>
        </w:tc>
        <w:tc>
          <w:tcPr>
            <w:tcW w:w="517" w:type="pct"/>
            <w:vAlign w:val="center"/>
          </w:tcPr>
          <w:p w14:paraId="3C863BE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排入水体</w:t>
            </w:r>
          </w:p>
        </w:tc>
        <w:tc>
          <w:tcPr>
            <w:tcW w:w="574" w:type="pct"/>
            <w:vAlign w:val="center"/>
          </w:tcPr>
          <w:p w14:paraId="6D5D0ED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入河方式</w:t>
            </w:r>
          </w:p>
        </w:tc>
      </w:tr>
      <w:tr w14:paraId="31EE4B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02" w:type="pct"/>
            <w:vAlign w:val="center"/>
          </w:tcPr>
          <w:p w14:paraId="726D048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1</w:t>
            </w:r>
          </w:p>
        </w:tc>
        <w:tc>
          <w:tcPr>
            <w:tcW w:w="1241" w:type="pct"/>
            <w:vAlign w:val="center"/>
          </w:tcPr>
          <w:p w14:paraId="2A50E51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江西省奉新高新技术产业园区污水处理厂入河排污口</w:t>
            </w:r>
          </w:p>
        </w:tc>
        <w:tc>
          <w:tcPr>
            <w:tcW w:w="922" w:type="pct"/>
            <w:vAlign w:val="center"/>
          </w:tcPr>
          <w:p w14:paraId="13A9BE6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工业排污口</w:t>
            </w:r>
          </w:p>
        </w:tc>
        <w:tc>
          <w:tcPr>
            <w:tcW w:w="717" w:type="pct"/>
            <w:vAlign w:val="center"/>
          </w:tcPr>
          <w:p w14:paraId="0292274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115.404478</w:t>
            </w:r>
          </w:p>
        </w:tc>
        <w:tc>
          <w:tcPr>
            <w:tcW w:w="723" w:type="pct"/>
            <w:vAlign w:val="center"/>
          </w:tcPr>
          <w:p w14:paraId="266B4EB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28.699238</w:t>
            </w:r>
          </w:p>
        </w:tc>
        <w:tc>
          <w:tcPr>
            <w:tcW w:w="517" w:type="pct"/>
            <w:vAlign w:val="center"/>
          </w:tcPr>
          <w:p w14:paraId="357CD33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潦河</w:t>
            </w:r>
          </w:p>
        </w:tc>
        <w:tc>
          <w:tcPr>
            <w:tcW w:w="574" w:type="pct"/>
            <w:vAlign w:val="center"/>
          </w:tcPr>
          <w:p w14:paraId="596BF9E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涵闸</w:t>
            </w:r>
          </w:p>
        </w:tc>
      </w:tr>
      <w:tr w14:paraId="096B4E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02" w:type="pct"/>
            <w:vAlign w:val="center"/>
          </w:tcPr>
          <w:p w14:paraId="139853A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2</w:t>
            </w:r>
          </w:p>
        </w:tc>
        <w:tc>
          <w:tcPr>
            <w:tcW w:w="1241" w:type="pct"/>
            <w:vAlign w:val="center"/>
          </w:tcPr>
          <w:p w14:paraId="5B05572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宜春市奉新县华林大桥旁沟渠</w:t>
            </w:r>
          </w:p>
        </w:tc>
        <w:tc>
          <w:tcPr>
            <w:tcW w:w="922" w:type="pct"/>
            <w:vAlign w:val="center"/>
          </w:tcPr>
          <w:p w14:paraId="0232345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工业排污口</w:t>
            </w:r>
          </w:p>
        </w:tc>
        <w:tc>
          <w:tcPr>
            <w:tcW w:w="717" w:type="pct"/>
            <w:vAlign w:val="center"/>
          </w:tcPr>
          <w:p w14:paraId="6428FD0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115.366944</w:t>
            </w:r>
          </w:p>
        </w:tc>
        <w:tc>
          <w:tcPr>
            <w:tcW w:w="723" w:type="pct"/>
            <w:vAlign w:val="center"/>
          </w:tcPr>
          <w:p w14:paraId="7429D3B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28.7025</w:t>
            </w:r>
          </w:p>
        </w:tc>
        <w:tc>
          <w:tcPr>
            <w:tcW w:w="517" w:type="pct"/>
            <w:vAlign w:val="center"/>
          </w:tcPr>
          <w:p w14:paraId="372CA44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潦河</w:t>
            </w:r>
          </w:p>
        </w:tc>
        <w:tc>
          <w:tcPr>
            <w:tcW w:w="574" w:type="pct"/>
            <w:vAlign w:val="center"/>
          </w:tcPr>
          <w:p w14:paraId="2354668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管道</w:t>
            </w:r>
          </w:p>
        </w:tc>
      </w:tr>
      <w:tr w14:paraId="5311CA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02" w:type="pct"/>
            <w:vAlign w:val="center"/>
          </w:tcPr>
          <w:p w14:paraId="5A3EEDA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3</w:t>
            </w:r>
          </w:p>
        </w:tc>
        <w:tc>
          <w:tcPr>
            <w:tcW w:w="1241" w:type="pct"/>
            <w:vAlign w:val="center"/>
          </w:tcPr>
          <w:p w14:paraId="4C62611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奉新县城市污水处理厂新建（提标扩容）工程（4万t/d）入河排污口</w:t>
            </w:r>
          </w:p>
        </w:tc>
        <w:tc>
          <w:tcPr>
            <w:tcW w:w="922" w:type="pct"/>
            <w:vAlign w:val="center"/>
          </w:tcPr>
          <w:p w14:paraId="6ABC87D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城镇污水处理厂排污口</w:t>
            </w:r>
          </w:p>
        </w:tc>
        <w:tc>
          <w:tcPr>
            <w:tcW w:w="717" w:type="pct"/>
            <w:vAlign w:val="center"/>
          </w:tcPr>
          <w:p w14:paraId="3F53006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115.414736</w:t>
            </w:r>
          </w:p>
        </w:tc>
        <w:tc>
          <w:tcPr>
            <w:tcW w:w="723" w:type="pct"/>
            <w:vAlign w:val="center"/>
          </w:tcPr>
          <w:p w14:paraId="01CF594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28.729287</w:t>
            </w:r>
          </w:p>
        </w:tc>
        <w:tc>
          <w:tcPr>
            <w:tcW w:w="517" w:type="pct"/>
            <w:vAlign w:val="center"/>
          </w:tcPr>
          <w:p w14:paraId="7DAC624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潦河</w:t>
            </w:r>
          </w:p>
        </w:tc>
        <w:tc>
          <w:tcPr>
            <w:tcW w:w="574" w:type="pct"/>
            <w:vAlign w:val="center"/>
          </w:tcPr>
          <w:p w14:paraId="09B9F1B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管道</w:t>
            </w:r>
          </w:p>
        </w:tc>
      </w:tr>
      <w:tr w14:paraId="08987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02" w:type="pct"/>
            <w:vAlign w:val="center"/>
          </w:tcPr>
          <w:p w14:paraId="7F69AAB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4</w:t>
            </w:r>
          </w:p>
        </w:tc>
        <w:tc>
          <w:tcPr>
            <w:tcW w:w="1241" w:type="pct"/>
            <w:shd w:val="clear" w:color="auto" w:fill="auto"/>
            <w:vAlign w:val="center"/>
          </w:tcPr>
          <w:p w14:paraId="2805BE1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宜春市奉新县会埠镇集镇生活污水排口</w:t>
            </w:r>
          </w:p>
        </w:tc>
        <w:tc>
          <w:tcPr>
            <w:tcW w:w="922" w:type="pct"/>
            <w:vAlign w:val="center"/>
          </w:tcPr>
          <w:p w14:paraId="4201C8D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城镇污水处理厂排污口</w:t>
            </w:r>
          </w:p>
        </w:tc>
        <w:tc>
          <w:tcPr>
            <w:tcW w:w="717" w:type="pct"/>
            <w:vAlign w:val="center"/>
          </w:tcPr>
          <w:p w14:paraId="4F8AFA4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val="en-US" w:eastAsia="zh-CN"/>
              </w:rPr>
              <w:t>115.190556</w:t>
            </w:r>
          </w:p>
        </w:tc>
        <w:tc>
          <w:tcPr>
            <w:tcW w:w="723" w:type="pct"/>
            <w:vAlign w:val="center"/>
          </w:tcPr>
          <w:p w14:paraId="09D99B8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28.717778</w:t>
            </w:r>
          </w:p>
        </w:tc>
        <w:tc>
          <w:tcPr>
            <w:tcW w:w="517" w:type="pct"/>
            <w:shd w:val="clear" w:color="auto" w:fill="auto"/>
            <w:vAlign w:val="center"/>
          </w:tcPr>
          <w:p w14:paraId="21A26FD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en-US" w:bidi="ar-SA"/>
              </w:rPr>
            </w:pPr>
            <w:r>
              <w:rPr>
                <w:rFonts w:hint="default" w:ascii="Times New Roman" w:hAnsi="Times New Roman" w:eastAsia="宋体" w:cs="Times New Roman"/>
                <w:snapToGrid w:val="0"/>
                <w:color w:val="auto"/>
                <w:kern w:val="0"/>
                <w:sz w:val="21"/>
                <w:szCs w:val="21"/>
                <w:lang w:val="en-US" w:eastAsia="zh-CN"/>
              </w:rPr>
              <w:t>南</w:t>
            </w:r>
            <w:r>
              <w:rPr>
                <w:rFonts w:hint="default" w:ascii="Times New Roman" w:hAnsi="Times New Roman" w:eastAsia="宋体" w:cs="Times New Roman"/>
                <w:snapToGrid w:val="0"/>
                <w:color w:val="auto"/>
                <w:kern w:val="0"/>
                <w:sz w:val="21"/>
                <w:szCs w:val="21"/>
                <w:lang w:eastAsia="en-US"/>
              </w:rPr>
              <w:t>潦河</w:t>
            </w:r>
          </w:p>
        </w:tc>
        <w:tc>
          <w:tcPr>
            <w:tcW w:w="574" w:type="pct"/>
            <w:shd w:val="clear" w:color="auto" w:fill="auto"/>
            <w:vAlign w:val="center"/>
          </w:tcPr>
          <w:p w14:paraId="4CD16F9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en-US" w:bidi="ar-SA"/>
              </w:rPr>
            </w:pPr>
            <w:r>
              <w:rPr>
                <w:rFonts w:hint="default" w:ascii="Times New Roman" w:hAnsi="Times New Roman" w:eastAsia="宋体" w:cs="Times New Roman"/>
                <w:snapToGrid w:val="0"/>
                <w:color w:val="auto"/>
                <w:kern w:val="0"/>
                <w:sz w:val="21"/>
                <w:szCs w:val="21"/>
                <w:lang w:eastAsia="en-US"/>
              </w:rPr>
              <w:t>管道</w:t>
            </w:r>
          </w:p>
        </w:tc>
      </w:tr>
      <w:tr w14:paraId="52A595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02" w:type="pct"/>
            <w:vAlign w:val="center"/>
          </w:tcPr>
          <w:p w14:paraId="59676D8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5</w:t>
            </w:r>
          </w:p>
        </w:tc>
        <w:tc>
          <w:tcPr>
            <w:tcW w:w="1241" w:type="pct"/>
            <w:shd w:val="clear" w:color="auto" w:fill="auto"/>
            <w:vAlign w:val="center"/>
          </w:tcPr>
          <w:p w14:paraId="5B9ED08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en-US"/>
              </w:rPr>
            </w:pPr>
            <w:r>
              <w:rPr>
                <w:rFonts w:hint="default" w:ascii="Times New Roman" w:hAnsi="Times New Roman" w:eastAsia="宋体" w:cs="Times New Roman"/>
                <w:snapToGrid w:val="0"/>
                <w:color w:val="auto"/>
                <w:kern w:val="0"/>
                <w:sz w:val="21"/>
                <w:szCs w:val="21"/>
                <w:lang w:val="en-US" w:eastAsia="zh-CN"/>
              </w:rPr>
              <w:t>百丈山风景名胜区污水处理厂入河排污口</w:t>
            </w:r>
          </w:p>
        </w:tc>
        <w:tc>
          <w:tcPr>
            <w:tcW w:w="922" w:type="pct"/>
            <w:vAlign w:val="center"/>
          </w:tcPr>
          <w:p w14:paraId="5649132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城镇污水处理厂排污口</w:t>
            </w:r>
          </w:p>
        </w:tc>
        <w:tc>
          <w:tcPr>
            <w:tcW w:w="717" w:type="pct"/>
            <w:vAlign w:val="center"/>
          </w:tcPr>
          <w:p w14:paraId="7CFFF31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114.803516</w:t>
            </w:r>
          </w:p>
        </w:tc>
        <w:tc>
          <w:tcPr>
            <w:tcW w:w="723" w:type="pct"/>
            <w:vAlign w:val="center"/>
          </w:tcPr>
          <w:p w14:paraId="2E73CBD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28.675371</w:t>
            </w:r>
          </w:p>
        </w:tc>
        <w:tc>
          <w:tcPr>
            <w:tcW w:w="517" w:type="pct"/>
            <w:shd w:val="clear" w:color="auto" w:fill="auto"/>
            <w:vAlign w:val="center"/>
          </w:tcPr>
          <w:p w14:paraId="5444F78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en-US" w:bidi="ar-SA"/>
              </w:rPr>
            </w:pPr>
            <w:r>
              <w:rPr>
                <w:rFonts w:hint="default" w:ascii="Times New Roman" w:hAnsi="Times New Roman" w:eastAsia="宋体" w:cs="Times New Roman"/>
                <w:snapToGrid w:val="0"/>
                <w:color w:val="auto"/>
                <w:kern w:val="0"/>
                <w:sz w:val="21"/>
                <w:szCs w:val="21"/>
                <w:lang w:val="en-US" w:eastAsia="zh-CN"/>
              </w:rPr>
              <w:t>南</w:t>
            </w:r>
            <w:r>
              <w:rPr>
                <w:rFonts w:hint="default" w:ascii="Times New Roman" w:hAnsi="Times New Roman" w:eastAsia="宋体" w:cs="Times New Roman"/>
                <w:snapToGrid w:val="0"/>
                <w:color w:val="auto"/>
                <w:kern w:val="0"/>
                <w:sz w:val="21"/>
                <w:szCs w:val="21"/>
                <w:lang w:eastAsia="en-US"/>
              </w:rPr>
              <w:t>潦河</w:t>
            </w:r>
          </w:p>
        </w:tc>
        <w:tc>
          <w:tcPr>
            <w:tcW w:w="574" w:type="pct"/>
            <w:shd w:val="clear" w:color="auto" w:fill="auto"/>
            <w:vAlign w:val="center"/>
          </w:tcPr>
          <w:p w14:paraId="2030DE8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snapToGrid w:val="0"/>
                <w:color w:val="auto"/>
                <w:kern w:val="0"/>
                <w:sz w:val="21"/>
                <w:szCs w:val="21"/>
                <w:lang w:val="en-US" w:eastAsia="en-US" w:bidi="ar-SA"/>
              </w:rPr>
            </w:pPr>
            <w:r>
              <w:rPr>
                <w:rFonts w:hint="default" w:ascii="Times New Roman" w:hAnsi="Times New Roman" w:eastAsia="宋体" w:cs="Times New Roman"/>
                <w:snapToGrid w:val="0"/>
                <w:color w:val="auto"/>
                <w:kern w:val="0"/>
                <w:sz w:val="21"/>
                <w:szCs w:val="21"/>
                <w:lang w:eastAsia="en-US"/>
              </w:rPr>
              <w:t>管道</w:t>
            </w:r>
          </w:p>
        </w:tc>
      </w:tr>
    </w:tbl>
    <w:p w14:paraId="1157BC68">
      <w:pPr>
        <w:bidi w:val="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建设内容可根据实际情况调整，由业主确认后可调整。</w:t>
      </w:r>
    </w:p>
    <w:p w14:paraId="26EA6B8F">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2.3.4</w:t>
      </w:r>
      <w:r>
        <w:rPr>
          <w:rFonts w:hint="default" w:ascii="Times New Roman" w:hAnsi="Times New Roman" w:eastAsia="宋体" w:cs="Times New Roman"/>
          <w:color w:val="auto"/>
          <w:lang w:val="en-US" w:eastAsia="zh-CN"/>
        </w:rPr>
        <w:t>入河排污口水质自动监测站</w:t>
      </w:r>
    </w:p>
    <w:p w14:paraId="6C57CBAC">
      <w:pPr>
        <w:bidi w:val="0"/>
        <w:ind w:firstLine="42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为全面掌握奉新县相关入河排污口的水质状况，及时发现水质污染问题，需要对</w:t>
      </w:r>
      <w:r>
        <w:rPr>
          <w:rFonts w:hint="default" w:ascii="Times New Roman" w:hAnsi="Times New Roman" w:eastAsia="宋体" w:cs="Times New Roman"/>
          <w:color w:val="auto"/>
          <w:lang w:eastAsia="zh-CN"/>
        </w:rPr>
        <w:t>奉新县</w:t>
      </w:r>
      <w:r>
        <w:rPr>
          <w:rFonts w:hint="default" w:ascii="Times New Roman" w:hAnsi="Times New Roman" w:eastAsia="宋体" w:cs="Times New Roman"/>
          <w:color w:val="auto"/>
          <w:lang w:val="en-US" w:eastAsia="zh-CN"/>
        </w:rPr>
        <w:t>重点</w:t>
      </w:r>
      <w:r>
        <w:rPr>
          <w:rFonts w:hint="default" w:ascii="Times New Roman" w:hAnsi="Times New Roman" w:eastAsia="宋体" w:cs="Times New Roman"/>
          <w:color w:val="auto"/>
        </w:rPr>
        <w:t>入河排污口水质实施实时监测</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rPr>
        <w:t>对</w:t>
      </w:r>
      <w:r>
        <w:rPr>
          <w:rFonts w:hint="default" w:ascii="Times New Roman" w:hAnsi="Times New Roman" w:eastAsia="宋体" w:cs="Times New Roman"/>
          <w:color w:val="auto"/>
          <w:lang w:val="en-US" w:eastAsia="zh-CN"/>
        </w:rPr>
        <w:t>入河排污口的</w:t>
      </w:r>
      <w:r>
        <w:rPr>
          <w:rFonts w:hint="default" w:ascii="Times New Roman" w:hAnsi="Times New Roman" w:eastAsia="宋体" w:cs="Times New Roman"/>
          <w:color w:val="auto"/>
        </w:rPr>
        <w:t>pH</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rPr>
        <w:t>电导率、浊度、溶解氧、COD、氨氮</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氟化物</w:t>
      </w:r>
      <w:r>
        <w:rPr>
          <w:rFonts w:hint="default" w:ascii="Times New Roman" w:hAnsi="Times New Roman" w:eastAsia="宋体" w:cs="Times New Roman"/>
          <w:color w:val="auto"/>
        </w:rPr>
        <w:t>等指标进行实时监测与预警，并结合监测的水量数据，对入河排污口排污总量进行监控与分析，加强对各排污口的水质超标管理、排污总量管控，辅助用户实现排污溯源分析，对收纳水体水质变化趋势分析。</w:t>
      </w:r>
    </w:p>
    <w:p w14:paraId="6359428F">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cs="Times New Roman"/>
          <w:b/>
          <w:bCs/>
          <w:snapToGrid w:val="0"/>
          <w:color w:val="auto"/>
          <w:sz w:val="28"/>
          <w:szCs w:val="24"/>
          <w:lang w:val="en-US" w:eastAsia="zh-CN" w:bidi="ar-SA"/>
          <w14:ligatures w14:val="standardContextual"/>
        </w:rPr>
        <w:t>2.3.4</w:t>
      </w:r>
      <w:r>
        <w:rPr>
          <w:rFonts w:hint="eastAsia" w:ascii="Times New Roman" w:hAnsi="Times New Roman" w:eastAsia="宋体" w:cs="Times New Roman"/>
          <w:b/>
          <w:bCs/>
          <w:snapToGrid w:val="0"/>
          <w:color w:val="auto"/>
          <w:sz w:val="28"/>
          <w:szCs w:val="24"/>
          <w:lang w:val="en-US" w:eastAsia="zh-CN" w:bidi="ar-SA"/>
          <w14:ligatures w14:val="standardContextual"/>
        </w:rPr>
        <w:t>.1</w:t>
      </w:r>
      <w:r>
        <w:rPr>
          <w:rFonts w:hint="default" w:ascii="Times New Roman" w:hAnsi="Times New Roman" w:eastAsia="宋体" w:cs="Times New Roman"/>
          <w:color w:val="auto"/>
          <w:lang w:val="en-US" w:eastAsia="zh-CN"/>
        </w:rPr>
        <w:t>水质自动监测站要求</w:t>
      </w:r>
    </w:p>
    <w:p w14:paraId="04BF75E1">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eastAsia="en-US"/>
        </w:rPr>
        <w:t>水质自动监测站用先进的传感技术，可随项目需求变动安装点位，对河流、湖泊、水库、河流入海口等各种野外环境进行在线水质监测。相较于站房式水质监测站，其占地面积较小。根据设备选型不同，微型站的占地面积可在2m</w:t>
      </w:r>
      <w:r>
        <w:rPr>
          <w:rFonts w:hint="default" w:ascii="Times New Roman" w:hAnsi="Times New Roman" w:eastAsia="宋体" w:cs="Times New Roman"/>
          <w:snapToGrid w:val="0"/>
          <w:color w:val="auto"/>
          <w:kern w:val="0"/>
          <w:szCs w:val="21"/>
          <w:vertAlign w:val="superscript"/>
          <w:lang w:eastAsia="en-US"/>
        </w:rPr>
        <w:t>2</w:t>
      </w:r>
      <w:r>
        <w:rPr>
          <w:rFonts w:hint="default" w:ascii="Times New Roman" w:hAnsi="Times New Roman" w:eastAsia="宋体" w:cs="Times New Roman"/>
          <w:snapToGrid w:val="0"/>
          <w:color w:val="auto"/>
          <w:kern w:val="0"/>
          <w:szCs w:val="21"/>
          <w:lang w:eastAsia="en-US"/>
        </w:rPr>
        <w:t>范围内，且采用低功耗设计，既能使用市电又能使用太阳能供电，建设成本低，周期短，可快速实现区域网格化监测，并且微型水质站可移动，可随项目需求变动安装点位。</w:t>
      </w:r>
    </w:p>
    <w:p w14:paraId="12D03FB7">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val="en-US" w:eastAsia="zh-CN"/>
        </w:rPr>
        <w:t>1</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拟选取</w:t>
      </w:r>
      <w:r>
        <w:rPr>
          <w:rFonts w:hint="default" w:ascii="Times New Roman" w:hAnsi="Times New Roman" w:eastAsia="宋体" w:cs="Times New Roman"/>
          <w:snapToGrid w:val="0"/>
          <w:color w:val="auto"/>
          <w:kern w:val="0"/>
          <w:szCs w:val="21"/>
          <w:lang w:eastAsia="zh-CN"/>
        </w:rPr>
        <w:t>奉新县</w:t>
      </w:r>
      <w:r>
        <w:rPr>
          <w:rFonts w:hint="default" w:ascii="Times New Roman" w:hAnsi="Times New Roman" w:eastAsia="宋体" w:cs="Times New Roman"/>
          <w:snapToGrid w:val="0"/>
          <w:color w:val="auto"/>
          <w:kern w:val="0"/>
          <w:szCs w:val="21"/>
          <w:lang w:val="en-US" w:eastAsia="zh-CN"/>
        </w:rPr>
        <w:t>3</w:t>
      </w:r>
      <w:r>
        <w:rPr>
          <w:rFonts w:hint="default" w:ascii="Times New Roman" w:hAnsi="Times New Roman" w:eastAsia="宋体" w:cs="Times New Roman"/>
          <w:snapToGrid w:val="0"/>
          <w:color w:val="auto"/>
          <w:kern w:val="0"/>
          <w:szCs w:val="21"/>
          <w:lang w:eastAsia="en-US"/>
        </w:rPr>
        <w:t>个入河排污口进行安装水质自动监测</w:t>
      </w:r>
      <w:r>
        <w:rPr>
          <w:rFonts w:hint="default" w:ascii="Times New Roman" w:hAnsi="Times New Roman" w:eastAsia="宋体" w:cs="Times New Roman"/>
          <w:snapToGrid w:val="0"/>
          <w:color w:val="auto"/>
          <w:kern w:val="0"/>
          <w:szCs w:val="21"/>
          <w:lang w:val="en-US" w:eastAsia="zh-CN"/>
        </w:rPr>
        <w:t>站</w:t>
      </w:r>
      <w:r>
        <w:rPr>
          <w:rFonts w:hint="default" w:ascii="Times New Roman" w:hAnsi="Times New Roman" w:eastAsia="宋体" w:cs="Times New Roman"/>
          <w:snapToGrid w:val="0"/>
          <w:color w:val="auto"/>
          <w:kern w:val="0"/>
          <w:szCs w:val="21"/>
          <w:lang w:eastAsia="en-US"/>
        </w:rPr>
        <w:t>装置。必要监测指标主要包括pH、电导率、浊度、溶解氧、COD、氨氮等指标</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val="en-US" w:eastAsia="zh-CN"/>
        </w:rPr>
        <w:t>其中一套增加氟化物监测因子</w:t>
      </w:r>
      <w:r>
        <w:rPr>
          <w:rFonts w:hint="default" w:ascii="Times New Roman" w:hAnsi="Times New Roman" w:eastAsia="宋体" w:cs="Times New Roman"/>
          <w:snapToGrid w:val="0"/>
          <w:color w:val="auto"/>
          <w:kern w:val="0"/>
          <w:szCs w:val="21"/>
          <w:lang w:eastAsia="zh-CN"/>
        </w:rPr>
        <w:t>。</w:t>
      </w:r>
    </w:p>
    <w:p w14:paraId="1D934C1F">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（2）水质在线监测站主要包括采水单元、配水及预处理单元、控制单元、检测单元、留样单元、辅助单元等。采用机柜式固定站结构，通过4G无线通信方式，实现排口水质在线监测站与奉新县生态环境局的连接。</w:t>
      </w:r>
    </w:p>
    <w:p w14:paraId="66DE666F">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（3）项目监测单元主要包括pH、电导率、浊度、溶解氧、COD、氨氮、氟化物等指标，所选仪器设备所用分析方法需符合国家、环保部门的相关标准和规范，满足水质的实时连续监测和远程监控的要求。</w:t>
      </w:r>
    </w:p>
    <w:p w14:paraId="3B826C42">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val="en-US" w:eastAsia="zh-CN"/>
        </w:rPr>
        <w:t>（4）留样单元</w:t>
      </w:r>
      <w:r>
        <w:rPr>
          <w:rFonts w:hint="default" w:ascii="Times New Roman" w:hAnsi="Times New Roman" w:eastAsia="宋体" w:cs="Times New Roman"/>
          <w:snapToGrid w:val="0"/>
          <w:color w:val="auto"/>
          <w:kern w:val="0"/>
          <w:szCs w:val="21"/>
          <w:lang w:eastAsia="en-US"/>
        </w:rPr>
        <w:t>能够定期的对入河排污口的流水进行采样，可以</w:t>
      </w:r>
      <w:r>
        <w:rPr>
          <w:rFonts w:hint="default" w:ascii="Times New Roman" w:hAnsi="Times New Roman" w:eastAsia="宋体" w:cs="Times New Roman"/>
          <w:snapToGrid w:val="0"/>
          <w:color w:val="auto"/>
          <w:kern w:val="0"/>
          <w:szCs w:val="21"/>
          <w:lang w:val="en-US" w:eastAsia="zh-CN"/>
        </w:rPr>
        <w:t>进行</w:t>
      </w:r>
      <w:r>
        <w:rPr>
          <w:rFonts w:hint="default" w:ascii="Times New Roman" w:hAnsi="Times New Roman" w:eastAsia="宋体" w:cs="Times New Roman"/>
          <w:snapToGrid w:val="0"/>
          <w:color w:val="auto"/>
          <w:kern w:val="0"/>
          <w:szCs w:val="21"/>
          <w:lang w:eastAsia="en-US"/>
        </w:rPr>
        <w:t>远程控制采样</w:t>
      </w:r>
      <w:r>
        <w:rPr>
          <w:rFonts w:hint="default" w:ascii="Times New Roman" w:hAnsi="Times New Roman" w:eastAsia="宋体" w:cs="Times New Roman"/>
          <w:snapToGrid w:val="0"/>
          <w:color w:val="auto"/>
          <w:kern w:val="0"/>
          <w:szCs w:val="21"/>
          <w:lang w:eastAsia="zh-CN"/>
        </w:rPr>
        <w:t>，</w:t>
      </w:r>
      <w:r>
        <w:rPr>
          <w:rFonts w:hint="default" w:ascii="Times New Roman" w:hAnsi="Times New Roman" w:eastAsia="宋体" w:cs="Times New Roman"/>
          <w:snapToGrid w:val="0"/>
          <w:color w:val="auto"/>
          <w:kern w:val="0"/>
          <w:szCs w:val="21"/>
          <w:lang w:eastAsia="en-US"/>
        </w:rPr>
        <w:t>也可以进行触发式采样，当水质监测设备发现水质异常时，自行采集采样保存。同时具有保温效果，将水质存在在环保要求的温度范围内，确保将水质带回实验室化验时，水质数据具有有效性并帮助主管部门溯源，保证溯源的正确性。</w:t>
      </w:r>
    </w:p>
    <w:p w14:paraId="5FC29E52">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（5）数据采集与传输要求</w:t>
      </w:r>
    </w:p>
    <w:p w14:paraId="00B099EC">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1）数据采集与存储</w:t>
      </w:r>
    </w:p>
    <w:p w14:paraId="5AEBF86C">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采集自动分析仪器的监测数据，并分类保存；采集自动分析仪器和集成系统各单元的工作状态量，并以运行日志的形式记录保存；能够实时采集视频信息并传输至中心云端；断电后能自动保存历史数据和参数设置。</w:t>
      </w:r>
    </w:p>
    <w:p w14:paraId="52E9CF21">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2）数据传输与通讯</w:t>
      </w:r>
    </w:p>
    <w:p w14:paraId="1F6A7BF2">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en-US"/>
        </w:rPr>
      </w:pPr>
      <w:r>
        <w:rPr>
          <w:rFonts w:hint="default" w:ascii="Times New Roman" w:hAnsi="Times New Roman" w:eastAsia="宋体" w:cs="Times New Roman"/>
          <w:snapToGrid w:val="0"/>
          <w:color w:val="auto"/>
          <w:kern w:val="0"/>
          <w:szCs w:val="21"/>
          <w:lang w:val="en-US" w:eastAsia="zh-CN"/>
        </w:rPr>
        <w:t>采用无线、有线的通讯方式满足数据传输要求；采用虚拟专用网络（VPN）数据传输方式；具备对通信链路的自动诊断功能，具备超时补发功能。</w:t>
      </w:r>
    </w:p>
    <w:p w14:paraId="50CC36A8">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（6）水质在线监测站建设要求</w:t>
      </w:r>
    </w:p>
    <w:p w14:paraId="551405CB">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水质监测站采用一体化户外集成机柜设计，站房需外观美观实用，占地面积小，无需征地建房。</w:t>
      </w:r>
    </w:p>
    <w:p w14:paraId="58F42576">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站房位置的地域地质结构稳定，地势平坦，能抵御50年一遇的洪水，且具备四通一平条件，即：通路、通电、通水、通电话以及土地平整。</w:t>
      </w:r>
    </w:p>
    <w:p w14:paraId="37123ED8">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水质在线监测站采水点位选择不易受自然环境破坏，同时，能具备不同采水方式设备的施工和安装，水面水平距离与站房小于100米（特殊情况除外），采水区域四季水流量相对平缓，水中杂草较少、水深应当满足自动监测仪器采水的最低（50cm）要求。</w:t>
      </w:r>
    </w:p>
    <w:p w14:paraId="0139BA89">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站房所建位置的地理条件和周围环境，要安全可靠，便于工作人员的工作和对水站的管理。</w:t>
      </w:r>
    </w:p>
    <w:p w14:paraId="7F4CD5BF">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现浇设备基础，能够承受设备重力，配备可移动式固定基座，增加设备的可以移动性，便于柜体安装，确保稳定。</w:t>
      </w:r>
    </w:p>
    <w:p w14:paraId="2A1A086D">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cs="Times New Roman"/>
          <w:b/>
          <w:bCs/>
          <w:snapToGrid w:val="0"/>
          <w:color w:val="auto"/>
          <w:sz w:val="28"/>
          <w:szCs w:val="24"/>
          <w:lang w:val="en-US" w:eastAsia="zh-CN" w:bidi="ar-SA"/>
          <w14:ligatures w14:val="standardContextual"/>
        </w:rPr>
        <w:t>2.3.4</w:t>
      </w:r>
      <w:r>
        <w:rPr>
          <w:rFonts w:hint="eastAsia" w:ascii="Times New Roman" w:hAnsi="Times New Roman" w:eastAsia="宋体" w:cs="Times New Roman"/>
          <w:b/>
          <w:bCs/>
          <w:snapToGrid w:val="0"/>
          <w:color w:val="auto"/>
          <w:sz w:val="28"/>
          <w:szCs w:val="24"/>
          <w:lang w:val="en-US" w:eastAsia="zh-CN" w:bidi="ar-SA"/>
          <w14:ligatures w14:val="standardContextual"/>
        </w:rPr>
        <w:t>.2</w:t>
      </w:r>
      <w:r>
        <w:rPr>
          <w:rFonts w:hint="eastAsia" w:cs="Times New Roman"/>
          <w:b/>
          <w:bCs/>
          <w:snapToGrid w:val="0"/>
          <w:color w:val="auto"/>
          <w:sz w:val="28"/>
          <w:szCs w:val="24"/>
          <w:lang w:val="en-US" w:eastAsia="zh-CN" w:bidi="ar-SA"/>
          <w14:ligatures w14:val="standardContextual"/>
        </w:rPr>
        <w:t xml:space="preserve">  </w:t>
      </w:r>
      <w:r>
        <w:rPr>
          <w:rFonts w:hint="default" w:ascii="Times New Roman" w:hAnsi="Times New Roman" w:eastAsia="宋体" w:cs="Times New Roman"/>
          <w:color w:val="auto"/>
          <w:lang w:val="en-US" w:eastAsia="zh-CN"/>
        </w:rPr>
        <w:t>3个入河排污口</w:t>
      </w:r>
    </w:p>
    <w:p w14:paraId="566A198C">
      <w:pPr>
        <w:widowControl/>
        <w:kinsoku w:val="0"/>
        <w:autoSpaceDE w:val="0"/>
        <w:autoSpaceDN w:val="0"/>
        <w:bidi w:val="0"/>
        <w:adjustRightInd w:val="0"/>
        <w:snapToGrid w:val="0"/>
        <w:ind w:firstLine="1205"/>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对</w:t>
      </w:r>
      <w:r>
        <w:rPr>
          <w:rFonts w:hint="default" w:ascii="Times New Roman" w:hAnsi="Times New Roman" w:eastAsia="宋体" w:cs="Times New Roman"/>
          <w:snapToGrid w:val="0"/>
          <w:color w:val="auto"/>
          <w:kern w:val="0"/>
          <w:szCs w:val="21"/>
          <w:lang w:val="en-US" w:eastAsia="zh-CN"/>
        </w:rPr>
        <w:t>3</w:t>
      </w:r>
      <w:r>
        <w:rPr>
          <w:rFonts w:hint="default" w:ascii="Times New Roman" w:hAnsi="Times New Roman" w:eastAsia="宋体" w:cs="Times New Roman"/>
          <w:snapToGrid w:val="0"/>
          <w:color w:val="auto"/>
          <w:kern w:val="0"/>
          <w:szCs w:val="21"/>
          <w:lang w:eastAsia="en-US"/>
        </w:rPr>
        <w:t>个入河排污口设置水质监测</w:t>
      </w:r>
      <w:r>
        <w:rPr>
          <w:rFonts w:hint="default" w:ascii="Times New Roman" w:hAnsi="Times New Roman" w:eastAsia="宋体" w:cs="Times New Roman"/>
          <w:snapToGrid w:val="0"/>
          <w:color w:val="auto"/>
          <w:kern w:val="0"/>
          <w:szCs w:val="21"/>
          <w:lang w:val="en-US" w:eastAsia="zh-CN"/>
        </w:rPr>
        <w:t>在线监测站，</w:t>
      </w:r>
      <w:r>
        <w:rPr>
          <w:rFonts w:hint="default" w:ascii="Times New Roman" w:hAnsi="Times New Roman" w:eastAsia="宋体" w:cs="Times New Roman"/>
          <w:snapToGrid w:val="0"/>
          <w:color w:val="auto"/>
          <w:kern w:val="0"/>
          <w:szCs w:val="21"/>
          <w:lang w:eastAsia="en-US"/>
        </w:rPr>
        <w:t>具体工程量如下表。</w:t>
      </w:r>
    </w:p>
    <w:p w14:paraId="708DF182">
      <w:pPr>
        <w:pStyle w:val="8"/>
        <w:rPr>
          <w:rFonts w:hint="default" w:ascii="Times New Roman" w:hAnsi="Times New Roman" w:eastAsia="宋体" w:cs="Times New Roman"/>
          <w:color w:val="auto"/>
          <w:lang w:eastAsia="en-US"/>
        </w:rPr>
      </w:pPr>
    </w:p>
    <w:tbl>
      <w:tblPr>
        <w:tblStyle w:val="11"/>
        <w:tblW w:w="510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56"/>
        <w:gridCol w:w="1323"/>
        <w:gridCol w:w="1607"/>
        <w:gridCol w:w="1442"/>
        <w:gridCol w:w="645"/>
        <w:gridCol w:w="3018"/>
      </w:tblGrid>
      <w:tr w14:paraId="70210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268" w:type="pct"/>
            <w:vMerge w:val="restart"/>
            <w:vAlign w:val="center"/>
          </w:tcPr>
          <w:p w14:paraId="375BE63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0" w:afterAutospacing="0"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b/>
                <w:bCs/>
                <w:snapToGrid w:val="0"/>
                <w:color w:val="auto"/>
                <w:spacing w:val="6"/>
                <w:kern w:val="0"/>
                <w:sz w:val="21"/>
                <w:szCs w:val="21"/>
                <w:lang w:eastAsia="en-US"/>
              </w:rPr>
              <w:t>序号</w:t>
            </w:r>
          </w:p>
        </w:tc>
        <w:tc>
          <w:tcPr>
            <w:tcW w:w="779" w:type="pct"/>
            <w:vMerge w:val="restart"/>
            <w:vAlign w:val="center"/>
          </w:tcPr>
          <w:p w14:paraId="5464846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6"/>
                <w:sz w:val="21"/>
                <w:szCs w:val="21"/>
              </w:rPr>
              <w:t>排污口名称</w:t>
            </w:r>
          </w:p>
        </w:tc>
        <w:tc>
          <w:tcPr>
            <w:tcW w:w="1794" w:type="pct"/>
            <w:gridSpan w:val="2"/>
            <w:vAlign w:val="center"/>
          </w:tcPr>
          <w:p w14:paraId="707AD91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6"/>
                <w:sz w:val="21"/>
                <w:szCs w:val="21"/>
              </w:rPr>
              <w:t>地理坐标</w:t>
            </w:r>
          </w:p>
        </w:tc>
        <w:tc>
          <w:tcPr>
            <w:tcW w:w="379" w:type="pct"/>
            <w:vMerge w:val="restart"/>
            <w:vAlign w:val="center"/>
          </w:tcPr>
          <w:p w14:paraId="6E010C1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3"/>
                <w:sz w:val="21"/>
                <w:szCs w:val="21"/>
              </w:rPr>
              <w:t>排入</w:t>
            </w:r>
            <w:r>
              <w:rPr>
                <w:rFonts w:hint="default" w:ascii="Times New Roman" w:hAnsi="Times New Roman" w:eastAsia="宋体" w:cs="Times New Roman"/>
                <w:b/>
                <w:bCs/>
                <w:color w:val="auto"/>
                <w:spacing w:val="2"/>
                <w:sz w:val="21"/>
                <w:szCs w:val="21"/>
              </w:rPr>
              <w:t>水体</w:t>
            </w:r>
          </w:p>
        </w:tc>
        <w:tc>
          <w:tcPr>
            <w:tcW w:w="1777" w:type="pct"/>
            <w:vMerge w:val="restart"/>
            <w:vAlign w:val="center"/>
          </w:tcPr>
          <w:p w14:paraId="00A6F95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5"/>
                <w:sz w:val="21"/>
                <w:szCs w:val="21"/>
              </w:rPr>
              <w:t>点位选取原因</w:t>
            </w:r>
          </w:p>
        </w:tc>
      </w:tr>
      <w:tr w14:paraId="709E2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268" w:type="pct"/>
            <w:vMerge w:val="continue"/>
            <w:textDirection w:val="tbRlV"/>
            <w:vAlign w:val="center"/>
          </w:tcPr>
          <w:p w14:paraId="1688036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c>
          <w:tcPr>
            <w:tcW w:w="779" w:type="pct"/>
            <w:vMerge w:val="continue"/>
            <w:vAlign w:val="center"/>
          </w:tcPr>
          <w:p w14:paraId="766705D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c>
          <w:tcPr>
            <w:tcW w:w="946" w:type="pct"/>
            <w:vAlign w:val="center"/>
          </w:tcPr>
          <w:p w14:paraId="36C9018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3"/>
                <w:sz w:val="21"/>
                <w:szCs w:val="21"/>
              </w:rPr>
              <w:t>经度</w:t>
            </w:r>
          </w:p>
        </w:tc>
        <w:tc>
          <w:tcPr>
            <w:tcW w:w="848" w:type="pct"/>
            <w:vAlign w:val="center"/>
          </w:tcPr>
          <w:p w14:paraId="5FC99C5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3"/>
                <w:sz w:val="21"/>
                <w:szCs w:val="21"/>
              </w:rPr>
              <w:t>纬度</w:t>
            </w:r>
          </w:p>
        </w:tc>
        <w:tc>
          <w:tcPr>
            <w:tcW w:w="379" w:type="pct"/>
            <w:vMerge w:val="continue"/>
            <w:vAlign w:val="center"/>
          </w:tcPr>
          <w:p w14:paraId="0F318C1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c>
          <w:tcPr>
            <w:tcW w:w="1777" w:type="pct"/>
            <w:vMerge w:val="continue"/>
            <w:vAlign w:val="center"/>
          </w:tcPr>
          <w:p w14:paraId="7E63DD6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r>
      <w:tr w14:paraId="637B4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268" w:type="pct"/>
            <w:vAlign w:val="center"/>
          </w:tcPr>
          <w:p w14:paraId="71329E9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p w14:paraId="174AD20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1</w:t>
            </w:r>
          </w:p>
        </w:tc>
        <w:tc>
          <w:tcPr>
            <w:tcW w:w="779" w:type="pct"/>
            <w:vAlign w:val="center"/>
          </w:tcPr>
          <w:p w14:paraId="09F0F83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9"/>
                <w:sz w:val="21"/>
                <w:szCs w:val="21"/>
              </w:rPr>
              <w:t>奉新县华林大桥旁沟渠</w:t>
            </w:r>
          </w:p>
        </w:tc>
        <w:tc>
          <w:tcPr>
            <w:tcW w:w="946" w:type="pct"/>
            <w:vAlign w:val="center"/>
          </w:tcPr>
          <w:p w14:paraId="4ED0620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spacing w:val="1"/>
                <w:kern w:val="0"/>
                <w:sz w:val="21"/>
                <w:szCs w:val="21"/>
                <w:lang w:eastAsia="en-US"/>
              </w:rPr>
              <w:t>115</w:t>
            </w:r>
            <w:r>
              <w:rPr>
                <w:rFonts w:hint="default" w:ascii="Times New Roman" w:hAnsi="Times New Roman" w:eastAsia="宋体" w:cs="Times New Roman"/>
                <w:snapToGrid w:val="0"/>
                <w:color w:val="auto"/>
                <w:spacing w:val="-2"/>
                <w:kern w:val="0"/>
                <w:sz w:val="21"/>
                <w:szCs w:val="21"/>
                <w:lang w:eastAsia="en-US"/>
              </w:rPr>
              <w:t>°</w:t>
            </w:r>
            <w:r>
              <w:rPr>
                <w:rFonts w:hint="default" w:ascii="Times New Roman" w:hAnsi="Times New Roman" w:eastAsia="宋体" w:cs="Times New Roman"/>
                <w:snapToGrid w:val="0"/>
                <w:color w:val="auto"/>
                <w:spacing w:val="1"/>
                <w:kern w:val="0"/>
                <w:sz w:val="21"/>
                <w:szCs w:val="21"/>
                <w:lang w:eastAsia="en-US"/>
              </w:rPr>
              <w:t>.366944</w:t>
            </w:r>
          </w:p>
        </w:tc>
        <w:tc>
          <w:tcPr>
            <w:tcW w:w="848" w:type="pct"/>
            <w:vAlign w:val="center"/>
          </w:tcPr>
          <w:p w14:paraId="498C05B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spacing w:val="4"/>
                <w:kern w:val="0"/>
                <w:sz w:val="21"/>
                <w:szCs w:val="21"/>
                <w:lang w:eastAsia="en-US"/>
              </w:rPr>
              <w:t>28</w:t>
            </w:r>
            <w:r>
              <w:rPr>
                <w:rFonts w:hint="default" w:ascii="Times New Roman" w:hAnsi="Times New Roman" w:eastAsia="宋体" w:cs="Times New Roman"/>
                <w:b/>
                <w:bCs/>
                <w:snapToGrid w:val="0"/>
                <w:color w:val="auto"/>
                <w:spacing w:val="-1"/>
                <w:kern w:val="0"/>
                <w:sz w:val="21"/>
                <w:szCs w:val="21"/>
                <w:lang w:eastAsia="en-US"/>
              </w:rPr>
              <w:t>°</w:t>
            </w:r>
            <w:r>
              <w:rPr>
                <w:rFonts w:hint="default" w:ascii="Times New Roman" w:hAnsi="Times New Roman" w:eastAsia="宋体" w:cs="Times New Roman"/>
                <w:snapToGrid w:val="0"/>
                <w:color w:val="auto"/>
                <w:spacing w:val="4"/>
                <w:kern w:val="0"/>
                <w:sz w:val="21"/>
                <w:szCs w:val="21"/>
                <w:lang w:eastAsia="en-US"/>
              </w:rPr>
              <w:t>.702500</w:t>
            </w:r>
          </w:p>
        </w:tc>
        <w:tc>
          <w:tcPr>
            <w:tcW w:w="379" w:type="pct"/>
            <w:vAlign w:val="center"/>
          </w:tcPr>
          <w:p w14:paraId="45E50BD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p w14:paraId="0A993C4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4"/>
                <w:sz w:val="21"/>
                <w:szCs w:val="21"/>
              </w:rPr>
              <w:t>潦河</w:t>
            </w:r>
          </w:p>
        </w:tc>
        <w:tc>
          <w:tcPr>
            <w:tcW w:w="1777" w:type="pct"/>
            <w:vAlign w:val="center"/>
          </w:tcPr>
          <w:p w14:paraId="63F54F8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9"/>
                <w:sz w:val="21"/>
                <w:szCs w:val="21"/>
              </w:rPr>
              <w:t>渠道上游有农业面源污染以及</w:t>
            </w:r>
            <w:r>
              <w:rPr>
                <w:rFonts w:hint="default" w:ascii="Times New Roman" w:hAnsi="Times New Roman" w:eastAsia="宋体" w:cs="Times New Roman"/>
                <w:color w:val="auto"/>
                <w:spacing w:val="6"/>
                <w:sz w:val="21"/>
                <w:szCs w:val="21"/>
              </w:rPr>
              <w:t>农村生活污水排入，水质波动较大，在灌溉期会出现水质超地表</w:t>
            </w:r>
            <w:r>
              <w:rPr>
                <w:rFonts w:hint="default" w:ascii="Times New Roman" w:hAnsi="Times New Roman" w:eastAsia="宋体" w:cs="Times New Roman"/>
                <w:color w:val="auto"/>
                <w:spacing w:val="7"/>
                <w:sz w:val="21"/>
                <w:szCs w:val="21"/>
              </w:rPr>
              <w:t>水Ⅲ类标准</w:t>
            </w:r>
          </w:p>
        </w:tc>
      </w:tr>
      <w:tr w14:paraId="24FBF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268" w:type="pct"/>
            <w:vAlign w:val="center"/>
          </w:tcPr>
          <w:p w14:paraId="319F63A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kern w:val="0"/>
                <w:sz w:val="21"/>
                <w:szCs w:val="21"/>
                <w:lang w:eastAsia="en-US"/>
              </w:rPr>
              <w:t>2</w:t>
            </w:r>
          </w:p>
        </w:tc>
        <w:tc>
          <w:tcPr>
            <w:tcW w:w="779" w:type="pct"/>
            <w:vAlign w:val="center"/>
          </w:tcPr>
          <w:p w14:paraId="6DC03B5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8"/>
                <w:sz w:val="21"/>
                <w:szCs w:val="21"/>
              </w:rPr>
              <w:t>江西省奉新高新技术产业园区入河排污口</w:t>
            </w:r>
          </w:p>
        </w:tc>
        <w:tc>
          <w:tcPr>
            <w:tcW w:w="946" w:type="pct"/>
            <w:vAlign w:val="center"/>
          </w:tcPr>
          <w:p w14:paraId="02BBCE7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spacing w:val="-2"/>
                <w:kern w:val="0"/>
                <w:sz w:val="21"/>
                <w:szCs w:val="21"/>
                <w:lang w:eastAsia="en-US"/>
              </w:rPr>
              <w:t>115.404478</w:t>
            </w:r>
          </w:p>
        </w:tc>
        <w:tc>
          <w:tcPr>
            <w:tcW w:w="848" w:type="pct"/>
            <w:vAlign w:val="center"/>
          </w:tcPr>
          <w:p w14:paraId="4EB0911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r>
              <w:rPr>
                <w:rFonts w:hint="default" w:ascii="Times New Roman" w:hAnsi="Times New Roman" w:eastAsia="宋体" w:cs="Times New Roman"/>
                <w:snapToGrid w:val="0"/>
                <w:color w:val="auto"/>
                <w:spacing w:val="3"/>
                <w:kern w:val="0"/>
                <w:sz w:val="21"/>
                <w:szCs w:val="21"/>
                <w:lang w:eastAsia="en-US"/>
              </w:rPr>
              <w:t>28.699238</w:t>
            </w:r>
          </w:p>
        </w:tc>
        <w:tc>
          <w:tcPr>
            <w:tcW w:w="379" w:type="pct"/>
            <w:vAlign w:val="center"/>
          </w:tcPr>
          <w:p w14:paraId="2100182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4"/>
                <w:sz w:val="21"/>
                <w:szCs w:val="21"/>
              </w:rPr>
              <w:t>潦河</w:t>
            </w:r>
          </w:p>
        </w:tc>
        <w:tc>
          <w:tcPr>
            <w:tcW w:w="1777" w:type="pct"/>
            <w:vAlign w:val="center"/>
          </w:tcPr>
          <w:p w14:paraId="0CF811C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9"/>
                <w:sz w:val="21"/>
                <w:szCs w:val="21"/>
              </w:rPr>
              <w:t>排污口上游有工业污水处理厂</w:t>
            </w:r>
            <w:r>
              <w:rPr>
                <w:rFonts w:hint="default" w:ascii="Times New Roman" w:hAnsi="Times New Roman" w:eastAsia="宋体" w:cs="Times New Roman"/>
                <w:color w:val="auto"/>
                <w:spacing w:val="5"/>
                <w:sz w:val="21"/>
                <w:szCs w:val="21"/>
              </w:rPr>
              <w:t>排水以及雨水，水质波动较大，水量较大，且污染物排放量多，</w:t>
            </w:r>
            <w:r>
              <w:rPr>
                <w:rFonts w:hint="default" w:ascii="Times New Roman" w:hAnsi="Times New Roman" w:eastAsia="宋体" w:cs="Times New Roman"/>
                <w:color w:val="auto"/>
                <w:spacing w:val="9"/>
                <w:sz w:val="21"/>
                <w:szCs w:val="21"/>
              </w:rPr>
              <w:t>对下游三洪村断面影响较大</w:t>
            </w:r>
          </w:p>
        </w:tc>
      </w:tr>
      <w:tr w14:paraId="5BE6F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268" w:type="pct"/>
            <w:vAlign w:val="center"/>
          </w:tcPr>
          <w:p w14:paraId="0E4E6AF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val="en-US" w:eastAsia="zh-CN"/>
              </w:rPr>
            </w:pPr>
            <w:r>
              <w:rPr>
                <w:rFonts w:hint="default" w:ascii="Times New Roman" w:hAnsi="Times New Roman" w:eastAsia="宋体" w:cs="Times New Roman"/>
                <w:snapToGrid w:val="0"/>
                <w:color w:val="auto"/>
                <w:kern w:val="0"/>
                <w:sz w:val="21"/>
                <w:szCs w:val="21"/>
                <w:lang w:val="en-US" w:eastAsia="zh-CN"/>
              </w:rPr>
              <w:t>3</w:t>
            </w:r>
          </w:p>
        </w:tc>
        <w:tc>
          <w:tcPr>
            <w:tcW w:w="779" w:type="pct"/>
            <w:vAlign w:val="center"/>
          </w:tcPr>
          <w:p w14:paraId="16E19B2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宜春市奉新县城市污水处理厂入河排污口</w:t>
            </w:r>
          </w:p>
        </w:tc>
        <w:tc>
          <w:tcPr>
            <w:tcW w:w="946" w:type="pct"/>
            <w:vAlign w:val="center"/>
          </w:tcPr>
          <w:p w14:paraId="62217AA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spacing w:val="-2"/>
                <w:kern w:val="0"/>
                <w:sz w:val="21"/>
                <w:szCs w:val="21"/>
                <w:lang w:eastAsia="en-US"/>
              </w:rPr>
            </w:pPr>
            <w:r>
              <w:rPr>
                <w:rFonts w:hint="default" w:ascii="Times New Roman" w:hAnsi="Times New Roman" w:eastAsia="宋体" w:cs="Times New Roman"/>
                <w:snapToGrid w:val="0"/>
                <w:color w:val="auto"/>
                <w:spacing w:val="-2"/>
                <w:kern w:val="0"/>
                <w:sz w:val="21"/>
                <w:szCs w:val="21"/>
                <w:lang w:eastAsia="en-US"/>
              </w:rPr>
              <w:t>115.404886</w:t>
            </w:r>
          </w:p>
        </w:tc>
        <w:tc>
          <w:tcPr>
            <w:tcW w:w="848" w:type="pct"/>
            <w:vAlign w:val="center"/>
          </w:tcPr>
          <w:p w14:paraId="4D26930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spacing w:val="3"/>
                <w:kern w:val="0"/>
                <w:sz w:val="21"/>
                <w:szCs w:val="21"/>
                <w:lang w:eastAsia="en-US"/>
              </w:rPr>
            </w:pPr>
            <w:r>
              <w:rPr>
                <w:rFonts w:hint="default" w:ascii="Times New Roman" w:hAnsi="Times New Roman" w:eastAsia="宋体" w:cs="Times New Roman"/>
                <w:snapToGrid w:val="0"/>
                <w:color w:val="auto"/>
                <w:spacing w:val="3"/>
                <w:kern w:val="0"/>
                <w:sz w:val="21"/>
                <w:szCs w:val="21"/>
                <w:lang w:eastAsia="en-US"/>
              </w:rPr>
              <w:t>28.710289</w:t>
            </w:r>
          </w:p>
        </w:tc>
        <w:tc>
          <w:tcPr>
            <w:tcW w:w="379" w:type="pct"/>
            <w:vAlign w:val="center"/>
          </w:tcPr>
          <w:p w14:paraId="32D6EA8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4"/>
                <w:sz w:val="21"/>
                <w:szCs w:val="21"/>
              </w:rPr>
            </w:pPr>
            <w:r>
              <w:rPr>
                <w:rFonts w:hint="default" w:ascii="Times New Roman" w:hAnsi="Times New Roman" w:eastAsia="宋体" w:cs="Times New Roman"/>
                <w:color w:val="auto"/>
                <w:spacing w:val="4"/>
                <w:sz w:val="21"/>
                <w:szCs w:val="21"/>
              </w:rPr>
              <w:t>潦河</w:t>
            </w:r>
          </w:p>
        </w:tc>
        <w:tc>
          <w:tcPr>
            <w:tcW w:w="1777" w:type="pct"/>
            <w:vAlign w:val="center"/>
          </w:tcPr>
          <w:p w14:paraId="773A79C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9"/>
                <w:sz w:val="21"/>
                <w:szCs w:val="21"/>
              </w:rPr>
            </w:pPr>
            <w:r>
              <w:rPr>
                <w:rFonts w:hint="default" w:ascii="Times New Roman" w:hAnsi="Times New Roman" w:eastAsia="宋体" w:cs="Times New Roman"/>
                <w:color w:val="auto"/>
                <w:spacing w:val="9"/>
                <w:sz w:val="21"/>
                <w:szCs w:val="21"/>
              </w:rPr>
              <w:t>排污口</w:t>
            </w:r>
            <w:r>
              <w:rPr>
                <w:rFonts w:hint="default" w:ascii="Times New Roman" w:hAnsi="Times New Roman" w:eastAsia="宋体" w:cs="Times New Roman"/>
                <w:color w:val="auto"/>
                <w:spacing w:val="5"/>
                <w:sz w:val="21"/>
                <w:szCs w:val="21"/>
              </w:rPr>
              <w:t>水量较大，且污染物排放量多，</w:t>
            </w:r>
            <w:r>
              <w:rPr>
                <w:rFonts w:hint="default" w:ascii="Times New Roman" w:hAnsi="Times New Roman" w:eastAsia="宋体" w:cs="Times New Roman"/>
                <w:color w:val="auto"/>
                <w:spacing w:val="9"/>
                <w:sz w:val="21"/>
                <w:szCs w:val="21"/>
              </w:rPr>
              <w:t>对下游断面影响较大</w:t>
            </w:r>
          </w:p>
        </w:tc>
      </w:tr>
    </w:tbl>
    <w:p w14:paraId="5857B40D">
      <w:pPr>
        <w:tabs>
          <w:tab w:val="left" w:pos="2557"/>
        </w:tabs>
        <w:jc w:val="left"/>
        <w:rPr>
          <w:rFonts w:hint="default" w:ascii="Times New Roman" w:hAnsi="Times New Roman" w:eastAsia="宋体" w:cs="Times New Roman"/>
          <w:snapToGrid w:val="0"/>
          <w:color w:val="auto"/>
          <w:kern w:val="0"/>
          <w:sz w:val="21"/>
          <w:szCs w:val="18"/>
          <w:lang w:val="en-US" w:eastAsia="zh-CN"/>
        </w:rPr>
      </w:pPr>
      <w:r>
        <w:rPr>
          <w:rFonts w:hint="default" w:ascii="Times New Roman" w:hAnsi="Times New Roman" w:eastAsia="宋体" w:cs="Times New Roman"/>
          <w:snapToGrid w:val="0"/>
          <w:color w:val="auto"/>
          <w:kern w:val="0"/>
          <w:sz w:val="21"/>
          <w:szCs w:val="18"/>
          <w:lang w:val="en-US" w:eastAsia="zh-CN"/>
        </w:rPr>
        <w:t>注：</w:t>
      </w:r>
      <w:r>
        <w:rPr>
          <w:rFonts w:hint="default" w:ascii="Times New Roman" w:hAnsi="Times New Roman" w:eastAsia="宋体" w:cs="Times New Roman"/>
          <w:snapToGrid w:val="0"/>
          <w:color w:val="auto"/>
          <w:kern w:val="0"/>
          <w:szCs w:val="21"/>
          <w:lang w:val="en-US" w:eastAsia="zh-CN"/>
        </w:rPr>
        <w:t>建设内容可根据实际情况调整，由业主确认后可调整。</w:t>
      </w:r>
    </w:p>
    <w:p w14:paraId="47580DCC">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bookmarkStart w:id="8" w:name="_Toc16229"/>
      <w:r>
        <w:rPr>
          <w:rFonts w:hint="eastAsia" w:ascii="Times New Roman" w:hAnsi="Times New Roman" w:eastAsia="宋体" w:cs="Times New Roman"/>
          <w:color w:val="auto"/>
          <w:lang w:val="en-US" w:eastAsia="zh-CN"/>
        </w:rPr>
        <w:t>2.3.5</w:t>
      </w:r>
      <w:r>
        <w:rPr>
          <w:rFonts w:hint="default" w:ascii="Times New Roman" w:hAnsi="Times New Roman" w:eastAsia="宋体" w:cs="Times New Roman"/>
          <w:color w:val="auto"/>
          <w:lang w:val="en-US" w:eastAsia="zh-CN"/>
        </w:rPr>
        <w:t>入河排污口溯源系统</w:t>
      </w:r>
      <w:bookmarkEnd w:id="8"/>
    </w:p>
    <w:p w14:paraId="59DA6C1F">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en-US"/>
        </w:rPr>
        <w:t>对</w:t>
      </w:r>
      <w:r>
        <w:rPr>
          <w:rFonts w:hint="default" w:ascii="Times New Roman" w:hAnsi="Times New Roman" w:eastAsia="宋体" w:cs="Times New Roman"/>
          <w:snapToGrid w:val="0"/>
          <w:color w:val="auto"/>
          <w:kern w:val="0"/>
          <w:szCs w:val="21"/>
          <w:lang w:val="en-US" w:eastAsia="zh-CN"/>
        </w:rPr>
        <w:t>污染较严重的排口上游管网进行溯源监测，结合实际情况配</w:t>
      </w:r>
      <w:r>
        <w:rPr>
          <w:rFonts w:hint="default" w:ascii="Times New Roman" w:hAnsi="Times New Roman" w:eastAsia="宋体" w:cs="Times New Roman"/>
          <w:snapToGrid w:val="0"/>
          <w:color w:val="auto"/>
          <w:kern w:val="0"/>
          <w:szCs w:val="21"/>
          <w:highlight w:val="none"/>
          <w:lang w:val="en-US" w:eastAsia="zh-CN"/>
        </w:rPr>
        <w:t>备6套溯源监测</w:t>
      </w:r>
      <w:r>
        <w:rPr>
          <w:rFonts w:hint="default" w:ascii="Times New Roman" w:hAnsi="Times New Roman" w:eastAsia="宋体" w:cs="Times New Roman"/>
          <w:snapToGrid w:val="0"/>
          <w:color w:val="auto"/>
          <w:kern w:val="0"/>
          <w:szCs w:val="21"/>
          <w:highlight w:val="none"/>
          <w:lang w:eastAsia="en-US"/>
        </w:rPr>
        <w:t>设备</w:t>
      </w:r>
      <w:r>
        <w:rPr>
          <w:rFonts w:hint="default" w:ascii="Times New Roman" w:hAnsi="Times New Roman" w:eastAsia="宋体" w:cs="Times New Roman"/>
          <w:snapToGrid w:val="0"/>
          <w:color w:val="auto"/>
          <w:kern w:val="0"/>
          <w:szCs w:val="21"/>
          <w:highlight w:val="none"/>
          <w:lang w:eastAsia="zh-CN"/>
        </w:rPr>
        <w:t>，</w:t>
      </w:r>
      <w:r>
        <w:rPr>
          <w:rFonts w:hint="default" w:ascii="Times New Roman" w:hAnsi="Times New Roman" w:eastAsia="宋体" w:cs="Times New Roman"/>
          <w:snapToGrid w:val="0"/>
          <w:color w:val="auto"/>
          <w:kern w:val="0"/>
          <w:szCs w:val="21"/>
          <w:lang w:val="en-US" w:eastAsia="zh-CN"/>
        </w:rPr>
        <w:t>监测指标可结合实际选择液位、电导率、COD、氨氮等</w:t>
      </w:r>
      <w:r>
        <w:rPr>
          <w:rFonts w:hint="default" w:ascii="Times New Roman" w:hAnsi="Times New Roman" w:eastAsia="宋体" w:cs="Times New Roman"/>
          <w:snapToGrid w:val="0"/>
          <w:color w:val="auto"/>
          <w:kern w:val="0"/>
          <w:szCs w:val="21"/>
          <w:lang w:eastAsia="en-US"/>
        </w:rPr>
        <w:t>。</w:t>
      </w:r>
      <w:r>
        <w:rPr>
          <w:rFonts w:hint="default" w:ascii="Times New Roman" w:hAnsi="Times New Roman" w:eastAsia="宋体" w:cs="Times New Roman"/>
          <w:snapToGrid w:val="0"/>
          <w:color w:val="auto"/>
          <w:kern w:val="0"/>
          <w:szCs w:val="21"/>
          <w:lang w:val="en-US" w:eastAsia="zh-CN"/>
        </w:rPr>
        <w:t>设备要求低功耗且便携可移动，可对相关管网上游</w:t>
      </w:r>
      <w:r>
        <w:rPr>
          <w:rFonts w:hint="default" w:ascii="Times New Roman" w:hAnsi="Times New Roman" w:eastAsia="宋体" w:cs="Times New Roman"/>
          <w:snapToGrid w:val="0"/>
          <w:color w:val="auto"/>
          <w:kern w:val="0"/>
          <w:szCs w:val="21"/>
          <w:lang w:eastAsia="en-US"/>
        </w:rPr>
        <w:t>每一个窨井口进行溯源监测。溯源点位</w:t>
      </w:r>
      <w:r>
        <w:rPr>
          <w:rFonts w:hint="default" w:ascii="Times New Roman" w:hAnsi="Times New Roman" w:eastAsia="宋体" w:cs="Times New Roman"/>
          <w:snapToGrid w:val="0"/>
          <w:color w:val="auto"/>
          <w:kern w:val="0"/>
          <w:szCs w:val="21"/>
          <w:lang w:val="en-US" w:eastAsia="zh-CN"/>
        </w:rPr>
        <w:t>结合实际确定。</w:t>
      </w:r>
      <w:r>
        <w:rPr>
          <w:rFonts w:hint="default" w:ascii="Times New Roman" w:hAnsi="Times New Roman" w:eastAsia="宋体" w:cs="Times New Roman"/>
          <w:snapToGrid w:val="0"/>
          <w:color w:val="auto"/>
          <w:kern w:val="0"/>
          <w:szCs w:val="21"/>
          <w:lang w:eastAsia="en-US"/>
        </w:rPr>
        <w:t>在汛期会存在被淹的情况，设备在选型时应考虑IP68防水等级设备。下大雨时可能存在水流急的情况，监测设备在安装时应考虑固定事宜，防止被水冲走的情况发生。</w:t>
      </w:r>
    </w:p>
    <w:p w14:paraId="5DE099AD">
      <w:pPr>
        <w:ind w:firstLine="420" w:firstLineChars="200"/>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同时，配备智能留样设备，在监测出有超标异常时，及时留样，用于人工实验室监测，精准识别污染物。</w:t>
      </w:r>
    </w:p>
    <w:p w14:paraId="183D29DE">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2.3.6</w:t>
      </w:r>
      <w:r>
        <w:rPr>
          <w:rFonts w:hint="default" w:ascii="Times New Roman" w:hAnsi="Times New Roman" w:eastAsia="宋体" w:cs="Times New Roman"/>
          <w:color w:val="auto"/>
          <w:lang w:val="en-US" w:eastAsia="zh-CN"/>
        </w:rPr>
        <w:t>入河排污口视频监控</w:t>
      </w:r>
    </w:p>
    <w:p w14:paraId="587C857A">
      <w:pPr>
        <w:ind w:firstLine="420" w:firstLineChars="200"/>
        <w:rPr>
          <w:rFonts w:hint="default" w:ascii="Times New Roman" w:hAnsi="Times New Roman" w:eastAsia="宋体" w:cs="Times New Roman"/>
          <w:color w:val="auto"/>
        </w:rPr>
      </w:pPr>
      <w:r>
        <w:rPr>
          <w:rFonts w:hint="default" w:ascii="Times New Roman" w:hAnsi="Times New Roman" w:eastAsia="宋体" w:cs="Times New Roman"/>
          <w:color w:val="auto"/>
          <w:lang w:eastAsia="zh-CN"/>
        </w:rPr>
        <w:t>在</w:t>
      </w:r>
      <w:r>
        <w:rPr>
          <w:rFonts w:hint="default" w:ascii="Times New Roman" w:hAnsi="Times New Roman" w:eastAsia="宋体" w:cs="Times New Roman"/>
          <w:color w:val="auto"/>
          <w:lang w:val="en-US" w:eastAsia="zh-CN"/>
        </w:rPr>
        <w:t>25个入河排污口</w:t>
      </w:r>
      <w:r>
        <w:rPr>
          <w:rFonts w:hint="default" w:ascii="Times New Roman" w:hAnsi="Times New Roman" w:eastAsia="宋体" w:cs="Times New Roman"/>
          <w:color w:val="auto"/>
        </w:rPr>
        <w:t>安装</w:t>
      </w:r>
      <w:r>
        <w:rPr>
          <w:rFonts w:hint="default" w:ascii="Times New Roman" w:hAnsi="Times New Roman" w:eastAsia="宋体" w:cs="Times New Roman"/>
          <w:color w:val="auto"/>
          <w:lang w:val="en-US" w:eastAsia="zh-CN"/>
        </w:rPr>
        <w:t>25</w:t>
      </w:r>
      <w:r>
        <w:rPr>
          <w:rFonts w:hint="default" w:ascii="Times New Roman" w:hAnsi="Times New Roman" w:eastAsia="宋体" w:cs="Times New Roman"/>
          <w:color w:val="auto"/>
        </w:rPr>
        <w:t>套视频监控装置，并将数据实时上传到入河排污口</w:t>
      </w:r>
      <w:r>
        <w:rPr>
          <w:rFonts w:hint="default" w:ascii="Times New Roman" w:hAnsi="Times New Roman" w:eastAsia="宋体" w:cs="Times New Roman"/>
          <w:color w:val="auto"/>
          <w:lang w:val="en-US" w:eastAsia="zh-CN"/>
        </w:rPr>
        <w:t>视频监管一体机</w:t>
      </w:r>
      <w:r>
        <w:rPr>
          <w:rFonts w:hint="default" w:ascii="Times New Roman" w:hAnsi="Times New Roman" w:eastAsia="宋体" w:cs="Times New Roman"/>
          <w:color w:val="auto"/>
        </w:rPr>
        <w:t>。</w:t>
      </w:r>
    </w:p>
    <w:p w14:paraId="139946B3">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2.3.6</w:t>
      </w:r>
      <w:r>
        <w:rPr>
          <w:rFonts w:hint="eastAsia" w:ascii="Times New Roman" w:hAnsi="Times New Roman" w:eastAsia="宋体" w:cs="Times New Roman"/>
          <w:b/>
          <w:bCs/>
          <w:snapToGrid w:val="0"/>
          <w:color w:val="auto"/>
          <w:sz w:val="28"/>
          <w:szCs w:val="24"/>
          <w:lang w:val="en-US" w:eastAsia="zh-CN" w:bidi="ar-SA"/>
          <w14:ligatures w14:val="standardContextual"/>
        </w:rPr>
        <w:t>.1</w:t>
      </w:r>
      <w:r>
        <w:rPr>
          <w:rFonts w:hint="default" w:ascii="Times New Roman" w:hAnsi="Times New Roman" w:eastAsia="宋体" w:cs="Times New Roman"/>
          <w:color w:val="auto"/>
          <w:lang w:val="en-US" w:eastAsia="zh-CN"/>
        </w:rPr>
        <w:t>基本要求</w:t>
      </w:r>
    </w:p>
    <w:p w14:paraId="6D933346">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排污口视频监控站点主要设备包括高清数字摄像头、网络视频录像机（含硬盘）、设备箱及配套辅材等，建设包括土建方式、供电方式、存储方式等。</w:t>
      </w:r>
    </w:p>
    <w:p w14:paraId="2CFA6A28">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val="en-US" w:eastAsia="zh-CN"/>
        </w:rPr>
      </w:pPr>
      <w:r>
        <w:rPr>
          <w:rFonts w:hint="default" w:ascii="Times New Roman" w:hAnsi="Times New Roman" w:eastAsia="宋体" w:cs="Times New Roman"/>
          <w:snapToGrid w:val="0"/>
          <w:color w:val="auto"/>
          <w:kern w:val="0"/>
          <w:szCs w:val="21"/>
          <w:lang w:val="en-US" w:eastAsia="zh-CN"/>
        </w:rPr>
        <w:t>视频监控站主要是观测入河排污口日常排污情况，包括排污流量大小、排污水质状况、排污口是否存在漂浮物拥堵等情况，摄像机距离排污口约为10~30m，故需要配置具备满足红外、光学变倍功能要求的高清数字摄像头。</w:t>
      </w:r>
    </w:p>
    <w:p w14:paraId="78233D51">
      <w:pPr>
        <w:pStyle w:val="4"/>
        <w:numPr>
          <w:ilvl w:val="4"/>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2.3.6</w:t>
      </w:r>
      <w:r>
        <w:rPr>
          <w:rFonts w:hint="eastAsia" w:ascii="Times New Roman" w:hAnsi="Times New Roman" w:eastAsia="宋体" w:cs="Times New Roman"/>
          <w:b/>
          <w:bCs/>
          <w:snapToGrid w:val="0"/>
          <w:color w:val="auto"/>
          <w:sz w:val="28"/>
          <w:szCs w:val="24"/>
          <w:lang w:val="en-US" w:eastAsia="zh-CN" w:bidi="ar-SA"/>
          <w14:ligatures w14:val="standardContextual"/>
        </w:rPr>
        <w:t>.2</w:t>
      </w:r>
      <w:r>
        <w:rPr>
          <w:rFonts w:hint="default" w:ascii="Times New Roman" w:hAnsi="Times New Roman" w:eastAsia="宋体" w:cs="Times New Roman"/>
          <w:color w:val="auto"/>
          <w:lang w:val="en-US" w:eastAsia="zh-CN"/>
        </w:rPr>
        <w:t>入河排污口视频监控</w:t>
      </w:r>
      <w:r>
        <w:rPr>
          <w:rFonts w:hint="eastAsia" w:cs="Times New Roman"/>
          <w:color w:val="auto"/>
          <w:lang w:val="en-US" w:eastAsia="zh-CN"/>
        </w:rPr>
        <w:t>安装点</w:t>
      </w:r>
    </w:p>
    <w:tbl>
      <w:tblPr>
        <w:tblStyle w:val="11"/>
        <w:tblW w:w="5007"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45"/>
        <w:gridCol w:w="2156"/>
        <w:gridCol w:w="1323"/>
        <w:gridCol w:w="1084"/>
        <w:gridCol w:w="971"/>
        <w:gridCol w:w="1221"/>
        <w:gridCol w:w="1024"/>
      </w:tblGrid>
      <w:tr w14:paraId="67E556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Merge w:val="restart"/>
            <w:tcBorders>
              <w:bottom w:val="nil"/>
            </w:tcBorders>
            <w:textDirection w:val="tbRlV"/>
            <w:vAlign w:val="center"/>
          </w:tcPr>
          <w:p w14:paraId="570BBCB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6"/>
                <w:sz w:val="21"/>
                <w:szCs w:val="21"/>
              </w:rPr>
              <w:t>序号</w:t>
            </w:r>
          </w:p>
        </w:tc>
        <w:tc>
          <w:tcPr>
            <w:tcW w:w="1296" w:type="pct"/>
            <w:vMerge w:val="restart"/>
            <w:tcBorders>
              <w:bottom w:val="nil"/>
            </w:tcBorders>
            <w:vAlign w:val="center"/>
          </w:tcPr>
          <w:p w14:paraId="21C8AC3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7"/>
                <w:sz w:val="21"/>
                <w:szCs w:val="21"/>
              </w:rPr>
              <w:t>入河排污口名称</w:t>
            </w:r>
          </w:p>
        </w:tc>
        <w:tc>
          <w:tcPr>
            <w:tcW w:w="796" w:type="pct"/>
            <w:vMerge w:val="restart"/>
            <w:tcBorders>
              <w:bottom w:val="nil"/>
            </w:tcBorders>
            <w:vAlign w:val="center"/>
          </w:tcPr>
          <w:p w14:paraId="11174FB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7"/>
                <w:sz w:val="21"/>
                <w:szCs w:val="21"/>
              </w:rPr>
              <w:t>入河排污口类型</w:t>
            </w:r>
            <w:r>
              <w:rPr>
                <w:rFonts w:hint="default" w:ascii="Times New Roman" w:hAnsi="Times New Roman" w:eastAsia="宋体" w:cs="Times New Roman"/>
                <w:b/>
                <w:bCs/>
                <w:color w:val="auto"/>
                <w:spacing w:val="3"/>
                <w:sz w:val="21"/>
                <w:szCs w:val="21"/>
              </w:rPr>
              <w:t>细分</w:t>
            </w:r>
          </w:p>
        </w:tc>
        <w:tc>
          <w:tcPr>
            <w:tcW w:w="1226" w:type="pct"/>
            <w:gridSpan w:val="2"/>
            <w:vAlign w:val="center"/>
          </w:tcPr>
          <w:p w14:paraId="5939A74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7"/>
                <w:sz w:val="21"/>
                <w:szCs w:val="21"/>
              </w:rPr>
              <w:t>入河排污口所在位置</w:t>
            </w:r>
          </w:p>
        </w:tc>
        <w:tc>
          <w:tcPr>
            <w:tcW w:w="734" w:type="pct"/>
            <w:vMerge w:val="restart"/>
            <w:tcBorders>
              <w:bottom w:val="nil"/>
            </w:tcBorders>
            <w:vAlign w:val="center"/>
          </w:tcPr>
          <w:p w14:paraId="5A59549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b/>
                <w:bCs/>
                <w:color w:val="auto"/>
                <w:spacing w:val="7"/>
                <w:sz w:val="21"/>
                <w:szCs w:val="21"/>
                <w:lang w:val="en-US" w:eastAsia="zh-CN"/>
              </w:rPr>
            </w:pPr>
            <w:r>
              <w:rPr>
                <w:rFonts w:hint="default" w:ascii="Times New Roman" w:hAnsi="Times New Roman" w:eastAsia="宋体" w:cs="Times New Roman"/>
                <w:b/>
                <w:bCs/>
                <w:color w:val="auto"/>
                <w:spacing w:val="7"/>
                <w:sz w:val="21"/>
                <w:szCs w:val="21"/>
                <w:lang w:val="en-US" w:eastAsia="zh-CN"/>
              </w:rPr>
              <w:t>取电情况</w:t>
            </w:r>
          </w:p>
        </w:tc>
        <w:tc>
          <w:tcPr>
            <w:tcW w:w="616" w:type="pct"/>
            <w:vMerge w:val="restart"/>
            <w:vAlign w:val="center"/>
          </w:tcPr>
          <w:p w14:paraId="2561E73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b/>
                <w:bCs/>
                <w:color w:val="auto"/>
                <w:spacing w:val="7"/>
                <w:sz w:val="21"/>
                <w:szCs w:val="21"/>
                <w:lang w:val="en-US" w:eastAsia="zh-CN"/>
              </w:rPr>
            </w:pPr>
            <w:r>
              <w:rPr>
                <w:rFonts w:hint="default" w:ascii="Times New Roman" w:hAnsi="Times New Roman" w:eastAsia="宋体" w:cs="Times New Roman"/>
                <w:b/>
                <w:bCs/>
                <w:color w:val="auto"/>
                <w:spacing w:val="7"/>
                <w:sz w:val="21"/>
                <w:szCs w:val="21"/>
                <w:lang w:val="en-US" w:eastAsia="zh-CN"/>
              </w:rPr>
              <w:t>网络情况</w:t>
            </w:r>
          </w:p>
        </w:tc>
      </w:tr>
      <w:tr w14:paraId="280E8E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Merge w:val="continue"/>
            <w:tcBorders>
              <w:top w:val="nil"/>
            </w:tcBorders>
            <w:textDirection w:val="tbRlV"/>
            <w:vAlign w:val="center"/>
          </w:tcPr>
          <w:p w14:paraId="1A5ACE1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c>
          <w:tcPr>
            <w:tcW w:w="1296" w:type="pct"/>
            <w:vMerge w:val="continue"/>
            <w:tcBorders>
              <w:top w:val="nil"/>
            </w:tcBorders>
            <w:vAlign w:val="center"/>
          </w:tcPr>
          <w:p w14:paraId="7B89116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c>
          <w:tcPr>
            <w:tcW w:w="796" w:type="pct"/>
            <w:vMerge w:val="continue"/>
            <w:tcBorders>
              <w:top w:val="nil"/>
            </w:tcBorders>
            <w:vAlign w:val="center"/>
          </w:tcPr>
          <w:p w14:paraId="60C2DEC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snapToGrid w:val="0"/>
                <w:color w:val="auto"/>
                <w:kern w:val="0"/>
                <w:sz w:val="21"/>
                <w:szCs w:val="21"/>
                <w:lang w:eastAsia="en-US"/>
              </w:rPr>
            </w:pPr>
          </w:p>
        </w:tc>
        <w:tc>
          <w:tcPr>
            <w:tcW w:w="646" w:type="pct"/>
            <w:vAlign w:val="center"/>
          </w:tcPr>
          <w:p w14:paraId="61C9BE1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1"/>
                <w:sz w:val="21"/>
                <w:szCs w:val="21"/>
              </w:rPr>
              <w:t>经度(°)</w:t>
            </w:r>
          </w:p>
        </w:tc>
        <w:tc>
          <w:tcPr>
            <w:tcW w:w="580" w:type="pct"/>
            <w:vAlign w:val="center"/>
          </w:tcPr>
          <w:p w14:paraId="3BC95C0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b/>
                <w:bCs/>
                <w:color w:val="auto"/>
                <w:spacing w:val="-1"/>
                <w:sz w:val="21"/>
                <w:szCs w:val="21"/>
              </w:rPr>
              <w:t>纬度(°)</w:t>
            </w:r>
          </w:p>
        </w:tc>
        <w:tc>
          <w:tcPr>
            <w:tcW w:w="734" w:type="pct"/>
            <w:vMerge w:val="continue"/>
            <w:tcBorders>
              <w:top w:val="nil"/>
            </w:tcBorders>
            <w:vAlign w:val="center"/>
          </w:tcPr>
          <w:p w14:paraId="3BC3181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b/>
                <w:bCs/>
                <w:snapToGrid w:val="0"/>
                <w:color w:val="auto"/>
                <w:spacing w:val="7"/>
                <w:kern w:val="0"/>
                <w:sz w:val="21"/>
                <w:szCs w:val="21"/>
                <w:lang w:val="en-US" w:eastAsia="en-US" w:bidi="ar-SA"/>
              </w:rPr>
            </w:pPr>
          </w:p>
        </w:tc>
        <w:tc>
          <w:tcPr>
            <w:tcW w:w="616" w:type="pct"/>
            <w:vMerge w:val="continue"/>
            <w:vAlign w:val="center"/>
          </w:tcPr>
          <w:p w14:paraId="1F328A8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b/>
                <w:bCs/>
                <w:snapToGrid w:val="0"/>
                <w:color w:val="auto"/>
                <w:spacing w:val="7"/>
                <w:kern w:val="0"/>
                <w:sz w:val="21"/>
                <w:szCs w:val="21"/>
                <w:lang w:val="en-US" w:eastAsia="en-US" w:bidi="ar-SA"/>
              </w:rPr>
            </w:pPr>
          </w:p>
        </w:tc>
      </w:tr>
      <w:tr w14:paraId="19D15A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21CD073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w:t>
            </w:r>
          </w:p>
        </w:tc>
        <w:tc>
          <w:tcPr>
            <w:tcW w:w="1296" w:type="pct"/>
            <w:vAlign w:val="center"/>
          </w:tcPr>
          <w:p w14:paraId="7E4AFA2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宜春市奉新县柳溪乡城镇污水集中处理设施排污口</w:t>
            </w:r>
          </w:p>
        </w:tc>
        <w:tc>
          <w:tcPr>
            <w:tcW w:w="796" w:type="pct"/>
            <w:vAlign w:val="center"/>
          </w:tcPr>
          <w:p w14:paraId="58E05A8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6695723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114.876111</w:t>
            </w:r>
          </w:p>
        </w:tc>
        <w:tc>
          <w:tcPr>
            <w:tcW w:w="580" w:type="pct"/>
            <w:vAlign w:val="center"/>
          </w:tcPr>
          <w:p w14:paraId="4AC2525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28.676111</w:t>
            </w:r>
          </w:p>
        </w:tc>
        <w:tc>
          <w:tcPr>
            <w:tcW w:w="734" w:type="pct"/>
            <w:vAlign w:val="center"/>
          </w:tcPr>
          <w:p w14:paraId="0C4BA7F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7A0D4AE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772B600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69FE46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44C4A69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w:t>
            </w:r>
          </w:p>
        </w:tc>
        <w:tc>
          <w:tcPr>
            <w:tcW w:w="1296" w:type="pct"/>
            <w:vAlign w:val="center"/>
          </w:tcPr>
          <w:p w14:paraId="4E1A6C9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宜春市奉新甘坊镇城镇污水集中处理设施排污口</w:t>
            </w:r>
          </w:p>
        </w:tc>
        <w:tc>
          <w:tcPr>
            <w:tcW w:w="796" w:type="pct"/>
            <w:vAlign w:val="center"/>
          </w:tcPr>
          <w:p w14:paraId="7E0AFBD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3CF59DA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114.872222</w:t>
            </w:r>
          </w:p>
        </w:tc>
        <w:tc>
          <w:tcPr>
            <w:tcW w:w="580" w:type="pct"/>
            <w:vAlign w:val="center"/>
          </w:tcPr>
          <w:p w14:paraId="3354E99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28.643889</w:t>
            </w:r>
          </w:p>
        </w:tc>
        <w:tc>
          <w:tcPr>
            <w:tcW w:w="734" w:type="pct"/>
            <w:vAlign w:val="center"/>
          </w:tcPr>
          <w:p w14:paraId="6320250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有电，但距离较长</w:t>
            </w:r>
          </w:p>
        </w:tc>
        <w:tc>
          <w:tcPr>
            <w:tcW w:w="616" w:type="pct"/>
            <w:vAlign w:val="center"/>
          </w:tcPr>
          <w:p w14:paraId="298F89E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4519BA0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1DE981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6336B2F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3</w:t>
            </w:r>
          </w:p>
        </w:tc>
        <w:tc>
          <w:tcPr>
            <w:tcW w:w="1296" w:type="pct"/>
            <w:vAlign w:val="center"/>
          </w:tcPr>
          <w:p w14:paraId="1A4EB31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宜春市奉新县上富中学污水处理站污水处理设施排口</w:t>
            </w:r>
          </w:p>
        </w:tc>
        <w:tc>
          <w:tcPr>
            <w:tcW w:w="796" w:type="pct"/>
            <w:vAlign w:val="center"/>
          </w:tcPr>
          <w:p w14:paraId="0D17377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5B673E2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115.016671</w:t>
            </w:r>
          </w:p>
        </w:tc>
        <w:tc>
          <w:tcPr>
            <w:tcW w:w="580" w:type="pct"/>
            <w:vAlign w:val="center"/>
          </w:tcPr>
          <w:p w14:paraId="3CB6B56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28.686874</w:t>
            </w:r>
          </w:p>
        </w:tc>
        <w:tc>
          <w:tcPr>
            <w:tcW w:w="734" w:type="pct"/>
            <w:vAlign w:val="center"/>
          </w:tcPr>
          <w:p w14:paraId="350C517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67842CA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47046D9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7B69D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42BED85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4</w:t>
            </w:r>
          </w:p>
        </w:tc>
        <w:tc>
          <w:tcPr>
            <w:tcW w:w="1296" w:type="pct"/>
            <w:vAlign w:val="center"/>
          </w:tcPr>
          <w:p w14:paraId="6E94DF2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宜春市奉新县上富镇污水处理站集镇污水处理设施排口</w:t>
            </w:r>
          </w:p>
        </w:tc>
        <w:tc>
          <w:tcPr>
            <w:tcW w:w="796" w:type="pct"/>
            <w:vAlign w:val="center"/>
          </w:tcPr>
          <w:p w14:paraId="5A1FC7A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55AB94F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115.005744</w:t>
            </w:r>
          </w:p>
        </w:tc>
        <w:tc>
          <w:tcPr>
            <w:tcW w:w="580" w:type="pct"/>
            <w:vAlign w:val="center"/>
          </w:tcPr>
          <w:p w14:paraId="1DD15A4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28.681806</w:t>
            </w:r>
          </w:p>
        </w:tc>
        <w:tc>
          <w:tcPr>
            <w:tcW w:w="734" w:type="pct"/>
            <w:vAlign w:val="center"/>
          </w:tcPr>
          <w:p w14:paraId="4E1DB16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5C76FA4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0C20AA2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5CFC1A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178D686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5</w:t>
            </w:r>
          </w:p>
        </w:tc>
        <w:tc>
          <w:tcPr>
            <w:tcW w:w="1296" w:type="pct"/>
            <w:vAlign w:val="center"/>
          </w:tcPr>
          <w:p w14:paraId="4D1FAF7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宜春市奉新县罗市镇生活污水排污口</w:t>
            </w:r>
          </w:p>
        </w:tc>
        <w:tc>
          <w:tcPr>
            <w:tcW w:w="796" w:type="pct"/>
            <w:vAlign w:val="center"/>
          </w:tcPr>
          <w:p w14:paraId="49B53AD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58D320C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115.07554</w:t>
            </w:r>
          </w:p>
        </w:tc>
        <w:tc>
          <w:tcPr>
            <w:tcW w:w="580" w:type="pct"/>
            <w:vAlign w:val="center"/>
          </w:tcPr>
          <w:p w14:paraId="464B4A7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28.683161</w:t>
            </w:r>
          </w:p>
        </w:tc>
        <w:tc>
          <w:tcPr>
            <w:tcW w:w="734" w:type="pct"/>
            <w:vAlign w:val="center"/>
          </w:tcPr>
          <w:p w14:paraId="2C8F0A8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37196F5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3692B2E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01F27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0D9E011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6</w:t>
            </w:r>
          </w:p>
        </w:tc>
        <w:tc>
          <w:tcPr>
            <w:tcW w:w="1296" w:type="pct"/>
            <w:vAlign w:val="center"/>
          </w:tcPr>
          <w:p w14:paraId="4511465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宜春市奉新县会埠镇集镇生活污水排口</w:t>
            </w:r>
          </w:p>
        </w:tc>
        <w:tc>
          <w:tcPr>
            <w:tcW w:w="796" w:type="pct"/>
            <w:vAlign w:val="center"/>
          </w:tcPr>
          <w:p w14:paraId="2AD7729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0317F46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115.190556</w:t>
            </w:r>
          </w:p>
        </w:tc>
        <w:tc>
          <w:tcPr>
            <w:tcW w:w="580" w:type="pct"/>
            <w:vAlign w:val="center"/>
          </w:tcPr>
          <w:p w14:paraId="01AA3A1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28.717778</w:t>
            </w:r>
          </w:p>
        </w:tc>
        <w:tc>
          <w:tcPr>
            <w:tcW w:w="734" w:type="pct"/>
            <w:vAlign w:val="center"/>
          </w:tcPr>
          <w:p w14:paraId="75CA289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71431FF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12D26FC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5BF99C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6F60553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7</w:t>
            </w:r>
          </w:p>
        </w:tc>
        <w:tc>
          <w:tcPr>
            <w:tcW w:w="1296" w:type="pct"/>
            <w:vAlign w:val="center"/>
          </w:tcPr>
          <w:p w14:paraId="1F116D6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宜春市奉新县宋埠镇城镇污水集中处理设施排污口</w:t>
            </w:r>
          </w:p>
        </w:tc>
        <w:tc>
          <w:tcPr>
            <w:tcW w:w="796" w:type="pct"/>
            <w:vAlign w:val="center"/>
          </w:tcPr>
          <w:p w14:paraId="77C2C8D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2A1B98E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115.497778</w:t>
            </w:r>
          </w:p>
        </w:tc>
        <w:tc>
          <w:tcPr>
            <w:tcW w:w="580" w:type="pct"/>
            <w:vAlign w:val="center"/>
          </w:tcPr>
          <w:p w14:paraId="753CDDB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28.733272</w:t>
            </w:r>
          </w:p>
        </w:tc>
        <w:tc>
          <w:tcPr>
            <w:tcW w:w="734" w:type="pct"/>
            <w:vAlign w:val="center"/>
          </w:tcPr>
          <w:p w14:paraId="4A5124C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5CDB2A0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306B7CF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07F540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529B5D19">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8</w:t>
            </w:r>
          </w:p>
        </w:tc>
        <w:tc>
          <w:tcPr>
            <w:tcW w:w="1296" w:type="pct"/>
            <w:vAlign w:val="center"/>
          </w:tcPr>
          <w:p w14:paraId="47A8282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宜春市奉新县仰山乡城镇污水集中处理设施排污口</w:t>
            </w:r>
          </w:p>
        </w:tc>
        <w:tc>
          <w:tcPr>
            <w:tcW w:w="796" w:type="pct"/>
            <w:vAlign w:val="center"/>
          </w:tcPr>
          <w:p w14:paraId="36FDC9C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06238C8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115.032184</w:t>
            </w:r>
          </w:p>
        </w:tc>
        <w:tc>
          <w:tcPr>
            <w:tcW w:w="580" w:type="pct"/>
            <w:vAlign w:val="center"/>
          </w:tcPr>
          <w:p w14:paraId="62AC19C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28.759954</w:t>
            </w:r>
          </w:p>
        </w:tc>
        <w:tc>
          <w:tcPr>
            <w:tcW w:w="734" w:type="pct"/>
            <w:vAlign w:val="center"/>
          </w:tcPr>
          <w:p w14:paraId="6311C40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2487505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51682D4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19BB73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578D0A6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9</w:t>
            </w:r>
          </w:p>
        </w:tc>
        <w:tc>
          <w:tcPr>
            <w:tcW w:w="1296" w:type="pct"/>
            <w:vAlign w:val="center"/>
          </w:tcPr>
          <w:p w14:paraId="76692F49">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宜春市奉新县澡下镇城镇污水集中处理设施排污口</w:t>
            </w:r>
          </w:p>
        </w:tc>
        <w:tc>
          <w:tcPr>
            <w:tcW w:w="796" w:type="pct"/>
            <w:vAlign w:val="center"/>
          </w:tcPr>
          <w:p w14:paraId="4162319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4EF876F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115.256389</w:t>
            </w:r>
          </w:p>
        </w:tc>
        <w:tc>
          <w:tcPr>
            <w:tcW w:w="580" w:type="pct"/>
            <w:vAlign w:val="center"/>
          </w:tcPr>
          <w:p w14:paraId="6D374FF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28.797222</w:t>
            </w:r>
          </w:p>
        </w:tc>
        <w:tc>
          <w:tcPr>
            <w:tcW w:w="734" w:type="pct"/>
            <w:vAlign w:val="center"/>
          </w:tcPr>
          <w:p w14:paraId="48C5211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171EE99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54B2140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4C2D25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44F3382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10</w:t>
            </w:r>
          </w:p>
        </w:tc>
        <w:tc>
          <w:tcPr>
            <w:tcW w:w="1296" w:type="pct"/>
            <w:vAlign w:val="center"/>
          </w:tcPr>
          <w:p w14:paraId="3FBE3AE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江西省奉新高新技术产业园区污水处理厂入河排污口</w:t>
            </w:r>
          </w:p>
        </w:tc>
        <w:tc>
          <w:tcPr>
            <w:tcW w:w="796" w:type="pct"/>
            <w:vAlign w:val="center"/>
          </w:tcPr>
          <w:p w14:paraId="4C76557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生产废水排污口</w:t>
            </w:r>
          </w:p>
        </w:tc>
        <w:tc>
          <w:tcPr>
            <w:tcW w:w="646" w:type="pct"/>
            <w:vAlign w:val="center"/>
          </w:tcPr>
          <w:p w14:paraId="65600D2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115.404478</w:t>
            </w:r>
          </w:p>
        </w:tc>
        <w:tc>
          <w:tcPr>
            <w:tcW w:w="580" w:type="pct"/>
            <w:vAlign w:val="center"/>
          </w:tcPr>
          <w:p w14:paraId="74B2BA4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28.699238</w:t>
            </w:r>
          </w:p>
        </w:tc>
        <w:tc>
          <w:tcPr>
            <w:tcW w:w="734" w:type="pct"/>
            <w:vAlign w:val="center"/>
          </w:tcPr>
          <w:p w14:paraId="7095BEE9">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57EF894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72E1643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1C2500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54F44A3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w:t>
            </w:r>
          </w:p>
        </w:tc>
        <w:tc>
          <w:tcPr>
            <w:tcW w:w="1296" w:type="pct"/>
            <w:vAlign w:val="center"/>
          </w:tcPr>
          <w:p w14:paraId="1FE3ED6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宜春市奉新县城市污水处理厂入河排污口</w:t>
            </w:r>
          </w:p>
        </w:tc>
        <w:tc>
          <w:tcPr>
            <w:tcW w:w="796" w:type="pct"/>
            <w:vAlign w:val="center"/>
          </w:tcPr>
          <w:p w14:paraId="4C3A565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07C63C2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115.404886</w:t>
            </w:r>
          </w:p>
        </w:tc>
        <w:tc>
          <w:tcPr>
            <w:tcW w:w="580" w:type="pct"/>
            <w:vAlign w:val="center"/>
          </w:tcPr>
          <w:p w14:paraId="19E65C4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28.710289</w:t>
            </w:r>
          </w:p>
        </w:tc>
        <w:tc>
          <w:tcPr>
            <w:tcW w:w="734" w:type="pct"/>
            <w:vAlign w:val="center"/>
          </w:tcPr>
          <w:p w14:paraId="4EAE9C0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6FFB0B2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03F99B7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2BD28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13070AD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highlight w:val="none"/>
                <w:lang w:val="en-US" w:eastAsia="en-US"/>
              </w:rPr>
            </w:pPr>
            <w:r>
              <w:rPr>
                <w:rFonts w:hint="default" w:ascii="Times New Roman" w:hAnsi="Times New Roman" w:eastAsia="宋体" w:cs="Times New Roman"/>
                <w:color w:val="auto"/>
                <w:spacing w:val="8"/>
                <w:sz w:val="21"/>
                <w:szCs w:val="21"/>
                <w:highlight w:val="none"/>
                <w:lang w:val="en-US" w:eastAsia="en-US"/>
              </w:rPr>
              <w:t>12</w:t>
            </w:r>
          </w:p>
        </w:tc>
        <w:tc>
          <w:tcPr>
            <w:tcW w:w="1296" w:type="pct"/>
            <w:vAlign w:val="center"/>
          </w:tcPr>
          <w:p w14:paraId="241D4B0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宜春市奉新县河头村前自动</w:t>
            </w:r>
            <w:r>
              <w:rPr>
                <w:rFonts w:hint="default" w:ascii="Times New Roman" w:hAnsi="Times New Roman" w:eastAsia="宋体" w:cs="Times New Roman"/>
                <w:color w:val="auto"/>
                <w:spacing w:val="8"/>
                <w:sz w:val="21"/>
                <w:szCs w:val="21"/>
                <w:highlight w:val="none"/>
                <w:lang w:eastAsia="zh-CN"/>
              </w:rPr>
              <w:t>机柜</w:t>
            </w:r>
            <w:r>
              <w:rPr>
                <w:rFonts w:hint="default" w:ascii="Times New Roman" w:hAnsi="Times New Roman" w:eastAsia="宋体" w:cs="Times New Roman"/>
                <w:color w:val="auto"/>
                <w:spacing w:val="8"/>
                <w:sz w:val="21"/>
                <w:szCs w:val="21"/>
                <w:highlight w:val="none"/>
              </w:rPr>
              <w:t>雨洪排口</w:t>
            </w:r>
          </w:p>
        </w:tc>
        <w:tc>
          <w:tcPr>
            <w:tcW w:w="796" w:type="pct"/>
            <w:vAlign w:val="center"/>
          </w:tcPr>
          <w:p w14:paraId="435C45C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highlight w:val="none"/>
              </w:rPr>
            </w:pPr>
            <w:r>
              <w:rPr>
                <w:rFonts w:hint="default" w:ascii="Times New Roman" w:hAnsi="Times New Roman" w:eastAsia="宋体" w:cs="Times New Roman"/>
                <w:color w:val="auto"/>
                <w:spacing w:val="8"/>
                <w:sz w:val="21"/>
                <w:szCs w:val="21"/>
                <w:highlight w:val="none"/>
              </w:rPr>
              <w:t>城镇雨洪排口</w:t>
            </w:r>
          </w:p>
        </w:tc>
        <w:tc>
          <w:tcPr>
            <w:tcW w:w="646" w:type="pct"/>
            <w:vAlign w:val="center"/>
          </w:tcPr>
          <w:p w14:paraId="6508422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115.396193</w:t>
            </w:r>
          </w:p>
        </w:tc>
        <w:tc>
          <w:tcPr>
            <w:tcW w:w="580" w:type="pct"/>
            <w:vAlign w:val="center"/>
          </w:tcPr>
          <w:p w14:paraId="10117A3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28.680301</w:t>
            </w:r>
          </w:p>
        </w:tc>
        <w:tc>
          <w:tcPr>
            <w:tcW w:w="734" w:type="pct"/>
            <w:vAlign w:val="center"/>
          </w:tcPr>
          <w:p w14:paraId="60039F5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0842436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7D505F4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18D671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038F4A1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en-US"/>
              </w:rPr>
            </w:pPr>
            <w:r>
              <w:rPr>
                <w:rFonts w:hint="default" w:ascii="Times New Roman" w:hAnsi="Times New Roman" w:eastAsia="宋体" w:cs="Times New Roman"/>
                <w:color w:val="auto"/>
                <w:spacing w:val="8"/>
                <w:sz w:val="21"/>
                <w:szCs w:val="21"/>
                <w:lang w:val="en-US" w:eastAsia="en-US"/>
              </w:rPr>
              <w:t>13</w:t>
            </w:r>
          </w:p>
        </w:tc>
        <w:tc>
          <w:tcPr>
            <w:tcW w:w="1296" w:type="pct"/>
            <w:vAlign w:val="center"/>
          </w:tcPr>
          <w:p w14:paraId="13C6A0F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宜春市奉新县上富镇城镇第二污水处理厂排污口</w:t>
            </w:r>
          </w:p>
        </w:tc>
        <w:tc>
          <w:tcPr>
            <w:tcW w:w="796" w:type="pct"/>
            <w:vAlign w:val="center"/>
          </w:tcPr>
          <w:p w14:paraId="17071FF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城镇污水集中处理设施排污口</w:t>
            </w:r>
          </w:p>
        </w:tc>
        <w:tc>
          <w:tcPr>
            <w:tcW w:w="646" w:type="pct"/>
            <w:vAlign w:val="center"/>
          </w:tcPr>
          <w:p w14:paraId="6CBF4889">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w:t>
            </w:r>
            <w:r>
              <w:rPr>
                <w:rFonts w:hint="default" w:ascii="Times New Roman" w:hAnsi="Times New Roman" w:eastAsia="宋体" w:cs="Times New Roman"/>
                <w:color w:val="auto"/>
                <w:spacing w:val="8"/>
                <w:sz w:val="21"/>
                <w:szCs w:val="21"/>
                <w:lang w:eastAsia="zh-CN"/>
              </w:rPr>
              <w:t>.</w:t>
            </w:r>
            <w:r>
              <w:rPr>
                <w:rFonts w:hint="default" w:ascii="Times New Roman" w:hAnsi="Times New Roman" w:eastAsia="宋体" w:cs="Times New Roman"/>
                <w:color w:val="auto"/>
                <w:spacing w:val="8"/>
                <w:sz w:val="21"/>
                <w:szCs w:val="21"/>
              </w:rPr>
              <w:t>008663</w:t>
            </w:r>
          </w:p>
        </w:tc>
        <w:tc>
          <w:tcPr>
            <w:tcW w:w="580" w:type="pct"/>
            <w:vAlign w:val="center"/>
          </w:tcPr>
          <w:p w14:paraId="4B6329B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28.680301</w:t>
            </w:r>
          </w:p>
        </w:tc>
        <w:tc>
          <w:tcPr>
            <w:tcW w:w="734" w:type="pct"/>
            <w:vAlign w:val="center"/>
          </w:tcPr>
          <w:p w14:paraId="0E68098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5D8306E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2B063E2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7B8716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33AEEB0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14</w:t>
            </w:r>
          </w:p>
        </w:tc>
        <w:tc>
          <w:tcPr>
            <w:tcW w:w="1296" w:type="pct"/>
            <w:vAlign w:val="center"/>
          </w:tcPr>
          <w:p w14:paraId="2EC9F6D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宜春市奉新县宋埠化工小区对面500米沟渠</w:t>
            </w:r>
          </w:p>
        </w:tc>
        <w:tc>
          <w:tcPr>
            <w:tcW w:w="796" w:type="pct"/>
            <w:vAlign w:val="center"/>
          </w:tcPr>
          <w:p w14:paraId="2D2603F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沟渠</w:t>
            </w:r>
          </w:p>
        </w:tc>
        <w:tc>
          <w:tcPr>
            <w:tcW w:w="646" w:type="pct"/>
            <w:vAlign w:val="center"/>
          </w:tcPr>
          <w:p w14:paraId="60AB7ED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115.410875</w:t>
            </w:r>
          </w:p>
        </w:tc>
        <w:tc>
          <w:tcPr>
            <w:tcW w:w="580" w:type="pct"/>
            <w:vAlign w:val="center"/>
          </w:tcPr>
          <w:p w14:paraId="213D09A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28.709342</w:t>
            </w:r>
          </w:p>
        </w:tc>
        <w:tc>
          <w:tcPr>
            <w:tcW w:w="734" w:type="pct"/>
            <w:vAlign w:val="center"/>
          </w:tcPr>
          <w:p w14:paraId="380CB88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27870A0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242D392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3154DC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186E77D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15</w:t>
            </w:r>
          </w:p>
        </w:tc>
        <w:tc>
          <w:tcPr>
            <w:tcW w:w="1296" w:type="pct"/>
            <w:vAlign w:val="center"/>
          </w:tcPr>
          <w:p w14:paraId="421DA7B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奉新县华林大桥旁沟渠</w:t>
            </w:r>
          </w:p>
        </w:tc>
        <w:tc>
          <w:tcPr>
            <w:tcW w:w="796" w:type="pct"/>
            <w:vAlign w:val="center"/>
          </w:tcPr>
          <w:p w14:paraId="2F7334F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沟渠</w:t>
            </w:r>
          </w:p>
        </w:tc>
        <w:tc>
          <w:tcPr>
            <w:tcW w:w="646" w:type="pct"/>
            <w:vAlign w:val="center"/>
          </w:tcPr>
          <w:p w14:paraId="12F382B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115.366944</w:t>
            </w:r>
          </w:p>
        </w:tc>
        <w:tc>
          <w:tcPr>
            <w:tcW w:w="580" w:type="pct"/>
            <w:vAlign w:val="center"/>
          </w:tcPr>
          <w:p w14:paraId="05FD85C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28.702500</w:t>
            </w:r>
          </w:p>
        </w:tc>
        <w:tc>
          <w:tcPr>
            <w:tcW w:w="734" w:type="pct"/>
            <w:vAlign w:val="center"/>
          </w:tcPr>
          <w:p w14:paraId="1F37D1F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有市电，周边有变电箱</w:t>
            </w:r>
          </w:p>
        </w:tc>
        <w:tc>
          <w:tcPr>
            <w:tcW w:w="616" w:type="pct"/>
            <w:vAlign w:val="center"/>
          </w:tcPr>
          <w:p w14:paraId="21A6CA19">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13A4D06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308E8A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37F7B70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16</w:t>
            </w:r>
          </w:p>
        </w:tc>
        <w:tc>
          <w:tcPr>
            <w:tcW w:w="1296" w:type="pct"/>
            <w:vAlign w:val="center"/>
          </w:tcPr>
          <w:p w14:paraId="2E259BF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lang w:val="en-US" w:eastAsia="en-US"/>
              </w:rPr>
              <w:t>宜春市奉新县水墨林溪前雨洪排口</w:t>
            </w:r>
          </w:p>
        </w:tc>
        <w:tc>
          <w:tcPr>
            <w:tcW w:w="796" w:type="pct"/>
            <w:vAlign w:val="center"/>
          </w:tcPr>
          <w:p w14:paraId="01A6983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6C4B4E2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115.37551</w:t>
            </w:r>
          </w:p>
        </w:tc>
        <w:tc>
          <w:tcPr>
            <w:tcW w:w="580" w:type="pct"/>
            <w:vAlign w:val="center"/>
          </w:tcPr>
          <w:p w14:paraId="0BDF6FF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28.699833</w:t>
            </w:r>
          </w:p>
        </w:tc>
        <w:tc>
          <w:tcPr>
            <w:tcW w:w="734" w:type="pct"/>
            <w:vAlign w:val="center"/>
          </w:tcPr>
          <w:p w14:paraId="726F517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有市电、周边有配电箱</w:t>
            </w:r>
          </w:p>
        </w:tc>
        <w:tc>
          <w:tcPr>
            <w:tcW w:w="616" w:type="pct"/>
            <w:vAlign w:val="center"/>
          </w:tcPr>
          <w:p w14:paraId="4102838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6A1C493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6011EA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44C0A64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17</w:t>
            </w:r>
          </w:p>
        </w:tc>
        <w:tc>
          <w:tcPr>
            <w:tcW w:w="1296" w:type="pct"/>
            <w:vAlign w:val="center"/>
          </w:tcPr>
          <w:p w14:paraId="68C17D8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奉新县潦河西路上桥旁雨洪排口</w:t>
            </w:r>
          </w:p>
        </w:tc>
        <w:tc>
          <w:tcPr>
            <w:tcW w:w="796" w:type="pct"/>
            <w:vAlign w:val="center"/>
          </w:tcPr>
          <w:p w14:paraId="1B7AB5C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0F19F3A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115.373056</w:t>
            </w:r>
          </w:p>
        </w:tc>
        <w:tc>
          <w:tcPr>
            <w:tcW w:w="580" w:type="pct"/>
            <w:vAlign w:val="center"/>
          </w:tcPr>
          <w:p w14:paraId="5F93413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28.698611</w:t>
            </w:r>
          </w:p>
        </w:tc>
        <w:tc>
          <w:tcPr>
            <w:tcW w:w="734" w:type="pct"/>
            <w:vAlign w:val="center"/>
          </w:tcPr>
          <w:p w14:paraId="071A87D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有市电、有配电箱</w:t>
            </w:r>
          </w:p>
        </w:tc>
        <w:tc>
          <w:tcPr>
            <w:tcW w:w="616" w:type="pct"/>
            <w:vAlign w:val="center"/>
          </w:tcPr>
          <w:p w14:paraId="5D37076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2487D54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7B7D4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2F9B52E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18</w:t>
            </w:r>
          </w:p>
        </w:tc>
        <w:tc>
          <w:tcPr>
            <w:tcW w:w="1296" w:type="pct"/>
            <w:vAlign w:val="center"/>
          </w:tcPr>
          <w:p w14:paraId="7926C54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奉新县上桥北侧上游上侧100m雨洪排口</w:t>
            </w:r>
          </w:p>
        </w:tc>
        <w:tc>
          <w:tcPr>
            <w:tcW w:w="796" w:type="pct"/>
            <w:vAlign w:val="center"/>
          </w:tcPr>
          <w:p w14:paraId="3255DC7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252CB9B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115.378641</w:t>
            </w:r>
          </w:p>
        </w:tc>
        <w:tc>
          <w:tcPr>
            <w:tcW w:w="580" w:type="pct"/>
            <w:vAlign w:val="center"/>
          </w:tcPr>
          <w:p w14:paraId="5C2B272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28.698345</w:t>
            </w:r>
          </w:p>
        </w:tc>
        <w:tc>
          <w:tcPr>
            <w:tcW w:w="734" w:type="pct"/>
            <w:vAlign w:val="center"/>
          </w:tcPr>
          <w:p w14:paraId="1D4412D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w:t>
            </w:r>
          </w:p>
        </w:tc>
        <w:tc>
          <w:tcPr>
            <w:tcW w:w="616" w:type="pct"/>
            <w:vAlign w:val="center"/>
          </w:tcPr>
          <w:p w14:paraId="5C9D3C5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69B9711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47429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3F10B67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19</w:t>
            </w:r>
          </w:p>
        </w:tc>
        <w:tc>
          <w:tcPr>
            <w:tcW w:w="1296" w:type="pct"/>
            <w:vAlign w:val="center"/>
          </w:tcPr>
          <w:p w14:paraId="31C66DD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奉新县洗沙廖家前雨洪排口</w:t>
            </w:r>
          </w:p>
        </w:tc>
        <w:tc>
          <w:tcPr>
            <w:tcW w:w="796" w:type="pct"/>
            <w:vAlign w:val="center"/>
          </w:tcPr>
          <w:p w14:paraId="5214D48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0C2FE93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115.377678</w:t>
            </w:r>
          </w:p>
        </w:tc>
        <w:tc>
          <w:tcPr>
            <w:tcW w:w="580" w:type="pct"/>
            <w:vAlign w:val="center"/>
          </w:tcPr>
          <w:p w14:paraId="5FC86C4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28.698777</w:t>
            </w:r>
          </w:p>
        </w:tc>
        <w:tc>
          <w:tcPr>
            <w:tcW w:w="734" w:type="pct"/>
            <w:vAlign w:val="center"/>
          </w:tcPr>
          <w:p w14:paraId="4719644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lang w:val="en-US" w:eastAsia="zh-CN"/>
              </w:rPr>
              <w:t>附件有电缆沟，无法确定是否可以接电。</w:t>
            </w:r>
          </w:p>
        </w:tc>
        <w:tc>
          <w:tcPr>
            <w:tcW w:w="616" w:type="pct"/>
            <w:vAlign w:val="center"/>
          </w:tcPr>
          <w:p w14:paraId="3C00101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0DCDC60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45B905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9" w:hRule="atLeast"/>
          <w:jc w:val="center"/>
        </w:trPr>
        <w:tc>
          <w:tcPr>
            <w:tcW w:w="329" w:type="pct"/>
            <w:vAlign w:val="center"/>
          </w:tcPr>
          <w:p w14:paraId="2064925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20</w:t>
            </w:r>
          </w:p>
        </w:tc>
        <w:tc>
          <w:tcPr>
            <w:tcW w:w="1296" w:type="pct"/>
            <w:vAlign w:val="center"/>
          </w:tcPr>
          <w:p w14:paraId="7451CE4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奉新县滨和西路人行道柱子旁城镇雨洪排口</w:t>
            </w:r>
          </w:p>
        </w:tc>
        <w:tc>
          <w:tcPr>
            <w:tcW w:w="796" w:type="pct"/>
            <w:vAlign w:val="center"/>
          </w:tcPr>
          <w:p w14:paraId="175470D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2404A67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115.379444</w:t>
            </w:r>
          </w:p>
        </w:tc>
        <w:tc>
          <w:tcPr>
            <w:tcW w:w="580" w:type="pct"/>
            <w:vAlign w:val="center"/>
          </w:tcPr>
          <w:p w14:paraId="764A029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28.699444</w:t>
            </w:r>
          </w:p>
        </w:tc>
        <w:tc>
          <w:tcPr>
            <w:tcW w:w="734" w:type="pct"/>
            <w:vAlign w:val="center"/>
          </w:tcPr>
          <w:p w14:paraId="2BFAE3A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lang w:val="en-US" w:eastAsia="zh-CN"/>
              </w:rPr>
              <w:t>有市电、有配电箱</w:t>
            </w:r>
          </w:p>
        </w:tc>
        <w:tc>
          <w:tcPr>
            <w:tcW w:w="616" w:type="pct"/>
            <w:vAlign w:val="center"/>
          </w:tcPr>
          <w:p w14:paraId="0A7A35B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5CF8A7B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019558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2A2D9D1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21</w:t>
            </w:r>
          </w:p>
        </w:tc>
        <w:tc>
          <w:tcPr>
            <w:tcW w:w="1296" w:type="pct"/>
            <w:vAlign w:val="center"/>
          </w:tcPr>
          <w:p w14:paraId="404FECD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奉新县天工大桥上游西侧100m雨洪排口</w:t>
            </w:r>
          </w:p>
        </w:tc>
        <w:tc>
          <w:tcPr>
            <w:tcW w:w="796" w:type="pct"/>
            <w:vAlign w:val="center"/>
          </w:tcPr>
          <w:p w14:paraId="52B91C8D">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3A3AAAE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115.409351</w:t>
            </w:r>
          </w:p>
        </w:tc>
        <w:tc>
          <w:tcPr>
            <w:tcW w:w="580" w:type="pct"/>
            <w:vAlign w:val="center"/>
          </w:tcPr>
          <w:p w14:paraId="6CC6D01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28.705372</w:t>
            </w:r>
          </w:p>
        </w:tc>
        <w:tc>
          <w:tcPr>
            <w:tcW w:w="734" w:type="pct"/>
            <w:vAlign w:val="center"/>
          </w:tcPr>
          <w:p w14:paraId="115C973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无电</w:t>
            </w:r>
          </w:p>
        </w:tc>
        <w:tc>
          <w:tcPr>
            <w:tcW w:w="616" w:type="pct"/>
            <w:vAlign w:val="center"/>
          </w:tcPr>
          <w:p w14:paraId="5EA9B8B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无线</w:t>
            </w:r>
          </w:p>
          <w:p w14:paraId="506748E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71771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5D47A1B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22</w:t>
            </w:r>
          </w:p>
        </w:tc>
        <w:tc>
          <w:tcPr>
            <w:tcW w:w="1296" w:type="pct"/>
            <w:vAlign w:val="center"/>
          </w:tcPr>
          <w:p w14:paraId="697F2B4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奉新县天工大桥上游50m西岸城镇雨洪排口</w:t>
            </w:r>
          </w:p>
        </w:tc>
        <w:tc>
          <w:tcPr>
            <w:tcW w:w="796" w:type="pct"/>
            <w:vAlign w:val="center"/>
          </w:tcPr>
          <w:p w14:paraId="056AD06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4ADA391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115.404114</w:t>
            </w:r>
          </w:p>
        </w:tc>
        <w:tc>
          <w:tcPr>
            <w:tcW w:w="580" w:type="pct"/>
            <w:vAlign w:val="center"/>
          </w:tcPr>
          <w:p w14:paraId="7B8423D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28.70875</w:t>
            </w:r>
          </w:p>
        </w:tc>
        <w:tc>
          <w:tcPr>
            <w:tcW w:w="734" w:type="pct"/>
            <w:vAlign w:val="center"/>
          </w:tcPr>
          <w:p w14:paraId="1C70E3A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无电</w:t>
            </w:r>
          </w:p>
        </w:tc>
        <w:tc>
          <w:tcPr>
            <w:tcW w:w="616" w:type="pct"/>
            <w:vAlign w:val="center"/>
          </w:tcPr>
          <w:p w14:paraId="01E4A4B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无线</w:t>
            </w:r>
          </w:p>
          <w:p w14:paraId="368E4A7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408530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04752784">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23</w:t>
            </w:r>
          </w:p>
        </w:tc>
        <w:tc>
          <w:tcPr>
            <w:tcW w:w="1296" w:type="pct"/>
            <w:vAlign w:val="center"/>
          </w:tcPr>
          <w:p w14:paraId="75D0BDC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奉新县天工大桥下游50m雨洪排口</w:t>
            </w:r>
          </w:p>
        </w:tc>
        <w:tc>
          <w:tcPr>
            <w:tcW w:w="796" w:type="pct"/>
            <w:vAlign w:val="center"/>
          </w:tcPr>
          <w:p w14:paraId="24B42D3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城镇雨洪排口</w:t>
            </w:r>
          </w:p>
        </w:tc>
        <w:tc>
          <w:tcPr>
            <w:tcW w:w="646" w:type="pct"/>
            <w:vAlign w:val="center"/>
          </w:tcPr>
          <w:p w14:paraId="1C18F64E">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115.410261</w:t>
            </w:r>
          </w:p>
        </w:tc>
        <w:tc>
          <w:tcPr>
            <w:tcW w:w="580" w:type="pct"/>
            <w:vAlign w:val="center"/>
          </w:tcPr>
          <w:p w14:paraId="4F2DEE7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28.707339</w:t>
            </w:r>
          </w:p>
        </w:tc>
        <w:tc>
          <w:tcPr>
            <w:tcW w:w="734" w:type="pct"/>
            <w:vAlign w:val="center"/>
          </w:tcPr>
          <w:p w14:paraId="7280F2A3">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无电</w:t>
            </w:r>
          </w:p>
        </w:tc>
        <w:tc>
          <w:tcPr>
            <w:tcW w:w="616" w:type="pct"/>
            <w:vAlign w:val="center"/>
          </w:tcPr>
          <w:p w14:paraId="7A15A3C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无线</w:t>
            </w:r>
          </w:p>
          <w:p w14:paraId="0E9C1760">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220017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6F3E8446">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24</w:t>
            </w:r>
          </w:p>
        </w:tc>
        <w:tc>
          <w:tcPr>
            <w:tcW w:w="1296" w:type="pct"/>
            <w:vAlign w:val="center"/>
          </w:tcPr>
          <w:p w14:paraId="365DDFE8">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lang w:val="en-US" w:eastAsia="zh-CN"/>
              </w:rPr>
              <w:t>百丈山风景名胜区污水处理厂入河排污口</w:t>
            </w:r>
          </w:p>
        </w:tc>
        <w:tc>
          <w:tcPr>
            <w:tcW w:w="796" w:type="pct"/>
            <w:vAlign w:val="center"/>
          </w:tcPr>
          <w:p w14:paraId="4003D7A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lang w:val="en-US" w:eastAsia="en-US"/>
              </w:rPr>
              <w:t>城镇污水处理厂</w:t>
            </w:r>
            <w:r>
              <w:rPr>
                <w:rFonts w:hint="default" w:ascii="Times New Roman" w:hAnsi="Times New Roman" w:eastAsia="宋体" w:cs="Times New Roman"/>
                <w:color w:val="auto"/>
                <w:spacing w:val="8"/>
                <w:sz w:val="21"/>
                <w:szCs w:val="21"/>
                <w:lang w:val="en-US" w:eastAsia="zh-CN"/>
              </w:rPr>
              <w:t>排污口</w:t>
            </w:r>
          </w:p>
        </w:tc>
        <w:tc>
          <w:tcPr>
            <w:tcW w:w="646" w:type="pct"/>
            <w:vAlign w:val="center"/>
          </w:tcPr>
          <w:p w14:paraId="3FEACBF1">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114.803516</w:t>
            </w:r>
          </w:p>
        </w:tc>
        <w:tc>
          <w:tcPr>
            <w:tcW w:w="580" w:type="pct"/>
            <w:vAlign w:val="center"/>
          </w:tcPr>
          <w:p w14:paraId="590EEC3C">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28.675371</w:t>
            </w:r>
          </w:p>
        </w:tc>
        <w:tc>
          <w:tcPr>
            <w:tcW w:w="734" w:type="pct"/>
            <w:vAlign w:val="center"/>
          </w:tcPr>
          <w:p w14:paraId="7B31246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有市电、有配电箱</w:t>
            </w:r>
          </w:p>
        </w:tc>
        <w:tc>
          <w:tcPr>
            <w:tcW w:w="616" w:type="pct"/>
            <w:vAlign w:val="center"/>
          </w:tcPr>
          <w:p w14:paraId="220299F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132B944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r w14:paraId="42DD0B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329" w:type="pct"/>
            <w:vAlign w:val="center"/>
          </w:tcPr>
          <w:p w14:paraId="40826CAB">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25</w:t>
            </w:r>
          </w:p>
        </w:tc>
        <w:tc>
          <w:tcPr>
            <w:tcW w:w="1296" w:type="pct"/>
            <w:vAlign w:val="center"/>
          </w:tcPr>
          <w:p w14:paraId="18A14539">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宜春市奉新县文体艺术中心雨洪排口</w:t>
            </w:r>
          </w:p>
        </w:tc>
        <w:tc>
          <w:tcPr>
            <w:tcW w:w="796" w:type="pct"/>
            <w:vAlign w:val="center"/>
          </w:tcPr>
          <w:p w14:paraId="02B77B65">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en-US"/>
              </w:rPr>
            </w:pPr>
            <w:r>
              <w:rPr>
                <w:rFonts w:hint="default" w:ascii="Times New Roman" w:hAnsi="Times New Roman" w:eastAsia="宋体" w:cs="Times New Roman"/>
                <w:color w:val="auto"/>
                <w:spacing w:val="8"/>
                <w:sz w:val="21"/>
                <w:szCs w:val="21"/>
              </w:rPr>
              <w:t>城镇雨洪排口</w:t>
            </w:r>
          </w:p>
        </w:tc>
        <w:tc>
          <w:tcPr>
            <w:tcW w:w="646" w:type="pct"/>
            <w:vAlign w:val="center"/>
          </w:tcPr>
          <w:p w14:paraId="27B07487">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115.409077</w:t>
            </w:r>
          </w:p>
        </w:tc>
        <w:tc>
          <w:tcPr>
            <w:tcW w:w="580" w:type="pct"/>
            <w:vAlign w:val="center"/>
          </w:tcPr>
          <w:p w14:paraId="0E2E59F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rPr>
            </w:pPr>
            <w:r>
              <w:rPr>
                <w:rFonts w:hint="default" w:ascii="Times New Roman" w:hAnsi="Times New Roman" w:eastAsia="宋体" w:cs="Times New Roman"/>
                <w:color w:val="auto"/>
                <w:spacing w:val="8"/>
                <w:sz w:val="21"/>
                <w:szCs w:val="21"/>
              </w:rPr>
              <w:t>28.70105</w:t>
            </w:r>
          </w:p>
        </w:tc>
        <w:tc>
          <w:tcPr>
            <w:tcW w:w="734" w:type="pct"/>
            <w:vAlign w:val="center"/>
          </w:tcPr>
          <w:p w14:paraId="46F4620F">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市电</w:t>
            </w:r>
          </w:p>
        </w:tc>
        <w:tc>
          <w:tcPr>
            <w:tcW w:w="616" w:type="pct"/>
            <w:vAlign w:val="center"/>
          </w:tcPr>
          <w:p w14:paraId="3287981A">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有线</w:t>
            </w:r>
          </w:p>
          <w:p w14:paraId="4852BAA2">
            <w:pPr>
              <w:pStyle w:val="12"/>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default" w:ascii="Times New Roman" w:hAnsi="Times New Roman" w:eastAsia="宋体" w:cs="Times New Roman"/>
                <w:color w:val="auto"/>
                <w:spacing w:val="8"/>
                <w:sz w:val="21"/>
                <w:szCs w:val="21"/>
                <w:lang w:val="en-US" w:eastAsia="zh-CN"/>
              </w:rPr>
            </w:pPr>
            <w:r>
              <w:rPr>
                <w:rFonts w:hint="default" w:ascii="Times New Roman" w:hAnsi="Times New Roman" w:eastAsia="宋体" w:cs="Times New Roman"/>
                <w:color w:val="auto"/>
                <w:spacing w:val="8"/>
                <w:sz w:val="21"/>
                <w:szCs w:val="21"/>
                <w:lang w:val="en-US" w:eastAsia="zh-CN"/>
              </w:rPr>
              <w:t>网络</w:t>
            </w:r>
          </w:p>
        </w:tc>
      </w:tr>
    </w:tbl>
    <w:p w14:paraId="1B678962">
      <w:pPr>
        <w:bidi w:val="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注：建设内容可根据实际情况调整，由业主确认后可调整。</w:t>
      </w:r>
    </w:p>
    <w:p w14:paraId="24B30672">
      <w:pPr>
        <w:pStyle w:val="2"/>
        <w:numPr>
          <w:ilvl w:val="2"/>
          <w:numId w:val="0"/>
        </w:numPr>
        <w:bidi w:val="0"/>
        <w:ind w:left="0" w:leftChars="0" w:firstLine="402" w:firstLineChars="0"/>
        <w:rPr>
          <w:rFonts w:hint="eastAsia" w:cs="Times New Roman"/>
          <w:b/>
          <w:bCs/>
          <w:snapToGrid w:val="0"/>
          <w:color w:val="auto"/>
          <w:sz w:val="28"/>
          <w:szCs w:val="32"/>
          <w:lang w:val="en-US" w:eastAsia="zh-CN" w:bidi="ar-SA"/>
        </w:rPr>
      </w:pPr>
    </w:p>
    <w:p w14:paraId="5BF4E123">
      <w:pPr>
        <w:bidi w:val="0"/>
        <w:rPr>
          <w:rFonts w:hint="default"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2.4</w:t>
      </w:r>
      <w:r>
        <w:rPr>
          <w:rFonts w:hint="default" w:asciiTheme="minorEastAsia" w:hAnsiTheme="minorEastAsia" w:eastAsiaTheme="minorEastAsia" w:cstheme="minorEastAsia"/>
          <w:b/>
          <w:bCs/>
          <w:color w:val="auto"/>
          <w:sz w:val="28"/>
          <w:szCs w:val="28"/>
          <w:lang w:val="en-US" w:eastAsia="zh-CN"/>
        </w:rPr>
        <w:t>入河排污口动态监管</w:t>
      </w:r>
    </w:p>
    <w:p w14:paraId="5CF3E35B">
      <w:pPr>
        <w:bidi w:val="0"/>
        <w:rPr>
          <w:rFonts w:hint="default" w:ascii="Times New Roman" w:hAnsi="Times New Roman" w:eastAsia="宋体" w:cs="Times New Roman"/>
          <w:b/>
          <w:bCs/>
          <w:color w:val="auto"/>
          <w:lang w:val="en-US" w:eastAsia="zh-CN"/>
        </w:rPr>
      </w:pPr>
      <w:r>
        <w:rPr>
          <w:rFonts w:hint="default" w:ascii="Times New Roman" w:hAnsi="Times New Roman" w:eastAsia="宋体" w:cs="Times New Roman"/>
          <w:b/>
          <w:bCs/>
          <w:color w:val="auto"/>
          <w:lang w:val="en-US" w:eastAsia="zh-CN"/>
        </w:rPr>
        <w:t>（一）动态监管功能要求</w:t>
      </w:r>
    </w:p>
    <w:p w14:paraId="50205903">
      <w:pPr>
        <w:widowControl/>
        <w:kinsoku w:val="0"/>
        <w:autoSpaceDE w:val="0"/>
        <w:autoSpaceDN w:val="0"/>
        <w:bidi w:val="0"/>
        <w:adjustRightInd w:val="0"/>
        <w:snapToGrid w:val="0"/>
        <w:ind w:firstLine="420" w:firstLineChars="200"/>
        <w:jc w:val="left"/>
        <w:textAlignment w:val="baseline"/>
        <w:rPr>
          <w:rFonts w:hint="default" w:ascii="Times New Roman" w:hAnsi="Times New Roman" w:eastAsia="宋体" w:cs="Times New Roman"/>
          <w:snapToGrid w:val="0"/>
          <w:color w:val="auto"/>
          <w:kern w:val="0"/>
          <w:szCs w:val="21"/>
          <w:lang w:eastAsia="en-US"/>
        </w:rPr>
      </w:pPr>
      <w:r>
        <w:rPr>
          <w:rFonts w:hint="default" w:ascii="Times New Roman" w:hAnsi="Times New Roman" w:eastAsia="宋体" w:cs="Times New Roman"/>
          <w:snapToGrid w:val="0"/>
          <w:color w:val="auto"/>
          <w:kern w:val="0"/>
          <w:szCs w:val="21"/>
          <w:lang w:eastAsia="zh-CN"/>
        </w:rPr>
        <w:t>奉新县入河排污口</w:t>
      </w:r>
      <w:r>
        <w:rPr>
          <w:rFonts w:hint="default" w:ascii="Times New Roman" w:hAnsi="Times New Roman" w:eastAsia="宋体" w:cs="Times New Roman"/>
          <w:snapToGrid w:val="0"/>
          <w:color w:val="auto"/>
          <w:kern w:val="0"/>
          <w:szCs w:val="21"/>
          <w:lang w:val="en-US" w:eastAsia="zh-CN"/>
        </w:rPr>
        <w:t>动态</w:t>
      </w:r>
      <w:r>
        <w:rPr>
          <w:rFonts w:hint="default" w:ascii="Times New Roman" w:hAnsi="Times New Roman" w:eastAsia="宋体" w:cs="Times New Roman"/>
          <w:snapToGrid w:val="0"/>
          <w:color w:val="auto"/>
          <w:kern w:val="0"/>
          <w:szCs w:val="21"/>
          <w:lang w:eastAsia="zh-CN"/>
        </w:rPr>
        <w:t>监管</w:t>
      </w:r>
      <w:r>
        <w:rPr>
          <w:rFonts w:hint="default" w:ascii="Times New Roman" w:hAnsi="Times New Roman" w:eastAsia="宋体" w:cs="Times New Roman"/>
          <w:snapToGrid w:val="0"/>
          <w:color w:val="auto"/>
          <w:kern w:val="0"/>
          <w:szCs w:val="21"/>
          <w:lang w:val="en-US" w:eastAsia="zh-CN"/>
        </w:rPr>
        <w:t>体系</w:t>
      </w:r>
      <w:r>
        <w:rPr>
          <w:rFonts w:hint="default" w:ascii="Times New Roman" w:hAnsi="Times New Roman" w:eastAsia="宋体" w:cs="Times New Roman"/>
          <w:snapToGrid w:val="0"/>
          <w:color w:val="auto"/>
          <w:kern w:val="0"/>
          <w:szCs w:val="21"/>
          <w:lang w:eastAsia="en-US"/>
        </w:rPr>
        <w:t>包含基础信息</w:t>
      </w:r>
      <w:r>
        <w:rPr>
          <w:rFonts w:hint="default" w:ascii="Times New Roman" w:hAnsi="Times New Roman" w:eastAsia="宋体" w:cs="Times New Roman"/>
          <w:snapToGrid w:val="0"/>
          <w:color w:val="auto"/>
          <w:kern w:val="0"/>
          <w:szCs w:val="21"/>
          <w:lang w:val="en-US" w:eastAsia="zh-CN"/>
        </w:rPr>
        <w:t>功能</w:t>
      </w:r>
      <w:r>
        <w:rPr>
          <w:rFonts w:hint="default" w:ascii="Times New Roman" w:hAnsi="Times New Roman" w:eastAsia="宋体" w:cs="Times New Roman"/>
          <w:snapToGrid w:val="0"/>
          <w:color w:val="auto"/>
          <w:kern w:val="0"/>
          <w:szCs w:val="21"/>
          <w:lang w:eastAsia="en-US"/>
        </w:rPr>
        <w:t>、运行监控</w:t>
      </w:r>
      <w:r>
        <w:rPr>
          <w:rFonts w:hint="default" w:ascii="Times New Roman" w:hAnsi="Times New Roman" w:eastAsia="宋体" w:cs="Times New Roman"/>
          <w:snapToGrid w:val="0"/>
          <w:color w:val="auto"/>
          <w:kern w:val="0"/>
          <w:szCs w:val="21"/>
          <w:lang w:val="en-US" w:eastAsia="zh-CN"/>
        </w:rPr>
        <w:t>功能</w:t>
      </w:r>
      <w:r>
        <w:rPr>
          <w:rFonts w:hint="default" w:ascii="Times New Roman" w:hAnsi="Times New Roman" w:eastAsia="宋体" w:cs="Times New Roman"/>
          <w:snapToGrid w:val="0"/>
          <w:color w:val="auto"/>
          <w:kern w:val="0"/>
          <w:szCs w:val="21"/>
          <w:lang w:eastAsia="en-US"/>
        </w:rPr>
        <w:t>、告警管理</w:t>
      </w:r>
      <w:r>
        <w:rPr>
          <w:rFonts w:hint="default" w:ascii="Times New Roman" w:hAnsi="Times New Roman" w:eastAsia="宋体" w:cs="Times New Roman"/>
          <w:snapToGrid w:val="0"/>
          <w:color w:val="auto"/>
          <w:kern w:val="0"/>
          <w:szCs w:val="21"/>
          <w:lang w:val="en-US" w:eastAsia="zh-CN"/>
        </w:rPr>
        <w:t>功能</w:t>
      </w:r>
      <w:r>
        <w:rPr>
          <w:rFonts w:hint="default" w:ascii="Times New Roman" w:hAnsi="Times New Roman" w:eastAsia="宋体" w:cs="Times New Roman"/>
          <w:snapToGrid w:val="0"/>
          <w:color w:val="auto"/>
          <w:kern w:val="0"/>
          <w:szCs w:val="21"/>
          <w:lang w:eastAsia="en-US"/>
        </w:rPr>
        <w:t>、</w:t>
      </w:r>
      <w:r>
        <w:rPr>
          <w:rFonts w:hint="default" w:ascii="Times New Roman" w:hAnsi="Times New Roman" w:eastAsia="宋体" w:cs="Times New Roman"/>
          <w:snapToGrid w:val="0"/>
          <w:color w:val="auto"/>
          <w:kern w:val="0"/>
          <w:szCs w:val="21"/>
          <w:lang w:val="en-US" w:eastAsia="zh-CN"/>
        </w:rPr>
        <w:t>事件管理功能、</w:t>
      </w:r>
      <w:r>
        <w:rPr>
          <w:rFonts w:hint="default" w:ascii="Times New Roman" w:hAnsi="Times New Roman" w:eastAsia="宋体" w:cs="Times New Roman"/>
          <w:snapToGrid w:val="0"/>
          <w:color w:val="auto"/>
          <w:kern w:val="0"/>
          <w:szCs w:val="21"/>
          <w:lang w:eastAsia="en-US"/>
        </w:rPr>
        <w:t>运维管理</w:t>
      </w:r>
      <w:r>
        <w:rPr>
          <w:rFonts w:hint="default" w:ascii="Times New Roman" w:hAnsi="Times New Roman" w:eastAsia="宋体" w:cs="Times New Roman"/>
          <w:snapToGrid w:val="0"/>
          <w:color w:val="auto"/>
          <w:kern w:val="0"/>
          <w:szCs w:val="21"/>
          <w:lang w:val="en-US" w:eastAsia="zh-CN"/>
        </w:rPr>
        <w:t>功能</w:t>
      </w:r>
      <w:r>
        <w:rPr>
          <w:rFonts w:hint="default" w:ascii="Times New Roman" w:hAnsi="Times New Roman" w:eastAsia="宋体" w:cs="Times New Roman"/>
          <w:snapToGrid w:val="0"/>
          <w:color w:val="auto"/>
          <w:kern w:val="0"/>
          <w:szCs w:val="21"/>
          <w:lang w:eastAsia="en-US"/>
        </w:rPr>
        <w:t>、</w:t>
      </w:r>
      <w:r>
        <w:rPr>
          <w:rFonts w:hint="default" w:ascii="Times New Roman" w:hAnsi="Times New Roman" w:eastAsia="宋体" w:cs="Times New Roman"/>
          <w:snapToGrid w:val="0"/>
          <w:color w:val="auto"/>
          <w:kern w:val="0"/>
          <w:szCs w:val="21"/>
          <w:lang w:val="en-US" w:eastAsia="zh-CN"/>
        </w:rPr>
        <w:t>专题分析功能</w:t>
      </w:r>
      <w:r>
        <w:rPr>
          <w:rFonts w:hint="default" w:ascii="Times New Roman" w:hAnsi="Times New Roman" w:eastAsia="宋体" w:cs="Times New Roman"/>
          <w:snapToGrid w:val="0"/>
          <w:color w:val="auto"/>
          <w:kern w:val="0"/>
          <w:szCs w:val="21"/>
          <w:lang w:eastAsia="en-US"/>
        </w:rPr>
        <w:t>和移动端软件，帮助</w:t>
      </w:r>
      <w:r>
        <w:rPr>
          <w:rFonts w:hint="default" w:ascii="Times New Roman" w:hAnsi="Times New Roman" w:eastAsia="宋体" w:cs="Times New Roman"/>
          <w:snapToGrid w:val="0"/>
          <w:color w:val="auto"/>
          <w:kern w:val="0"/>
          <w:szCs w:val="21"/>
          <w:lang w:val="en-US" w:eastAsia="zh-CN"/>
        </w:rPr>
        <w:t>排污口</w:t>
      </w:r>
      <w:r>
        <w:rPr>
          <w:rFonts w:hint="default" w:ascii="Times New Roman" w:hAnsi="Times New Roman" w:eastAsia="宋体" w:cs="Times New Roman"/>
          <w:snapToGrid w:val="0"/>
          <w:color w:val="auto"/>
          <w:kern w:val="0"/>
          <w:szCs w:val="21"/>
          <w:lang w:eastAsia="en-US"/>
        </w:rPr>
        <w:t>管理者构建规划、运营、优化的闭环管理体系。</w:t>
      </w:r>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268"/>
        <w:gridCol w:w="2020"/>
        <w:gridCol w:w="5231"/>
      </w:tblGrid>
      <w:tr w14:paraId="3CF6C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44" w:type="pct"/>
            <w:shd w:val="clear" w:color="auto" w:fill="auto"/>
            <w:noWrap/>
            <w:vAlign w:val="center"/>
          </w:tcPr>
          <w:p w14:paraId="41099D7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1"/>
                <w:szCs w:val="21"/>
                <w:u w:val="none"/>
                <w:lang w:eastAsia="en-US"/>
              </w:rPr>
            </w:pPr>
            <w:r>
              <w:rPr>
                <w:rFonts w:hint="default" w:ascii="Times New Roman" w:hAnsi="Times New Roman" w:eastAsia="宋体" w:cs="Times New Roman"/>
                <w:b/>
                <w:bCs/>
                <w:i w:val="0"/>
                <w:iCs w:val="0"/>
                <w:snapToGrid w:val="0"/>
                <w:color w:val="auto"/>
                <w:kern w:val="0"/>
                <w:sz w:val="21"/>
                <w:szCs w:val="21"/>
                <w:u w:val="none"/>
                <w:lang w:val="en-US" w:eastAsia="zh-CN" w:bidi="ar"/>
              </w:rPr>
              <w:t>序号</w:t>
            </w:r>
          </w:p>
        </w:tc>
        <w:tc>
          <w:tcPr>
            <w:tcW w:w="1185" w:type="pct"/>
            <w:shd w:val="clear" w:color="auto" w:fill="auto"/>
            <w:noWrap/>
            <w:vAlign w:val="center"/>
          </w:tcPr>
          <w:p w14:paraId="4D8F74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1"/>
                <w:szCs w:val="21"/>
                <w:u w:val="none"/>
                <w:lang w:eastAsia="en-US"/>
              </w:rPr>
            </w:pPr>
            <w:r>
              <w:rPr>
                <w:rFonts w:hint="default" w:ascii="Times New Roman" w:hAnsi="Times New Roman" w:eastAsia="宋体" w:cs="Times New Roman"/>
                <w:b/>
                <w:bCs/>
                <w:i w:val="0"/>
                <w:iCs w:val="0"/>
                <w:snapToGrid w:val="0"/>
                <w:color w:val="auto"/>
                <w:kern w:val="0"/>
                <w:sz w:val="21"/>
                <w:szCs w:val="21"/>
                <w:u w:val="none"/>
                <w:lang w:val="en-US" w:eastAsia="zh-CN" w:bidi="ar"/>
              </w:rPr>
              <w:t>大类</w:t>
            </w:r>
          </w:p>
        </w:tc>
        <w:tc>
          <w:tcPr>
            <w:tcW w:w="3070" w:type="pct"/>
            <w:shd w:val="clear" w:color="auto" w:fill="auto"/>
            <w:noWrap/>
            <w:vAlign w:val="center"/>
          </w:tcPr>
          <w:p w14:paraId="13E5509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b/>
                <w:bCs/>
                <w:i w:val="0"/>
                <w:iCs w:val="0"/>
                <w:snapToGrid w:val="0"/>
                <w:color w:val="auto"/>
                <w:kern w:val="0"/>
                <w:sz w:val="21"/>
                <w:szCs w:val="21"/>
                <w:u w:val="none"/>
                <w:lang w:eastAsia="en-US"/>
              </w:rPr>
            </w:pPr>
            <w:r>
              <w:rPr>
                <w:rFonts w:hint="default" w:ascii="Times New Roman" w:hAnsi="Times New Roman" w:eastAsia="宋体" w:cs="Times New Roman"/>
                <w:b/>
                <w:bCs/>
                <w:i w:val="0"/>
                <w:iCs w:val="0"/>
                <w:snapToGrid w:val="0"/>
                <w:color w:val="auto"/>
                <w:kern w:val="0"/>
                <w:sz w:val="21"/>
                <w:szCs w:val="21"/>
                <w:u w:val="none"/>
                <w:lang w:val="en-US" w:eastAsia="zh-CN" w:bidi="ar"/>
              </w:rPr>
              <w:t>功能模块</w:t>
            </w:r>
          </w:p>
        </w:tc>
      </w:tr>
      <w:tr w14:paraId="79E1C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4CF0DE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w:t>
            </w:r>
          </w:p>
        </w:tc>
        <w:tc>
          <w:tcPr>
            <w:tcW w:w="1185" w:type="pct"/>
            <w:vMerge w:val="restart"/>
            <w:shd w:val="clear" w:color="auto" w:fill="auto"/>
            <w:noWrap/>
            <w:vAlign w:val="center"/>
          </w:tcPr>
          <w:p w14:paraId="41E03A9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大数据展示</w:t>
            </w:r>
          </w:p>
        </w:tc>
        <w:tc>
          <w:tcPr>
            <w:tcW w:w="3070" w:type="pct"/>
            <w:shd w:val="clear" w:color="auto" w:fill="auto"/>
            <w:noWrap/>
            <w:vAlign w:val="center"/>
          </w:tcPr>
          <w:p w14:paraId="35ECA66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数据驾驶舱</w:t>
            </w:r>
          </w:p>
        </w:tc>
      </w:tr>
      <w:tr w14:paraId="30F43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31BF1BB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w:t>
            </w:r>
          </w:p>
        </w:tc>
        <w:tc>
          <w:tcPr>
            <w:tcW w:w="1185" w:type="pct"/>
            <w:vMerge w:val="continue"/>
            <w:shd w:val="clear" w:color="auto" w:fill="auto"/>
            <w:noWrap/>
            <w:vAlign w:val="center"/>
          </w:tcPr>
          <w:p w14:paraId="0154756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7290762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运维GIS专题分析功能</w:t>
            </w:r>
          </w:p>
        </w:tc>
      </w:tr>
      <w:tr w14:paraId="5B766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5291825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w:t>
            </w:r>
          </w:p>
        </w:tc>
        <w:tc>
          <w:tcPr>
            <w:tcW w:w="1185" w:type="pct"/>
            <w:vMerge w:val="continue"/>
            <w:shd w:val="clear" w:color="auto" w:fill="auto"/>
            <w:noWrap/>
            <w:vAlign w:val="center"/>
          </w:tcPr>
          <w:p w14:paraId="6A3E7CF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3FB9DD4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治理成效专题分析功能</w:t>
            </w:r>
          </w:p>
        </w:tc>
      </w:tr>
      <w:tr w14:paraId="4A1F0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5D31EB6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4</w:t>
            </w:r>
          </w:p>
        </w:tc>
        <w:tc>
          <w:tcPr>
            <w:tcW w:w="1185" w:type="pct"/>
            <w:vMerge w:val="continue"/>
            <w:shd w:val="clear" w:color="auto" w:fill="auto"/>
            <w:noWrap/>
            <w:vAlign w:val="center"/>
          </w:tcPr>
          <w:p w14:paraId="25EDEF3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23CE7D7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排口管网专题分析功能</w:t>
            </w:r>
          </w:p>
        </w:tc>
      </w:tr>
      <w:tr w14:paraId="2420B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6627CFC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5</w:t>
            </w:r>
          </w:p>
        </w:tc>
        <w:tc>
          <w:tcPr>
            <w:tcW w:w="1185" w:type="pct"/>
            <w:vMerge w:val="restart"/>
            <w:shd w:val="clear" w:color="auto" w:fill="auto"/>
            <w:noWrap/>
            <w:vAlign w:val="center"/>
          </w:tcPr>
          <w:p w14:paraId="7871EB0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精准溯源系统</w:t>
            </w:r>
          </w:p>
        </w:tc>
        <w:tc>
          <w:tcPr>
            <w:tcW w:w="3070" w:type="pct"/>
            <w:shd w:val="clear" w:color="auto" w:fill="auto"/>
            <w:noWrap/>
            <w:vAlign w:val="center"/>
          </w:tcPr>
          <w:p w14:paraId="5F6EC63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溯源分析功能</w:t>
            </w:r>
          </w:p>
        </w:tc>
      </w:tr>
      <w:tr w14:paraId="4B2F5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63E7D98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6</w:t>
            </w:r>
          </w:p>
        </w:tc>
        <w:tc>
          <w:tcPr>
            <w:tcW w:w="1185" w:type="pct"/>
            <w:vMerge w:val="continue"/>
            <w:shd w:val="clear" w:color="auto" w:fill="auto"/>
            <w:noWrap/>
            <w:vAlign w:val="center"/>
          </w:tcPr>
          <w:p w14:paraId="3EA1167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5512BCB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AI智能分析功能</w:t>
            </w:r>
          </w:p>
        </w:tc>
      </w:tr>
      <w:tr w14:paraId="05863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374E04C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7</w:t>
            </w:r>
          </w:p>
        </w:tc>
        <w:tc>
          <w:tcPr>
            <w:tcW w:w="1185" w:type="pct"/>
            <w:vMerge w:val="restart"/>
            <w:shd w:val="clear" w:color="auto" w:fill="auto"/>
            <w:vAlign w:val="center"/>
          </w:tcPr>
          <w:p w14:paraId="5782D21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基础信息管理功能</w:t>
            </w:r>
          </w:p>
        </w:tc>
        <w:tc>
          <w:tcPr>
            <w:tcW w:w="3070" w:type="pct"/>
            <w:shd w:val="clear" w:color="auto" w:fill="auto"/>
            <w:noWrap/>
            <w:vAlign w:val="center"/>
          </w:tcPr>
          <w:p w14:paraId="2EEAEA4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基础信息维护</w:t>
            </w:r>
          </w:p>
        </w:tc>
      </w:tr>
      <w:tr w14:paraId="0FF84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D33F7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8</w:t>
            </w:r>
          </w:p>
        </w:tc>
        <w:tc>
          <w:tcPr>
            <w:tcW w:w="1185" w:type="pct"/>
            <w:vMerge w:val="continue"/>
            <w:shd w:val="clear" w:color="auto" w:fill="auto"/>
            <w:vAlign w:val="center"/>
          </w:tcPr>
          <w:p w14:paraId="574D1A90">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1AA4F5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排口分类管理</w:t>
            </w:r>
          </w:p>
        </w:tc>
      </w:tr>
      <w:tr w14:paraId="400C1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5B96AE8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9</w:t>
            </w:r>
          </w:p>
        </w:tc>
        <w:tc>
          <w:tcPr>
            <w:tcW w:w="1185" w:type="pct"/>
            <w:vMerge w:val="continue"/>
            <w:shd w:val="clear" w:color="auto" w:fill="auto"/>
            <w:vAlign w:val="center"/>
          </w:tcPr>
          <w:p w14:paraId="7768029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70F5005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排口档案管理</w:t>
            </w:r>
          </w:p>
        </w:tc>
      </w:tr>
      <w:tr w14:paraId="0D5FE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D31484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10</w:t>
            </w:r>
          </w:p>
        </w:tc>
        <w:tc>
          <w:tcPr>
            <w:tcW w:w="1185" w:type="pct"/>
            <w:vMerge w:val="continue"/>
            <w:shd w:val="clear" w:color="auto" w:fill="auto"/>
            <w:vAlign w:val="center"/>
          </w:tcPr>
          <w:p w14:paraId="5A90ABF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499D125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区域信息管理</w:t>
            </w:r>
          </w:p>
        </w:tc>
      </w:tr>
      <w:tr w14:paraId="7E6AE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0B1E92C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11</w:t>
            </w:r>
          </w:p>
        </w:tc>
        <w:tc>
          <w:tcPr>
            <w:tcW w:w="1185" w:type="pct"/>
            <w:vMerge w:val="continue"/>
            <w:shd w:val="clear" w:color="auto" w:fill="auto"/>
            <w:vAlign w:val="center"/>
          </w:tcPr>
          <w:p w14:paraId="15B93EB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7C495B5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运维机构信息管理</w:t>
            </w:r>
          </w:p>
        </w:tc>
      </w:tr>
      <w:tr w14:paraId="45A05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6D644A0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12</w:t>
            </w:r>
          </w:p>
        </w:tc>
        <w:tc>
          <w:tcPr>
            <w:tcW w:w="1185" w:type="pct"/>
            <w:vMerge w:val="continue"/>
            <w:shd w:val="clear" w:color="auto" w:fill="auto"/>
            <w:vAlign w:val="center"/>
          </w:tcPr>
          <w:p w14:paraId="2D41988D">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40055C3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资产设备管理</w:t>
            </w:r>
          </w:p>
        </w:tc>
      </w:tr>
      <w:tr w14:paraId="5F37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2851D6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13</w:t>
            </w:r>
          </w:p>
        </w:tc>
        <w:tc>
          <w:tcPr>
            <w:tcW w:w="1185" w:type="pct"/>
            <w:vMerge w:val="continue"/>
            <w:shd w:val="clear" w:color="auto" w:fill="auto"/>
            <w:vAlign w:val="center"/>
          </w:tcPr>
          <w:p w14:paraId="09D3225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4FD8741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供应商管理</w:t>
            </w:r>
          </w:p>
        </w:tc>
      </w:tr>
      <w:tr w14:paraId="06592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B11BC1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14</w:t>
            </w:r>
          </w:p>
        </w:tc>
        <w:tc>
          <w:tcPr>
            <w:tcW w:w="1185" w:type="pct"/>
            <w:vMerge w:val="restart"/>
            <w:shd w:val="clear" w:color="auto" w:fill="auto"/>
            <w:noWrap/>
            <w:vAlign w:val="center"/>
          </w:tcPr>
          <w:p w14:paraId="44E1C66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运行监控功能</w:t>
            </w:r>
          </w:p>
        </w:tc>
        <w:tc>
          <w:tcPr>
            <w:tcW w:w="3070" w:type="pct"/>
            <w:shd w:val="clear" w:color="auto" w:fill="auto"/>
            <w:noWrap/>
            <w:vAlign w:val="center"/>
          </w:tcPr>
          <w:p w14:paraId="3D11CD4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GIS一张图</w:t>
            </w:r>
          </w:p>
        </w:tc>
      </w:tr>
      <w:tr w14:paraId="3BCC1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0F37577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15</w:t>
            </w:r>
          </w:p>
        </w:tc>
        <w:tc>
          <w:tcPr>
            <w:tcW w:w="1185" w:type="pct"/>
            <w:vMerge w:val="continue"/>
            <w:shd w:val="clear" w:color="auto" w:fill="auto"/>
            <w:noWrap/>
            <w:vAlign w:val="center"/>
          </w:tcPr>
          <w:p w14:paraId="3B2450B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47782A1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排口管网GIS一张图</w:t>
            </w:r>
          </w:p>
        </w:tc>
      </w:tr>
      <w:tr w14:paraId="15C4D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446710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16</w:t>
            </w:r>
          </w:p>
        </w:tc>
        <w:tc>
          <w:tcPr>
            <w:tcW w:w="1185" w:type="pct"/>
            <w:vMerge w:val="continue"/>
            <w:shd w:val="clear" w:color="auto" w:fill="auto"/>
            <w:noWrap/>
            <w:vAlign w:val="center"/>
          </w:tcPr>
          <w:p w14:paraId="6EB32EE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5D9F86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多排口实时数据</w:t>
            </w:r>
          </w:p>
        </w:tc>
      </w:tr>
      <w:tr w14:paraId="6556C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07CD98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17</w:t>
            </w:r>
          </w:p>
        </w:tc>
        <w:tc>
          <w:tcPr>
            <w:tcW w:w="1185" w:type="pct"/>
            <w:vMerge w:val="continue"/>
            <w:shd w:val="clear" w:color="auto" w:fill="auto"/>
            <w:noWrap/>
            <w:vAlign w:val="center"/>
          </w:tcPr>
          <w:p w14:paraId="0F8B5F1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2EA1706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单排口透视功能</w:t>
            </w:r>
          </w:p>
        </w:tc>
      </w:tr>
      <w:tr w14:paraId="35558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0246C0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18</w:t>
            </w:r>
          </w:p>
        </w:tc>
        <w:tc>
          <w:tcPr>
            <w:tcW w:w="1185" w:type="pct"/>
            <w:vMerge w:val="continue"/>
            <w:shd w:val="clear" w:color="auto" w:fill="auto"/>
            <w:noWrap/>
            <w:vAlign w:val="center"/>
          </w:tcPr>
          <w:p w14:paraId="7292F7D5">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3A08C60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趋势分析功能</w:t>
            </w:r>
          </w:p>
        </w:tc>
      </w:tr>
      <w:tr w14:paraId="753FE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3946EE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19</w:t>
            </w:r>
          </w:p>
        </w:tc>
        <w:tc>
          <w:tcPr>
            <w:tcW w:w="1185" w:type="pct"/>
            <w:vMerge w:val="continue"/>
            <w:shd w:val="clear" w:color="auto" w:fill="auto"/>
            <w:noWrap/>
            <w:vAlign w:val="center"/>
          </w:tcPr>
          <w:p w14:paraId="54D6876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112C1B0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视频图像</w:t>
            </w:r>
          </w:p>
        </w:tc>
      </w:tr>
      <w:tr w14:paraId="39248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5025D25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20</w:t>
            </w:r>
          </w:p>
        </w:tc>
        <w:tc>
          <w:tcPr>
            <w:tcW w:w="1185" w:type="pct"/>
            <w:vMerge w:val="restart"/>
            <w:shd w:val="clear" w:color="auto" w:fill="auto"/>
            <w:noWrap/>
            <w:vAlign w:val="center"/>
          </w:tcPr>
          <w:p w14:paraId="106CD6E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告警管理功能</w:t>
            </w:r>
          </w:p>
        </w:tc>
        <w:tc>
          <w:tcPr>
            <w:tcW w:w="3070" w:type="pct"/>
            <w:shd w:val="clear" w:color="auto" w:fill="auto"/>
            <w:noWrap/>
            <w:vAlign w:val="center"/>
          </w:tcPr>
          <w:p w14:paraId="58AD605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规则管理</w:t>
            </w:r>
          </w:p>
        </w:tc>
      </w:tr>
      <w:tr w14:paraId="55C17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4B435D0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21</w:t>
            </w:r>
          </w:p>
        </w:tc>
        <w:tc>
          <w:tcPr>
            <w:tcW w:w="1185" w:type="pct"/>
            <w:vMerge w:val="continue"/>
            <w:shd w:val="clear" w:color="auto" w:fill="auto"/>
            <w:noWrap/>
            <w:vAlign w:val="center"/>
          </w:tcPr>
          <w:p w14:paraId="49AF49C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1B1421C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告警管理</w:t>
            </w:r>
          </w:p>
        </w:tc>
      </w:tr>
      <w:tr w14:paraId="6391C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3D2DFF5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22</w:t>
            </w:r>
          </w:p>
        </w:tc>
        <w:tc>
          <w:tcPr>
            <w:tcW w:w="1185" w:type="pct"/>
            <w:vMerge w:val="continue"/>
            <w:shd w:val="clear" w:color="auto" w:fill="auto"/>
            <w:noWrap/>
            <w:vAlign w:val="center"/>
          </w:tcPr>
          <w:p w14:paraId="4E805759">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7465F0A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告警分析</w:t>
            </w:r>
          </w:p>
        </w:tc>
      </w:tr>
      <w:tr w14:paraId="6A5F9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5954EB9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23</w:t>
            </w:r>
          </w:p>
        </w:tc>
        <w:tc>
          <w:tcPr>
            <w:tcW w:w="1185" w:type="pct"/>
            <w:vMerge w:val="restart"/>
            <w:shd w:val="clear" w:color="auto" w:fill="auto"/>
            <w:noWrap/>
            <w:vAlign w:val="center"/>
          </w:tcPr>
          <w:p w14:paraId="5196B2F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运维管理功能</w:t>
            </w:r>
          </w:p>
        </w:tc>
        <w:tc>
          <w:tcPr>
            <w:tcW w:w="3070" w:type="pct"/>
            <w:shd w:val="clear" w:color="auto" w:fill="auto"/>
            <w:noWrap/>
            <w:vAlign w:val="center"/>
          </w:tcPr>
          <w:p w14:paraId="413326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工作圈</w:t>
            </w:r>
          </w:p>
        </w:tc>
      </w:tr>
      <w:tr w14:paraId="02265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0E89640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24</w:t>
            </w:r>
          </w:p>
        </w:tc>
        <w:tc>
          <w:tcPr>
            <w:tcW w:w="1185" w:type="pct"/>
            <w:vMerge w:val="continue"/>
            <w:shd w:val="clear" w:color="auto" w:fill="auto"/>
            <w:noWrap/>
            <w:vAlign w:val="center"/>
          </w:tcPr>
          <w:p w14:paraId="710D9971">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0D8AEB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事件管理</w:t>
            </w:r>
          </w:p>
        </w:tc>
      </w:tr>
      <w:tr w14:paraId="4F3A4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6402D22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25</w:t>
            </w:r>
          </w:p>
        </w:tc>
        <w:tc>
          <w:tcPr>
            <w:tcW w:w="1185" w:type="pct"/>
            <w:vMerge w:val="continue"/>
            <w:shd w:val="clear" w:color="auto" w:fill="auto"/>
            <w:noWrap/>
            <w:vAlign w:val="center"/>
          </w:tcPr>
          <w:p w14:paraId="5DF8546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6689E4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运维组织</w:t>
            </w:r>
          </w:p>
        </w:tc>
      </w:tr>
      <w:tr w14:paraId="16F1B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0D5DD4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26</w:t>
            </w:r>
          </w:p>
        </w:tc>
        <w:tc>
          <w:tcPr>
            <w:tcW w:w="1185" w:type="pct"/>
            <w:vMerge w:val="continue"/>
            <w:shd w:val="clear" w:color="auto" w:fill="auto"/>
            <w:noWrap/>
            <w:vAlign w:val="center"/>
          </w:tcPr>
          <w:p w14:paraId="2CBFC88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12D814A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工单管理</w:t>
            </w:r>
          </w:p>
        </w:tc>
      </w:tr>
      <w:tr w14:paraId="65F92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127BACD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27</w:t>
            </w:r>
          </w:p>
        </w:tc>
        <w:tc>
          <w:tcPr>
            <w:tcW w:w="1185" w:type="pct"/>
            <w:vMerge w:val="continue"/>
            <w:shd w:val="clear" w:color="auto" w:fill="auto"/>
            <w:noWrap/>
            <w:vAlign w:val="center"/>
          </w:tcPr>
          <w:p w14:paraId="6E3407C2">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5B4DD46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巡检养护</w:t>
            </w:r>
          </w:p>
        </w:tc>
      </w:tr>
      <w:tr w14:paraId="3A470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461DCB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28</w:t>
            </w:r>
          </w:p>
        </w:tc>
        <w:tc>
          <w:tcPr>
            <w:tcW w:w="1185" w:type="pct"/>
            <w:vMerge w:val="continue"/>
            <w:shd w:val="clear" w:color="auto" w:fill="auto"/>
            <w:noWrap/>
            <w:vAlign w:val="center"/>
          </w:tcPr>
          <w:p w14:paraId="78D35E2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25B2D77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采样管理</w:t>
            </w:r>
          </w:p>
        </w:tc>
      </w:tr>
      <w:tr w14:paraId="4DB9F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78BDD89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29</w:t>
            </w:r>
          </w:p>
        </w:tc>
        <w:tc>
          <w:tcPr>
            <w:tcW w:w="1185" w:type="pct"/>
            <w:vMerge w:val="continue"/>
            <w:shd w:val="clear" w:color="auto" w:fill="auto"/>
            <w:noWrap/>
            <w:vAlign w:val="center"/>
          </w:tcPr>
          <w:p w14:paraId="46A336D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76B2C8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人工填报</w:t>
            </w:r>
          </w:p>
        </w:tc>
      </w:tr>
      <w:tr w14:paraId="6239B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4BCB187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30</w:t>
            </w:r>
          </w:p>
        </w:tc>
        <w:tc>
          <w:tcPr>
            <w:tcW w:w="1185" w:type="pct"/>
            <w:vMerge w:val="continue"/>
            <w:shd w:val="clear" w:color="auto" w:fill="auto"/>
            <w:noWrap/>
            <w:vAlign w:val="center"/>
          </w:tcPr>
          <w:p w14:paraId="5B7D39BA">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271023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运维质量评价</w:t>
            </w:r>
          </w:p>
        </w:tc>
      </w:tr>
      <w:tr w14:paraId="18BD4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4E00D8B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31</w:t>
            </w:r>
          </w:p>
        </w:tc>
        <w:tc>
          <w:tcPr>
            <w:tcW w:w="1185" w:type="pct"/>
            <w:vMerge w:val="continue"/>
            <w:shd w:val="clear" w:color="auto" w:fill="auto"/>
            <w:noWrap/>
            <w:vAlign w:val="center"/>
          </w:tcPr>
          <w:p w14:paraId="0B6CD37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85DAC2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到岗管理</w:t>
            </w:r>
          </w:p>
        </w:tc>
      </w:tr>
      <w:tr w14:paraId="2642A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3D3F09A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32</w:t>
            </w:r>
          </w:p>
        </w:tc>
        <w:tc>
          <w:tcPr>
            <w:tcW w:w="1185" w:type="pct"/>
            <w:vMerge w:val="continue"/>
            <w:shd w:val="clear" w:color="auto" w:fill="auto"/>
            <w:noWrap/>
            <w:vAlign w:val="center"/>
          </w:tcPr>
          <w:p w14:paraId="46D7002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7A9F91F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知识管理</w:t>
            </w:r>
          </w:p>
        </w:tc>
      </w:tr>
      <w:tr w14:paraId="26714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3B5CF8C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33</w:t>
            </w:r>
          </w:p>
        </w:tc>
        <w:tc>
          <w:tcPr>
            <w:tcW w:w="1185" w:type="pct"/>
            <w:vMerge w:val="continue"/>
            <w:shd w:val="clear" w:color="auto" w:fill="auto"/>
            <w:noWrap/>
            <w:vAlign w:val="center"/>
          </w:tcPr>
          <w:p w14:paraId="132A0E38">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567F46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持续优化</w:t>
            </w:r>
          </w:p>
        </w:tc>
      </w:tr>
      <w:tr w14:paraId="1741C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60F2FF1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34</w:t>
            </w:r>
          </w:p>
        </w:tc>
        <w:tc>
          <w:tcPr>
            <w:tcW w:w="1185" w:type="pct"/>
            <w:vMerge w:val="restart"/>
            <w:shd w:val="clear" w:color="auto" w:fill="auto"/>
            <w:noWrap/>
            <w:vAlign w:val="center"/>
          </w:tcPr>
          <w:p w14:paraId="4F7BB8A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系统管理</w:t>
            </w:r>
          </w:p>
        </w:tc>
        <w:tc>
          <w:tcPr>
            <w:tcW w:w="3070" w:type="pct"/>
            <w:shd w:val="clear" w:color="auto" w:fill="auto"/>
            <w:noWrap/>
            <w:vAlign w:val="center"/>
          </w:tcPr>
          <w:p w14:paraId="31F1156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系统管理</w:t>
            </w:r>
          </w:p>
        </w:tc>
      </w:tr>
      <w:tr w14:paraId="2CF63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7D4A97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35</w:t>
            </w:r>
          </w:p>
        </w:tc>
        <w:tc>
          <w:tcPr>
            <w:tcW w:w="1185" w:type="pct"/>
            <w:vMerge w:val="continue"/>
            <w:shd w:val="clear" w:color="auto" w:fill="auto"/>
            <w:noWrap/>
            <w:vAlign w:val="center"/>
          </w:tcPr>
          <w:p w14:paraId="7B953E4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61CD869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消息中心</w:t>
            </w:r>
          </w:p>
        </w:tc>
      </w:tr>
      <w:tr w14:paraId="00C3F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15D01F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36</w:t>
            </w:r>
          </w:p>
        </w:tc>
        <w:tc>
          <w:tcPr>
            <w:tcW w:w="1185" w:type="pct"/>
            <w:vMerge w:val="restart"/>
            <w:shd w:val="clear" w:color="auto" w:fill="auto"/>
            <w:noWrap/>
            <w:vAlign w:val="center"/>
          </w:tcPr>
          <w:p w14:paraId="7BC364C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移动端</w:t>
            </w:r>
          </w:p>
        </w:tc>
        <w:tc>
          <w:tcPr>
            <w:tcW w:w="3070" w:type="pct"/>
            <w:shd w:val="clear" w:color="auto" w:fill="auto"/>
            <w:noWrap/>
            <w:vAlign w:val="center"/>
          </w:tcPr>
          <w:p w14:paraId="1A9EB75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实时监控</w:t>
            </w:r>
          </w:p>
        </w:tc>
      </w:tr>
      <w:tr w14:paraId="32A73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6458984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37</w:t>
            </w:r>
          </w:p>
        </w:tc>
        <w:tc>
          <w:tcPr>
            <w:tcW w:w="1185" w:type="pct"/>
            <w:vMerge w:val="continue"/>
            <w:shd w:val="clear" w:color="auto" w:fill="auto"/>
            <w:noWrap/>
            <w:vAlign w:val="center"/>
          </w:tcPr>
          <w:p w14:paraId="52F9EE86">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2EA38C0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站点运维</w:t>
            </w:r>
          </w:p>
        </w:tc>
      </w:tr>
      <w:tr w14:paraId="7FAE4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44" w:type="pct"/>
            <w:shd w:val="clear" w:color="auto" w:fill="auto"/>
            <w:noWrap/>
            <w:vAlign w:val="center"/>
          </w:tcPr>
          <w:p w14:paraId="276E989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38</w:t>
            </w:r>
          </w:p>
        </w:tc>
        <w:tc>
          <w:tcPr>
            <w:tcW w:w="1185" w:type="pct"/>
            <w:vMerge w:val="continue"/>
            <w:shd w:val="clear" w:color="auto" w:fill="auto"/>
            <w:noWrap/>
            <w:vAlign w:val="center"/>
          </w:tcPr>
          <w:p w14:paraId="552818BB">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center"/>
              <w:textAlignment w:val="baseline"/>
              <w:rPr>
                <w:rFonts w:hint="default" w:ascii="Times New Roman" w:hAnsi="Times New Roman" w:eastAsia="宋体" w:cs="Times New Roman"/>
                <w:i w:val="0"/>
                <w:iCs w:val="0"/>
                <w:snapToGrid w:val="0"/>
                <w:color w:val="auto"/>
                <w:kern w:val="0"/>
                <w:sz w:val="21"/>
                <w:szCs w:val="21"/>
                <w:u w:val="none"/>
                <w:lang w:eastAsia="en-US"/>
              </w:rPr>
            </w:pPr>
          </w:p>
        </w:tc>
        <w:tc>
          <w:tcPr>
            <w:tcW w:w="3070" w:type="pct"/>
            <w:shd w:val="clear" w:color="auto" w:fill="auto"/>
            <w:noWrap/>
            <w:vAlign w:val="center"/>
          </w:tcPr>
          <w:p w14:paraId="7A596E7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firstLine="0" w:firstLineChars="0"/>
              <w:jc w:val="center"/>
              <w:textAlignment w:val="center"/>
              <w:rPr>
                <w:rFonts w:hint="default" w:ascii="Times New Roman" w:hAnsi="Times New Roman" w:eastAsia="宋体" w:cs="Times New Roman"/>
                <w:i w:val="0"/>
                <w:iCs w:val="0"/>
                <w:snapToGrid w:val="0"/>
                <w:color w:val="auto"/>
                <w:kern w:val="0"/>
                <w:sz w:val="21"/>
                <w:szCs w:val="21"/>
                <w:u w:val="none"/>
                <w:lang w:eastAsia="en-US"/>
              </w:rPr>
            </w:pPr>
            <w:r>
              <w:rPr>
                <w:rFonts w:hint="default" w:ascii="Times New Roman" w:hAnsi="Times New Roman" w:eastAsia="宋体" w:cs="Times New Roman"/>
                <w:i w:val="0"/>
                <w:iCs w:val="0"/>
                <w:snapToGrid w:val="0"/>
                <w:color w:val="auto"/>
                <w:kern w:val="0"/>
                <w:sz w:val="21"/>
                <w:szCs w:val="21"/>
                <w:u w:val="none"/>
                <w:lang w:val="en-US" w:eastAsia="zh-CN" w:bidi="ar"/>
              </w:rPr>
              <w:t>运维报表</w:t>
            </w:r>
          </w:p>
        </w:tc>
      </w:tr>
    </w:tbl>
    <w:p w14:paraId="3BC9266A">
      <w:pPr>
        <w:widowControl/>
        <w:kinsoku w:val="0"/>
        <w:autoSpaceDE w:val="0"/>
        <w:autoSpaceDN w:val="0"/>
        <w:bidi w:val="0"/>
        <w:adjustRightInd w:val="0"/>
        <w:snapToGrid w:val="0"/>
        <w:jc w:val="left"/>
        <w:textAlignment w:val="baseline"/>
        <w:rPr>
          <w:rFonts w:hint="default" w:ascii="Times New Roman" w:hAnsi="Times New Roman" w:eastAsia="宋体" w:cs="Times New Roman"/>
          <w:b/>
          <w:bCs/>
          <w:snapToGrid w:val="0"/>
          <w:color w:val="auto"/>
          <w:kern w:val="0"/>
          <w:szCs w:val="21"/>
          <w:lang w:val="en-US" w:eastAsia="zh-CN"/>
        </w:rPr>
      </w:pPr>
    </w:p>
    <w:p w14:paraId="0EF89B2C">
      <w:pPr>
        <w:widowControl/>
        <w:kinsoku w:val="0"/>
        <w:autoSpaceDE w:val="0"/>
        <w:autoSpaceDN w:val="0"/>
        <w:bidi w:val="0"/>
        <w:adjustRightInd w:val="0"/>
        <w:snapToGrid w:val="0"/>
        <w:jc w:val="left"/>
        <w:textAlignment w:val="baseline"/>
        <w:rPr>
          <w:rFonts w:hint="default" w:ascii="Times New Roman" w:hAnsi="Times New Roman" w:eastAsia="宋体" w:cs="Times New Roman"/>
          <w:b/>
          <w:bCs/>
          <w:snapToGrid w:val="0"/>
          <w:color w:val="auto"/>
          <w:kern w:val="0"/>
          <w:szCs w:val="21"/>
          <w:lang w:val="en-US" w:eastAsia="zh-CN"/>
        </w:rPr>
      </w:pPr>
      <w:r>
        <w:rPr>
          <w:rFonts w:hint="default" w:ascii="Times New Roman" w:hAnsi="Times New Roman" w:eastAsia="宋体" w:cs="Times New Roman"/>
          <w:b/>
          <w:bCs/>
          <w:snapToGrid w:val="0"/>
          <w:color w:val="auto"/>
          <w:kern w:val="0"/>
          <w:szCs w:val="21"/>
          <w:lang w:val="en-US" w:eastAsia="zh-CN"/>
        </w:rPr>
        <w:t>（二）</w:t>
      </w:r>
      <w:r>
        <w:rPr>
          <w:rFonts w:hint="default" w:ascii="Times New Roman" w:hAnsi="Times New Roman" w:eastAsia="宋体" w:cs="Times New Roman"/>
          <w:b/>
          <w:bCs/>
          <w:color w:val="auto"/>
          <w:lang w:val="en-US" w:eastAsia="zh-CN"/>
        </w:rPr>
        <w:t>入河排污口动态监管数据管理服务</w:t>
      </w:r>
    </w:p>
    <w:p w14:paraId="2B6906E6">
      <w:pPr>
        <w:widowControl/>
        <w:kinsoku w:val="0"/>
        <w:autoSpaceDE w:val="0"/>
        <w:autoSpaceDN w:val="0"/>
        <w:bidi w:val="0"/>
        <w:adjustRightInd w:val="0"/>
        <w:snapToGrid w:val="0"/>
        <w:jc w:val="left"/>
        <w:textAlignment w:val="baseline"/>
        <w:rPr>
          <w:rFonts w:hint="default" w:ascii="Times New Roman" w:hAnsi="Times New Roman" w:eastAsia="宋体" w:cs="Times New Roman"/>
          <w:b/>
          <w:bCs/>
          <w:snapToGrid w:val="0"/>
          <w:color w:val="auto"/>
          <w:kern w:val="0"/>
          <w:szCs w:val="21"/>
          <w:highlight w:val="none"/>
          <w:lang w:val="en-US" w:eastAsia="zh-CN"/>
        </w:rPr>
      </w:pPr>
    </w:p>
    <w:p w14:paraId="32D2596B">
      <w:pPr>
        <w:widowControl/>
        <w:kinsoku w:val="0"/>
        <w:autoSpaceDE w:val="0"/>
        <w:autoSpaceDN w:val="0"/>
        <w:bidi w:val="0"/>
        <w:adjustRightInd w:val="0"/>
        <w:snapToGrid w:val="0"/>
        <w:jc w:val="left"/>
        <w:textAlignment w:val="baseline"/>
        <w:rPr>
          <w:rFonts w:hint="eastAsia" w:ascii="Times New Roman" w:hAnsi="Times New Roman" w:cs="Times New Roman"/>
          <w:b/>
          <w:bCs/>
          <w:snapToGrid w:val="0"/>
          <w:color w:val="auto"/>
          <w:kern w:val="0"/>
          <w:szCs w:val="21"/>
          <w:highlight w:val="none"/>
          <w:lang w:val="en-US" w:eastAsia="zh-CN"/>
        </w:rPr>
      </w:pPr>
      <w:r>
        <w:rPr>
          <w:rFonts w:hint="default" w:ascii="Times New Roman" w:hAnsi="Times New Roman" w:eastAsia="宋体" w:cs="Times New Roman"/>
          <w:b/>
          <w:bCs/>
          <w:snapToGrid w:val="0"/>
          <w:color w:val="auto"/>
          <w:kern w:val="0"/>
          <w:szCs w:val="21"/>
          <w:highlight w:val="none"/>
          <w:lang w:val="en-US" w:eastAsia="zh-CN"/>
        </w:rPr>
        <w:t>（1）云资源服务设备清单</w:t>
      </w:r>
      <w:r>
        <w:rPr>
          <w:rFonts w:hint="eastAsia" w:ascii="Times New Roman" w:hAnsi="Times New Roman" w:cs="Times New Roman"/>
          <w:b/>
          <w:bCs/>
          <w:snapToGrid w:val="0"/>
          <w:color w:val="auto"/>
          <w:kern w:val="0"/>
          <w:szCs w:val="21"/>
          <w:highlight w:val="none"/>
          <w:lang w:val="en-US" w:eastAsia="zh-CN"/>
        </w:rPr>
        <w:t xml:space="preserve">  </w:t>
      </w:r>
    </w:p>
    <w:p w14:paraId="6E5E95E8">
      <w:pPr>
        <w:widowControl/>
        <w:kinsoku w:val="0"/>
        <w:autoSpaceDE w:val="0"/>
        <w:autoSpaceDN w:val="0"/>
        <w:bidi w:val="0"/>
        <w:adjustRightInd w:val="0"/>
        <w:snapToGrid w:val="0"/>
        <w:jc w:val="left"/>
        <w:textAlignment w:val="baseline"/>
        <w:rPr>
          <w:rFonts w:hint="default" w:ascii="Times New Roman" w:hAnsi="Times New Roman" w:cs="Times New Roman"/>
          <w:b/>
          <w:bCs/>
          <w:snapToGrid w:val="0"/>
          <w:color w:val="auto"/>
          <w:kern w:val="0"/>
          <w:szCs w:val="21"/>
          <w:highlight w:val="none"/>
          <w:lang w:val="en-US" w:eastAsia="zh-CN"/>
        </w:rPr>
      </w:pPr>
      <w:r>
        <w:rPr>
          <w:rFonts w:hint="eastAsia" w:ascii="Times New Roman" w:hAnsi="Times New Roman" w:cs="Times New Roman"/>
          <w:b/>
          <w:bCs/>
          <w:snapToGrid w:val="0"/>
          <w:color w:val="auto"/>
          <w:kern w:val="0"/>
          <w:szCs w:val="21"/>
          <w:highlight w:val="none"/>
          <w:lang w:val="en-US" w:eastAsia="zh-CN"/>
        </w:rPr>
        <w:t>详见采购清单序号3.5-3.13</w:t>
      </w:r>
    </w:p>
    <w:p w14:paraId="2B0194C6">
      <w:pPr>
        <w:widowControl/>
        <w:kinsoku w:val="0"/>
        <w:autoSpaceDE w:val="0"/>
        <w:autoSpaceDN w:val="0"/>
        <w:bidi w:val="0"/>
        <w:adjustRightInd w:val="0"/>
        <w:snapToGrid w:val="0"/>
        <w:ind w:firstLine="1205"/>
        <w:jc w:val="left"/>
        <w:textAlignment w:val="baseline"/>
        <w:rPr>
          <w:rFonts w:hint="default" w:ascii="Times New Roman" w:hAnsi="Times New Roman" w:eastAsia="宋体" w:cs="Times New Roman"/>
          <w:b/>
          <w:snapToGrid w:val="0"/>
          <w:color w:val="auto"/>
          <w:kern w:val="0"/>
          <w:sz w:val="28"/>
          <w:szCs w:val="21"/>
          <w:highlight w:val="none"/>
          <w:lang w:val="en-US" w:eastAsia="zh-CN" w:bidi="ar-SA"/>
        </w:rPr>
      </w:pPr>
    </w:p>
    <w:p w14:paraId="6830FFD3">
      <w:pPr>
        <w:widowControl/>
        <w:kinsoku w:val="0"/>
        <w:autoSpaceDE w:val="0"/>
        <w:autoSpaceDN w:val="0"/>
        <w:bidi w:val="0"/>
        <w:adjustRightInd w:val="0"/>
        <w:snapToGrid w:val="0"/>
        <w:jc w:val="left"/>
        <w:textAlignment w:val="baseline"/>
        <w:rPr>
          <w:rFonts w:hint="default" w:ascii="Times New Roman" w:hAnsi="Times New Roman" w:eastAsia="宋体" w:cs="Times New Roman"/>
          <w:b/>
          <w:snapToGrid w:val="0"/>
          <w:color w:val="auto"/>
          <w:kern w:val="0"/>
          <w:sz w:val="28"/>
          <w:szCs w:val="21"/>
          <w:highlight w:val="none"/>
          <w:lang w:val="en-US" w:eastAsia="en-US" w:bidi="ar-SA"/>
        </w:rPr>
      </w:pPr>
      <w:r>
        <w:rPr>
          <w:rFonts w:hint="default" w:ascii="Times New Roman" w:hAnsi="Times New Roman" w:eastAsia="宋体" w:cs="Times New Roman"/>
          <w:b/>
          <w:bCs/>
          <w:snapToGrid w:val="0"/>
          <w:color w:val="auto"/>
          <w:kern w:val="0"/>
          <w:szCs w:val="21"/>
          <w:highlight w:val="none"/>
          <w:lang w:val="en-US" w:eastAsia="zh-CN"/>
        </w:rPr>
        <w:t>（2）视频监控优化升级设备</w:t>
      </w:r>
    </w:p>
    <w:p w14:paraId="1A564506">
      <w:pPr>
        <w:widowControl/>
        <w:kinsoku w:val="0"/>
        <w:autoSpaceDE w:val="0"/>
        <w:autoSpaceDN w:val="0"/>
        <w:bidi w:val="0"/>
        <w:adjustRightInd w:val="0"/>
        <w:snapToGrid w:val="0"/>
        <w:jc w:val="left"/>
        <w:textAlignment w:val="baseline"/>
        <w:rPr>
          <w:rFonts w:hint="default" w:ascii="Times New Roman" w:hAnsi="Times New Roman" w:cs="Times New Roman"/>
          <w:b/>
          <w:bCs/>
          <w:snapToGrid w:val="0"/>
          <w:color w:val="auto"/>
          <w:kern w:val="0"/>
          <w:szCs w:val="21"/>
          <w:highlight w:val="none"/>
          <w:lang w:val="en-US" w:eastAsia="zh-CN"/>
        </w:rPr>
      </w:pPr>
      <w:bookmarkStart w:id="9" w:name="_Toc30175"/>
      <w:r>
        <w:rPr>
          <w:rFonts w:hint="eastAsia" w:ascii="Times New Roman" w:hAnsi="Times New Roman" w:cs="Times New Roman"/>
          <w:b/>
          <w:bCs/>
          <w:snapToGrid w:val="0"/>
          <w:color w:val="auto"/>
          <w:kern w:val="0"/>
          <w:szCs w:val="21"/>
          <w:highlight w:val="none"/>
          <w:lang w:val="en-US" w:eastAsia="zh-CN"/>
        </w:rPr>
        <w:t>详见采购清单序号3.14-3.21</w:t>
      </w:r>
    </w:p>
    <w:p w14:paraId="09C819EB">
      <w:pPr>
        <w:keepNext w:val="0"/>
        <w:keepLines w:val="0"/>
        <w:widowControl/>
        <w:suppressLineNumbers w:val="0"/>
        <w:jc w:val="left"/>
        <w:rPr>
          <w:rFonts w:hint="default" w:ascii="Times New Roman" w:hAnsi="Times New Roman" w:eastAsia="宋体" w:cs="Times New Roman"/>
          <w:color w:val="auto"/>
        </w:rPr>
      </w:pPr>
    </w:p>
    <w:p w14:paraId="052B5470">
      <w:pPr>
        <w:widowControl/>
        <w:kinsoku w:val="0"/>
        <w:autoSpaceDE w:val="0"/>
        <w:autoSpaceDN w:val="0"/>
        <w:bidi w:val="0"/>
        <w:adjustRightInd w:val="0"/>
        <w:snapToGrid w:val="0"/>
        <w:ind w:firstLine="562" w:firstLineChars="200"/>
        <w:jc w:val="left"/>
        <w:textAlignment w:val="baseline"/>
        <w:rPr>
          <w:rFonts w:hint="default" w:ascii="Times New Roman" w:hAnsi="Times New Roman" w:eastAsia="宋体" w:cs="Times New Roman"/>
          <w:b/>
          <w:bCs/>
          <w:snapToGrid w:val="0"/>
          <w:color w:val="auto"/>
          <w:kern w:val="0"/>
          <w:sz w:val="28"/>
          <w:szCs w:val="28"/>
          <w:lang w:val="en-US" w:eastAsia="zh-CN"/>
        </w:rPr>
      </w:pPr>
      <w:r>
        <w:rPr>
          <w:rFonts w:hint="eastAsia" w:ascii="Times New Roman" w:hAnsi="Times New Roman" w:eastAsia="宋体" w:cs="Times New Roman"/>
          <w:b/>
          <w:bCs/>
          <w:snapToGrid w:val="0"/>
          <w:color w:val="auto"/>
          <w:kern w:val="0"/>
          <w:sz w:val="28"/>
          <w:szCs w:val="28"/>
          <w:lang w:val="en-US" w:eastAsia="zh-CN"/>
        </w:rPr>
        <w:t>3、</w:t>
      </w:r>
      <w:r>
        <w:rPr>
          <w:rFonts w:hint="default" w:ascii="Times New Roman" w:hAnsi="Times New Roman" w:eastAsia="宋体" w:cs="Times New Roman"/>
          <w:b/>
          <w:bCs/>
          <w:snapToGrid w:val="0"/>
          <w:color w:val="auto"/>
          <w:kern w:val="0"/>
          <w:sz w:val="28"/>
          <w:szCs w:val="28"/>
          <w:lang w:val="en-US" w:eastAsia="zh-CN"/>
        </w:rPr>
        <w:t>质保服务</w:t>
      </w:r>
    </w:p>
    <w:p w14:paraId="6E7B9004">
      <w:pPr>
        <w:widowControl/>
        <w:kinsoku w:val="0"/>
        <w:autoSpaceDE w:val="0"/>
        <w:autoSpaceDN w:val="0"/>
        <w:bidi w:val="0"/>
        <w:adjustRightInd w:val="0"/>
        <w:snapToGrid w:val="0"/>
        <w:ind w:firstLine="562" w:firstLineChars="200"/>
        <w:jc w:val="left"/>
        <w:textAlignment w:val="baseline"/>
        <w:rPr>
          <w:rFonts w:hint="default" w:ascii="Times New Roman" w:hAnsi="Times New Roman" w:eastAsia="宋体" w:cs="Times New Roman"/>
          <w:b/>
          <w:bCs/>
          <w:snapToGrid w:val="0"/>
          <w:color w:val="auto"/>
          <w:kern w:val="0"/>
          <w:sz w:val="28"/>
          <w:szCs w:val="28"/>
          <w:lang w:val="en-US" w:eastAsia="zh-CN"/>
        </w:rPr>
      </w:pPr>
      <w:r>
        <w:rPr>
          <w:rFonts w:hint="eastAsia" w:ascii="Times New Roman" w:hAnsi="Times New Roman" w:eastAsia="宋体" w:cs="Times New Roman"/>
          <w:b/>
          <w:bCs/>
          <w:snapToGrid w:val="0"/>
          <w:color w:val="auto"/>
          <w:kern w:val="0"/>
          <w:sz w:val="28"/>
          <w:szCs w:val="28"/>
          <w:lang w:val="en-US" w:eastAsia="zh-CN"/>
        </w:rPr>
        <w:t>3.1</w:t>
      </w:r>
      <w:r>
        <w:rPr>
          <w:rFonts w:hint="default" w:ascii="Times New Roman" w:hAnsi="Times New Roman" w:eastAsia="宋体" w:cs="Times New Roman"/>
          <w:b/>
          <w:bCs/>
          <w:snapToGrid w:val="0"/>
          <w:color w:val="auto"/>
          <w:kern w:val="0"/>
          <w:sz w:val="28"/>
          <w:szCs w:val="28"/>
          <w:lang w:val="en-US" w:eastAsia="zh-CN"/>
        </w:rPr>
        <w:t>项目实施</w:t>
      </w:r>
      <w:bookmarkEnd w:id="9"/>
      <w:r>
        <w:rPr>
          <w:rFonts w:hint="default" w:ascii="Times New Roman" w:hAnsi="Times New Roman" w:eastAsia="宋体" w:cs="Times New Roman"/>
          <w:b/>
          <w:bCs/>
          <w:snapToGrid w:val="0"/>
          <w:color w:val="auto"/>
          <w:kern w:val="0"/>
          <w:sz w:val="28"/>
          <w:szCs w:val="28"/>
          <w:lang w:val="en-US" w:eastAsia="zh-CN"/>
        </w:rPr>
        <w:t>要求</w:t>
      </w:r>
    </w:p>
    <w:p w14:paraId="33CBE22F">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eastAsia="en-US"/>
        </w:rPr>
      </w:pPr>
      <w:r>
        <w:rPr>
          <w:rFonts w:hint="default" w:ascii="Times New Roman" w:hAnsi="Times New Roman" w:eastAsia="宋体" w:cs="Times New Roman"/>
          <w:color w:val="auto"/>
          <w:lang w:val="en-US" w:eastAsia="zh-CN"/>
        </w:rPr>
        <w:t>要求在180天内完成奉新入河排污口信息化建设的全流程落地，建成“监测精准、传输稳定、管理高效”的入河排污口监管体系。具体目标包括：</w:t>
      </w:r>
    </w:p>
    <w:p w14:paraId="005FFCB8">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eastAsia="en-US"/>
        </w:rPr>
      </w:pPr>
      <w:r>
        <w:rPr>
          <w:rFonts w:hint="default" w:ascii="Times New Roman" w:hAnsi="Times New Roman" w:eastAsia="宋体" w:cs="Times New Roman"/>
          <w:color w:val="auto"/>
          <w:lang w:eastAsia="en-US"/>
        </w:rPr>
        <w:t>完成</w:t>
      </w:r>
      <w:r>
        <w:rPr>
          <w:rFonts w:hint="default" w:ascii="Times New Roman" w:hAnsi="Times New Roman" w:eastAsia="宋体" w:cs="Times New Roman"/>
          <w:color w:val="auto"/>
          <w:lang w:val="en-US" w:eastAsia="zh-CN"/>
        </w:rPr>
        <w:t>83个标识牌、</w:t>
      </w:r>
      <w:r>
        <w:rPr>
          <w:rFonts w:hint="default" w:ascii="Times New Roman" w:hAnsi="Times New Roman" w:eastAsia="宋体" w:cs="Times New Roman"/>
          <w:color w:val="auto"/>
          <w:lang w:eastAsia="en-US"/>
        </w:rPr>
        <w:t>2</w:t>
      </w:r>
      <w:r>
        <w:rPr>
          <w:rFonts w:hint="default" w:ascii="Times New Roman" w:hAnsi="Times New Roman" w:eastAsia="宋体" w:cs="Times New Roman"/>
          <w:color w:val="auto"/>
          <w:lang w:val="en-US" w:eastAsia="zh-CN"/>
        </w:rPr>
        <w:t>5</w:t>
      </w:r>
      <w:r>
        <w:rPr>
          <w:rFonts w:hint="default" w:ascii="Times New Roman" w:hAnsi="Times New Roman" w:eastAsia="宋体" w:cs="Times New Roman"/>
          <w:color w:val="auto"/>
          <w:lang w:eastAsia="en-US"/>
        </w:rPr>
        <w:t>个监控点位、</w:t>
      </w:r>
      <w:r>
        <w:rPr>
          <w:rFonts w:hint="default" w:ascii="Times New Roman" w:hAnsi="Times New Roman" w:eastAsia="宋体" w:cs="Times New Roman"/>
          <w:color w:val="auto"/>
          <w:lang w:val="en-US" w:eastAsia="zh-CN"/>
        </w:rPr>
        <w:t>3</w:t>
      </w:r>
      <w:r>
        <w:rPr>
          <w:rFonts w:hint="default" w:ascii="Times New Roman" w:hAnsi="Times New Roman" w:eastAsia="宋体" w:cs="Times New Roman"/>
          <w:color w:val="auto"/>
          <w:lang w:eastAsia="en-US"/>
        </w:rPr>
        <w:t>个水质监测点位、</w:t>
      </w:r>
      <w:r>
        <w:rPr>
          <w:rFonts w:hint="default" w:ascii="Times New Roman" w:hAnsi="Times New Roman" w:eastAsia="宋体" w:cs="Times New Roman"/>
          <w:color w:val="auto"/>
          <w:lang w:val="en-US" w:eastAsia="zh-CN"/>
        </w:rPr>
        <w:t>5</w:t>
      </w:r>
      <w:r>
        <w:rPr>
          <w:rFonts w:hint="default" w:ascii="Times New Roman" w:hAnsi="Times New Roman" w:eastAsia="宋体" w:cs="Times New Roman"/>
          <w:color w:val="auto"/>
          <w:lang w:eastAsia="en-US"/>
        </w:rPr>
        <w:t>个水量监测点位</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6溯源监测点位、机房设备</w:t>
      </w:r>
      <w:r>
        <w:rPr>
          <w:rFonts w:hint="default" w:ascii="Times New Roman" w:hAnsi="Times New Roman" w:eastAsia="宋体" w:cs="Times New Roman"/>
          <w:color w:val="auto"/>
          <w:lang w:eastAsia="en-US"/>
        </w:rPr>
        <w:t>的设备部署，设备安装合格率100%；</w:t>
      </w:r>
    </w:p>
    <w:p w14:paraId="6978B936">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eastAsia="en-US"/>
        </w:rPr>
      </w:pPr>
      <w:r>
        <w:rPr>
          <w:rFonts w:hint="default" w:ascii="Times New Roman" w:hAnsi="Times New Roman" w:eastAsia="宋体" w:cs="Times New Roman"/>
          <w:color w:val="auto"/>
          <w:lang w:eastAsia="en-US"/>
        </w:rPr>
        <w:t>建立完善的</w:t>
      </w:r>
      <w:r>
        <w:rPr>
          <w:rFonts w:hint="default" w:ascii="Times New Roman" w:hAnsi="Times New Roman" w:eastAsia="宋体" w:cs="Times New Roman"/>
          <w:color w:val="auto"/>
          <w:lang w:val="en-US" w:eastAsia="zh-CN"/>
        </w:rPr>
        <w:t>质保服务</w:t>
      </w:r>
      <w:r>
        <w:rPr>
          <w:rFonts w:hint="default" w:ascii="Times New Roman" w:hAnsi="Times New Roman" w:eastAsia="宋体" w:cs="Times New Roman"/>
          <w:color w:val="auto"/>
          <w:lang w:eastAsia="en-US"/>
        </w:rPr>
        <w:t>体系，确保项目长期稳定运行。</w:t>
      </w:r>
    </w:p>
    <w:p w14:paraId="18B937DD">
      <w:pPr>
        <w:widowControl/>
        <w:kinsoku w:val="0"/>
        <w:autoSpaceDE w:val="0"/>
        <w:autoSpaceDN w:val="0"/>
        <w:bidi w:val="0"/>
        <w:adjustRightInd w:val="0"/>
        <w:snapToGrid w:val="0"/>
        <w:ind w:firstLine="562" w:firstLineChars="200"/>
        <w:jc w:val="left"/>
        <w:textAlignment w:val="baseline"/>
        <w:rPr>
          <w:rFonts w:hint="default" w:ascii="Times New Roman" w:hAnsi="Times New Roman" w:eastAsia="宋体" w:cs="Times New Roman"/>
          <w:b/>
          <w:bCs/>
          <w:snapToGrid w:val="0"/>
          <w:color w:val="auto"/>
          <w:kern w:val="0"/>
          <w:sz w:val="28"/>
          <w:szCs w:val="28"/>
          <w:lang w:val="en-US" w:eastAsia="zh-CN"/>
        </w:rPr>
      </w:pPr>
      <w:r>
        <w:rPr>
          <w:rFonts w:hint="eastAsia" w:ascii="Times New Roman" w:hAnsi="Times New Roman" w:eastAsia="宋体" w:cs="Times New Roman"/>
          <w:b/>
          <w:bCs/>
          <w:snapToGrid w:val="0"/>
          <w:color w:val="auto"/>
          <w:kern w:val="0"/>
          <w:sz w:val="28"/>
          <w:szCs w:val="28"/>
          <w:lang w:val="en-US" w:eastAsia="zh-CN"/>
        </w:rPr>
        <w:t>3.2</w:t>
      </w:r>
      <w:r>
        <w:rPr>
          <w:rFonts w:hint="default" w:ascii="Times New Roman" w:hAnsi="Times New Roman" w:eastAsia="宋体" w:cs="Times New Roman"/>
          <w:b/>
          <w:bCs/>
          <w:snapToGrid w:val="0"/>
          <w:color w:val="auto"/>
          <w:kern w:val="0"/>
          <w:sz w:val="28"/>
          <w:szCs w:val="28"/>
          <w:lang w:val="en-US" w:eastAsia="zh-CN"/>
        </w:rPr>
        <w:t>质保服务要求</w:t>
      </w:r>
    </w:p>
    <w:p w14:paraId="4D59A865">
      <w:pPr>
        <w:keepNext w:val="0"/>
        <w:keepLines w:val="0"/>
        <w:pageBreakBefore w:val="0"/>
        <w:shd w:val="clear"/>
        <w:wordWrap/>
        <w:overflowPunct/>
        <w:topLinePunct w:val="0"/>
        <w:bidi w:val="0"/>
        <w:ind w:firstLine="420" w:firstLineChars="200"/>
        <w:rPr>
          <w:rFonts w:hint="default" w:ascii="Times New Roman" w:hAnsi="Times New Roman" w:eastAsia="宋体" w:cs="Times New Roman"/>
          <w:color w:val="auto"/>
          <w:szCs w:val="24"/>
          <w:highlight w:val="none"/>
        </w:rPr>
      </w:pPr>
      <w:r>
        <w:rPr>
          <w:rFonts w:hint="default" w:ascii="Times New Roman" w:hAnsi="Times New Roman" w:eastAsia="宋体" w:cs="Times New Roman"/>
          <w:color w:val="auto"/>
        </w:rPr>
        <w:t>(</w:t>
      </w:r>
      <w:r>
        <w:rPr>
          <w:rFonts w:hint="eastAsia" w:ascii="Times New Roman" w:hAnsi="Times New Roman" w:eastAsia="宋体" w:cs="Times New Roman"/>
          <w:color w:val="auto"/>
          <w:lang w:val="en-US" w:eastAsia="zh-CN"/>
        </w:rPr>
        <w:t>1</w:t>
      </w:r>
      <w:r>
        <w:rPr>
          <w:rFonts w:hint="default" w:ascii="Times New Roman" w:hAnsi="Times New Roman" w:eastAsia="宋体" w:cs="Times New Roman"/>
          <w:color w:val="auto"/>
        </w:rPr>
        <w:t>)</w:t>
      </w:r>
      <w:r>
        <w:rPr>
          <w:rFonts w:hint="default" w:ascii="Times New Roman" w:hAnsi="Times New Roman" w:eastAsia="宋体" w:cs="Times New Roman"/>
          <w:color w:val="auto"/>
          <w:szCs w:val="24"/>
          <w:highlight w:val="none"/>
        </w:rPr>
        <w:t>项目</w:t>
      </w:r>
      <w:r>
        <w:rPr>
          <w:rFonts w:hint="default" w:ascii="Times New Roman" w:hAnsi="Times New Roman" w:eastAsia="宋体" w:cs="Times New Roman"/>
          <w:color w:val="auto"/>
          <w:szCs w:val="24"/>
          <w:highlight w:val="none"/>
          <w:lang w:val="en-US" w:eastAsia="zh-CN"/>
        </w:rPr>
        <w:t>质保服务周期：</w:t>
      </w:r>
      <w:r>
        <w:rPr>
          <w:rFonts w:hint="default" w:ascii="Times New Roman" w:hAnsi="Times New Roman" w:eastAsia="宋体" w:cs="Times New Roman"/>
          <w:color w:val="auto"/>
          <w:szCs w:val="24"/>
          <w:highlight w:val="none"/>
        </w:rPr>
        <w:t>三年。自项目验收合格之日起算。</w:t>
      </w:r>
    </w:p>
    <w:p w14:paraId="4179B51F">
      <w:pPr>
        <w:keepNext w:val="0"/>
        <w:keepLines w:val="0"/>
        <w:pageBreakBefore w:val="0"/>
        <w:widowControl w:val="0"/>
        <w:shd w:val="clear"/>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highlight w:val="none"/>
        </w:rPr>
      </w:pPr>
      <w:bookmarkStart w:id="10" w:name="_Toc211425105"/>
      <w:r>
        <w:rPr>
          <w:rFonts w:hint="default" w:ascii="Times New Roman" w:hAnsi="Times New Roman" w:eastAsia="宋体" w:cs="Times New Roman"/>
          <w:color w:val="auto"/>
        </w:rPr>
        <w:t>(</w:t>
      </w:r>
      <w:r>
        <w:rPr>
          <w:rFonts w:hint="eastAsia" w:ascii="Times New Roman" w:hAnsi="Times New Roman" w:eastAsia="宋体" w:cs="Times New Roman"/>
          <w:color w:val="auto"/>
          <w:lang w:val="en-US" w:eastAsia="zh-CN"/>
        </w:rPr>
        <w:t>2</w:t>
      </w:r>
      <w:r>
        <w:rPr>
          <w:rFonts w:hint="default" w:ascii="Times New Roman" w:hAnsi="Times New Roman" w:eastAsia="宋体" w:cs="Times New Roman"/>
          <w:color w:val="auto"/>
        </w:rPr>
        <w:t>)</w:t>
      </w:r>
      <w:r>
        <w:rPr>
          <w:rFonts w:hint="default" w:ascii="Times New Roman" w:hAnsi="Times New Roman" w:eastAsia="宋体" w:cs="Times New Roman"/>
          <w:color w:val="auto"/>
          <w:highlight w:val="none"/>
        </w:rPr>
        <w:t>项目质保</w:t>
      </w:r>
      <w:r>
        <w:rPr>
          <w:rFonts w:hint="eastAsia" w:ascii="Times New Roman" w:hAnsi="Times New Roman" w:eastAsia="宋体" w:cs="Times New Roman"/>
          <w:color w:val="auto"/>
          <w:highlight w:val="none"/>
          <w:lang w:val="en-US" w:eastAsia="zh-CN"/>
        </w:rPr>
        <w:t>维护</w:t>
      </w:r>
      <w:r>
        <w:rPr>
          <w:rFonts w:hint="default" w:ascii="Times New Roman" w:hAnsi="Times New Roman" w:eastAsia="宋体" w:cs="Times New Roman"/>
          <w:color w:val="auto"/>
          <w:highlight w:val="none"/>
        </w:rPr>
        <w:t>设备范围：项目所有设备。</w:t>
      </w:r>
    </w:p>
    <w:p w14:paraId="3340B85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(3)在维保期内由于中标人材料、线路等本身质量原因造成的任何损伤或损坏，中标人须免费负责修理或更换。</w:t>
      </w:r>
    </w:p>
    <w:p w14:paraId="7D8DA425">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(4)由于第三方原因造成中标人线路意外中断或其它事故，中标人须免费及时处理好，以维护业主的利益。</w:t>
      </w:r>
    </w:p>
    <w:p w14:paraId="6FADE548">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(5)提供及时优质的服务，保障网络的运行稳定，负责故障的全程处理。系统出现故障时必须在</w:t>
      </w:r>
      <w:r>
        <w:rPr>
          <w:rFonts w:hint="default" w:ascii="Times New Roman" w:hAnsi="Times New Roman" w:eastAsia="宋体" w:cs="Times New Roman"/>
          <w:color w:val="auto"/>
          <w:lang w:val="en-US" w:eastAsia="zh-CN"/>
        </w:rPr>
        <w:t>24</w:t>
      </w:r>
      <w:r>
        <w:rPr>
          <w:rFonts w:hint="default" w:ascii="Times New Roman" w:hAnsi="Times New Roman" w:eastAsia="宋体" w:cs="Times New Roman"/>
          <w:color w:val="auto"/>
        </w:rPr>
        <w:t>个小时内处理解决，不能当场修复的，必须采取提供备品、备件或备机等措施，以保证采购单位的正常使用。如果逾期未作出响应，供应商应承担由于故障所造成的全部损失。</w:t>
      </w:r>
    </w:p>
    <w:p w14:paraId="2794607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w:t>
      </w:r>
      <w:r>
        <w:rPr>
          <w:rFonts w:hint="default" w:ascii="Times New Roman" w:hAnsi="Times New Roman" w:eastAsia="宋体" w:cs="Times New Roman"/>
          <w:color w:val="auto"/>
          <w:lang w:val="en-US" w:eastAsia="zh-CN"/>
        </w:rPr>
        <w:t>6</w:t>
      </w:r>
      <w:r>
        <w:rPr>
          <w:rFonts w:hint="default" w:ascii="Times New Roman" w:hAnsi="Times New Roman" w:eastAsia="宋体" w:cs="Times New Roman"/>
          <w:color w:val="auto"/>
        </w:rPr>
        <w:t>)中标人须承诺对线路、设备实行定期进行保养（或维护、巡检）。日常运维工作包括但不限于以下内容：</w:t>
      </w:r>
    </w:p>
    <w:p w14:paraId="13A2AFC9">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1)清理所有设备上可能覆盖的附着物；</w:t>
      </w:r>
    </w:p>
    <w:p w14:paraId="1E6536BA">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2)检查所有设备外观是否完整或损坏；</w:t>
      </w:r>
    </w:p>
    <w:p w14:paraId="3589DD9A">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3)检查所有设备是否可以正常使用；</w:t>
      </w:r>
    </w:p>
    <w:p w14:paraId="1E0C77E8">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4)检查设备与主机连接插头是否脱落、松动，通信是否正常；</w:t>
      </w:r>
    </w:p>
    <w:p w14:paraId="49257B7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5)检查水质传感器上是否存在水垢；</w:t>
      </w:r>
    </w:p>
    <w:p w14:paraId="7336E08D">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6)检查水质传感器数值是否正常；</w:t>
      </w:r>
    </w:p>
    <w:p w14:paraId="10C58DE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7)检查水泵管路运行是否正常；</w:t>
      </w:r>
    </w:p>
    <w:p w14:paraId="32B6DEE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8)清理各个过滤器，确保管路畅通；</w:t>
      </w:r>
    </w:p>
    <w:p w14:paraId="07E99A5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9)定期进行水质传感器校准，确保仪器数据的准确性；</w:t>
      </w:r>
    </w:p>
    <w:p w14:paraId="20108AE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rPr>
      </w:pPr>
      <w:r>
        <w:rPr>
          <w:rFonts w:hint="default" w:ascii="Times New Roman" w:hAnsi="Times New Roman" w:eastAsia="宋体" w:cs="Times New Roman"/>
          <w:color w:val="auto"/>
        </w:rPr>
        <w:t>10)根据设备特性，在设备要求范围内更换水质传感器的易耗品及易损件；</w:t>
      </w:r>
    </w:p>
    <w:p w14:paraId="6751302D">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rPr>
        <w:t>11)定期对入河排污口进行水质采样</w:t>
      </w:r>
      <w:r>
        <w:rPr>
          <w:rFonts w:hint="default" w:ascii="Times New Roman" w:hAnsi="Times New Roman" w:eastAsia="宋体" w:cs="Times New Roman"/>
          <w:color w:val="auto"/>
          <w:lang w:val="en-US" w:eastAsia="zh-CN"/>
        </w:rPr>
        <w:t>.</w:t>
      </w:r>
    </w:p>
    <w:p w14:paraId="2370ADB7">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b/>
          <w:bCs/>
          <w:snapToGrid w:val="0"/>
          <w:color w:val="auto"/>
          <w:sz w:val="28"/>
          <w:szCs w:val="32"/>
          <w:lang w:val="en-US" w:eastAsia="zh-CN" w:bidi="ar-SA"/>
        </w:rPr>
        <w:t>3</w:t>
      </w:r>
      <w:r>
        <w:rPr>
          <w:rFonts w:hint="eastAsia" w:ascii="Times New Roman" w:hAnsi="Times New Roman" w:eastAsia="宋体" w:cs="Times New Roman"/>
          <w:b/>
          <w:bCs/>
          <w:snapToGrid w:val="0"/>
          <w:color w:val="auto"/>
          <w:sz w:val="28"/>
          <w:szCs w:val="32"/>
          <w:highlight w:val="none"/>
          <w:lang w:val="en-US" w:eastAsia="zh-CN" w:bidi="ar-SA"/>
        </w:rPr>
        <w:t>.2.1</w:t>
      </w:r>
      <w:r>
        <w:rPr>
          <w:rFonts w:hint="default" w:ascii="Times New Roman" w:hAnsi="Times New Roman" w:eastAsia="宋体" w:cs="Times New Roman"/>
          <w:color w:val="auto"/>
          <w:highlight w:val="none"/>
          <w:lang w:val="en-US" w:eastAsia="zh-CN"/>
        </w:rPr>
        <w:t>质保</w:t>
      </w:r>
      <w:r>
        <w:rPr>
          <w:rFonts w:hint="default" w:ascii="Times New Roman" w:hAnsi="Times New Roman" w:eastAsia="宋体" w:cs="Times New Roman"/>
          <w:color w:val="auto"/>
          <w:highlight w:val="none"/>
        </w:rPr>
        <w:t>服务内容</w:t>
      </w:r>
      <w:bookmarkEnd w:id="10"/>
    </w:p>
    <w:p w14:paraId="27D8B59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（1）日常维护</w:t>
      </w:r>
    </w:p>
    <w:p w14:paraId="43A2EFC0">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每天对监测设备进行巡检，检查仪器的运行状态、指示灯、管路连接等，确保设备正常运行。​</w:t>
      </w:r>
    </w:p>
    <w:p w14:paraId="0304D5C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每周对仪器进行清洁和保养，如擦拭仪器表面、清洗采样头和传感器等。​</w:t>
      </w:r>
    </w:p>
    <w:p w14:paraId="04307638">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每月对试剂进行检查，及时更换过期或不足的试剂，确保仪器能正常进行分析。</w:t>
      </w:r>
    </w:p>
    <w:p w14:paraId="504BA32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（2）定期维护</w:t>
      </w:r>
    </w:p>
    <w:p w14:paraId="752E297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每季度对仪器进行一次全面维护，包括校准仪器、检查电路、更换易损部件等。​每年对采样系统、供电系统和通信系统进行一次全面检查和维护，确保各系统运行正常。​</w:t>
      </w:r>
    </w:p>
    <w:p w14:paraId="530F16D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（3）维护档案</w:t>
      </w:r>
    </w:p>
    <w:p w14:paraId="3EC4C2E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建立设备维护档案，记录设备的维护时间、内容、维护人员、故障处理情况等信息，便于跟踪设备的运行状况和维护历史。​</w:t>
      </w:r>
    </w:p>
    <w:p w14:paraId="7E576610">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（4）报告编制</w:t>
      </w:r>
    </w:p>
    <w:p w14:paraId="2BE098B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每月编制水质监测报告，内容包括监测点位概况、监测方法、监测结果、水质评价、设备运行状况、存在的问题及建议等。报告应及时报送相关部门，为水污染防治工作提供参考。每年编制年度监测报告，对全年的水质状况进行总结和分析，提出针对性的防治措施和建议。</w:t>
      </w:r>
    </w:p>
    <w:p w14:paraId="7F0991FD">
      <w:pPr>
        <w:pStyle w:val="3"/>
        <w:numPr>
          <w:ilvl w:val="2"/>
          <w:numId w:val="0"/>
        </w:numPr>
        <w:bidi w:val="0"/>
        <w:ind w:left="0" w:leftChars="0" w:firstLine="402" w:firstLineChars="0"/>
        <w:rPr>
          <w:rFonts w:hint="default" w:ascii="Times New Roman" w:hAnsi="Times New Roman" w:eastAsia="宋体" w:cs="Times New Roman"/>
          <w:color w:val="auto"/>
          <w:lang w:val="en-US" w:eastAsia="zh-CN"/>
        </w:rPr>
      </w:pPr>
      <w:r>
        <w:rPr>
          <w:rFonts w:hint="eastAsia" w:ascii="Times New Roman" w:hAnsi="Times New Roman" w:eastAsia="宋体" w:cs="Times New Roman"/>
          <w:b/>
          <w:bCs/>
          <w:snapToGrid w:val="0"/>
          <w:color w:val="auto"/>
          <w:sz w:val="28"/>
          <w:szCs w:val="32"/>
          <w:lang w:val="en-US" w:eastAsia="zh-CN" w:bidi="ar-SA"/>
        </w:rPr>
        <w:t>3.2.2</w:t>
      </w:r>
      <w:r>
        <w:rPr>
          <w:rFonts w:hint="default" w:ascii="Times New Roman" w:hAnsi="Times New Roman" w:eastAsia="宋体" w:cs="Times New Roman"/>
          <w:color w:val="auto"/>
          <w:lang w:val="en-US" w:eastAsia="zh-CN"/>
        </w:rPr>
        <w:t>技术支持</w:t>
      </w:r>
    </w:p>
    <w:p w14:paraId="2E7B23F2">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highlight w:val="none"/>
          <w:lang w:val="en-US" w:eastAsia="zh-CN"/>
        </w:rPr>
        <w:t>（1）提供7*24小时的技术支持服务，</w:t>
      </w:r>
      <w:r>
        <w:rPr>
          <w:rFonts w:hint="eastAsia" w:ascii="Times New Roman" w:hAnsi="Times New Roman" w:eastAsia="宋体" w:cs="Times New Roman"/>
          <w:color w:val="auto"/>
          <w:highlight w:val="none"/>
          <w:lang w:val="en-US" w:eastAsia="zh-CN"/>
        </w:rPr>
        <w:t>合同约定技术人员姓名及联系方式</w:t>
      </w:r>
      <w:r>
        <w:rPr>
          <w:rFonts w:hint="default" w:ascii="Times New Roman" w:hAnsi="Times New Roman" w:eastAsia="宋体" w:cs="Times New Roman"/>
          <w:color w:val="auto"/>
          <w:highlight w:val="none"/>
          <w:lang w:val="en-US" w:eastAsia="zh-CN"/>
        </w:rPr>
        <w:t>。系</w:t>
      </w:r>
      <w:r>
        <w:rPr>
          <w:rFonts w:hint="default" w:ascii="Times New Roman" w:hAnsi="Times New Roman" w:eastAsia="宋体" w:cs="Times New Roman"/>
          <w:color w:val="auto"/>
          <w:lang w:val="en-US" w:eastAsia="zh-CN"/>
        </w:rPr>
        <w:t>统出现故障时必须在6个小时内完全处理解决，不能当场修复的，必须采取提供备品、备件或备机等措施，以保证采购单位的正常使用。如果逾期未作出响应，供应商应承担由于故障所造成的全部损失。</w:t>
      </w:r>
    </w:p>
    <w:p w14:paraId="67371E11">
      <w:pPr>
        <w:keepNext w:val="0"/>
        <w:keepLines w:val="0"/>
        <w:pageBreakBefore w:val="0"/>
        <w:widowControl/>
        <w:kinsoku w:val="0"/>
        <w:wordWrap/>
        <w:overflowPunct/>
        <w:topLinePunct w:val="0"/>
        <w:autoSpaceDE w:val="0"/>
        <w:autoSpaceDN w:val="0"/>
        <w:bidi w:val="0"/>
        <w:adjustRightInd w:val="0"/>
        <w:snapToGrid w:val="0"/>
        <w:ind w:firstLine="420" w:firstLineChars="200"/>
        <w:textAlignment w:val="baseline"/>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w:t>
      </w:r>
      <w:r>
        <w:rPr>
          <w:rFonts w:hint="eastAsia" w:ascii="Times New Roman" w:hAnsi="Times New Roman" w:cs="Times New Roman"/>
          <w:color w:val="auto"/>
          <w:lang w:val="en-US" w:eastAsia="zh-CN"/>
        </w:rPr>
        <w:t>2</w:t>
      </w:r>
      <w:r>
        <w:rPr>
          <w:rFonts w:hint="default" w:ascii="Times New Roman" w:hAnsi="Times New Roman" w:eastAsia="宋体" w:cs="Times New Roman"/>
          <w:color w:val="auto"/>
          <w:lang w:val="en-US" w:eastAsia="zh-CN"/>
        </w:rPr>
        <w:t>）在项目交付时，提供能确保系统正常运行所需的管理、运营及维护有关的运维文件。</w:t>
      </w:r>
    </w:p>
    <w:p w14:paraId="0E6C91CA">
      <w:pPr>
        <w:numPr>
          <w:ilvl w:val="0"/>
          <w:numId w:val="0"/>
        </w:numPr>
        <w:ind w:right="0" w:rightChars="0"/>
        <w:jc w:val="both"/>
        <w:outlineLvl w:val="0"/>
        <w:rPr>
          <w:rFonts w:hint="eastAsia" w:ascii="Times New Roman" w:hAnsi="Times New Roman" w:eastAsia="宋体" w:cs="Times New Roman"/>
          <w:b/>
          <w:bCs/>
          <w:color w:val="auto"/>
          <w:sz w:val="32"/>
          <w:szCs w:val="32"/>
          <w:lang w:val="en-US" w:eastAsia="zh-CN"/>
        </w:rPr>
      </w:pPr>
      <w:r>
        <w:rPr>
          <w:rFonts w:hint="eastAsia" w:ascii="Times New Roman" w:hAnsi="Times New Roman" w:eastAsia="宋体" w:cs="Times New Roman"/>
          <w:b/>
          <w:bCs/>
          <w:color w:val="auto"/>
          <w:sz w:val="32"/>
          <w:szCs w:val="32"/>
          <w:lang w:val="en-US" w:eastAsia="zh-CN"/>
        </w:rPr>
        <w:t xml:space="preserve">  </w:t>
      </w:r>
    </w:p>
    <w:p w14:paraId="5F406FCE">
      <w:pPr>
        <w:numPr>
          <w:ilvl w:val="0"/>
          <w:numId w:val="0"/>
        </w:numPr>
        <w:ind w:right="0" w:rightChars="0"/>
        <w:jc w:val="both"/>
        <w:outlineLvl w:val="0"/>
        <w:rPr>
          <w:rFonts w:hint="eastAsia" w:ascii="Times New Roman" w:hAnsi="Times New Roman" w:eastAsia="宋体" w:cs="Times New Roman"/>
          <w:b/>
          <w:bCs/>
          <w:color w:val="auto"/>
          <w:sz w:val="32"/>
          <w:szCs w:val="32"/>
          <w:lang w:val="en-US" w:eastAsia="zh-CN"/>
        </w:rPr>
      </w:pPr>
    </w:p>
    <w:p w14:paraId="5CD1A4C5">
      <w:pPr>
        <w:numPr>
          <w:ilvl w:val="0"/>
          <w:numId w:val="0"/>
        </w:numPr>
        <w:ind w:right="0" w:rightChars="0"/>
        <w:jc w:val="both"/>
        <w:outlineLvl w:val="0"/>
        <w:rPr>
          <w:rFonts w:hint="default" w:ascii="Times New Roman" w:hAnsi="Times New Roman" w:eastAsia="宋体" w:cs="Times New Roman"/>
          <w:b w:val="0"/>
          <w:bCs w:val="0"/>
          <w:color w:val="auto"/>
          <w:sz w:val="22"/>
          <w:szCs w:val="22"/>
          <w:lang w:val="en-US" w:eastAsia="zh-CN"/>
        </w:rPr>
      </w:pPr>
      <w:r>
        <w:rPr>
          <w:rFonts w:hint="eastAsia" w:ascii="Times New Roman" w:hAnsi="Times New Roman" w:eastAsia="宋体" w:cs="Times New Roman"/>
          <w:b w:val="0"/>
          <w:bCs w:val="0"/>
          <w:color w:val="auto"/>
          <w:sz w:val="22"/>
          <w:szCs w:val="22"/>
          <w:lang w:val="en-US" w:eastAsia="zh-CN"/>
        </w:rPr>
        <w:t>注：技术需求如与招标文件不一致，以招标文件为准。</w:t>
      </w:r>
    </w:p>
    <w:p w14:paraId="7127E25C">
      <w:bookmarkStart w:id="11" w:name="_GoBack"/>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7"/>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7"/>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7"/>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6AD209"/>
    <w:multiLevelType w:val="singleLevel"/>
    <w:tmpl w:val="BC6AD209"/>
    <w:lvl w:ilvl="0" w:tentative="0">
      <w:start w:val="1"/>
      <w:numFmt w:val="chineseCounting"/>
      <w:suff w:val="space"/>
      <w:lvlText w:val="（%1）"/>
      <w:lvlJc w:val="left"/>
      <w:rPr>
        <w:rFonts w:hint="eastAsia"/>
      </w:rPr>
    </w:lvl>
  </w:abstractNum>
  <w:abstractNum w:abstractNumId="1">
    <w:nsid w:val="DBD54BAF"/>
    <w:multiLevelType w:val="singleLevel"/>
    <w:tmpl w:val="DBD54BAF"/>
    <w:lvl w:ilvl="0" w:tentative="0">
      <w:start w:val="1"/>
      <w:numFmt w:val="chineseCounting"/>
      <w:suff w:val="nothing"/>
      <w:lvlText w:val="%1、"/>
      <w:lvlJc w:val="left"/>
      <w:rPr>
        <w:rFonts w:hint="eastAsia"/>
      </w:rPr>
    </w:lvl>
  </w:abstractNum>
  <w:abstractNum w:abstractNumId="2">
    <w:nsid w:val="FB7092AC"/>
    <w:multiLevelType w:val="singleLevel"/>
    <w:tmpl w:val="FB7092AC"/>
    <w:lvl w:ilvl="0" w:tentative="0">
      <w:start w:val="1"/>
      <w:numFmt w:val="chineseCounting"/>
      <w:suff w:val="nothing"/>
      <w:lvlText w:val="%1、"/>
      <w:lvlJc w:val="left"/>
      <w:rPr>
        <w:rFonts w:hint="eastAsia"/>
      </w:rPr>
    </w:lvl>
  </w:abstractNum>
  <w:abstractNum w:abstractNumId="3">
    <w:nsid w:val="2BD7E986"/>
    <w:multiLevelType w:val="singleLevel"/>
    <w:tmpl w:val="2BD7E986"/>
    <w:lvl w:ilvl="0" w:tentative="0">
      <w:start w:val="1"/>
      <w:numFmt w:val="chineseCounting"/>
      <w:suff w:val="nothing"/>
      <w:lvlText w:val="%1、"/>
      <w:lvlJc w:val="left"/>
      <w:rPr>
        <w:rFonts w:hint="eastAsia"/>
      </w:rPr>
    </w:lvl>
  </w:abstractNum>
  <w:abstractNum w:abstractNumId="4">
    <w:nsid w:val="5D26E9F9"/>
    <w:multiLevelType w:val="singleLevel"/>
    <w:tmpl w:val="5D26E9F9"/>
    <w:lvl w:ilvl="0" w:tentative="0">
      <w:start w:val="1"/>
      <w:numFmt w:val="decimalEnclosedCircleChinese"/>
      <w:suff w:val="nothing"/>
      <w:lvlText w:val="%1　"/>
      <w:lvlJc w:val="left"/>
      <w:pPr>
        <w:ind w:left="0" w:firstLine="400"/>
      </w:pPr>
      <w:rPr>
        <w:rFonts w:hint="eastAsia"/>
      </w:rPr>
    </w:lvl>
  </w:abstractNum>
  <w:abstractNum w:abstractNumId="5">
    <w:nsid w:val="72B01F5A"/>
    <w:multiLevelType w:val="multilevel"/>
    <w:tmpl w:val="72B01F5A"/>
    <w:lvl w:ilvl="0" w:tentative="0">
      <w:start w:val="1"/>
      <w:numFmt w:val="chineseCounting"/>
      <w:suff w:val="nothing"/>
      <w:lvlText w:val="%1、"/>
      <w:lvlJc w:val="left"/>
      <w:pPr>
        <w:tabs>
          <w:tab w:val="left" w:pos="0"/>
        </w:tabs>
        <w:ind w:left="0" w:firstLine="400"/>
      </w:pPr>
      <w:rPr>
        <w:rFonts w:hint="eastAsia"/>
      </w:rPr>
    </w:lvl>
    <w:lvl w:ilvl="1" w:tentative="0">
      <w:start w:val="1"/>
      <w:numFmt w:val="decimal"/>
      <w:suff w:val="nothing"/>
      <w:lvlText w:val="%2、"/>
      <w:lvlJc w:val="left"/>
      <w:pPr>
        <w:tabs>
          <w:tab w:val="left" w:pos="0"/>
        </w:tabs>
        <w:ind w:left="0" w:firstLine="400"/>
      </w:pPr>
      <w:rPr>
        <w:rFonts w:hint="eastAsia"/>
      </w:rPr>
    </w:lvl>
    <w:lvl w:ilvl="2" w:tentative="0">
      <w:start w:val="1"/>
      <w:numFmt w:val="decimal"/>
      <w:pStyle w:val="2"/>
      <w:suff w:val="nothing"/>
      <w:lvlText w:val="%2.%3"/>
      <w:lvlJc w:val="left"/>
      <w:pPr>
        <w:ind w:left="0" w:firstLine="402"/>
      </w:pPr>
      <w:rPr>
        <w:rFonts w:hint="eastAsia"/>
      </w:rPr>
    </w:lvl>
    <w:lvl w:ilvl="3" w:tentative="0">
      <w:start w:val="1"/>
      <w:numFmt w:val="decimal"/>
      <w:suff w:val="nothing"/>
      <w:lvlText w:val="%2.%3.%4 "/>
      <w:lvlJc w:val="left"/>
      <w:pPr>
        <w:ind w:left="0" w:firstLine="402"/>
      </w:pPr>
      <w:rPr>
        <w:rFonts w:hint="eastAsia"/>
      </w:rPr>
    </w:lvl>
    <w:lvl w:ilvl="4" w:tentative="0">
      <w:start w:val="1"/>
      <w:numFmt w:val="decimal"/>
      <w:pStyle w:val="4"/>
      <w:suff w:val="nothing"/>
      <w:lvlText w:val="%2.%3.%4.%5"/>
      <w:lvlJc w:val="left"/>
      <w:pPr>
        <w:tabs>
          <w:tab w:val="left" w:pos="0"/>
        </w:tabs>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num w:numId="1">
    <w:abstractNumId w:val="5"/>
  </w:num>
  <w:num w:numId="2">
    <w:abstractNumId w:val="0"/>
  </w:num>
  <w:num w:numId="3">
    <w:abstractNumId w:val="1"/>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6252B1"/>
    <w:rsid w:val="2EC266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unhideWhenUsed/>
    <w:qFormat/>
    <w:uiPriority w:val="0"/>
    <w:pPr>
      <w:keepNext/>
      <w:keepLines/>
      <w:numPr>
        <w:ilvl w:val="2"/>
        <w:numId w:val="1"/>
      </w:numPr>
      <w:tabs>
        <w:tab w:val="left" w:pos="0"/>
      </w:tabs>
      <w:adjustRightInd w:val="0"/>
      <w:spacing w:before="20" w:after="20"/>
      <w:ind w:firstLine="402" w:firstLineChars="0"/>
      <w:outlineLvl w:val="2"/>
    </w:pPr>
    <w:rPr>
      <w:rFonts w:ascii="Times New Roman" w:hAnsi="Times New Roman" w:eastAsia="宋体" w:cs="Times New Roman"/>
      <w:b/>
      <w:bCs/>
      <w:color w:val="000000" w:themeColor="text1"/>
      <w:sz w:val="28"/>
      <w:szCs w:val="32"/>
      <w14:textFill>
        <w14:solidFill>
          <w14:schemeClr w14:val="tx1"/>
        </w14:solidFill>
      </w14:textFill>
    </w:rPr>
  </w:style>
  <w:style w:type="paragraph" w:styleId="3">
    <w:name w:val="heading 4"/>
    <w:basedOn w:val="2"/>
    <w:next w:val="1"/>
    <w:unhideWhenUsed/>
    <w:qFormat/>
    <w:uiPriority w:val="0"/>
    <w:pPr>
      <w:keepNext/>
      <w:keepLines/>
      <w:spacing w:before="280" w:beforeLines="0" w:beforeAutospacing="0" w:after="290" w:afterLines="0" w:afterAutospacing="0" w:line="372" w:lineRule="auto"/>
      <w:outlineLvl w:val="3"/>
    </w:pPr>
    <w:rPr>
      <w:rFonts w:ascii="Arial" w:hAnsi="Arial" w:eastAsia="黑体"/>
      <w:sz w:val="28"/>
    </w:rPr>
  </w:style>
  <w:style w:type="paragraph" w:styleId="4">
    <w:name w:val="heading 5"/>
    <w:basedOn w:val="3"/>
    <w:next w:val="1"/>
    <w:unhideWhenUsed/>
    <w:qFormat/>
    <w:uiPriority w:val="0"/>
    <w:pPr>
      <w:keepNext/>
      <w:keepLines/>
      <w:numPr>
        <w:ilvl w:val="4"/>
        <w:numId w:val="1"/>
      </w:numPr>
      <w:ind w:left="0" w:firstLine="0" w:firstLineChars="0"/>
      <w:outlineLvl w:val="4"/>
    </w:pPr>
    <w:rPr>
      <w:rFonts w:ascii="Times New Roman" w:hAnsi="Times New Roman" w:eastAsia="宋体"/>
      <w:szCs w:val="24"/>
      <w14:ligatures w14:val="standardContextual"/>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caption"/>
    <w:basedOn w:val="1"/>
    <w:next w:val="1"/>
    <w:semiHidden/>
    <w:unhideWhenUsed/>
    <w:qFormat/>
    <w:uiPriority w:val="0"/>
    <w:rPr>
      <w:rFonts w:ascii="Arial" w:hAnsi="Arial" w:eastAsia="黑体" w:cs="Arial"/>
      <w:b/>
      <w:sz w:val="21"/>
    </w:rPr>
  </w:style>
  <w:style w:type="paragraph" w:styleId="6">
    <w:name w:val="Body Text Indent"/>
    <w:basedOn w:val="1"/>
    <w:unhideWhenUsed/>
    <w:qFormat/>
    <w:uiPriority w:val="99"/>
    <w:pPr>
      <w:spacing w:after="120"/>
      <w:ind w:left="420" w:leftChars="200"/>
    </w:pPr>
    <w:rPr>
      <w:rFonts w:eastAsia="微软雅黑"/>
      <w:kern w:val="0"/>
      <w:sz w:val="24"/>
      <w:szCs w:val="20"/>
    </w:rPr>
  </w:style>
  <w:style w:type="paragraph" w:styleId="7">
    <w:name w:val="footer"/>
    <w:basedOn w:val="1"/>
    <w:qFormat/>
    <w:uiPriority w:val="0"/>
    <w:pPr>
      <w:tabs>
        <w:tab w:val="center" w:pos="4153"/>
        <w:tab w:val="right" w:pos="8306"/>
      </w:tabs>
    </w:pPr>
    <w:rPr>
      <w:sz w:val="18"/>
    </w:rPr>
  </w:style>
  <w:style w:type="paragraph" w:styleId="8">
    <w:name w:val="Body Text First Indent 2"/>
    <w:basedOn w:val="6"/>
    <w:qFormat/>
    <w:uiPriority w:val="0"/>
    <w:pPr>
      <w:ind w:left="0" w:leftChars="0" w:firstLine="420" w:firstLineChars="200"/>
    </w:pPr>
    <w:rPr>
      <w:rFonts w:ascii="Calibri" w:hAnsi="Calibri" w:cs="Times New Roma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2026-05-22T07:31:56Z</dcterms:created>
  <dc:creator>Administrator</dc:creator>
  <cp:lastModifiedBy>Administrator</cp:lastModifiedBy>
  <dcterms:modified xsi:type="dcterms:W3CDTF">2026-05-22T07:33:00Z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eyJoZGlkIjoiNGQxZjFhNGEyN2UyZTYwZGQxM2U4MDU5MzU3YjMwMjciLCJ1c2VySWQiOiI1MjI0OTM5MjEifQ==</vt:lpwstr>
  </property>
  <property fmtid="{D5CDD505-2E9C-101B-9397-08002B2CF9AE}" pid="4" name="ICV">
    <vt:lpwstr>66E0F0864D194A3AB64885EFD49D5367_12</vt:lpwstr>
  </property>
</Properties>
</file>