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A1B923">
      <w:pPr>
        <w:pStyle w:val="4"/>
        <w:numPr>
          <w:ilvl w:val="0"/>
          <w:numId w:val="1"/>
        </w:numPr>
        <w:jc w:val="center"/>
        <w:outlineLvl w:val="1"/>
        <w:rPr>
          <w:rFonts w:hint="eastAsia" w:ascii="宋体" w:hAnsi="宋体" w:cs="宋体"/>
          <w:b/>
          <w:bCs w:val="0"/>
          <w:sz w:val="30"/>
          <w:szCs w:val="30"/>
        </w:rPr>
      </w:pPr>
      <w:r>
        <w:rPr>
          <w:rFonts w:hint="eastAsia" w:ascii="宋体" w:hAnsi="宋体" w:cs="宋体"/>
          <w:b/>
          <w:bCs w:val="0"/>
          <w:sz w:val="30"/>
          <w:szCs w:val="30"/>
          <w:lang w:val="en-US" w:eastAsia="zh-CN"/>
        </w:rPr>
        <w:t>采购</w:t>
      </w:r>
      <w:r>
        <w:rPr>
          <w:rFonts w:hint="eastAsia" w:ascii="宋体" w:hAnsi="宋体" w:cs="宋体"/>
          <w:b/>
          <w:bCs w:val="0"/>
          <w:sz w:val="30"/>
          <w:szCs w:val="30"/>
        </w:rPr>
        <w:t>需</w:t>
      </w:r>
      <w:bookmarkStart w:id="0" w:name="_GoBack"/>
      <w:bookmarkEnd w:id="0"/>
      <w:r>
        <w:rPr>
          <w:rFonts w:hint="eastAsia" w:ascii="宋体" w:hAnsi="宋体" w:cs="宋体"/>
          <w:b/>
          <w:bCs w:val="0"/>
          <w:sz w:val="30"/>
          <w:szCs w:val="30"/>
        </w:rPr>
        <w:t>求一览表</w:t>
      </w:r>
    </w:p>
    <w:p w14:paraId="390B1A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75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1.增殖放流河流流域：</w:t>
      </w:r>
      <w:r>
        <w:rPr>
          <w:rFonts w:hint="eastAsia" w:ascii="宋体" w:hAnsi="宋体" w:eastAsia="宋体" w:cs="宋体"/>
          <w:sz w:val="24"/>
          <w:szCs w:val="24"/>
        </w:rPr>
        <w:t>确定增殖放流水域为抚河鳜鱼国家级水产种质资源保护区，对稳定、恢复抚河水生生物种群，净化水质，改善水体生态环境，增加沿湖渔民收入将起到深远影响，提高了保护、管理、监测、宣教、繁育等方面的综合能力，增强了沿河渔民自我发展的能力，经过十多年的建设，营造抚河最佳生态环境，维护生物多样性和生态系统平衡，实现生态文明。</w:t>
      </w:r>
    </w:p>
    <w:p w14:paraId="553CBC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75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增殖放流经济鱼类：</w:t>
      </w:r>
      <w:r>
        <w:rPr>
          <w:rFonts w:hint="eastAsia" w:ascii="宋体" w:hAnsi="宋体" w:eastAsia="宋体" w:cs="宋体"/>
          <w:sz w:val="24"/>
          <w:szCs w:val="24"/>
        </w:rPr>
        <w:t>抚河干流南城段天然水域中增殖放流计划放养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总量为123万尾，其中：经济鱼类116万尾，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含：3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cm以上鲢鱼苗种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26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万尾、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cm以上鲢鱼苗种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万尾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cm以上鳙鱼苗种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32.8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万尾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cm以上鳙鱼苗种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17.2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万尾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3cm以上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团头鲂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16万尾、5cm以上鳊鱼16万尾；特种鱼类6cm以上鳜鱼良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种7万尾。</w:t>
      </w:r>
      <w:r>
        <w:rPr>
          <w:rFonts w:hint="eastAsia" w:ascii="宋体" w:hAnsi="宋体" w:eastAsia="宋体" w:cs="宋体"/>
          <w:sz w:val="24"/>
          <w:szCs w:val="24"/>
        </w:rPr>
        <w:t>以增加境内鱼类种群结构中低、幼龄鱼类数量，扩大群体规模、储备足够量的繁殖后备群体，遏制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抚河</w:t>
      </w:r>
      <w:r>
        <w:rPr>
          <w:rFonts w:hint="eastAsia" w:ascii="宋体" w:hAnsi="宋体" w:eastAsia="宋体" w:cs="宋体"/>
          <w:sz w:val="24"/>
          <w:szCs w:val="24"/>
        </w:rPr>
        <w:t>鱼类衰退，恢复天然渔业资源。</w:t>
      </w:r>
    </w:p>
    <w:p w14:paraId="3DF11E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75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计划增殖放流时间：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第一批计划于2026年5月底前完成；第二批计划于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202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年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7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月底以前完成。</w:t>
      </w:r>
    </w:p>
    <w:p w14:paraId="3F5A34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75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sz w:val="24"/>
          <w:szCs w:val="24"/>
        </w:rPr>
        <w:t>计划增殖放流水域：抚河鳜鱼国家级水产种质资源保护区核心区水域，即南城县徐家镇</w:t>
      </w:r>
      <w:r>
        <w:rPr>
          <w:rFonts w:hint="eastAsia" w:ascii="宋体" w:hAnsi="宋体" w:eastAsia="宋体" w:cs="宋体"/>
          <w:strike w:val="0"/>
          <w:dstrike w:val="0"/>
          <w:color w:val="auto"/>
          <w:sz w:val="24"/>
          <w:szCs w:val="24"/>
          <w:lang w:val="en-US" w:eastAsia="zh-CN"/>
        </w:rPr>
        <w:t>厂口</w:t>
      </w:r>
      <w:r>
        <w:rPr>
          <w:rFonts w:hint="eastAsia" w:ascii="宋体" w:hAnsi="宋体" w:eastAsia="宋体" w:cs="宋体"/>
          <w:sz w:val="24"/>
          <w:szCs w:val="24"/>
        </w:rPr>
        <w:t>增殖放流站。</w:t>
      </w:r>
    </w:p>
    <w:p w14:paraId="5C3171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75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sz w:val="24"/>
          <w:szCs w:val="24"/>
        </w:rPr>
        <w:t>生物种群和生物多样性有较大改善，江湖洄游性鱼类数量显著增加，达到与底栖生物资源的一种生态平衡，水体生态系统处于整体良好状态。</w:t>
      </w:r>
    </w:p>
    <w:p w14:paraId="0D6168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75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6.</w:t>
      </w:r>
      <w:r>
        <w:rPr>
          <w:rFonts w:hint="eastAsia" w:ascii="宋体" w:hAnsi="宋体" w:eastAsia="宋体" w:cs="宋体"/>
          <w:sz w:val="24"/>
          <w:szCs w:val="24"/>
        </w:rPr>
        <w:t>抚河水域生态环境明显改善，水生生物资源实现良性、高效循环利用，水质明显改良，完全达到三类水标准，把南城打造成一个“天更蓝水更清，人与自然相和谐”的生态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县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795AD7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75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7.</w:t>
      </w:r>
      <w:r>
        <w:rPr>
          <w:rFonts w:hint="eastAsia" w:ascii="宋体" w:hAnsi="宋体" w:eastAsia="宋体" w:cs="宋体"/>
          <w:sz w:val="24"/>
          <w:szCs w:val="24"/>
        </w:rPr>
        <w:t>全民“爱护生态、保护生态”的公德意识显著提升，能自觉地加入到水域环保、生态养护行动中来。</w:t>
      </w:r>
    </w:p>
    <w:p w14:paraId="4FD08E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0" w:firstLineChars="175"/>
        <w:jc w:val="left"/>
        <w:textAlignment w:val="auto"/>
        <w:rPr>
          <w:rFonts w:hint="eastAsia" w:ascii="宋体" w:hAnsi="宋体" w:eastAsia="宋体" w:cs="宋体"/>
          <w:color w:val="FF000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8.放流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苗种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现场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存活率≥9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%。</w:t>
      </w:r>
    </w:p>
    <w:p w14:paraId="56B19C05">
      <w:pPr>
        <w:spacing w:line="360" w:lineRule="auto"/>
        <w:ind w:left="0" w:leftChars="0" w:firstLine="420" w:firstLineChars="175"/>
        <w:jc w:val="both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9.清单</w:t>
      </w:r>
    </w:p>
    <w:tbl>
      <w:tblPr>
        <w:tblStyle w:val="8"/>
        <w:tblW w:w="93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3"/>
        <w:gridCol w:w="960"/>
        <w:gridCol w:w="1425"/>
        <w:gridCol w:w="1242"/>
        <w:gridCol w:w="2613"/>
        <w:gridCol w:w="1365"/>
      </w:tblGrid>
      <w:tr w14:paraId="70E98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atLeast"/>
          <w:jc w:val="center"/>
        </w:trPr>
        <w:tc>
          <w:tcPr>
            <w:tcW w:w="1743" w:type="dxa"/>
            <w:noWrap w:val="0"/>
            <w:vAlign w:val="center"/>
          </w:tcPr>
          <w:p w14:paraId="26CFCE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放流</w:t>
            </w:r>
          </w:p>
          <w:p w14:paraId="607A3E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水域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及批次</w:t>
            </w:r>
          </w:p>
        </w:tc>
        <w:tc>
          <w:tcPr>
            <w:tcW w:w="960" w:type="dxa"/>
            <w:noWrap w:val="0"/>
            <w:vAlign w:val="center"/>
          </w:tcPr>
          <w:p w14:paraId="60626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品种</w:t>
            </w:r>
          </w:p>
        </w:tc>
        <w:tc>
          <w:tcPr>
            <w:tcW w:w="1425" w:type="dxa"/>
            <w:noWrap w:val="0"/>
            <w:vAlign w:val="center"/>
          </w:tcPr>
          <w:p w14:paraId="6253E7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规 格</w:t>
            </w:r>
          </w:p>
        </w:tc>
        <w:tc>
          <w:tcPr>
            <w:tcW w:w="1242" w:type="dxa"/>
            <w:noWrap w:val="0"/>
            <w:vAlign w:val="center"/>
          </w:tcPr>
          <w:p w14:paraId="4EC2A0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数量</w:t>
            </w:r>
          </w:p>
          <w:p w14:paraId="2D7F63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（万尾）</w:t>
            </w:r>
          </w:p>
        </w:tc>
        <w:tc>
          <w:tcPr>
            <w:tcW w:w="2613" w:type="dxa"/>
            <w:noWrap w:val="0"/>
            <w:vAlign w:val="center"/>
          </w:tcPr>
          <w:p w14:paraId="1B17BE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单价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含苗种运输及放流人工费用）</w:t>
            </w:r>
          </w:p>
        </w:tc>
        <w:tc>
          <w:tcPr>
            <w:tcW w:w="1365" w:type="dxa"/>
            <w:noWrap w:val="0"/>
            <w:vAlign w:val="center"/>
          </w:tcPr>
          <w:p w14:paraId="06AC32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金额</w:t>
            </w:r>
          </w:p>
          <w:p w14:paraId="752788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（万元）</w:t>
            </w:r>
          </w:p>
        </w:tc>
      </w:tr>
      <w:tr w14:paraId="60EBD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743" w:type="dxa"/>
            <w:vMerge w:val="restart"/>
            <w:noWrap w:val="0"/>
            <w:vAlign w:val="center"/>
          </w:tcPr>
          <w:p w14:paraId="2A1C02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抚河干流南城段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第一批次</w:t>
            </w:r>
          </w:p>
        </w:tc>
        <w:tc>
          <w:tcPr>
            <w:tcW w:w="960" w:type="dxa"/>
            <w:noWrap w:val="0"/>
            <w:vAlign w:val="center"/>
          </w:tcPr>
          <w:p w14:paraId="47D81F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鲢鱼</w:t>
            </w:r>
          </w:p>
        </w:tc>
        <w:tc>
          <w:tcPr>
            <w:tcW w:w="1425" w:type="dxa"/>
            <w:noWrap w:val="0"/>
            <w:vAlign w:val="center"/>
          </w:tcPr>
          <w:p w14:paraId="67BF3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cm以上</w:t>
            </w:r>
          </w:p>
        </w:tc>
        <w:tc>
          <w:tcPr>
            <w:tcW w:w="1242" w:type="dxa"/>
            <w:noWrap w:val="0"/>
            <w:vAlign w:val="center"/>
          </w:tcPr>
          <w:p w14:paraId="21AE93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613" w:type="dxa"/>
            <w:noWrap w:val="0"/>
            <w:vAlign w:val="center"/>
          </w:tcPr>
          <w:p w14:paraId="43E7B2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1200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元/万尾</w:t>
            </w:r>
          </w:p>
        </w:tc>
        <w:tc>
          <w:tcPr>
            <w:tcW w:w="1365" w:type="dxa"/>
            <w:noWrap w:val="0"/>
            <w:vAlign w:val="center"/>
          </w:tcPr>
          <w:p w14:paraId="14C07F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0.96</w:t>
            </w:r>
          </w:p>
        </w:tc>
      </w:tr>
      <w:tr w14:paraId="7E09D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1743" w:type="dxa"/>
            <w:vMerge w:val="continue"/>
            <w:noWrap w:val="0"/>
            <w:vAlign w:val="top"/>
          </w:tcPr>
          <w:p w14:paraId="166BF4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960" w:type="dxa"/>
            <w:noWrap w:val="0"/>
            <w:vAlign w:val="center"/>
          </w:tcPr>
          <w:p w14:paraId="52864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鳙鱼</w:t>
            </w:r>
          </w:p>
        </w:tc>
        <w:tc>
          <w:tcPr>
            <w:tcW w:w="1425" w:type="dxa"/>
            <w:noWrap w:val="0"/>
            <w:vAlign w:val="center"/>
          </w:tcPr>
          <w:p w14:paraId="26ED50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cm以上</w:t>
            </w:r>
          </w:p>
        </w:tc>
        <w:tc>
          <w:tcPr>
            <w:tcW w:w="1242" w:type="dxa"/>
            <w:noWrap w:val="0"/>
            <w:vAlign w:val="center"/>
          </w:tcPr>
          <w:p w14:paraId="3169BC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17.2</w:t>
            </w:r>
          </w:p>
        </w:tc>
        <w:tc>
          <w:tcPr>
            <w:tcW w:w="2613" w:type="dxa"/>
            <w:noWrap w:val="0"/>
            <w:vAlign w:val="center"/>
          </w:tcPr>
          <w:p w14:paraId="5FB06F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1600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元/万尾</w:t>
            </w:r>
          </w:p>
        </w:tc>
        <w:tc>
          <w:tcPr>
            <w:tcW w:w="1365" w:type="dxa"/>
            <w:noWrap w:val="0"/>
            <w:vAlign w:val="center"/>
          </w:tcPr>
          <w:p w14:paraId="24C80E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2.75</w:t>
            </w:r>
          </w:p>
        </w:tc>
      </w:tr>
      <w:tr w14:paraId="1AFF2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743" w:type="dxa"/>
            <w:vMerge w:val="continue"/>
            <w:noWrap w:val="0"/>
            <w:vAlign w:val="top"/>
          </w:tcPr>
          <w:p w14:paraId="7B5C29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960" w:type="dxa"/>
            <w:noWrap w:val="0"/>
            <w:vAlign w:val="center"/>
          </w:tcPr>
          <w:p w14:paraId="2C9C1B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鳊鱼</w:t>
            </w:r>
          </w:p>
        </w:tc>
        <w:tc>
          <w:tcPr>
            <w:tcW w:w="1425" w:type="dxa"/>
            <w:noWrap w:val="0"/>
            <w:vAlign w:val="center"/>
          </w:tcPr>
          <w:p w14:paraId="08BD69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cm以上</w:t>
            </w:r>
          </w:p>
        </w:tc>
        <w:tc>
          <w:tcPr>
            <w:tcW w:w="1242" w:type="dxa"/>
            <w:noWrap w:val="0"/>
            <w:vAlign w:val="center"/>
          </w:tcPr>
          <w:p w14:paraId="6D658C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2613" w:type="dxa"/>
            <w:noWrap w:val="0"/>
            <w:vAlign w:val="center"/>
          </w:tcPr>
          <w:p w14:paraId="0A0478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1800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元/万尾</w:t>
            </w:r>
          </w:p>
        </w:tc>
        <w:tc>
          <w:tcPr>
            <w:tcW w:w="1365" w:type="dxa"/>
            <w:noWrap w:val="0"/>
            <w:vAlign w:val="center"/>
          </w:tcPr>
          <w:p w14:paraId="157EDA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2.88</w:t>
            </w:r>
          </w:p>
        </w:tc>
      </w:tr>
      <w:tr w14:paraId="5B2B6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743" w:type="dxa"/>
            <w:vMerge w:val="continue"/>
            <w:noWrap w:val="0"/>
            <w:vAlign w:val="top"/>
          </w:tcPr>
          <w:p w14:paraId="3DB1E2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960" w:type="dxa"/>
            <w:noWrap w:val="0"/>
            <w:vAlign w:val="center"/>
          </w:tcPr>
          <w:p w14:paraId="65161B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鳜鱼</w:t>
            </w:r>
          </w:p>
        </w:tc>
        <w:tc>
          <w:tcPr>
            <w:tcW w:w="1425" w:type="dxa"/>
            <w:noWrap w:val="0"/>
            <w:vAlign w:val="center"/>
          </w:tcPr>
          <w:p w14:paraId="741D8E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cm以上</w:t>
            </w:r>
          </w:p>
        </w:tc>
        <w:tc>
          <w:tcPr>
            <w:tcW w:w="1242" w:type="dxa"/>
            <w:noWrap w:val="0"/>
            <w:vAlign w:val="center"/>
          </w:tcPr>
          <w:p w14:paraId="3634A5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3.0</w:t>
            </w:r>
          </w:p>
        </w:tc>
        <w:tc>
          <w:tcPr>
            <w:tcW w:w="2613" w:type="dxa"/>
            <w:noWrap w:val="0"/>
            <w:vAlign w:val="center"/>
          </w:tcPr>
          <w:p w14:paraId="35AB7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3元/尾</w:t>
            </w:r>
          </w:p>
        </w:tc>
        <w:tc>
          <w:tcPr>
            <w:tcW w:w="1365" w:type="dxa"/>
            <w:noWrap w:val="0"/>
            <w:vAlign w:val="center"/>
          </w:tcPr>
          <w:p w14:paraId="1A50F2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9.0</w:t>
            </w:r>
          </w:p>
        </w:tc>
      </w:tr>
      <w:tr w14:paraId="4BB98B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4128" w:type="dxa"/>
            <w:gridSpan w:val="3"/>
            <w:noWrap w:val="0"/>
            <w:vAlign w:val="center"/>
          </w:tcPr>
          <w:p w14:paraId="514E3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第一批次小计：</w:t>
            </w:r>
          </w:p>
        </w:tc>
        <w:tc>
          <w:tcPr>
            <w:tcW w:w="1242" w:type="dxa"/>
            <w:noWrap w:val="0"/>
            <w:vAlign w:val="center"/>
          </w:tcPr>
          <w:p w14:paraId="6C522A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34.2</w:t>
            </w:r>
          </w:p>
        </w:tc>
        <w:tc>
          <w:tcPr>
            <w:tcW w:w="2613" w:type="dxa"/>
            <w:noWrap w:val="0"/>
            <w:vAlign w:val="center"/>
          </w:tcPr>
          <w:p w14:paraId="2403C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365" w:type="dxa"/>
            <w:noWrap w:val="0"/>
            <w:vAlign w:val="center"/>
          </w:tcPr>
          <w:p w14:paraId="2F455B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15.59</w:t>
            </w:r>
          </w:p>
        </w:tc>
      </w:tr>
      <w:tr w14:paraId="0333C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1743" w:type="dxa"/>
            <w:vMerge w:val="restart"/>
            <w:noWrap w:val="0"/>
            <w:vAlign w:val="center"/>
          </w:tcPr>
          <w:p w14:paraId="58BCB3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抚河干流南城段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第二批次</w:t>
            </w:r>
          </w:p>
        </w:tc>
        <w:tc>
          <w:tcPr>
            <w:tcW w:w="960" w:type="dxa"/>
            <w:noWrap w:val="0"/>
            <w:vAlign w:val="center"/>
          </w:tcPr>
          <w:p w14:paraId="36EC84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鲢鱼</w:t>
            </w:r>
          </w:p>
        </w:tc>
        <w:tc>
          <w:tcPr>
            <w:tcW w:w="1425" w:type="dxa"/>
            <w:noWrap w:val="0"/>
            <w:vAlign w:val="center"/>
          </w:tcPr>
          <w:p w14:paraId="0D5A7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cm以上</w:t>
            </w:r>
          </w:p>
        </w:tc>
        <w:tc>
          <w:tcPr>
            <w:tcW w:w="1242" w:type="dxa"/>
            <w:noWrap w:val="0"/>
            <w:vAlign w:val="center"/>
          </w:tcPr>
          <w:p w14:paraId="462631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2613" w:type="dxa"/>
            <w:noWrap w:val="0"/>
            <w:vAlign w:val="center"/>
          </w:tcPr>
          <w:p w14:paraId="7A944E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330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元/万尾</w:t>
            </w:r>
          </w:p>
        </w:tc>
        <w:tc>
          <w:tcPr>
            <w:tcW w:w="1365" w:type="dxa"/>
            <w:noWrap w:val="0"/>
            <w:vAlign w:val="center"/>
          </w:tcPr>
          <w:p w14:paraId="691BD7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0.86</w:t>
            </w:r>
          </w:p>
        </w:tc>
      </w:tr>
      <w:tr w14:paraId="22DF8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1743" w:type="dxa"/>
            <w:vMerge w:val="continue"/>
            <w:noWrap w:val="0"/>
            <w:vAlign w:val="center"/>
          </w:tcPr>
          <w:p w14:paraId="584BFF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60" w:type="dxa"/>
            <w:noWrap w:val="0"/>
            <w:vAlign w:val="center"/>
          </w:tcPr>
          <w:p w14:paraId="0ADE14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鳙鱼</w:t>
            </w:r>
          </w:p>
        </w:tc>
        <w:tc>
          <w:tcPr>
            <w:tcW w:w="1425" w:type="dxa"/>
            <w:noWrap w:val="0"/>
            <w:vAlign w:val="center"/>
          </w:tcPr>
          <w:p w14:paraId="71F1DA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cm以上</w:t>
            </w:r>
          </w:p>
        </w:tc>
        <w:tc>
          <w:tcPr>
            <w:tcW w:w="1242" w:type="dxa"/>
            <w:noWrap w:val="0"/>
            <w:vAlign w:val="center"/>
          </w:tcPr>
          <w:p w14:paraId="583CA7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32.8</w:t>
            </w:r>
          </w:p>
        </w:tc>
        <w:tc>
          <w:tcPr>
            <w:tcW w:w="2613" w:type="dxa"/>
            <w:noWrap w:val="0"/>
            <w:vAlign w:val="center"/>
          </w:tcPr>
          <w:p w14:paraId="5FEC78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550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元/万尾</w:t>
            </w:r>
          </w:p>
        </w:tc>
        <w:tc>
          <w:tcPr>
            <w:tcW w:w="1365" w:type="dxa"/>
            <w:noWrap w:val="0"/>
            <w:vAlign w:val="center"/>
          </w:tcPr>
          <w:p w14:paraId="5D0460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1.81</w:t>
            </w:r>
          </w:p>
        </w:tc>
      </w:tr>
      <w:tr w14:paraId="72AF0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1743" w:type="dxa"/>
            <w:vMerge w:val="continue"/>
            <w:noWrap w:val="0"/>
            <w:vAlign w:val="center"/>
          </w:tcPr>
          <w:p w14:paraId="0B6519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960" w:type="dxa"/>
            <w:noWrap w:val="0"/>
            <w:vAlign w:val="center"/>
          </w:tcPr>
          <w:p w14:paraId="7E0BBF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团头鲂</w:t>
            </w:r>
          </w:p>
        </w:tc>
        <w:tc>
          <w:tcPr>
            <w:tcW w:w="1425" w:type="dxa"/>
            <w:noWrap w:val="0"/>
            <w:vAlign w:val="center"/>
          </w:tcPr>
          <w:p w14:paraId="2C6021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cm以上</w:t>
            </w:r>
          </w:p>
        </w:tc>
        <w:tc>
          <w:tcPr>
            <w:tcW w:w="1242" w:type="dxa"/>
            <w:noWrap w:val="0"/>
            <w:vAlign w:val="center"/>
          </w:tcPr>
          <w:p w14:paraId="2095FE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2613" w:type="dxa"/>
            <w:noWrap w:val="0"/>
            <w:vAlign w:val="center"/>
          </w:tcPr>
          <w:p w14:paraId="4A7186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1000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元/万尾</w:t>
            </w:r>
          </w:p>
        </w:tc>
        <w:tc>
          <w:tcPr>
            <w:tcW w:w="1365" w:type="dxa"/>
            <w:noWrap w:val="0"/>
            <w:vAlign w:val="center"/>
          </w:tcPr>
          <w:p w14:paraId="65366F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1.6</w:t>
            </w:r>
          </w:p>
        </w:tc>
      </w:tr>
      <w:tr w14:paraId="1C4E1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1743" w:type="dxa"/>
            <w:vMerge w:val="continue"/>
            <w:noWrap w:val="0"/>
            <w:vAlign w:val="center"/>
          </w:tcPr>
          <w:p w14:paraId="1D54B2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960" w:type="dxa"/>
            <w:noWrap w:val="0"/>
            <w:vAlign w:val="center"/>
          </w:tcPr>
          <w:p w14:paraId="75978D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鳜鱼</w:t>
            </w:r>
          </w:p>
        </w:tc>
        <w:tc>
          <w:tcPr>
            <w:tcW w:w="1425" w:type="dxa"/>
            <w:noWrap w:val="0"/>
            <w:vAlign w:val="center"/>
          </w:tcPr>
          <w:p w14:paraId="343E2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cm以上</w:t>
            </w:r>
          </w:p>
        </w:tc>
        <w:tc>
          <w:tcPr>
            <w:tcW w:w="1242" w:type="dxa"/>
            <w:noWrap w:val="0"/>
            <w:vAlign w:val="center"/>
          </w:tcPr>
          <w:p w14:paraId="6CA40E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4.0</w:t>
            </w:r>
          </w:p>
        </w:tc>
        <w:tc>
          <w:tcPr>
            <w:tcW w:w="2613" w:type="dxa"/>
            <w:noWrap w:val="0"/>
            <w:vAlign w:val="center"/>
          </w:tcPr>
          <w:p w14:paraId="6B1F89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3元/尾</w:t>
            </w:r>
          </w:p>
        </w:tc>
        <w:tc>
          <w:tcPr>
            <w:tcW w:w="1365" w:type="dxa"/>
            <w:noWrap w:val="0"/>
            <w:vAlign w:val="center"/>
          </w:tcPr>
          <w:p w14:paraId="440826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12.0</w:t>
            </w:r>
          </w:p>
        </w:tc>
      </w:tr>
      <w:tr w14:paraId="70A99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4128" w:type="dxa"/>
            <w:gridSpan w:val="3"/>
            <w:noWrap w:val="0"/>
            <w:vAlign w:val="center"/>
          </w:tcPr>
          <w:p w14:paraId="195859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第二批次小计：</w:t>
            </w:r>
          </w:p>
        </w:tc>
        <w:tc>
          <w:tcPr>
            <w:tcW w:w="1242" w:type="dxa"/>
            <w:noWrap w:val="0"/>
            <w:vAlign w:val="center"/>
          </w:tcPr>
          <w:p w14:paraId="27E354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78.8</w:t>
            </w:r>
          </w:p>
        </w:tc>
        <w:tc>
          <w:tcPr>
            <w:tcW w:w="2613" w:type="dxa"/>
            <w:noWrap w:val="0"/>
            <w:vAlign w:val="center"/>
          </w:tcPr>
          <w:p w14:paraId="041E9B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65" w:type="dxa"/>
            <w:noWrap w:val="0"/>
            <w:vAlign w:val="center"/>
          </w:tcPr>
          <w:p w14:paraId="7E5B56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16.27</w:t>
            </w:r>
          </w:p>
        </w:tc>
      </w:tr>
    </w:tbl>
    <w:p w14:paraId="38D6EFA5">
      <w:pPr>
        <w:numPr>
          <w:ilvl w:val="0"/>
          <w:numId w:val="0"/>
        </w:numPr>
        <w:rPr>
          <w:rFonts w:hint="eastAsia"/>
          <w:lang w:eastAsia="zh-CN"/>
        </w:rPr>
      </w:pPr>
    </w:p>
    <w:p w14:paraId="71519158">
      <w:pPr>
        <w:pStyle w:val="6"/>
        <w:spacing w:line="276" w:lineRule="auto"/>
        <w:ind w:firstLine="422" w:firstLineChars="150"/>
        <w:rPr>
          <w:rFonts w:hint="eastAsia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注：</w:t>
      </w:r>
      <w:r>
        <w:rPr>
          <w:rFonts w:hint="eastAsia" w:ascii="宋体" w:hAnsi="宋体" w:cs="宋体"/>
          <w:b/>
          <w:bCs/>
          <w:sz w:val="28"/>
          <w:szCs w:val="28"/>
        </w:rPr>
        <w:t>以</w:t>
      </w:r>
      <w:r>
        <w:rPr>
          <w:rFonts w:hint="eastAsia" w:ascii="宋体" w:hAnsi="宋体" w:cs="宋体"/>
          <w:sz w:val="28"/>
          <w:szCs w:val="28"/>
        </w:rPr>
        <w:t>上要求必须全部满足，如提供材料不符或存在虚假响应的做无效标处理</w:t>
      </w:r>
      <w:r>
        <w:rPr>
          <w:rFonts w:hint="eastAsia"/>
          <w:sz w:val="28"/>
          <w:szCs w:val="28"/>
        </w:rPr>
        <w:t>。</w:t>
      </w:r>
    </w:p>
    <w:p w14:paraId="54ED6478">
      <w:pPr>
        <w:pStyle w:val="6"/>
        <w:spacing w:line="276" w:lineRule="auto"/>
        <w:ind w:firstLine="422" w:firstLineChars="150"/>
        <w:rPr>
          <w:rFonts w:hint="eastAsia"/>
          <w:sz w:val="28"/>
          <w:szCs w:val="28"/>
        </w:rPr>
      </w:pPr>
    </w:p>
    <w:p w14:paraId="4DCBAA1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0BDB5C4"/>
    <w:multiLevelType w:val="singleLevel"/>
    <w:tmpl w:val="C0BDB5C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DD06AE"/>
    <w:rsid w:val="63DD0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0" w:after="20" w:line="416" w:lineRule="auto"/>
      <w:outlineLvl w:val="2"/>
    </w:pPr>
    <w:rPr>
      <w:bCs/>
      <w:sz w:val="24"/>
      <w:szCs w:val="32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autoSpaceDE w:val="0"/>
      <w:autoSpaceDN w:val="0"/>
      <w:adjustRightInd w:val="0"/>
      <w:spacing w:line="240" w:lineRule="auto"/>
      <w:jc w:val="center"/>
      <w:textAlignment w:val="baseline"/>
    </w:pPr>
    <w:rPr>
      <w:rFonts w:ascii="宋体"/>
      <w:kern w:val="0"/>
      <w:sz w:val="32"/>
      <w:szCs w:val="20"/>
    </w:rPr>
  </w:style>
  <w:style w:type="paragraph" w:styleId="3">
    <w:name w:val="Body Text First Indent"/>
    <w:basedOn w:val="2"/>
    <w:unhideWhenUsed/>
    <w:qFormat/>
    <w:uiPriority w:val="99"/>
    <w:pPr>
      <w:autoSpaceDE/>
      <w:autoSpaceDN/>
      <w:adjustRightInd/>
      <w:spacing w:after="120" w:line="360" w:lineRule="auto"/>
      <w:ind w:firstLine="420" w:firstLineChars="100"/>
      <w:jc w:val="both"/>
      <w:textAlignment w:val="auto"/>
    </w:pPr>
    <w:rPr>
      <w:rFonts w:ascii="Times New Roman"/>
      <w:kern w:val="2"/>
      <w:sz w:val="21"/>
      <w:szCs w:val="22"/>
      <w:lang w:val="en-US" w:eastAsia="zh-CN"/>
    </w:rPr>
  </w:style>
  <w:style w:type="paragraph" w:styleId="5">
    <w:name w:val="Body Text Indent"/>
    <w:basedOn w:val="1"/>
    <w:unhideWhenUsed/>
    <w:uiPriority w:val="99"/>
    <w:pPr>
      <w:ind w:firstLine="422" w:firstLineChars="200"/>
    </w:pPr>
    <w:rPr>
      <w:b/>
    </w:rPr>
  </w:style>
  <w:style w:type="paragraph" w:styleId="6">
    <w:name w:val="Body Text First Indent 2"/>
    <w:basedOn w:val="5"/>
    <w:qFormat/>
    <w:uiPriority w:val="0"/>
    <w:pPr>
      <w:ind w:firstLine="420" w:firstLineChars="200"/>
    </w:pPr>
  </w:style>
  <w:style w:type="table" w:styleId="8">
    <w:name w:val="Table Grid"/>
    <w:basedOn w:val="7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2026-05-22T07:01:00Z</dcterms:created>
  <dc:creator>Administrator</dc:creator>
  <cp:lastModifiedBy>Administrator</cp:lastModifiedBy>
  <dcterms:modified xsi:type="dcterms:W3CDTF">2026-05-22T07:02:01Z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DF8F56E20962495A83506411A4E60DFF_11</vt:lpwstr>
  </property>
  <property fmtid="{D5CDD505-2E9C-101B-9397-08002B2CF9AE}" pid="4" name="KSOTemplateDocerSaveRecord">
    <vt:lpwstr>eyJoZGlkIjoiNmY1MDVjNzg4MTc0MmVmMzllYWU3MTRhYzQyODQ0ZDUiLCJ1c2VySWQiOiIyMzY5MDA4NjAifQ==</vt:lpwstr>
  </property>
</Properties>
</file>