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8B4D25">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bookmarkStart w:id="48" w:name="_GoBack"/>
      <w:bookmarkEnd w:id="48"/>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2EEE5818">
      <w:pPr>
        <w:pageBreakBefore w:val="0"/>
        <w:widowControl w:val="0"/>
        <w:wordWrap/>
        <w:overflowPunct/>
        <w:topLinePunct w:val="0"/>
        <w:bidi w:val="0"/>
        <w:spacing w:line="309" w:lineRule="auto"/>
        <w:jc w:val="center"/>
        <w:rPr>
          <w:color w:val="auto"/>
          <w:highlight w:val="none"/>
          <w:lang w:eastAsia="zh-CN"/>
        </w:rPr>
      </w:pPr>
    </w:p>
    <w:p w14:paraId="3118BBA4">
      <w:pPr>
        <w:pageBreakBefore w:val="0"/>
        <w:widowControl w:val="0"/>
        <w:wordWrap/>
        <w:overflowPunct/>
        <w:topLinePunct w:val="0"/>
        <w:bidi w:val="0"/>
        <w:spacing w:before="78" w:line="219" w:lineRule="auto"/>
        <w:rPr>
          <w:rFonts w:hint="eastAsia" w:ascii="宋体" w:hAnsi="宋体" w:eastAsia="宋体" w:cs="宋体"/>
          <w:b/>
          <w:bCs/>
          <w:color w:val="auto"/>
          <w:spacing w:val="-5"/>
          <w:sz w:val="24"/>
          <w:szCs w:val="24"/>
          <w:highlight w:val="none"/>
          <w:lang w:val="en-US" w:eastAsia="zh-CN"/>
        </w:rPr>
      </w:pPr>
      <w:r>
        <w:rPr>
          <w:rFonts w:hint="eastAsia" w:ascii="宋体" w:hAnsi="宋体" w:eastAsia="宋体" w:cs="宋体"/>
          <w:b/>
          <w:bCs/>
          <w:color w:val="auto"/>
          <w:spacing w:val="-5"/>
          <w:sz w:val="24"/>
          <w:szCs w:val="24"/>
          <w:highlight w:val="none"/>
          <w:lang w:val="en-US" w:eastAsia="zh-CN"/>
        </w:rPr>
        <w:t>一、采购需求表</w:t>
      </w:r>
    </w:p>
    <w:p w14:paraId="42717213">
      <w:pPr>
        <w:pageBreakBefore w:val="0"/>
        <w:widowControl w:val="0"/>
        <w:wordWrap/>
        <w:overflowPunct/>
        <w:topLinePunct w:val="0"/>
        <w:bidi w:val="0"/>
        <w:spacing w:before="64"/>
        <w:rPr>
          <w:color w:val="auto"/>
          <w:highlight w:val="none"/>
        </w:rPr>
      </w:pPr>
    </w:p>
    <w:tbl>
      <w:tblPr>
        <w:tblStyle w:val="8"/>
        <w:tblW w:w="869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76"/>
        <w:gridCol w:w="788"/>
        <w:gridCol w:w="5935"/>
      </w:tblGrid>
      <w:tr w14:paraId="3004C1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406" w:hRule="atLeast"/>
          <w:jc w:val="center"/>
        </w:trPr>
        <w:tc>
          <w:tcPr>
            <w:tcW w:w="1976" w:type="dxa"/>
            <w:tcBorders>
              <w:right w:val="nil"/>
            </w:tcBorders>
            <w:vAlign w:val="top"/>
          </w:tcPr>
          <w:p w14:paraId="2FF6CE77">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24355" cy="1466850"/>
                  <wp:effectExtent l="0" t="0" r="4445" b="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24355" cy="1466850"/>
                          </a:xfrm>
                          <a:prstGeom prst="rect">
                            <a:avLst/>
                          </a:prstGeom>
                        </pic:spPr>
                      </pic:pic>
                    </a:graphicData>
                  </a:graphic>
                </wp:anchor>
              </w:drawing>
            </w:r>
            <w:r>
              <w:rPr>
                <w:rFonts w:ascii="宋体" w:hAnsi="宋体" w:eastAsia="宋体" w:cs="宋体"/>
                <w:color w:val="auto"/>
                <w:sz w:val="24"/>
                <w:szCs w:val="24"/>
                <w:highlight w:val="none"/>
              </w:rPr>
              <w:t>名</w:t>
            </w:r>
          </w:p>
          <w:p w14:paraId="4A89786E">
            <w:pPr>
              <w:pStyle w:val="9"/>
              <w:pageBreakBefore w:val="0"/>
              <w:widowControl w:val="0"/>
              <w:wordWrap/>
              <w:overflowPunct/>
              <w:topLinePunct w:val="0"/>
              <w:bidi w:val="0"/>
              <w:spacing w:line="245" w:lineRule="auto"/>
              <w:rPr>
                <w:color w:val="auto"/>
                <w:highlight w:val="none"/>
              </w:rPr>
            </w:pPr>
          </w:p>
          <w:p w14:paraId="34D052A2">
            <w:pPr>
              <w:pStyle w:val="9"/>
              <w:pageBreakBefore w:val="0"/>
              <w:widowControl w:val="0"/>
              <w:wordWrap/>
              <w:overflowPunct/>
              <w:topLinePunct w:val="0"/>
              <w:bidi w:val="0"/>
              <w:spacing w:line="246" w:lineRule="auto"/>
              <w:rPr>
                <w:color w:val="auto"/>
                <w:highlight w:val="none"/>
              </w:rPr>
            </w:pPr>
          </w:p>
          <w:p w14:paraId="1C0A999F">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162C37CE">
            <w:pPr>
              <w:pStyle w:val="9"/>
              <w:pageBreakBefore w:val="0"/>
              <w:widowControl w:val="0"/>
              <w:wordWrap/>
              <w:overflowPunct/>
              <w:topLinePunct w:val="0"/>
              <w:bidi w:val="0"/>
              <w:spacing w:line="338" w:lineRule="auto"/>
              <w:rPr>
                <w:color w:val="auto"/>
                <w:highlight w:val="none"/>
              </w:rPr>
            </w:pPr>
          </w:p>
          <w:p w14:paraId="404071A2">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788" w:type="dxa"/>
            <w:tcBorders>
              <w:left w:val="nil"/>
            </w:tcBorders>
            <w:vAlign w:val="top"/>
          </w:tcPr>
          <w:p w14:paraId="7A2D2371">
            <w:pPr>
              <w:pStyle w:val="9"/>
              <w:pageBreakBefore w:val="0"/>
              <w:widowControl w:val="0"/>
              <w:wordWrap/>
              <w:overflowPunct/>
              <w:topLinePunct w:val="0"/>
              <w:bidi w:val="0"/>
              <w:spacing w:line="263" w:lineRule="auto"/>
              <w:rPr>
                <w:color w:val="auto"/>
                <w:highlight w:val="none"/>
              </w:rPr>
            </w:pPr>
          </w:p>
          <w:p w14:paraId="7638BB57">
            <w:pPr>
              <w:pStyle w:val="9"/>
              <w:pageBreakBefore w:val="0"/>
              <w:widowControl w:val="0"/>
              <w:wordWrap/>
              <w:overflowPunct/>
              <w:topLinePunct w:val="0"/>
              <w:bidi w:val="0"/>
              <w:spacing w:line="263" w:lineRule="auto"/>
              <w:rPr>
                <w:color w:val="auto"/>
                <w:highlight w:val="none"/>
              </w:rPr>
            </w:pPr>
          </w:p>
          <w:p w14:paraId="4E97FFFB">
            <w:pPr>
              <w:pStyle w:val="9"/>
              <w:pageBreakBefore w:val="0"/>
              <w:widowControl w:val="0"/>
              <w:wordWrap/>
              <w:overflowPunct/>
              <w:topLinePunct w:val="0"/>
              <w:bidi w:val="0"/>
              <w:spacing w:line="264" w:lineRule="auto"/>
              <w:rPr>
                <w:color w:val="auto"/>
                <w:highlight w:val="none"/>
              </w:rPr>
            </w:pPr>
          </w:p>
          <w:p w14:paraId="19ED43D8">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5935" w:type="dxa"/>
            <w:vAlign w:val="center"/>
          </w:tcPr>
          <w:p w14:paraId="0BC0C601">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上饶市投资项目数字评审系统</w:t>
            </w:r>
          </w:p>
        </w:tc>
      </w:tr>
      <w:tr w14:paraId="699521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4" w:hRule="atLeast"/>
          <w:jc w:val="center"/>
        </w:trPr>
        <w:tc>
          <w:tcPr>
            <w:tcW w:w="2764" w:type="dxa"/>
            <w:gridSpan w:val="2"/>
            <w:vAlign w:val="center"/>
          </w:tcPr>
          <w:p w14:paraId="13B85659">
            <w:pPr>
              <w:jc w:val="center"/>
              <w:rPr>
                <w:rFonts w:hint="eastAsia" w:ascii="宋体" w:hAnsi="宋体" w:eastAsia="宋体" w:cs="宋体"/>
                <w:sz w:val="24"/>
                <w:szCs w:val="24"/>
              </w:rPr>
            </w:pPr>
            <w:r>
              <w:rPr>
                <w:rFonts w:hint="eastAsia" w:ascii="宋体" w:hAnsi="宋体" w:eastAsia="宋体" w:cs="宋体"/>
                <w:sz w:val="24"/>
                <w:szCs w:val="24"/>
              </w:rPr>
              <w:t>数量</w:t>
            </w:r>
          </w:p>
        </w:tc>
        <w:tc>
          <w:tcPr>
            <w:tcW w:w="5935" w:type="dxa"/>
            <w:vAlign w:val="center"/>
          </w:tcPr>
          <w:p w14:paraId="4F8FAAFB">
            <w:pPr>
              <w:jc w:val="center"/>
              <w:rPr>
                <w:rFonts w:hint="eastAsia" w:ascii="宋体" w:hAnsi="宋体" w:eastAsia="宋体" w:cs="宋体"/>
                <w:sz w:val="24"/>
                <w:szCs w:val="24"/>
              </w:rPr>
            </w:pPr>
            <w:r>
              <w:rPr>
                <w:rFonts w:hint="eastAsia" w:ascii="宋体" w:hAnsi="宋体" w:eastAsia="宋体" w:cs="宋体"/>
                <w:color w:val="auto"/>
                <w:sz w:val="24"/>
                <w:szCs w:val="24"/>
                <w:highlight w:val="none"/>
                <w:lang w:eastAsia="zh-CN"/>
              </w:rPr>
              <w:t>一套</w:t>
            </w:r>
          </w:p>
        </w:tc>
      </w:tr>
      <w:tr w14:paraId="61BA43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4" w:hRule="atLeast"/>
          <w:jc w:val="center"/>
        </w:trPr>
        <w:tc>
          <w:tcPr>
            <w:tcW w:w="2764" w:type="dxa"/>
            <w:gridSpan w:val="2"/>
            <w:vAlign w:val="center"/>
          </w:tcPr>
          <w:p w14:paraId="72D366C2">
            <w:pPr>
              <w:jc w:val="center"/>
              <w:rPr>
                <w:rFonts w:hint="eastAsia" w:ascii="宋体" w:hAnsi="宋体" w:eastAsia="宋体" w:cs="宋体"/>
                <w:sz w:val="24"/>
                <w:szCs w:val="24"/>
              </w:rPr>
            </w:pPr>
            <w:r>
              <w:rPr>
                <w:rFonts w:hint="eastAsia" w:ascii="宋体" w:hAnsi="宋体" w:eastAsia="宋体" w:cs="宋体"/>
                <w:sz w:val="24"/>
                <w:szCs w:val="24"/>
                <w:lang w:val="en-US" w:eastAsia="zh-CN"/>
              </w:rPr>
              <w:t>服务</w:t>
            </w:r>
            <w:r>
              <w:rPr>
                <w:rFonts w:hint="eastAsia" w:ascii="宋体" w:hAnsi="宋体" w:eastAsia="宋体" w:cs="宋体"/>
                <w:sz w:val="24"/>
                <w:szCs w:val="24"/>
              </w:rPr>
              <w:t>期</w:t>
            </w:r>
          </w:p>
        </w:tc>
        <w:tc>
          <w:tcPr>
            <w:tcW w:w="5935" w:type="dxa"/>
            <w:vAlign w:val="center"/>
          </w:tcPr>
          <w:p w14:paraId="5E4DAB75">
            <w:pPr>
              <w:jc w:val="center"/>
              <w:rPr>
                <w:rFonts w:hint="eastAsia" w:ascii="宋体" w:hAnsi="宋体" w:eastAsia="宋体" w:cs="宋体"/>
                <w:sz w:val="24"/>
                <w:szCs w:val="24"/>
              </w:rPr>
            </w:pPr>
            <w:r>
              <w:rPr>
                <w:rFonts w:hint="eastAsia" w:ascii="宋体" w:hAnsi="宋体" w:eastAsia="宋体" w:cs="宋体"/>
                <w:color w:val="auto"/>
                <w:sz w:val="24"/>
                <w:szCs w:val="24"/>
                <w:highlight w:val="none"/>
                <w:lang w:eastAsia="zh-CN"/>
              </w:rPr>
              <w:t>三年（含运维）</w:t>
            </w:r>
          </w:p>
        </w:tc>
      </w:tr>
      <w:tr w14:paraId="3CAEE2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4" w:hRule="atLeast"/>
          <w:jc w:val="center"/>
        </w:trPr>
        <w:tc>
          <w:tcPr>
            <w:tcW w:w="2764" w:type="dxa"/>
            <w:gridSpan w:val="2"/>
            <w:vAlign w:val="center"/>
          </w:tcPr>
          <w:p w14:paraId="38AF30A7">
            <w:pPr>
              <w:jc w:val="center"/>
              <w:rPr>
                <w:rFonts w:hint="eastAsia" w:ascii="宋体" w:hAnsi="宋体" w:eastAsia="宋体" w:cs="宋体"/>
                <w:sz w:val="24"/>
                <w:szCs w:val="24"/>
              </w:rPr>
            </w:pPr>
            <w:r>
              <w:rPr>
                <w:rFonts w:hint="eastAsia" w:ascii="宋体" w:hAnsi="宋体" w:eastAsia="宋体" w:cs="宋体"/>
                <w:sz w:val="24"/>
                <w:szCs w:val="24"/>
                <w:lang w:val="en-US" w:eastAsia="zh-CN"/>
              </w:rPr>
              <w:t>服务</w:t>
            </w:r>
            <w:r>
              <w:rPr>
                <w:rFonts w:hint="eastAsia" w:ascii="宋体" w:hAnsi="宋体" w:eastAsia="宋体" w:cs="宋体"/>
                <w:sz w:val="24"/>
                <w:szCs w:val="24"/>
              </w:rPr>
              <w:t>地点</w:t>
            </w:r>
          </w:p>
        </w:tc>
        <w:tc>
          <w:tcPr>
            <w:tcW w:w="5935" w:type="dxa"/>
            <w:vAlign w:val="center"/>
          </w:tcPr>
          <w:p w14:paraId="04B32DAA">
            <w:pPr>
              <w:jc w:val="center"/>
              <w:rPr>
                <w:rFonts w:hint="eastAsia" w:ascii="宋体" w:hAnsi="宋体" w:eastAsia="宋体" w:cs="宋体"/>
                <w:sz w:val="24"/>
                <w:szCs w:val="24"/>
              </w:rPr>
            </w:pPr>
            <w:r>
              <w:rPr>
                <w:rFonts w:hint="eastAsia" w:ascii="宋体" w:hAnsi="宋体" w:eastAsia="宋体" w:cs="宋体"/>
                <w:color w:val="auto"/>
                <w:sz w:val="24"/>
                <w:szCs w:val="24"/>
                <w:highlight w:val="none"/>
                <w:lang w:val="en-US" w:eastAsia="zh-CN"/>
              </w:rPr>
              <w:t>上饶市信州区锦绣路2号广信大厦B栋11楼</w:t>
            </w:r>
          </w:p>
        </w:tc>
      </w:tr>
      <w:tr w14:paraId="41D52A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7" w:hRule="atLeast"/>
          <w:jc w:val="center"/>
        </w:trPr>
        <w:tc>
          <w:tcPr>
            <w:tcW w:w="2764" w:type="dxa"/>
            <w:gridSpan w:val="2"/>
            <w:vAlign w:val="center"/>
          </w:tcPr>
          <w:p w14:paraId="5F2D4CA5">
            <w:pPr>
              <w:jc w:val="center"/>
              <w:rPr>
                <w:rFonts w:hint="eastAsia" w:ascii="宋体" w:hAnsi="宋体" w:eastAsia="宋体" w:cs="宋体"/>
                <w:sz w:val="24"/>
                <w:szCs w:val="24"/>
              </w:rPr>
            </w:pPr>
            <w:r>
              <w:rPr>
                <w:rFonts w:hint="eastAsia" w:ascii="宋体" w:hAnsi="宋体" w:eastAsia="宋体" w:cs="宋体"/>
                <w:sz w:val="24"/>
                <w:szCs w:val="24"/>
              </w:rPr>
              <w:t>备注</w:t>
            </w:r>
          </w:p>
        </w:tc>
        <w:tc>
          <w:tcPr>
            <w:tcW w:w="5935" w:type="dxa"/>
            <w:vAlign w:val="center"/>
          </w:tcPr>
          <w:p w14:paraId="48FA9501">
            <w:pPr>
              <w:jc w:val="both"/>
              <w:rPr>
                <w:rFonts w:hint="eastAsia" w:ascii="宋体" w:hAnsi="宋体" w:eastAsia="宋体" w:cs="宋体"/>
                <w:sz w:val="24"/>
                <w:szCs w:val="24"/>
              </w:rPr>
            </w:pPr>
            <w:r>
              <w:rPr>
                <w:rFonts w:hint="eastAsia" w:ascii="宋体" w:hAnsi="宋体" w:eastAsia="宋体" w:cs="宋体"/>
                <w:color w:val="auto"/>
                <w:sz w:val="24"/>
                <w:szCs w:val="24"/>
                <w:highlight w:val="none"/>
                <w:lang w:val="en-US" w:eastAsia="zh-CN"/>
              </w:rPr>
              <w:t>构建集成待办、推进项目、评审依据库、专家库等核心模块，实现信息统一推送与办公提效；通过专家全生命周期管理、项目评审全流程闭环（涵盖生成、预审、评审、归档等）规范决策流程；整合法律法规库及成果共享平台强化评审依据与知识沉淀；对接赣政通实现移动审批与公众服务透明化;支撑平台采用微服务架构，提供统一用户、授权、认证、工作流等组件。</w:t>
            </w:r>
          </w:p>
        </w:tc>
      </w:tr>
    </w:tbl>
    <w:p w14:paraId="62DA5BBC">
      <w:pPr>
        <w:pageBreakBefore w:val="0"/>
        <w:widowControl w:val="0"/>
        <w:wordWrap/>
        <w:overflowPunct/>
        <w:topLinePunct w:val="0"/>
        <w:bidi w:val="0"/>
        <w:rPr>
          <w:color w:val="auto"/>
          <w:highlight w:val="none"/>
        </w:rPr>
      </w:pPr>
    </w:p>
    <w:p w14:paraId="47BAFCEF">
      <w:pPr>
        <w:pageBreakBefore w:val="0"/>
        <w:widowControl w:val="0"/>
        <w:wordWrap/>
        <w:overflowPunct/>
        <w:topLinePunct w:val="0"/>
        <w:bidi w:val="0"/>
        <w:rPr>
          <w:color w:val="auto"/>
          <w:highlight w:val="none"/>
        </w:rPr>
        <w:sectPr>
          <w:footerReference r:id="rId3" w:type="default"/>
          <w:pgSz w:w="11906" w:h="16839"/>
          <w:pgMar w:top="1440" w:right="1800" w:bottom="1440" w:left="1800" w:header="0" w:footer="994" w:gutter="0"/>
          <w:pgNumType w:fmt="decimal"/>
          <w:cols w:space="720" w:num="1"/>
        </w:sectPr>
      </w:pPr>
    </w:p>
    <w:p w14:paraId="03199CA4">
      <w:pPr>
        <w:spacing w:line="360" w:lineRule="auto"/>
        <w:ind w:firstLine="482" w:firstLineChars="200"/>
        <w:rPr>
          <w:rFonts w:hint="eastAsia" w:ascii="宋体" w:hAnsi="宋体" w:eastAsia="宋体" w:cs="宋体"/>
          <w:b/>
          <w:bCs/>
          <w:sz w:val="24"/>
          <w:szCs w:val="24"/>
          <w:lang w:val="en-US" w:eastAsia="zh-CN"/>
        </w:rPr>
      </w:pPr>
      <w:bookmarkStart w:id="0" w:name="bookmark81"/>
      <w:bookmarkEnd w:id="0"/>
      <w:r>
        <w:rPr>
          <w:rFonts w:hint="eastAsia" w:ascii="宋体" w:hAnsi="宋体" w:eastAsia="宋体" w:cs="宋体"/>
          <w:b/>
          <w:bCs/>
          <w:sz w:val="24"/>
          <w:szCs w:val="24"/>
          <w:lang w:val="en-US" w:eastAsia="zh-CN"/>
        </w:rPr>
        <w:t>二、项目概况</w:t>
      </w:r>
    </w:p>
    <w:p w14:paraId="2CA98BD2">
      <w:pPr>
        <w:spacing w:line="360" w:lineRule="auto"/>
        <w:ind w:firstLine="482" w:firstLineChars="200"/>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（一）建设原则</w:t>
      </w:r>
    </w:p>
    <w:p w14:paraId="4B91D3CE">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“五统一”原则</w:t>
      </w:r>
    </w:p>
    <w:p w14:paraId="65F0DFDC">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①统一顶层架构</w:t>
      </w:r>
    </w:p>
    <w:p w14:paraId="54DFF158">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从顶层设计上充分考虑我市投资项目评审评估“一张网”格局，按照该格局采用市级统一建设方式整体推进项目建设。本项目还将与省政府投资项目评审评估系统对接，确保系统与省政府投资项目评审评估系统之间专家数据一致性，避免因数据不一致而导致业务混乱或决策失误。</w:t>
      </w:r>
    </w:p>
    <w:p w14:paraId="204456B5">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②统一数字底座</w:t>
      </w:r>
    </w:p>
    <w:p w14:paraId="23AED134">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eastAsia="zh-CN"/>
        </w:rPr>
        <w:t>按照“以共享为原则、不共享为例外”的要求，项目产生的</w:t>
      </w:r>
      <w:r>
        <w:rPr>
          <w:rFonts w:hint="eastAsia" w:ascii="宋体" w:hAnsi="宋体" w:eastAsia="宋体" w:cs="宋体"/>
          <w:sz w:val="24"/>
          <w:szCs w:val="24"/>
          <w:lang w:val="en-US" w:eastAsia="zh-CN"/>
        </w:rPr>
        <w:t>专家信息、项目信息、项目评审信息等</w:t>
      </w:r>
      <w:r>
        <w:rPr>
          <w:rFonts w:hint="eastAsia" w:ascii="宋体" w:hAnsi="宋体" w:eastAsia="宋体" w:cs="宋体"/>
          <w:sz w:val="24"/>
          <w:szCs w:val="24"/>
          <w:lang w:eastAsia="zh-CN"/>
        </w:rPr>
        <w:t>数据资源</w:t>
      </w:r>
      <w:r>
        <w:rPr>
          <w:rFonts w:hint="eastAsia" w:ascii="宋体" w:hAnsi="宋体" w:eastAsia="宋体" w:cs="宋体"/>
          <w:sz w:val="24"/>
          <w:szCs w:val="24"/>
          <w:lang w:val="en-US" w:eastAsia="zh-CN"/>
        </w:rPr>
        <w:t>会</w:t>
      </w:r>
      <w:r>
        <w:rPr>
          <w:rFonts w:hint="eastAsia" w:ascii="宋体" w:hAnsi="宋体" w:eastAsia="宋体" w:cs="宋体"/>
          <w:sz w:val="24"/>
          <w:szCs w:val="24"/>
          <w:lang w:eastAsia="zh-CN"/>
        </w:rPr>
        <w:t>接入上饶市电子政务共享数据统一交换平台，</w:t>
      </w:r>
      <w:r>
        <w:rPr>
          <w:rFonts w:hint="eastAsia" w:ascii="宋体" w:hAnsi="宋体" w:eastAsia="宋体" w:cs="宋体"/>
          <w:sz w:val="24"/>
          <w:szCs w:val="24"/>
          <w:lang w:val="en-US" w:eastAsia="zh-CN"/>
        </w:rPr>
        <w:t>同时</w:t>
      </w:r>
      <w:r>
        <w:rPr>
          <w:rFonts w:hint="eastAsia" w:ascii="宋体" w:hAnsi="宋体" w:eastAsia="宋体" w:cs="宋体"/>
          <w:sz w:val="24"/>
          <w:szCs w:val="24"/>
          <w:lang w:eastAsia="zh-CN"/>
        </w:rPr>
        <w:t>预留与上饶市数据底座平台对接接口，</w:t>
      </w:r>
      <w:r>
        <w:rPr>
          <w:rFonts w:hint="eastAsia" w:ascii="宋体" w:hAnsi="宋体" w:eastAsia="宋体" w:cs="宋体"/>
          <w:sz w:val="24"/>
          <w:szCs w:val="24"/>
          <w:lang w:val="en-US" w:eastAsia="zh-CN"/>
        </w:rPr>
        <w:t>促进数据流通。</w:t>
      </w:r>
    </w:p>
    <w:p w14:paraId="78657233">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③统一技术标准</w:t>
      </w:r>
    </w:p>
    <w:p w14:paraId="3DD0655B">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系统标准规范体系建设围绕市投资项目评审评估特点进行相关标准设计。同时，综合考虑国家、省市的相关技术规范，实现与各类标准的有效融合。</w:t>
      </w:r>
    </w:p>
    <w:p w14:paraId="7FDE304F">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④统一共性应用</w:t>
      </w:r>
    </w:p>
    <w:p w14:paraId="550AF4EC">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依托数字政府体系，复用共性应用能力，包括用户身份认证、权限管理等。通过采用共性业务组件和统一技术架构，可以减少在不同业务系统中重复开发的工作量，提高开发效率。</w:t>
      </w:r>
    </w:p>
    <w:p w14:paraId="77DEB363">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⑤统一运维运营</w:t>
      </w:r>
    </w:p>
    <w:p w14:paraId="43767BDE">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本项目依托市政务云提供的网络、存储、计算、安全等基础设施运维环境，保障平台正常运行。</w:t>
      </w:r>
    </w:p>
    <w:p w14:paraId="4EBE13CE">
      <w:pPr>
        <w:spacing w:line="360" w:lineRule="auto"/>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（二）分项预算清单</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7"/>
        <w:gridCol w:w="2784"/>
        <w:gridCol w:w="885"/>
        <w:gridCol w:w="992"/>
        <w:gridCol w:w="1472"/>
        <w:gridCol w:w="1504"/>
      </w:tblGrid>
      <w:tr w14:paraId="72D0E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jc w:val="center"/>
        </w:trPr>
        <w:tc>
          <w:tcPr>
            <w:tcW w:w="867" w:type="dxa"/>
            <w:noWrap w:val="0"/>
            <w:vAlign w:val="center"/>
          </w:tcPr>
          <w:p w14:paraId="0991296C">
            <w:pPr>
              <w:keepNext w:val="0"/>
              <w:pageBreakBefore w:val="0"/>
              <w:widowControl w:val="0"/>
              <w:kinsoku/>
              <w:overflowPunct/>
              <w:topLinePunct w:val="0"/>
              <w:bidi w:val="0"/>
              <w:spacing w:line="480" w:lineRule="exact"/>
              <w:ind w:firstLine="0" w:firstLineChars="0"/>
              <w:jc w:val="both"/>
              <w:rPr>
                <w:rFonts w:hint="eastAsia" w:ascii="宋体" w:hAnsi="宋体" w:eastAsia="宋体" w:cs="宋体"/>
                <w:b/>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color w:val="000000" w:themeColor="text1"/>
                <w:kern w:val="2"/>
                <w:sz w:val="24"/>
                <w:szCs w:val="24"/>
                <w:lang w:val="en-US" w:eastAsia="zh-CN" w:bidi="ar-SA"/>
                <w14:textFill>
                  <w14:solidFill>
                    <w14:schemeClr w14:val="tx1"/>
                  </w14:solidFill>
                </w14:textFill>
              </w:rPr>
              <w:t>序号</w:t>
            </w:r>
          </w:p>
        </w:tc>
        <w:tc>
          <w:tcPr>
            <w:tcW w:w="2784" w:type="dxa"/>
            <w:noWrap w:val="0"/>
            <w:vAlign w:val="center"/>
          </w:tcPr>
          <w:p w14:paraId="40016AD7">
            <w:pPr>
              <w:keepNext w:val="0"/>
              <w:pageBreakBefore w:val="0"/>
              <w:widowControl w:val="0"/>
              <w:kinsoku/>
              <w:overflowPunct/>
              <w:topLinePunct w:val="0"/>
              <w:bidi w:val="0"/>
              <w:spacing w:line="480" w:lineRule="exact"/>
              <w:ind w:firstLine="0" w:firstLineChars="0"/>
              <w:jc w:val="center"/>
              <w:rPr>
                <w:rFonts w:hint="eastAsia" w:ascii="宋体" w:hAnsi="宋体" w:eastAsia="宋体" w:cs="宋体"/>
                <w:b/>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color w:val="000000" w:themeColor="text1"/>
                <w:kern w:val="2"/>
                <w:sz w:val="24"/>
                <w:szCs w:val="24"/>
                <w:lang w:val="en-US" w:eastAsia="zh-CN" w:bidi="ar-SA"/>
                <w14:textFill>
                  <w14:solidFill>
                    <w14:schemeClr w14:val="tx1"/>
                  </w14:solidFill>
                </w14:textFill>
              </w:rPr>
              <w:t>名称</w:t>
            </w:r>
          </w:p>
        </w:tc>
        <w:tc>
          <w:tcPr>
            <w:tcW w:w="885" w:type="dxa"/>
            <w:noWrap w:val="0"/>
            <w:vAlign w:val="center"/>
          </w:tcPr>
          <w:p w14:paraId="1A402400">
            <w:pPr>
              <w:keepNext w:val="0"/>
              <w:pageBreakBefore w:val="0"/>
              <w:widowControl w:val="0"/>
              <w:kinsoku/>
              <w:overflowPunct/>
              <w:topLinePunct w:val="0"/>
              <w:bidi w:val="0"/>
              <w:spacing w:line="480" w:lineRule="exact"/>
              <w:ind w:firstLine="0" w:firstLineChars="0"/>
              <w:jc w:val="center"/>
              <w:rPr>
                <w:rFonts w:hint="eastAsia" w:ascii="宋体" w:hAnsi="宋体" w:eastAsia="宋体" w:cs="宋体"/>
                <w:b/>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color w:val="000000" w:themeColor="text1"/>
                <w:kern w:val="2"/>
                <w:sz w:val="24"/>
                <w:szCs w:val="24"/>
                <w:lang w:val="en-US" w:eastAsia="zh-CN" w:bidi="ar-SA"/>
                <w14:textFill>
                  <w14:solidFill>
                    <w14:schemeClr w14:val="tx1"/>
                  </w14:solidFill>
                </w14:textFill>
              </w:rPr>
              <w:t>单位</w:t>
            </w:r>
          </w:p>
        </w:tc>
        <w:tc>
          <w:tcPr>
            <w:tcW w:w="992" w:type="dxa"/>
            <w:noWrap w:val="0"/>
            <w:vAlign w:val="center"/>
          </w:tcPr>
          <w:p w14:paraId="707F301E">
            <w:pPr>
              <w:keepNext w:val="0"/>
              <w:pageBreakBefore w:val="0"/>
              <w:widowControl w:val="0"/>
              <w:kinsoku/>
              <w:overflowPunct/>
              <w:topLinePunct w:val="0"/>
              <w:bidi w:val="0"/>
              <w:spacing w:line="480" w:lineRule="exact"/>
              <w:ind w:firstLine="0" w:firstLineChars="0"/>
              <w:jc w:val="center"/>
              <w:rPr>
                <w:rFonts w:hint="eastAsia" w:ascii="宋体" w:hAnsi="宋体" w:eastAsia="宋体" w:cs="宋体"/>
                <w:b/>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color w:val="000000" w:themeColor="text1"/>
                <w:kern w:val="2"/>
                <w:sz w:val="24"/>
                <w:szCs w:val="24"/>
                <w:lang w:val="en-US" w:eastAsia="zh-CN" w:bidi="ar-SA"/>
                <w14:textFill>
                  <w14:solidFill>
                    <w14:schemeClr w14:val="tx1"/>
                  </w14:solidFill>
                </w14:textFill>
              </w:rPr>
              <w:t>数量</w:t>
            </w:r>
          </w:p>
        </w:tc>
        <w:tc>
          <w:tcPr>
            <w:tcW w:w="1472" w:type="dxa"/>
            <w:noWrap w:val="0"/>
            <w:vAlign w:val="center"/>
          </w:tcPr>
          <w:p w14:paraId="141E23AC">
            <w:pPr>
              <w:keepNext w:val="0"/>
              <w:pageBreakBefore w:val="0"/>
              <w:widowControl w:val="0"/>
              <w:kinsoku/>
              <w:overflowPunct/>
              <w:topLinePunct w:val="0"/>
              <w:bidi w:val="0"/>
              <w:spacing w:line="480" w:lineRule="exact"/>
              <w:ind w:firstLine="0" w:firstLineChars="0"/>
              <w:jc w:val="center"/>
              <w:rPr>
                <w:rFonts w:hint="eastAsia" w:ascii="宋体" w:hAnsi="宋体" w:eastAsia="宋体" w:cs="宋体"/>
                <w:b/>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color w:val="000000" w:themeColor="text1"/>
                <w:kern w:val="2"/>
                <w:sz w:val="24"/>
                <w:szCs w:val="24"/>
                <w:lang w:val="en-US" w:eastAsia="zh-CN" w:bidi="ar-SA"/>
                <w14:textFill>
                  <w14:solidFill>
                    <w14:schemeClr w14:val="tx1"/>
                  </w14:solidFill>
                </w14:textFill>
              </w:rPr>
              <w:t>单价（元）</w:t>
            </w:r>
          </w:p>
        </w:tc>
        <w:tc>
          <w:tcPr>
            <w:tcW w:w="1504" w:type="dxa"/>
            <w:noWrap w:val="0"/>
            <w:vAlign w:val="center"/>
          </w:tcPr>
          <w:p w14:paraId="27EECB7E">
            <w:pPr>
              <w:keepNext w:val="0"/>
              <w:pageBreakBefore w:val="0"/>
              <w:widowControl w:val="0"/>
              <w:kinsoku/>
              <w:overflowPunct/>
              <w:topLinePunct w:val="0"/>
              <w:bidi w:val="0"/>
              <w:spacing w:line="480" w:lineRule="exact"/>
              <w:ind w:firstLine="0" w:firstLineChars="0"/>
              <w:jc w:val="center"/>
              <w:rPr>
                <w:rFonts w:hint="eastAsia" w:ascii="宋体" w:hAnsi="宋体" w:eastAsia="宋体" w:cs="宋体"/>
                <w:b/>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color w:val="000000" w:themeColor="text1"/>
                <w:kern w:val="2"/>
                <w:sz w:val="24"/>
                <w:szCs w:val="24"/>
                <w:lang w:val="en-US" w:eastAsia="zh-CN" w:bidi="ar-SA"/>
                <w14:textFill>
                  <w14:solidFill>
                    <w14:schemeClr w14:val="tx1"/>
                  </w14:solidFill>
                </w14:textFill>
              </w:rPr>
              <w:t>小计（元）</w:t>
            </w:r>
          </w:p>
        </w:tc>
      </w:tr>
      <w:tr w14:paraId="0744B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jc w:val="center"/>
        </w:trPr>
        <w:tc>
          <w:tcPr>
            <w:tcW w:w="867" w:type="dxa"/>
            <w:noWrap w:val="0"/>
            <w:vAlign w:val="center"/>
          </w:tcPr>
          <w:p w14:paraId="52D29F0E">
            <w:pPr>
              <w:keepNext w:val="0"/>
              <w:pageBreakBefore w:val="0"/>
              <w:widowControl w:val="0"/>
              <w:kinsoku/>
              <w:overflowPunct/>
              <w:topLinePunct w:val="0"/>
              <w:bidi w:val="0"/>
              <w:ind w:firstLine="0" w:firstLineChars="0"/>
              <w:jc w:val="center"/>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2784" w:type="dxa"/>
            <w:shd w:val="clear" w:color="auto" w:fill="auto"/>
            <w:noWrap w:val="0"/>
            <w:vAlign w:val="center"/>
          </w:tcPr>
          <w:p w14:paraId="74E196D5">
            <w:pPr>
              <w:pStyle w:val="10"/>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sz w:val="24"/>
                <w:szCs w:val="24"/>
              </w:rPr>
              <w:t>内网门户</w:t>
            </w:r>
          </w:p>
        </w:tc>
        <w:tc>
          <w:tcPr>
            <w:tcW w:w="885" w:type="dxa"/>
            <w:noWrap w:val="0"/>
            <w:vAlign w:val="center"/>
          </w:tcPr>
          <w:p w14:paraId="0C616430">
            <w:pPr>
              <w:keepNext w:val="0"/>
              <w:pageBreakBefore w:val="0"/>
              <w:kinsoku/>
              <w:overflowPunct/>
              <w:topLinePunct w:val="0"/>
              <w:bidi w:val="0"/>
              <w:spacing w:line="24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992" w:type="dxa"/>
            <w:noWrap w:val="0"/>
            <w:vAlign w:val="center"/>
          </w:tcPr>
          <w:p w14:paraId="7596C964">
            <w:pPr>
              <w:keepNext w:val="0"/>
              <w:pageBreakBefore w:val="0"/>
              <w:kinsoku/>
              <w:overflowPunct/>
              <w:topLinePunct w:val="0"/>
              <w:bidi w:val="0"/>
              <w:spacing w:line="24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1472" w:type="dxa"/>
            <w:noWrap w:val="0"/>
            <w:vAlign w:val="center"/>
          </w:tcPr>
          <w:p w14:paraId="72B1F4F6">
            <w:pPr>
              <w:keepNext w:val="0"/>
              <w:keepLines w:val="0"/>
              <w:widowControl/>
              <w:suppressLineNumbers w:val="0"/>
              <w:jc w:val="center"/>
              <w:textAlignment w:val="center"/>
              <w:rPr>
                <w:rFonts w:hint="eastAsia" w:ascii="宋体" w:hAnsi="宋体" w:eastAsia="宋体" w:cs="宋体"/>
                <w:sz w:val="24"/>
                <w:szCs w:val="24"/>
                <w:lang w:val="en-US"/>
              </w:rPr>
            </w:pPr>
            <w:r>
              <w:rPr>
                <w:rFonts w:hint="eastAsia" w:ascii="宋体" w:hAnsi="宋体" w:eastAsia="宋体" w:cs="宋体"/>
                <w:i w:val="0"/>
                <w:iCs w:val="0"/>
                <w:color w:val="000000"/>
                <w:kern w:val="0"/>
                <w:sz w:val="24"/>
                <w:szCs w:val="24"/>
                <w:u w:val="none"/>
                <w:lang w:val="en-US" w:eastAsia="zh-CN" w:bidi="ar"/>
              </w:rPr>
              <w:t>120000</w:t>
            </w:r>
          </w:p>
        </w:tc>
        <w:tc>
          <w:tcPr>
            <w:tcW w:w="1504" w:type="dxa"/>
            <w:noWrap w:val="0"/>
            <w:vAlign w:val="center"/>
          </w:tcPr>
          <w:p w14:paraId="21D9BCC5">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120000</w:t>
            </w:r>
          </w:p>
        </w:tc>
      </w:tr>
      <w:tr w14:paraId="7E365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867" w:type="dxa"/>
            <w:noWrap w:val="0"/>
            <w:vAlign w:val="center"/>
          </w:tcPr>
          <w:p w14:paraId="37AC3A77">
            <w:pPr>
              <w:keepNext w:val="0"/>
              <w:pageBreakBefore w:val="0"/>
              <w:widowControl w:val="0"/>
              <w:kinsoku/>
              <w:overflowPunct/>
              <w:topLinePunct w:val="0"/>
              <w:bidi w:val="0"/>
              <w:ind w:firstLine="0" w:firstLineChars="0"/>
              <w:jc w:val="center"/>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w:t>
            </w:r>
          </w:p>
        </w:tc>
        <w:tc>
          <w:tcPr>
            <w:tcW w:w="2784" w:type="dxa"/>
            <w:shd w:val="clear" w:color="auto" w:fill="auto"/>
            <w:noWrap w:val="0"/>
            <w:vAlign w:val="center"/>
          </w:tcPr>
          <w:p w14:paraId="6FDF6506">
            <w:pPr>
              <w:pStyle w:val="10"/>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sz w:val="24"/>
                <w:szCs w:val="24"/>
              </w:rPr>
              <w:t>专家管理</w:t>
            </w:r>
          </w:p>
        </w:tc>
        <w:tc>
          <w:tcPr>
            <w:tcW w:w="885" w:type="dxa"/>
            <w:noWrap w:val="0"/>
            <w:vAlign w:val="center"/>
          </w:tcPr>
          <w:p w14:paraId="3A218EB3">
            <w:pPr>
              <w:keepNext w:val="0"/>
              <w:pageBreakBefore w:val="0"/>
              <w:kinsoku/>
              <w:overflowPunct/>
              <w:topLinePunct w:val="0"/>
              <w:bidi w:val="0"/>
              <w:spacing w:line="24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992" w:type="dxa"/>
            <w:noWrap w:val="0"/>
            <w:vAlign w:val="center"/>
          </w:tcPr>
          <w:p w14:paraId="5B386EBC">
            <w:pPr>
              <w:keepNext w:val="0"/>
              <w:pageBreakBefore w:val="0"/>
              <w:kinsoku/>
              <w:overflowPunct/>
              <w:topLinePunct w:val="0"/>
              <w:bidi w:val="0"/>
              <w:spacing w:line="24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1472" w:type="dxa"/>
            <w:noWrap w:val="0"/>
            <w:vAlign w:val="center"/>
          </w:tcPr>
          <w:p w14:paraId="6D4E4DA2">
            <w:pPr>
              <w:keepNext w:val="0"/>
              <w:keepLines w:val="0"/>
              <w:widowControl/>
              <w:suppressLineNumbers w:val="0"/>
              <w:jc w:val="center"/>
              <w:textAlignment w:val="center"/>
              <w:rPr>
                <w:rFonts w:hint="eastAsia" w:ascii="宋体" w:hAnsi="宋体" w:eastAsia="宋体" w:cs="宋体"/>
                <w:sz w:val="24"/>
                <w:szCs w:val="24"/>
                <w:lang w:val="en-US"/>
              </w:rPr>
            </w:pPr>
            <w:r>
              <w:rPr>
                <w:rFonts w:hint="eastAsia" w:ascii="宋体" w:hAnsi="宋体" w:eastAsia="宋体" w:cs="宋体"/>
                <w:i w:val="0"/>
                <w:iCs w:val="0"/>
                <w:color w:val="000000"/>
                <w:kern w:val="0"/>
                <w:sz w:val="24"/>
                <w:szCs w:val="24"/>
                <w:u w:val="none"/>
                <w:lang w:val="en-US" w:eastAsia="zh-CN" w:bidi="ar"/>
              </w:rPr>
              <w:t>150000</w:t>
            </w:r>
          </w:p>
        </w:tc>
        <w:tc>
          <w:tcPr>
            <w:tcW w:w="1504" w:type="dxa"/>
            <w:noWrap w:val="0"/>
            <w:vAlign w:val="center"/>
          </w:tcPr>
          <w:p w14:paraId="557473E9">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150000</w:t>
            </w:r>
          </w:p>
        </w:tc>
      </w:tr>
      <w:tr w14:paraId="5EF3C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867" w:type="dxa"/>
            <w:noWrap w:val="0"/>
            <w:vAlign w:val="center"/>
          </w:tcPr>
          <w:p w14:paraId="345C4679">
            <w:pPr>
              <w:keepNext w:val="0"/>
              <w:pageBreakBefore w:val="0"/>
              <w:widowControl w:val="0"/>
              <w:kinsoku/>
              <w:overflowPunct/>
              <w:topLinePunct w:val="0"/>
              <w:bidi w:val="0"/>
              <w:ind w:firstLine="0" w:firstLineChars="0"/>
              <w:jc w:val="center"/>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w:t>
            </w:r>
          </w:p>
        </w:tc>
        <w:tc>
          <w:tcPr>
            <w:tcW w:w="2784" w:type="dxa"/>
            <w:shd w:val="clear" w:color="auto" w:fill="auto"/>
            <w:noWrap w:val="0"/>
            <w:vAlign w:val="center"/>
          </w:tcPr>
          <w:p w14:paraId="0EF4C1D0">
            <w:pPr>
              <w:pStyle w:val="10"/>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sz w:val="24"/>
                <w:szCs w:val="24"/>
              </w:rPr>
              <w:t>项目评审</w:t>
            </w:r>
          </w:p>
        </w:tc>
        <w:tc>
          <w:tcPr>
            <w:tcW w:w="885" w:type="dxa"/>
            <w:noWrap w:val="0"/>
            <w:vAlign w:val="center"/>
          </w:tcPr>
          <w:p w14:paraId="340AE465">
            <w:pPr>
              <w:keepNext w:val="0"/>
              <w:pageBreakBefore w:val="0"/>
              <w:kinsoku/>
              <w:overflowPunct/>
              <w:topLinePunct w:val="0"/>
              <w:bidi w:val="0"/>
              <w:spacing w:line="24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992" w:type="dxa"/>
            <w:noWrap w:val="0"/>
            <w:vAlign w:val="center"/>
          </w:tcPr>
          <w:p w14:paraId="533BD342">
            <w:pPr>
              <w:keepNext w:val="0"/>
              <w:pageBreakBefore w:val="0"/>
              <w:kinsoku/>
              <w:overflowPunct/>
              <w:topLinePunct w:val="0"/>
              <w:bidi w:val="0"/>
              <w:spacing w:line="24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1472" w:type="dxa"/>
            <w:noWrap w:val="0"/>
            <w:vAlign w:val="center"/>
          </w:tcPr>
          <w:p w14:paraId="4666A3D8">
            <w:pPr>
              <w:keepNext w:val="0"/>
              <w:keepLines w:val="0"/>
              <w:widowControl/>
              <w:suppressLineNumbers w:val="0"/>
              <w:jc w:val="center"/>
              <w:textAlignment w:val="center"/>
              <w:rPr>
                <w:rFonts w:hint="eastAsia" w:ascii="宋体" w:hAnsi="宋体" w:eastAsia="宋体" w:cs="宋体"/>
                <w:sz w:val="24"/>
                <w:szCs w:val="24"/>
                <w:lang w:val="en-US"/>
              </w:rPr>
            </w:pPr>
            <w:r>
              <w:rPr>
                <w:rFonts w:hint="eastAsia" w:ascii="宋体" w:hAnsi="宋体" w:eastAsia="宋体" w:cs="宋体"/>
                <w:i w:val="0"/>
                <w:iCs w:val="0"/>
                <w:color w:val="000000"/>
                <w:kern w:val="0"/>
                <w:sz w:val="24"/>
                <w:szCs w:val="24"/>
                <w:u w:val="none"/>
                <w:lang w:val="en-US" w:eastAsia="zh-CN" w:bidi="ar"/>
              </w:rPr>
              <w:t>280000</w:t>
            </w:r>
          </w:p>
        </w:tc>
        <w:tc>
          <w:tcPr>
            <w:tcW w:w="1504" w:type="dxa"/>
            <w:noWrap w:val="0"/>
            <w:vAlign w:val="center"/>
          </w:tcPr>
          <w:p w14:paraId="44BF0139">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280000</w:t>
            </w:r>
          </w:p>
        </w:tc>
      </w:tr>
      <w:tr w14:paraId="4073D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867" w:type="dxa"/>
            <w:noWrap w:val="0"/>
            <w:vAlign w:val="center"/>
          </w:tcPr>
          <w:p w14:paraId="1B253672">
            <w:pPr>
              <w:keepNext w:val="0"/>
              <w:pageBreakBefore w:val="0"/>
              <w:widowControl w:val="0"/>
              <w:kinsoku/>
              <w:overflowPunct/>
              <w:topLinePunct w:val="0"/>
              <w:bidi w:val="0"/>
              <w:ind w:firstLine="0" w:firstLineChars="0"/>
              <w:jc w:val="center"/>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4</w:t>
            </w:r>
          </w:p>
        </w:tc>
        <w:tc>
          <w:tcPr>
            <w:tcW w:w="2784" w:type="dxa"/>
            <w:shd w:val="clear" w:color="auto" w:fill="auto"/>
            <w:noWrap w:val="0"/>
            <w:vAlign w:val="center"/>
          </w:tcPr>
          <w:p w14:paraId="629900F2">
            <w:pPr>
              <w:pStyle w:val="10"/>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sz w:val="24"/>
                <w:szCs w:val="24"/>
              </w:rPr>
              <w:t>统计报表</w:t>
            </w:r>
          </w:p>
        </w:tc>
        <w:tc>
          <w:tcPr>
            <w:tcW w:w="885" w:type="dxa"/>
            <w:noWrap w:val="0"/>
            <w:vAlign w:val="center"/>
          </w:tcPr>
          <w:p w14:paraId="7C338ACD">
            <w:pPr>
              <w:keepNext w:val="0"/>
              <w:pageBreakBefore w:val="0"/>
              <w:kinsoku/>
              <w:overflowPunct/>
              <w:topLinePunct w:val="0"/>
              <w:bidi w:val="0"/>
              <w:spacing w:line="24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992" w:type="dxa"/>
            <w:noWrap w:val="0"/>
            <w:vAlign w:val="center"/>
          </w:tcPr>
          <w:p w14:paraId="4A8A6F34">
            <w:pPr>
              <w:keepNext w:val="0"/>
              <w:pageBreakBefore w:val="0"/>
              <w:kinsoku/>
              <w:overflowPunct/>
              <w:topLinePunct w:val="0"/>
              <w:bidi w:val="0"/>
              <w:spacing w:line="24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1472" w:type="dxa"/>
            <w:noWrap w:val="0"/>
            <w:vAlign w:val="center"/>
          </w:tcPr>
          <w:p w14:paraId="47C506FC">
            <w:pPr>
              <w:keepNext w:val="0"/>
              <w:keepLines w:val="0"/>
              <w:widowControl/>
              <w:suppressLineNumbers w:val="0"/>
              <w:jc w:val="center"/>
              <w:textAlignment w:val="center"/>
              <w:rPr>
                <w:rFonts w:hint="eastAsia" w:ascii="宋体" w:hAnsi="宋体" w:eastAsia="宋体" w:cs="宋体"/>
                <w:sz w:val="24"/>
                <w:szCs w:val="24"/>
                <w:lang w:val="en-US"/>
              </w:rPr>
            </w:pPr>
            <w:r>
              <w:rPr>
                <w:rFonts w:hint="eastAsia" w:ascii="宋体" w:hAnsi="宋体" w:eastAsia="宋体" w:cs="宋体"/>
                <w:i w:val="0"/>
                <w:iCs w:val="0"/>
                <w:color w:val="000000"/>
                <w:kern w:val="0"/>
                <w:sz w:val="24"/>
                <w:szCs w:val="24"/>
                <w:u w:val="none"/>
                <w:lang w:val="en-US" w:eastAsia="zh-CN" w:bidi="ar"/>
              </w:rPr>
              <w:t>50000</w:t>
            </w:r>
          </w:p>
        </w:tc>
        <w:tc>
          <w:tcPr>
            <w:tcW w:w="1504" w:type="dxa"/>
            <w:noWrap w:val="0"/>
            <w:vAlign w:val="center"/>
          </w:tcPr>
          <w:p w14:paraId="3CD7E077">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50000</w:t>
            </w:r>
          </w:p>
        </w:tc>
      </w:tr>
      <w:tr w14:paraId="1B214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867" w:type="dxa"/>
            <w:noWrap w:val="0"/>
            <w:vAlign w:val="center"/>
          </w:tcPr>
          <w:p w14:paraId="4B861627">
            <w:pPr>
              <w:keepNext w:val="0"/>
              <w:pageBreakBefore w:val="0"/>
              <w:widowControl w:val="0"/>
              <w:kinsoku/>
              <w:overflowPunct/>
              <w:topLinePunct w:val="0"/>
              <w:bidi w:val="0"/>
              <w:ind w:firstLine="0" w:firstLineChars="0"/>
              <w:jc w:val="center"/>
              <w:rPr>
                <w:rFonts w:hint="default"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5</w:t>
            </w:r>
          </w:p>
        </w:tc>
        <w:tc>
          <w:tcPr>
            <w:tcW w:w="2784" w:type="dxa"/>
            <w:noWrap w:val="0"/>
            <w:vAlign w:val="center"/>
          </w:tcPr>
          <w:p w14:paraId="17A425EC">
            <w:pPr>
              <w:keepNext w:val="0"/>
              <w:pageBreakBefore w:val="0"/>
              <w:kinsoku/>
              <w:overflowPunct/>
              <w:topLinePunct w:val="0"/>
              <w:bidi w:val="0"/>
              <w:spacing w:line="240" w:lineRule="exact"/>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应用支撑平台</w:t>
            </w:r>
          </w:p>
        </w:tc>
        <w:tc>
          <w:tcPr>
            <w:tcW w:w="885" w:type="dxa"/>
            <w:noWrap w:val="0"/>
            <w:vAlign w:val="center"/>
          </w:tcPr>
          <w:p w14:paraId="3BBF2018">
            <w:pPr>
              <w:keepNext w:val="0"/>
              <w:pageBreakBefore w:val="0"/>
              <w:kinsoku/>
              <w:overflowPunct/>
              <w:topLinePunct w:val="0"/>
              <w:bidi w:val="0"/>
              <w:spacing w:line="24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992" w:type="dxa"/>
            <w:noWrap w:val="0"/>
            <w:vAlign w:val="center"/>
          </w:tcPr>
          <w:p w14:paraId="3F8EF9A4">
            <w:pPr>
              <w:keepNext w:val="0"/>
              <w:pageBreakBefore w:val="0"/>
              <w:kinsoku/>
              <w:overflowPunct/>
              <w:topLinePunct w:val="0"/>
              <w:bidi w:val="0"/>
              <w:spacing w:line="24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1472" w:type="dxa"/>
            <w:noWrap w:val="0"/>
            <w:vAlign w:val="center"/>
          </w:tcPr>
          <w:p w14:paraId="30A978B0">
            <w:pPr>
              <w:keepNext w:val="0"/>
              <w:keepLines w:val="0"/>
              <w:widowControl/>
              <w:suppressLineNumbers w:val="0"/>
              <w:jc w:val="center"/>
              <w:textAlignment w:val="center"/>
              <w:rPr>
                <w:rFonts w:hint="eastAsia" w:ascii="宋体" w:hAnsi="宋体" w:eastAsia="宋体" w:cs="宋体"/>
                <w:sz w:val="24"/>
                <w:szCs w:val="24"/>
                <w:lang w:val="en-US"/>
              </w:rPr>
            </w:pPr>
            <w:r>
              <w:rPr>
                <w:rFonts w:hint="eastAsia" w:ascii="宋体" w:hAnsi="宋体" w:eastAsia="宋体" w:cs="宋体"/>
                <w:i w:val="0"/>
                <w:iCs w:val="0"/>
                <w:color w:val="000000"/>
                <w:kern w:val="0"/>
                <w:sz w:val="24"/>
                <w:szCs w:val="24"/>
                <w:u w:val="none"/>
                <w:lang w:val="en-US" w:eastAsia="zh-CN" w:bidi="ar"/>
              </w:rPr>
              <w:t>50000</w:t>
            </w:r>
          </w:p>
        </w:tc>
        <w:tc>
          <w:tcPr>
            <w:tcW w:w="1504" w:type="dxa"/>
            <w:noWrap w:val="0"/>
            <w:vAlign w:val="center"/>
          </w:tcPr>
          <w:p w14:paraId="2A2C3270">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50000</w:t>
            </w:r>
          </w:p>
        </w:tc>
      </w:tr>
      <w:tr w14:paraId="39FC8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867" w:type="dxa"/>
            <w:noWrap w:val="0"/>
            <w:vAlign w:val="center"/>
          </w:tcPr>
          <w:p w14:paraId="63EB8EA2">
            <w:pPr>
              <w:keepNext w:val="0"/>
              <w:pageBreakBefore w:val="0"/>
              <w:widowControl w:val="0"/>
              <w:kinsoku/>
              <w:overflowPunct/>
              <w:topLinePunct w:val="0"/>
              <w:bidi w:val="0"/>
              <w:spacing w:line="480" w:lineRule="exact"/>
              <w:ind w:firstLine="0" w:firstLineChars="0"/>
              <w:jc w:val="both"/>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合计</w:t>
            </w:r>
          </w:p>
        </w:tc>
        <w:tc>
          <w:tcPr>
            <w:tcW w:w="7637" w:type="dxa"/>
            <w:gridSpan w:val="5"/>
            <w:noWrap w:val="0"/>
            <w:vAlign w:val="center"/>
          </w:tcPr>
          <w:p w14:paraId="529D1ADC">
            <w:pPr>
              <w:keepNext w:val="0"/>
              <w:pageBreakBefore w:val="0"/>
              <w:widowControl w:val="0"/>
              <w:kinsoku/>
              <w:overflowPunct/>
              <w:topLinePunct w:val="0"/>
              <w:bidi w:val="0"/>
              <w:spacing w:line="480" w:lineRule="exact"/>
              <w:ind w:firstLine="0" w:firstLineChars="0"/>
              <w:jc w:val="left"/>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人民币：650000.00元</w:t>
            </w:r>
          </w:p>
        </w:tc>
      </w:tr>
    </w:tbl>
    <w:p w14:paraId="47F23A67">
      <w:pPr>
        <w:spacing w:line="360" w:lineRule="auto"/>
        <w:rPr>
          <w:rFonts w:hint="eastAsia" w:ascii="宋体" w:hAnsi="宋体" w:eastAsia="宋体" w:cs="宋体"/>
          <w:b/>
          <w:bCs/>
          <w:sz w:val="24"/>
          <w:szCs w:val="24"/>
          <w:lang w:val="en-US" w:eastAsia="zh-CN"/>
        </w:rPr>
      </w:pPr>
    </w:p>
    <w:p w14:paraId="5EF80E8D">
      <w:pPr>
        <w:spacing w:line="360" w:lineRule="auto"/>
        <w:ind w:firstLine="482" w:firstLineChars="200"/>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三、服务要求</w:t>
      </w:r>
    </w:p>
    <w:p w14:paraId="70E3CE90">
      <w:pPr>
        <w:spacing w:line="360" w:lineRule="auto"/>
        <w:ind w:firstLine="458" w:firstLineChars="200"/>
        <w:rPr>
          <w:rFonts w:ascii="宋体" w:hAnsi="宋体" w:eastAsia="宋体" w:cs="宋体"/>
          <w:b/>
          <w:bCs/>
          <w:color w:val="auto"/>
          <w:spacing w:val="-6"/>
          <w:sz w:val="24"/>
          <w:szCs w:val="24"/>
          <w:highlight w:val="none"/>
          <w:lang w:eastAsia="zh-CN"/>
        </w:rPr>
      </w:pPr>
      <w:r>
        <w:rPr>
          <w:rFonts w:hint="eastAsia" w:ascii="宋体" w:hAnsi="宋体" w:eastAsia="宋体" w:cs="宋体"/>
          <w:b/>
          <w:bCs/>
          <w:color w:val="auto"/>
          <w:spacing w:val="-6"/>
          <w:sz w:val="24"/>
          <w:szCs w:val="24"/>
          <w:highlight w:val="none"/>
          <w:lang w:eastAsia="zh-CN"/>
        </w:rPr>
        <w:t>（一）采购清单</w:t>
      </w:r>
    </w:p>
    <w:tbl>
      <w:tblPr>
        <w:tblStyle w:val="6"/>
        <w:tblW w:w="492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3"/>
        <w:gridCol w:w="986"/>
        <w:gridCol w:w="1292"/>
        <w:gridCol w:w="5247"/>
      </w:tblGrid>
      <w:tr w14:paraId="1FCA9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jc w:val="center"/>
        </w:trPr>
        <w:tc>
          <w:tcPr>
            <w:tcW w:w="519" w:type="pct"/>
            <w:shd w:val="clear" w:color="auto" w:fill="auto"/>
            <w:noWrap/>
            <w:vAlign w:val="center"/>
          </w:tcPr>
          <w:p w14:paraId="68CE2B69">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序号</w:t>
            </w:r>
          </w:p>
        </w:tc>
        <w:tc>
          <w:tcPr>
            <w:tcW w:w="587" w:type="pct"/>
            <w:shd w:val="clear" w:color="auto" w:fill="auto"/>
            <w:noWrap/>
            <w:vAlign w:val="center"/>
          </w:tcPr>
          <w:p w14:paraId="139103C6">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系统名称</w:t>
            </w:r>
          </w:p>
        </w:tc>
        <w:tc>
          <w:tcPr>
            <w:tcW w:w="769" w:type="pct"/>
            <w:shd w:val="clear" w:color="auto" w:fill="auto"/>
            <w:noWrap/>
            <w:vAlign w:val="center"/>
          </w:tcPr>
          <w:p w14:paraId="02239116">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功能模块</w:t>
            </w:r>
          </w:p>
        </w:tc>
        <w:tc>
          <w:tcPr>
            <w:tcW w:w="3123" w:type="pct"/>
            <w:shd w:val="clear" w:color="auto" w:fill="auto"/>
            <w:noWrap/>
            <w:vAlign w:val="center"/>
          </w:tcPr>
          <w:p w14:paraId="050FB8F5">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功能描述</w:t>
            </w:r>
          </w:p>
        </w:tc>
      </w:tr>
      <w:tr w14:paraId="2AE62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6" w:hRule="atLeast"/>
          <w:jc w:val="center"/>
        </w:trPr>
        <w:tc>
          <w:tcPr>
            <w:tcW w:w="519" w:type="pct"/>
            <w:shd w:val="clear" w:color="auto" w:fill="auto"/>
            <w:noWrap/>
            <w:vAlign w:val="center"/>
          </w:tcPr>
          <w:p w14:paraId="4FB47076">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1</w:t>
            </w:r>
          </w:p>
        </w:tc>
        <w:tc>
          <w:tcPr>
            <w:tcW w:w="587" w:type="pct"/>
            <w:vMerge w:val="restart"/>
            <w:shd w:val="clear" w:color="auto" w:fill="auto"/>
            <w:noWrap/>
            <w:vAlign w:val="center"/>
          </w:tcPr>
          <w:p w14:paraId="23019971">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政府投资项目评审评估系统</w:t>
            </w:r>
          </w:p>
        </w:tc>
        <w:tc>
          <w:tcPr>
            <w:tcW w:w="769" w:type="pct"/>
            <w:shd w:val="clear" w:color="auto" w:fill="auto"/>
            <w:noWrap/>
            <w:vAlign w:val="center"/>
          </w:tcPr>
          <w:p w14:paraId="301E59C5">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内网门户</w:t>
            </w:r>
          </w:p>
        </w:tc>
        <w:tc>
          <w:tcPr>
            <w:tcW w:w="3123" w:type="pct"/>
            <w:shd w:val="clear" w:color="auto" w:fill="auto"/>
            <w:vAlign w:val="center"/>
          </w:tcPr>
          <w:p w14:paraId="3E51B40D">
            <w:pPr>
              <w:pStyle w:val="10"/>
              <w:rPr>
                <w:rFonts w:hint="eastAsia" w:ascii="宋体" w:hAnsi="宋体" w:eastAsia="宋体" w:cs="宋体"/>
                <w:b w:val="0"/>
                <w:bCs w:val="0"/>
                <w:sz w:val="24"/>
                <w:szCs w:val="24"/>
              </w:rPr>
            </w:pPr>
            <w:r>
              <w:rPr>
                <w:rFonts w:hint="eastAsia" w:ascii="宋体" w:hAnsi="宋体" w:eastAsia="宋体" w:cs="宋体"/>
                <w:b w:val="0"/>
                <w:bCs w:val="0"/>
                <w:sz w:val="24"/>
                <w:szCs w:val="24"/>
              </w:rPr>
              <w:t>内部门户在总体设计上遵循“统一规划、统一标准、统一平台”的原则，预留接口方便其他应用系统接入。在风格设计方面，以“简约、多面、大气、稳重”为主题，贴近业务特色，既能从整体形象上体现本单位业务特色又能给人以大气、美观的视觉效果。在门户功能方面，包括待办、推进项目、评审依据、成果交流、统计分析等，通过门户建设，实现所有信息的统一推送，集中处理，提升用户的办公效率。</w:t>
            </w:r>
            <w:r>
              <w:rPr>
                <w:rFonts w:hint="eastAsia" w:ascii="宋体" w:hAnsi="宋体" w:eastAsia="宋体" w:cs="宋体"/>
                <w:b w:val="0"/>
                <w:bCs w:val="0"/>
                <w:sz w:val="24"/>
                <w:szCs w:val="24"/>
              </w:rPr>
              <w:br w:type="textWrapping"/>
            </w:r>
            <w:r>
              <w:rPr>
                <w:rFonts w:hint="eastAsia" w:ascii="宋体" w:hAnsi="宋体" w:eastAsia="宋体" w:cs="宋体"/>
                <w:b w:val="0"/>
                <w:bCs w:val="0"/>
                <w:sz w:val="24"/>
                <w:szCs w:val="24"/>
              </w:rPr>
              <w:t>内网门户具体包括待办、推进项目、评审依据、成果交流、统计分析、统一消息、统一登录、统一入口、快捷检索和常用功能。</w:t>
            </w:r>
          </w:p>
        </w:tc>
      </w:tr>
      <w:tr w14:paraId="4D499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9" w:hRule="atLeast"/>
          <w:jc w:val="center"/>
        </w:trPr>
        <w:tc>
          <w:tcPr>
            <w:tcW w:w="519" w:type="pct"/>
            <w:shd w:val="clear" w:color="auto" w:fill="auto"/>
            <w:noWrap/>
            <w:vAlign w:val="center"/>
          </w:tcPr>
          <w:p w14:paraId="17392095">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2</w:t>
            </w:r>
          </w:p>
        </w:tc>
        <w:tc>
          <w:tcPr>
            <w:tcW w:w="587" w:type="pct"/>
            <w:vMerge w:val="continue"/>
            <w:vAlign w:val="center"/>
          </w:tcPr>
          <w:p w14:paraId="03E729EF">
            <w:pPr>
              <w:pStyle w:val="10"/>
              <w:rPr>
                <w:rFonts w:hint="eastAsia" w:ascii="宋体" w:hAnsi="宋体" w:eastAsia="宋体" w:cs="宋体"/>
                <w:b w:val="0"/>
                <w:bCs w:val="0"/>
                <w:sz w:val="24"/>
                <w:szCs w:val="24"/>
              </w:rPr>
            </w:pPr>
          </w:p>
        </w:tc>
        <w:tc>
          <w:tcPr>
            <w:tcW w:w="769" w:type="pct"/>
            <w:shd w:val="clear" w:color="auto" w:fill="auto"/>
            <w:noWrap/>
            <w:vAlign w:val="center"/>
          </w:tcPr>
          <w:p w14:paraId="5E44CA9A">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专家管理</w:t>
            </w:r>
          </w:p>
        </w:tc>
        <w:tc>
          <w:tcPr>
            <w:tcW w:w="3123" w:type="pct"/>
            <w:shd w:val="clear" w:color="auto" w:fill="auto"/>
            <w:vAlign w:val="center"/>
          </w:tcPr>
          <w:p w14:paraId="6767B51D">
            <w:pPr>
              <w:pStyle w:val="10"/>
              <w:rPr>
                <w:rFonts w:hint="eastAsia" w:ascii="宋体" w:hAnsi="宋体" w:eastAsia="宋体" w:cs="宋体"/>
                <w:b w:val="0"/>
                <w:bCs w:val="0"/>
                <w:sz w:val="24"/>
                <w:szCs w:val="24"/>
              </w:rPr>
            </w:pPr>
            <w:r>
              <w:rPr>
                <w:rFonts w:hint="eastAsia" w:ascii="宋体" w:hAnsi="宋体" w:eastAsia="宋体" w:cs="宋体"/>
                <w:b w:val="0"/>
                <w:bCs w:val="0"/>
                <w:sz w:val="24"/>
                <w:szCs w:val="24"/>
              </w:rPr>
              <w:t>为实现对各类</w:t>
            </w:r>
            <w:r>
              <w:rPr>
                <w:rFonts w:hint="eastAsia" w:ascii="宋体" w:hAnsi="宋体" w:eastAsia="宋体" w:cs="宋体"/>
                <w:b w:val="0"/>
                <w:bCs w:val="0"/>
                <w:sz w:val="24"/>
                <w:szCs w:val="24"/>
                <w:lang w:val="en-US" w:eastAsia="zh-CN"/>
              </w:rPr>
              <w:t>专家</w:t>
            </w:r>
            <w:r>
              <w:rPr>
                <w:rFonts w:hint="eastAsia" w:ascii="宋体" w:hAnsi="宋体" w:eastAsia="宋体" w:cs="宋体"/>
                <w:b w:val="0"/>
                <w:bCs w:val="0"/>
                <w:sz w:val="24"/>
                <w:szCs w:val="24"/>
              </w:rPr>
              <w:t>规范化、程序化管理，构建专家管理系统，通过专家报名、审核、入库、评审等功能，实现专家全生命周期管理。</w:t>
            </w:r>
            <w:r>
              <w:rPr>
                <w:rFonts w:hint="eastAsia" w:ascii="宋体" w:hAnsi="宋体" w:eastAsia="宋体" w:cs="宋体"/>
                <w:b w:val="0"/>
                <w:bCs w:val="0"/>
                <w:sz w:val="24"/>
                <w:szCs w:val="24"/>
              </w:rPr>
              <w:br w:type="textWrapping"/>
            </w:r>
            <w:r>
              <w:rPr>
                <w:rFonts w:hint="eastAsia" w:ascii="宋体" w:hAnsi="宋体" w:eastAsia="宋体" w:cs="宋体"/>
                <w:b w:val="0"/>
                <w:bCs w:val="0"/>
                <w:sz w:val="24"/>
                <w:szCs w:val="24"/>
              </w:rPr>
              <w:t>专家管具体包括登录、专家报名、专家入库审核结果、专家审核入库、专家入库须知、专家库管理、考核评价、专家项目评审、专家个人信息、省专家库调用。</w:t>
            </w:r>
          </w:p>
        </w:tc>
      </w:tr>
      <w:tr w14:paraId="6E7C5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6" w:hRule="atLeast"/>
          <w:jc w:val="center"/>
        </w:trPr>
        <w:tc>
          <w:tcPr>
            <w:tcW w:w="519" w:type="pct"/>
            <w:shd w:val="clear" w:color="auto" w:fill="auto"/>
            <w:noWrap/>
            <w:vAlign w:val="center"/>
          </w:tcPr>
          <w:p w14:paraId="68CF71FE">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3</w:t>
            </w:r>
          </w:p>
        </w:tc>
        <w:tc>
          <w:tcPr>
            <w:tcW w:w="587" w:type="pct"/>
            <w:vMerge w:val="continue"/>
            <w:vAlign w:val="center"/>
          </w:tcPr>
          <w:p w14:paraId="107F1665">
            <w:pPr>
              <w:pStyle w:val="10"/>
              <w:rPr>
                <w:rFonts w:hint="eastAsia" w:ascii="宋体" w:hAnsi="宋体" w:eastAsia="宋体" w:cs="宋体"/>
                <w:b w:val="0"/>
                <w:bCs w:val="0"/>
                <w:sz w:val="24"/>
                <w:szCs w:val="24"/>
              </w:rPr>
            </w:pPr>
          </w:p>
        </w:tc>
        <w:tc>
          <w:tcPr>
            <w:tcW w:w="769" w:type="pct"/>
            <w:shd w:val="clear" w:color="auto" w:fill="auto"/>
            <w:noWrap/>
            <w:vAlign w:val="center"/>
          </w:tcPr>
          <w:p w14:paraId="03E15BC5">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项目评审</w:t>
            </w:r>
          </w:p>
        </w:tc>
        <w:tc>
          <w:tcPr>
            <w:tcW w:w="3123" w:type="pct"/>
            <w:shd w:val="clear" w:color="auto" w:fill="auto"/>
            <w:vAlign w:val="center"/>
          </w:tcPr>
          <w:p w14:paraId="7A08C35E">
            <w:pPr>
              <w:pStyle w:val="10"/>
              <w:rPr>
                <w:rFonts w:hint="eastAsia" w:ascii="宋体" w:hAnsi="宋体" w:eastAsia="宋体" w:cs="宋体"/>
                <w:b w:val="0"/>
                <w:bCs w:val="0"/>
                <w:sz w:val="24"/>
                <w:szCs w:val="24"/>
              </w:rPr>
            </w:pPr>
            <w:r>
              <w:rPr>
                <w:rFonts w:hint="eastAsia" w:ascii="宋体" w:hAnsi="宋体" w:eastAsia="宋体" w:cs="宋体"/>
                <w:b w:val="0"/>
                <w:bCs w:val="0"/>
                <w:sz w:val="24"/>
                <w:szCs w:val="24"/>
              </w:rPr>
              <w:t>项目评审实现对项目评审全流程的管理及审批，主要包含项目生成、项目承办、</w:t>
            </w:r>
            <w:r>
              <w:rPr>
                <w:rFonts w:hint="eastAsia" w:ascii="宋体" w:hAnsi="宋体" w:eastAsia="宋体" w:cs="宋体"/>
                <w:b w:val="0"/>
                <w:bCs w:val="0"/>
                <w:sz w:val="24"/>
                <w:szCs w:val="24"/>
                <w:lang w:val="en-US" w:eastAsia="zh-CN"/>
              </w:rPr>
              <w:t>工作</w:t>
            </w:r>
            <w:r>
              <w:rPr>
                <w:rFonts w:hint="eastAsia" w:ascii="宋体" w:hAnsi="宋体" w:eastAsia="宋体" w:cs="宋体"/>
                <w:b w:val="0"/>
                <w:bCs w:val="0"/>
                <w:sz w:val="24"/>
                <w:szCs w:val="24"/>
              </w:rPr>
              <w:t>方案</w:t>
            </w: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rPr>
              <w:t>组建专家组</w:t>
            </w: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rPr>
              <w:t>项目预审、</w:t>
            </w:r>
            <w:r>
              <w:rPr>
                <w:rFonts w:hint="eastAsia" w:ascii="宋体" w:hAnsi="宋体" w:eastAsia="宋体" w:cs="宋体"/>
                <w:b w:val="0"/>
                <w:bCs w:val="0"/>
                <w:sz w:val="24"/>
                <w:szCs w:val="24"/>
                <w:lang w:val="en-US" w:eastAsia="zh-CN"/>
              </w:rPr>
              <w:t>专家评审</w:t>
            </w:r>
            <w:r>
              <w:rPr>
                <w:rFonts w:hint="eastAsia" w:ascii="宋体" w:hAnsi="宋体" w:eastAsia="宋体" w:cs="宋体"/>
                <w:b w:val="0"/>
                <w:bCs w:val="0"/>
                <w:sz w:val="24"/>
                <w:szCs w:val="24"/>
              </w:rPr>
              <w:t>、</w:t>
            </w:r>
            <w:r>
              <w:rPr>
                <w:rFonts w:hint="eastAsia" w:ascii="宋体" w:hAnsi="宋体" w:eastAsia="宋体" w:cs="宋体"/>
                <w:b w:val="0"/>
                <w:bCs w:val="0"/>
                <w:sz w:val="24"/>
                <w:szCs w:val="24"/>
                <w:lang w:val="en-US" w:eastAsia="zh-CN"/>
              </w:rPr>
              <w:t>评审报告</w:t>
            </w:r>
            <w:r>
              <w:rPr>
                <w:rFonts w:hint="eastAsia" w:ascii="宋体" w:hAnsi="宋体" w:eastAsia="宋体" w:cs="宋体"/>
                <w:b w:val="0"/>
                <w:bCs w:val="0"/>
                <w:sz w:val="24"/>
                <w:szCs w:val="24"/>
              </w:rPr>
              <w:t>、</w:t>
            </w:r>
            <w:r>
              <w:rPr>
                <w:rFonts w:hint="eastAsia" w:ascii="宋体" w:hAnsi="宋体" w:eastAsia="宋体" w:cs="宋体"/>
                <w:b w:val="0"/>
                <w:bCs w:val="0"/>
                <w:sz w:val="24"/>
                <w:szCs w:val="24"/>
                <w:lang w:val="en-US" w:eastAsia="zh-CN"/>
              </w:rPr>
              <w:t>一评一考</w:t>
            </w:r>
            <w:r>
              <w:rPr>
                <w:rFonts w:hint="eastAsia" w:ascii="宋体" w:hAnsi="宋体" w:eastAsia="宋体" w:cs="宋体"/>
                <w:b w:val="0"/>
                <w:bCs w:val="0"/>
                <w:sz w:val="24"/>
                <w:szCs w:val="24"/>
              </w:rPr>
              <w:t>等功能，为项目评审过程提供全方位科学精准的服务。</w:t>
            </w:r>
          </w:p>
        </w:tc>
      </w:tr>
      <w:tr w14:paraId="28C18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519" w:type="pct"/>
            <w:shd w:val="clear" w:color="auto" w:fill="auto"/>
            <w:noWrap/>
            <w:vAlign w:val="center"/>
          </w:tcPr>
          <w:p w14:paraId="139B48A2">
            <w:pPr>
              <w:pStyle w:val="10"/>
              <w:jc w:val="center"/>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4</w:t>
            </w:r>
          </w:p>
        </w:tc>
        <w:tc>
          <w:tcPr>
            <w:tcW w:w="587" w:type="pct"/>
            <w:vMerge w:val="continue"/>
            <w:vAlign w:val="center"/>
          </w:tcPr>
          <w:p w14:paraId="294EBD2A">
            <w:pPr>
              <w:pStyle w:val="10"/>
              <w:rPr>
                <w:rFonts w:hint="eastAsia" w:ascii="宋体" w:hAnsi="宋体" w:eastAsia="宋体" w:cs="宋体"/>
                <w:b w:val="0"/>
                <w:bCs w:val="0"/>
                <w:sz w:val="24"/>
                <w:szCs w:val="24"/>
              </w:rPr>
            </w:pPr>
          </w:p>
        </w:tc>
        <w:tc>
          <w:tcPr>
            <w:tcW w:w="769" w:type="pct"/>
            <w:shd w:val="clear" w:color="auto" w:fill="auto"/>
            <w:noWrap/>
            <w:vAlign w:val="center"/>
          </w:tcPr>
          <w:p w14:paraId="2D19601B">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统计报表</w:t>
            </w:r>
          </w:p>
        </w:tc>
        <w:tc>
          <w:tcPr>
            <w:tcW w:w="3123" w:type="pct"/>
            <w:shd w:val="clear" w:color="auto" w:fill="auto"/>
            <w:vAlign w:val="center"/>
          </w:tcPr>
          <w:p w14:paraId="5657F10B">
            <w:pPr>
              <w:pStyle w:val="10"/>
              <w:rPr>
                <w:rFonts w:hint="eastAsia" w:ascii="宋体" w:hAnsi="宋体" w:eastAsia="宋体" w:cs="宋体"/>
                <w:b w:val="0"/>
                <w:bCs w:val="0"/>
                <w:sz w:val="24"/>
                <w:szCs w:val="24"/>
              </w:rPr>
            </w:pPr>
            <w:r>
              <w:rPr>
                <w:rFonts w:hint="eastAsia" w:ascii="宋体" w:hAnsi="宋体" w:eastAsia="宋体" w:cs="宋体"/>
                <w:b w:val="0"/>
                <w:bCs w:val="0"/>
                <w:sz w:val="24"/>
                <w:szCs w:val="24"/>
              </w:rPr>
              <w:t>统计报表对各类项目和专家数据进行统一汇总，通过不同维度分析展示项目相关信息。</w:t>
            </w:r>
          </w:p>
        </w:tc>
      </w:tr>
      <w:tr w14:paraId="0D4FA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jc w:val="center"/>
        </w:trPr>
        <w:tc>
          <w:tcPr>
            <w:tcW w:w="519" w:type="pct"/>
            <w:shd w:val="clear" w:color="auto" w:fill="auto"/>
            <w:noWrap/>
            <w:vAlign w:val="center"/>
          </w:tcPr>
          <w:p w14:paraId="570DC943">
            <w:pPr>
              <w:pStyle w:val="10"/>
              <w:jc w:val="center"/>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5</w:t>
            </w:r>
          </w:p>
        </w:tc>
        <w:tc>
          <w:tcPr>
            <w:tcW w:w="587" w:type="pct"/>
            <w:vMerge w:val="restart"/>
            <w:shd w:val="clear" w:color="auto" w:fill="auto"/>
            <w:vAlign w:val="center"/>
          </w:tcPr>
          <w:p w14:paraId="69928954">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应用支撑平台</w:t>
            </w:r>
          </w:p>
        </w:tc>
        <w:tc>
          <w:tcPr>
            <w:tcW w:w="769" w:type="pct"/>
            <w:shd w:val="clear" w:color="auto" w:fill="auto"/>
            <w:noWrap/>
            <w:vAlign w:val="center"/>
          </w:tcPr>
          <w:p w14:paraId="4F5521B7">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统一用户</w:t>
            </w:r>
          </w:p>
        </w:tc>
        <w:tc>
          <w:tcPr>
            <w:tcW w:w="3123" w:type="pct"/>
            <w:shd w:val="clear" w:color="auto" w:fill="auto"/>
            <w:vAlign w:val="center"/>
          </w:tcPr>
          <w:p w14:paraId="0C585FCD">
            <w:pPr>
              <w:pStyle w:val="10"/>
              <w:rPr>
                <w:rFonts w:hint="eastAsia" w:ascii="宋体" w:hAnsi="宋体" w:eastAsia="宋体" w:cs="宋体"/>
                <w:b w:val="0"/>
                <w:bCs w:val="0"/>
                <w:sz w:val="24"/>
                <w:szCs w:val="24"/>
              </w:rPr>
            </w:pPr>
            <w:r>
              <w:rPr>
                <w:rFonts w:hint="eastAsia" w:ascii="宋体" w:hAnsi="宋体" w:eastAsia="宋体" w:cs="宋体"/>
                <w:b w:val="0"/>
                <w:bCs w:val="0"/>
                <w:sz w:val="24"/>
                <w:szCs w:val="24"/>
              </w:rPr>
              <w:t>用户管理实现用户和组织结构的管理功能，能够支持分级管理，功能包括: 组织机构管理、群组信息管理、职务管理等。</w:t>
            </w:r>
          </w:p>
        </w:tc>
      </w:tr>
      <w:tr w14:paraId="7498C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519" w:type="pct"/>
            <w:shd w:val="clear" w:color="auto" w:fill="auto"/>
            <w:noWrap/>
            <w:vAlign w:val="center"/>
          </w:tcPr>
          <w:p w14:paraId="2F91C514">
            <w:pPr>
              <w:pStyle w:val="10"/>
              <w:jc w:val="center"/>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6</w:t>
            </w:r>
          </w:p>
        </w:tc>
        <w:tc>
          <w:tcPr>
            <w:tcW w:w="587" w:type="pct"/>
            <w:vMerge w:val="continue"/>
            <w:vAlign w:val="center"/>
          </w:tcPr>
          <w:p w14:paraId="582F7992">
            <w:pPr>
              <w:pStyle w:val="10"/>
              <w:rPr>
                <w:rFonts w:hint="eastAsia" w:ascii="宋体" w:hAnsi="宋体" w:eastAsia="宋体" w:cs="宋体"/>
                <w:b w:val="0"/>
                <w:bCs w:val="0"/>
                <w:sz w:val="24"/>
                <w:szCs w:val="24"/>
              </w:rPr>
            </w:pPr>
          </w:p>
        </w:tc>
        <w:tc>
          <w:tcPr>
            <w:tcW w:w="769" w:type="pct"/>
            <w:shd w:val="clear" w:color="auto" w:fill="auto"/>
            <w:noWrap/>
            <w:vAlign w:val="center"/>
          </w:tcPr>
          <w:p w14:paraId="7F79F53E">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统一授权</w:t>
            </w:r>
          </w:p>
        </w:tc>
        <w:tc>
          <w:tcPr>
            <w:tcW w:w="3123" w:type="pct"/>
            <w:shd w:val="clear" w:color="auto" w:fill="auto"/>
            <w:vAlign w:val="center"/>
          </w:tcPr>
          <w:p w14:paraId="0B3D061A">
            <w:pPr>
              <w:pStyle w:val="10"/>
              <w:rPr>
                <w:rFonts w:hint="eastAsia" w:ascii="宋体" w:hAnsi="宋体" w:eastAsia="宋体" w:cs="宋体"/>
                <w:b w:val="0"/>
                <w:bCs w:val="0"/>
                <w:sz w:val="24"/>
                <w:szCs w:val="24"/>
              </w:rPr>
            </w:pPr>
            <w:r>
              <w:rPr>
                <w:rFonts w:hint="eastAsia" w:ascii="宋体" w:hAnsi="宋体" w:eastAsia="宋体" w:cs="宋体"/>
                <w:b w:val="0"/>
                <w:bCs w:val="0"/>
                <w:sz w:val="24"/>
                <w:szCs w:val="24"/>
              </w:rPr>
              <w:t>统一授权微服务组件实现对各应用系统的权限进行统一管理，支持基于RBAC的授权管理机制。</w:t>
            </w:r>
          </w:p>
        </w:tc>
      </w:tr>
      <w:tr w14:paraId="57F6D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jc w:val="center"/>
        </w:trPr>
        <w:tc>
          <w:tcPr>
            <w:tcW w:w="519" w:type="pct"/>
            <w:shd w:val="clear" w:color="auto" w:fill="auto"/>
            <w:noWrap/>
            <w:vAlign w:val="center"/>
          </w:tcPr>
          <w:p w14:paraId="27BA33DA">
            <w:pPr>
              <w:pStyle w:val="10"/>
              <w:jc w:val="center"/>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7</w:t>
            </w:r>
          </w:p>
        </w:tc>
        <w:tc>
          <w:tcPr>
            <w:tcW w:w="587" w:type="pct"/>
            <w:vMerge w:val="continue"/>
            <w:vAlign w:val="center"/>
          </w:tcPr>
          <w:p w14:paraId="5043DE9F">
            <w:pPr>
              <w:pStyle w:val="10"/>
              <w:rPr>
                <w:rFonts w:hint="eastAsia" w:ascii="宋体" w:hAnsi="宋体" w:eastAsia="宋体" w:cs="宋体"/>
                <w:b w:val="0"/>
                <w:bCs w:val="0"/>
                <w:sz w:val="24"/>
                <w:szCs w:val="24"/>
              </w:rPr>
            </w:pPr>
          </w:p>
        </w:tc>
        <w:tc>
          <w:tcPr>
            <w:tcW w:w="769" w:type="pct"/>
            <w:shd w:val="clear" w:color="auto" w:fill="auto"/>
            <w:noWrap/>
            <w:vAlign w:val="center"/>
          </w:tcPr>
          <w:p w14:paraId="2CA213B8">
            <w:pPr>
              <w:pStyle w:val="10"/>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统一认证</w:t>
            </w:r>
          </w:p>
        </w:tc>
        <w:tc>
          <w:tcPr>
            <w:tcW w:w="3123" w:type="pct"/>
            <w:shd w:val="clear" w:color="auto" w:fill="auto"/>
            <w:vAlign w:val="center"/>
          </w:tcPr>
          <w:p w14:paraId="3E7ABFF1">
            <w:pPr>
              <w:pStyle w:val="10"/>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rPr>
              <w:t>统一认证微服务组件实现对于用户身份的统一校验，为各应用提供单点登录服务支持</w:t>
            </w:r>
            <w:r>
              <w:rPr>
                <w:rFonts w:hint="eastAsia" w:ascii="宋体" w:hAnsi="宋体" w:eastAsia="宋体" w:cs="宋体"/>
                <w:b w:val="0"/>
                <w:bCs w:val="0"/>
                <w:sz w:val="24"/>
                <w:szCs w:val="24"/>
                <w:lang w:eastAsia="zh-CN"/>
              </w:rPr>
              <w:t>。</w:t>
            </w:r>
          </w:p>
        </w:tc>
      </w:tr>
      <w:tr w14:paraId="6FBCD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5" w:hRule="atLeast"/>
          <w:jc w:val="center"/>
        </w:trPr>
        <w:tc>
          <w:tcPr>
            <w:tcW w:w="519" w:type="pct"/>
            <w:shd w:val="clear" w:color="auto" w:fill="auto"/>
            <w:noWrap/>
            <w:vAlign w:val="center"/>
          </w:tcPr>
          <w:p w14:paraId="5AB6BDBA">
            <w:pPr>
              <w:pStyle w:val="10"/>
              <w:jc w:val="center"/>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8</w:t>
            </w:r>
          </w:p>
        </w:tc>
        <w:tc>
          <w:tcPr>
            <w:tcW w:w="587" w:type="pct"/>
            <w:vMerge w:val="continue"/>
            <w:vAlign w:val="center"/>
          </w:tcPr>
          <w:p w14:paraId="122D474C">
            <w:pPr>
              <w:pStyle w:val="10"/>
              <w:rPr>
                <w:rFonts w:hint="eastAsia" w:ascii="宋体" w:hAnsi="宋体" w:eastAsia="宋体" w:cs="宋体"/>
                <w:b w:val="0"/>
                <w:bCs w:val="0"/>
                <w:sz w:val="24"/>
                <w:szCs w:val="24"/>
              </w:rPr>
            </w:pPr>
          </w:p>
        </w:tc>
        <w:tc>
          <w:tcPr>
            <w:tcW w:w="769" w:type="pct"/>
            <w:shd w:val="clear" w:color="auto" w:fill="auto"/>
            <w:noWrap/>
            <w:vAlign w:val="center"/>
          </w:tcPr>
          <w:p w14:paraId="7D4B4C37">
            <w:pPr>
              <w:pStyle w:val="10"/>
              <w:jc w:val="center"/>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rPr>
              <w:t>统</w:t>
            </w:r>
            <w:r>
              <w:rPr>
                <w:rFonts w:hint="eastAsia" w:ascii="宋体" w:hAnsi="宋体" w:eastAsia="宋体" w:cs="宋体"/>
                <w:b w:val="0"/>
                <w:bCs w:val="0"/>
                <w:sz w:val="24"/>
                <w:szCs w:val="24"/>
                <w:lang w:val="en-US" w:eastAsia="zh-CN"/>
              </w:rPr>
              <w:t>一资源</w:t>
            </w:r>
          </w:p>
        </w:tc>
        <w:tc>
          <w:tcPr>
            <w:tcW w:w="3123" w:type="pct"/>
            <w:shd w:val="clear" w:color="auto" w:fill="auto"/>
            <w:vAlign w:val="center"/>
          </w:tcPr>
          <w:p w14:paraId="4A47D618">
            <w:pPr>
              <w:pStyle w:val="10"/>
              <w:rPr>
                <w:rFonts w:hint="eastAsia" w:ascii="宋体" w:hAnsi="宋体" w:eastAsia="宋体" w:cs="宋体"/>
                <w:b w:val="0"/>
                <w:bCs w:val="0"/>
                <w:sz w:val="24"/>
                <w:szCs w:val="24"/>
              </w:rPr>
            </w:pPr>
            <w:r>
              <w:rPr>
                <w:rFonts w:hint="eastAsia" w:ascii="宋体" w:hAnsi="宋体" w:eastAsia="宋体" w:cs="宋体"/>
                <w:b w:val="0"/>
                <w:bCs w:val="0"/>
                <w:sz w:val="24"/>
                <w:szCs w:val="24"/>
                <w:lang w:val="en-US" w:eastAsia="zh-CN"/>
              </w:rPr>
              <w:t>为应用系统目录为系统整合提供基础。为集中对各应用系统中的各个功能进行授权控制，更好的为门户提供完整的应用系统信息。通过应用系统资源目录，管理员可以进行应用系统的访问控制管理</w:t>
            </w:r>
          </w:p>
        </w:tc>
      </w:tr>
    </w:tbl>
    <w:p w14:paraId="7231F1C4">
      <w:pPr>
        <w:spacing w:line="360" w:lineRule="auto"/>
        <w:ind w:firstLine="458" w:firstLineChars="200"/>
        <w:rPr>
          <w:rFonts w:hint="default" w:ascii="宋体" w:hAnsi="宋体" w:eastAsia="宋体" w:cs="宋体"/>
          <w:b/>
          <w:bCs/>
          <w:color w:val="auto"/>
          <w:spacing w:val="-6"/>
          <w:sz w:val="24"/>
          <w:szCs w:val="24"/>
          <w:highlight w:val="none"/>
          <w:lang w:val="en-US" w:eastAsia="zh-CN"/>
        </w:rPr>
      </w:pPr>
      <w:r>
        <w:rPr>
          <w:rFonts w:hint="eastAsia" w:ascii="宋体" w:hAnsi="宋体" w:eastAsia="宋体" w:cs="宋体"/>
          <w:b/>
          <w:bCs/>
          <w:color w:val="auto"/>
          <w:spacing w:val="-6"/>
          <w:sz w:val="24"/>
          <w:szCs w:val="24"/>
          <w:highlight w:val="none"/>
          <w:lang w:eastAsia="zh-CN"/>
        </w:rPr>
        <w:t>（</w:t>
      </w:r>
      <w:r>
        <w:rPr>
          <w:rFonts w:hint="eastAsia" w:ascii="宋体" w:hAnsi="宋体" w:eastAsia="宋体" w:cs="宋体"/>
          <w:b/>
          <w:bCs/>
          <w:color w:val="auto"/>
          <w:spacing w:val="-6"/>
          <w:sz w:val="24"/>
          <w:szCs w:val="24"/>
          <w:highlight w:val="none"/>
          <w:lang w:val="en-US" w:eastAsia="zh-CN"/>
        </w:rPr>
        <w:t>二)</w:t>
      </w:r>
      <w:r>
        <w:rPr>
          <w:rFonts w:hint="eastAsia" w:ascii="宋体" w:hAnsi="宋体" w:eastAsia="宋体" w:cs="宋体"/>
          <w:b/>
          <w:bCs/>
          <w:color w:val="auto"/>
          <w:spacing w:val="-6"/>
          <w:sz w:val="24"/>
          <w:szCs w:val="24"/>
          <w:highlight w:val="none"/>
          <w:lang w:eastAsia="zh-CN"/>
        </w:rPr>
        <w:t>建设内容及技术要求</w:t>
      </w:r>
    </w:p>
    <w:p w14:paraId="7B832FDF">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该系统以“统一规划、集约高效”为原则，构建集成待办、推进项目、评审依据库、专家库等核心模块，实现信息统一推送与办公提效；通过专家全生命周期管理、项目评审全流程闭环（涵盖生成、预审、评审、归档等）规范决策流程；整合法律法规库及成果共享平台强化评审依据与知识沉淀；对接赣政通实现移动审批与公众服务透明化。支撑平台采用微服务架构，提供统一用户、授权、认证、工作流等组件，保障系统高扩展性与安全性，支持智能报表分析与多维数据可视化，助力财政资金高效监管与风险防控。</w:t>
      </w:r>
    </w:p>
    <w:p w14:paraId="2BE1DEE5">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r>
        <w:rPr>
          <w:rFonts w:hint="eastAsia" w:asciiTheme="minorEastAsia" w:hAnsiTheme="minorEastAsia" w:eastAsiaTheme="minorEastAsia" w:cstheme="minorEastAsia"/>
          <w:b/>
          <w:bCs/>
          <w:spacing w:val="0"/>
          <w:kern w:val="0"/>
          <w:sz w:val="24"/>
          <w:szCs w:val="24"/>
          <w:lang w:val="en-US" w:eastAsia="zh-CN"/>
        </w:rPr>
        <w:t>1、应用系统</w:t>
      </w:r>
    </w:p>
    <w:p w14:paraId="356A5A20">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bookmarkStart w:id="1" w:name="_Toc140167785"/>
      <w:bookmarkStart w:id="2" w:name="_Toc161758223"/>
      <w:r>
        <w:rPr>
          <w:rFonts w:hint="eastAsia" w:asciiTheme="minorEastAsia" w:hAnsiTheme="minorEastAsia" w:eastAsiaTheme="minorEastAsia" w:cstheme="minorEastAsia"/>
          <w:b/>
          <w:bCs/>
          <w:spacing w:val="0"/>
          <w:kern w:val="0"/>
          <w:sz w:val="24"/>
          <w:szCs w:val="24"/>
          <w:lang w:val="en-US" w:eastAsia="zh-CN"/>
        </w:rPr>
        <w:t>1.1 内网门户</w:t>
      </w:r>
      <w:bookmarkEnd w:id="1"/>
      <w:bookmarkEnd w:id="2"/>
    </w:p>
    <w:p w14:paraId="4ED3CFE9">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内部门户在总体设计上遵循“统一规划、统一标准、统一平台”的原则，预留接口方便其他应用系统接入。在风格设计方面，以“简约、多面、大气、稳重”为主题，贴近业务特色，既能从整体形象上体现本单位业务特色又能给人以大气、美观的视觉效果。在门户功能方面，包括</w:t>
      </w:r>
      <w:bookmarkStart w:id="3" w:name="_Hlk140069503"/>
      <w:r>
        <w:rPr>
          <w:rFonts w:hint="eastAsia" w:asciiTheme="minorEastAsia" w:hAnsiTheme="minorEastAsia" w:eastAsiaTheme="minorEastAsia" w:cstheme="minorEastAsia"/>
          <w:b w:val="0"/>
          <w:bCs w:val="0"/>
          <w:spacing w:val="0"/>
          <w:kern w:val="0"/>
          <w:sz w:val="24"/>
          <w:szCs w:val="24"/>
          <w:lang w:val="en-US" w:eastAsia="zh-CN"/>
        </w:rPr>
        <w:t>待办、推进项目、评审依据、统计分析等，通过门户建设，实现所有信息的统一推送，集中</w:t>
      </w:r>
      <w:bookmarkEnd w:id="3"/>
      <w:r>
        <w:rPr>
          <w:rFonts w:hint="eastAsia" w:asciiTheme="minorEastAsia" w:hAnsiTheme="minorEastAsia" w:eastAsiaTheme="minorEastAsia" w:cstheme="minorEastAsia"/>
          <w:b w:val="0"/>
          <w:bCs w:val="0"/>
          <w:spacing w:val="0"/>
          <w:kern w:val="0"/>
          <w:sz w:val="24"/>
          <w:szCs w:val="24"/>
          <w:lang w:val="en-US" w:eastAsia="zh-CN"/>
        </w:rPr>
        <w:t>处理，提升用户的办公效率。</w:t>
      </w:r>
    </w:p>
    <w:p w14:paraId="22DB5B90">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内网门户具体包括待办、推进项目、评审依据、成果交流、统计分析、统一消息、统一登录、统一入口、快捷检索和常用功能。</w:t>
      </w:r>
    </w:p>
    <w:p w14:paraId="0F91C020">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bookmarkStart w:id="4" w:name="_Toc135729669"/>
      <w:bookmarkStart w:id="5" w:name="_Toc161758224"/>
      <w:bookmarkStart w:id="6" w:name="_Toc140167786"/>
      <w:r>
        <w:rPr>
          <w:rFonts w:hint="eastAsia" w:asciiTheme="minorEastAsia" w:hAnsiTheme="minorEastAsia" w:eastAsiaTheme="minorEastAsia" w:cstheme="minorEastAsia"/>
          <w:b/>
          <w:bCs/>
          <w:spacing w:val="0"/>
          <w:kern w:val="0"/>
          <w:sz w:val="24"/>
          <w:szCs w:val="24"/>
          <w:lang w:val="en-US" w:eastAsia="zh-CN"/>
        </w:rPr>
        <w:t>1.2 专家管理</w:t>
      </w:r>
      <w:bookmarkEnd w:id="4"/>
      <w:bookmarkEnd w:id="5"/>
      <w:bookmarkEnd w:id="6"/>
    </w:p>
    <w:p w14:paraId="6606E5C8">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bookmarkStart w:id="7" w:name="_Hlk140069566"/>
      <w:r>
        <w:rPr>
          <w:rFonts w:hint="eastAsia" w:asciiTheme="minorEastAsia" w:hAnsiTheme="minorEastAsia" w:eastAsiaTheme="minorEastAsia" w:cstheme="minorEastAsia"/>
          <w:b w:val="0"/>
          <w:bCs w:val="0"/>
          <w:spacing w:val="0"/>
          <w:kern w:val="0"/>
          <w:sz w:val="24"/>
          <w:szCs w:val="24"/>
          <w:lang w:val="en-US" w:eastAsia="zh-CN"/>
        </w:rPr>
        <w:t>为实现对各类评审专家规范化、程序化管理，构建专家管理系统，通过专家注册、专家报名、审核、入库、专家考评产、退库等功能，实现专家全生命周期管理。</w:t>
      </w:r>
    </w:p>
    <w:p w14:paraId="203BF4AE">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专家管具体包括登录注册、专家报名、专家入库审核、专家审核入库、专家入库须知、考核评价、专家个人信息、省专家库调用。</w:t>
      </w:r>
    </w:p>
    <w:bookmarkEnd w:id="7"/>
    <w:p w14:paraId="686465D5">
      <w:pPr>
        <w:spacing w:line="360" w:lineRule="auto"/>
        <w:ind w:firstLine="482" w:firstLineChars="200"/>
        <w:rPr>
          <w:rFonts w:hint="default" w:asciiTheme="minorEastAsia" w:hAnsiTheme="minorEastAsia" w:eastAsiaTheme="minorEastAsia" w:cstheme="minorEastAsia"/>
          <w:b/>
          <w:bCs/>
          <w:spacing w:val="0"/>
          <w:kern w:val="0"/>
          <w:sz w:val="24"/>
          <w:szCs w:val="24"/>
          <w:lang w:val="en-US" w:eastAsia="zh-CN"/>
        </w:rPr>
      </w:pPr>
      <w:bookmarkStart w:id="8" w:name="_Toc140167787"/>
      <w:bookmarkStart w:id="9" w:name="_Toc161758225"/>
      <w:bookmarkStart w:id="10" w:name="_Toc135729679"/>
      <w:r>
        <w:rPr>
          <w:rFonts w:hint="eastAsia" w:asciiTheme="minorEastAsia" w:hAnsiTheme="minorEastAsia" w:eastAsiaTheme="minorEastAsia" w:cstheme="minorEastAsia"/>
          <w:b/>
          <w:bCs/>
          <w:spacing w:val="0"/>
          <w:kern w:val="0"/>
          <w:sz w:val="24"/>
          <w:szCs w:val="24"/>
          <w:lang w:val="en-US" w:eastAsia="zh-CN"/>
        </w:rPr>
        <w:t>1.3 项目评审</w:t>
      </w:r>
      <w:bookmarkEnd w:id="8"/>
      <w:bookmarkEnd w:id="9"/>
      <w:bookmarkEnd w:id="10"/>
      <w:r>
        <w:rPr>
          <w:rFonts w:hint="eastAsia" w:asciiTheme="minorEastAsia" w:hAnsiTheme="minorEastAsia" w:eastAsiaTheme="minorEastAsia" w:cstheme="minorEastAsia"/>
          <w:b/>
          <w:bCs/>
          <w:spacing w:val="0"/>
          <w:kern w:val="0"/>
          <w:sz w:val="24"/>
          <w:szCs w:val="24"/>
          <w:lang w:val="en-US" w:eastAsia="zh-CN"/>
        </w:rPr>
        <w:t>评估</w:t>
      </w:r>
    </w:p>
    <w:p w14:paraId="31F7A7B5">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项目评审实现对项目评审全流程的管理及审批，主要包含项目生成、评审方案、项目预审、现场踏勘、专家评审、评审报告、一评一考等功能，为项目评审过程提供全方位科学精准的服务。</w:t>
      </w:r>
    </w:p>
    <w:p w14:paraId="2196B3AF">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bookmarkStart w:id="11" w:name="_Toc161758228"/>
      <w:r>
        <w:rPr>
          <w:rFonts w:hint="eastAsia" w:asciiTheme="minorEastAsia" w:hAnsiTheme="minorEastAsia" w:eastAsiaTheme="minorEastAsia" w:cstheme="minorEastAsia"/>
          <w:b/>
          <w:bCs/>
          <w:spacing w:val="0"/>
          <w:kern w:val="0"/>
          <w:sz w:val="24"/>
          <w:szCs w:val="24"/>
          <w:lang w:val="en-US" w:eastAsia="zh-CN"/>
        </w:rPr>
        <w:t>1.4 统计报表</w:t>
      </w:r>
      <w:bookmarkEnd w:id="11"/>
    </w:p>
    <w:p w14:paraId="2603F27E">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统计报表对各类项目和专家数据进行统一汇总，通过不同维度分析展示项目相关信息。</w:t>
      </w:r>
    </w:p>
    <w:p w14:paraId="5E2EFD8F">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统计报表具体包括综合分析、多维统计分析、专题分析、智能辅助等功能。</w:t>
      </w:r>
    </w:p>
    <w:p w14:paraId="13019E0C">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r>
        <w:rPr>
          <w:rFonts w:hint="eastAsia" w:asciiTheme="minorEastAsia" w:hAnsiTheme="minorEastAsia" w:eastAsiaTheme="minorEastAsia" w:cstheme="minorEastAsia"/>
          <w:b/>
          <w:bCs/>
          <w:spacing w:val="0"/>
          <w:kern w:val="0"/>
          <w:sz w:val="24"/>
          <w:szCs w:val="24"/>
          <w:lang w:val="en-US" w:eastAsia="zh-CN"/>
        </w:rPr>
        <w:t>2、应用支撑平台</w:t>
      </w:r>
    </w:p>
    <w:p w14:paraId="2764059C">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bookmarkStart w:id="12" w:name="_Toc135729656"/>
      <w:bookmarkStart w:id="13" w:name="_Toc350096821"/>
      <w:bookmarkStart w:id="14" w:name="_Toc436733496"/>
      <w:bookmarkStart w:id="15" w:name="_Toc161758230"/>
      <w:bookmarkStart w:id="16" w:name="_Toc130459243"/>
      <w:bookmarkStart w:id="17" w:name="_Toc516680906"/>
      <w:bookmarkStart w:id="18" w:name="_Toc140167792"/>
      <w:bookmarkStart w:id="19" w:name="_Toc459832138"/>
      <w:bookmarkStart w:id="20" w:name="_Toc388283592"/>
      <w:bookmarkStart w:id="21" w:name="_Toc306955581"/>
      <w:bookmarkStart w:id="22" w:name="_Toc411186357"/>
      <w:r>
        <w:rPr>
          <w:rFonts w:hint="eastAsia" w:asciiTheme="minorEastAsia" w:hAnsiTheme="minorEastAsia" w:eastAsiaTheme="minorEastAsia" w:cstheme="minorEastAsia"/>
          <w:b/>
          <w:bCs/>
          <w:spacing w:val="0"/>
          <w:kern w:val="0"/>
          <w:sz w:val="24"/>
          <w:szCs w:val="24"/>
          <w:lang w:val="en-US" w:eastAsia="zh-CN"/>
        </w:rPr>
        <w:t>2.1 统一用户</w:t>
      </w:r>
      <w:bookmarkEnd w:id="12"/>
      <w:bookmarkEnd w:id="13"/>
      <w:bookmarkEnd w:id="14"/>
      <w:bookmarkEnd w:id="15"/>
      <w:bookmarkEnd w:id="16"/>
      <w:bookmarkEnd w:id="17"/>
      <w:bookmarkEnd w:id="18"/>
      <w:bookmarkEnd w:id="19"/>
      <w:bookmarkEnd w:id="20"/>
      <w:bookmarkEnd w:id="21"/>
      <w:bookmarkEnd w:id="22"/>
    </w:p>
    <w:p w14:paraId="40A4364C">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用户管理实现用户和组织结构的管理功能，能够支持分级管理，功能包括:组织机构管理、群组信息管理、职务管理等。支持</w:t>
      </w:r>
      <w:bookmarkStart w:id="23" w:name="_Hlk139986731"/>
      <w:r>
        <w:rPr>
          <w:rFonts w:hint="eastAsia" w:asciiTheme="minorEastAsia" w:hAnsiTheme="minorEastAsia" w:eastAsiaTheme="minorEastAsia" w:cstheme="minorEastAsia"/>
          <w:b w:val="0"/>
          <w:bCs w:val="0"/>
          <w:spacing w:val="0"/>
          <w:kern w:val="0"/>
          <w:sz w:val="24"/>
          <w:szCs w:val="24"/>
          <w:lang w:val="en-US" w:eastAsia="zh-CN"/>
        </w:rPr>
        <w:t>全独立、半独立和全集成</w:t>
      </w:r>
      <w:bookmarkEnd w:id="23"/>
      <w:r>
        <w:rPr>
          <w:rFonts w:hint="eastAsia" w:asciiTheme="minorEastAsia" w:hAnsiTheme="minorEastAsia" w:eastAsiaTheme="minorEastAsia" w:cstheme="minorEastAsia"/>
          <w:b w:val="0"/>
          <w:bCs w:val="0"/>
          <w:spacing w:val="0"/>
          <w:kern w:val="0"/>
          <w:sz w:val="24"/>
          <w:szCs w:val="24"/>
          <w:lang w:val="en-US" w:eastAsia="zh-CN"/>
        </w:rPr>
        <w:t>三种集成模式。用户管理提供针对用户和组织结构管理功能，实现对于组织信息和用户信息的分级管理，并提供对于用户管理和用户标识的统一规范和服务规范。并实现对于不同节点分布系统的用户和组织数据的同步，并保障用户数据的组织、展示和前台调用更加方便、快速。</w:t>
      </w:r>
    </w:p>
    <w:p w14:paraId="19393A6B">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统一用户微服务组件具体包括用户管理、组织机构管理、部门配置管理、用户配置管理、群组信息管理、职务管理、分级管理。</w:t>
      </w:r>
    </w:p>
    <w:p w14:paraId="677CB6C8">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bookmarkStart w:id="24" w:name="_Toc459832147"/>
      <w:bookmarkStart w:id="25" w:name="_Toc130459244"/>
      <w:bookmarkStart w:id="26" w:name="_Toc140167793"/>
      <w:bookmarkStart w:id="27" w:name="_Toc135729657"/>
      <w:bookmarkStart w:id="28" w:name="_Toc161758231"/>
      <w:bookmarkStart w:id="29" w:name="_Toc516680914"/>
      <w:bookmarkStart w:id="30" w:name="_Toc436733547"/>
      <w:bookmarkStart w:id="31" w:name="_Toc169323145"/>
      <w:r>
        <w:rPr>
          <w:rFonts w:hint="eastAsia" w:asciiTheme="minorEastAsia" w:hAnsiTheme="minorEastAsia" w:eastAsiaTheme="minorEastAsia" w:cstheme="minorEastAsia"/>
          <w:b/>
          <w:bCs/>
          <w:spacing w:val="0"/>
          <w:kern w:val="0"/>
          <w:sz w:val="24"/>
          <w:szCs w:val="24"/>
          <w:lang w:val="en-US" w:eastAsia="zh-CN"/>
        </w:rPr>
        <w:t>2.2 统一授权</w:t>
      </w:r>
      <w:bookmarkEnd w:id="24"/>
      <w:bookmarkEnd w:id="25"/>
      <w:bookmarkEnd w:id="26"/>
      <w:bookmarkEnd w:id="27"/>
      <w:bookmarkEnd w:id="28"/>
      <w:bookmarkEnd w:id="29"/>
      <w:bookmarkEnd w:id="30"/>
    </w:p>
    <w:p w14:paraId="0A68E393">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统一授权微服务组件实现对各应用系统的权限进行统一管理，支持基于RBAC的授权管理机制。对各应用系统提供三种不同级别的权限管理服务，即：顶层权限管理模式（入口和部件）、系统功能权限管理模式（菜单）和全部权限管理模式。平台支持分级、分权管理。</w:t>
      </w:r>
      <w:bookmarkEnd w:id="31"/>
    </w:p>
    <w:p w14:paraId="0786BA3B">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统一授权微服务组件具体包括应用系统权限注册、权限管理模式、多级分层授权、精确授权、授权审批、用户角色权限导入导出。</w:t>
      </w:r>
    </w:p>
    <w:p w14:paraId="15687D3B">
      <w:pPr>
        <w:spacing w:line="360" w:lineRule="auto"/>
        <w:ind w:firstLine="482" w:firstLineChars="200"/>
        <w:rPr>
          <w:rFonts w:hint="default" w:asciiTheme="minorEastAsia" w:hAnsiTheme="minorEastAsia" w:eastAsiaTheme="minorEastAsia" w:cstheme="minorEastAsia"/>
          <w:b/>
          <w:bCs/>
          <w:spacing w:val="0"/>
          <w:kern w:val="0"/>
          <w:sz w:val="24"/>
          <w:szCs w:val="24"/>
          <w:lang w:val="en-US" w:eastAsia="zh-CN"/>
        </w:rPr>
      </w:pPr>
      <w:bookmarkStart w:id="32" w:name="_Toc130459246"/>
      <w:bookmarkStart w:id="33" w:name="_Toc135729659"/>
      <w:bookmarkStart w:id="34" w:name="_Toc161758233"/>
      <w:bookmarkStart w:id="35" w:name="_Toc140167795"/>
      <w:bookmarkStart w:id="36" w:name="_Toc130459245"/>
      <w:bookmarkStart w:id="37" w:name="_Toc436733541"/>
      <w:bookmarkStart w:id="38" w:name="_Toc161758232"/>
      <w:bookmarkStart w:id="39" w:name="_Toc516680913"/>
      <w:bookmarkStart w:id="40" w:name="_Toc140167794"/>
      <w:bookmarkStart w:id="41" w:name="_Toc135729658"/>
      <w:bookmarkStart w:id="42" w:name="_Toc459832146"/>
      <w:r>
        <w:rPr>
          <w:rFonts w:hint="eastAsia" w:asciiTheme="minorEastAsia" w:hAnsiTheme="minorEastAsia" w:eastAsiaTheme="minorEastAsia" w:cstheme="minorEastAsia"/>
          <w:b/>
          <w:bCs/>
          <w:spacing w:val="0"/>
          <w:kern w:val="0"/>
          <w:sz w:val="24"/>
          <w:szCs w:val="24"/>
          <w:lang w:val="en-US" w:eastAsia="zh-CN"/>
        </w:rPr>
        <w:t>2.3 统一</w:t>
      </w:r>
      <w:bookmarkEnd w:id="32"/>
      <w:bookmarkEnd w:id="33"/>
      <w:bookmarkEnd w:id="34"/>
      <w:bookmarkEnd w:id="35"/>
      <w:r>
        <w:rPr>
          <w:rFonts w:hint="eastAsia" w:asciiTheme="minorEastAsia" w:hAnsiTheme="minorEastAsia" w:eastAsiaTheme="minorEastAsia" w:cstheme="minorEastAsia"/>
          <w:b/>
          <w:bCs/>
          <w:spacing w:val="0"/>
          <w:kern w:val="0"/>
          <w:sz w:val="24"/>
          <w:szCs w:val="24"/>
          <w:lang w:val="en-US" w:eastAsia="zh-CN"/>
        </w:rPr>
        <w:t>资源</w:t>
      </w:r>
    </w:p>
    <w:p w14:paraId="11FAF69A">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为应用系统目录为系统整合提供基础。为集中对各应用系统中的各个功能进行授权控制，更好的为门户提供完整的应用系统信息。通过应用系统资源目录，管理员可以进行应用系统的访问控制管理。</w:t>
      </w:r>
    </w:p>
    <w:p w14:paraId="139A54EB">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r>
        <w:rPr>
          <w:rFonts w:hint="eastAsia" w:asciiTheme="minorEastAsia" w:hAnsiTheme="minorEastAsia" w:eastAsiaTheme="minorEastAsia" w:cstheme="minorEastAsia"/>
          <w:b/>
          <w:bCs/>
          <w:spacing w:val="0"/>
          <w:kern w:val="0"/>
          <w:sz w:val="24"/>
          <w:szCs w:val="24"/>
          <w:lang w:val="en-US" w:eastAsia="zh-CN"/>
        </w:rPr>
        <w:t>2.4 统一认证</w:t>
      </w:r>
      <w:bookmarkEnd w:id="36"/>
      <w:bookmarkEnd w:id="37"/>
      <w:bookmarkEnd w:id="38"/>
      <w:bookmarkEnd w:id="39"/>
      <w:bookmarkEnd w:id="40"/>
      <w:bookmarkEnd w:id="41"/>
      <w:bookmarkEnd w:id="42"/>
    </w:p>
    <w:p w14:paraId="6C0D00B1">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统一认证微服务组件实现对于用户身份的统一校验，为各应用提供单点登录服务支持，兼容已有的身份认证机制，包括基于数据库的用户/密码认证机制、CA认证和基于LDAP和AD存储的认证服务，通过制定接口和规范对未来新建应用系统提供指导，为业务系统提供可信的安全认证服务。</w:t>
      </w:r>
    </w:p>
    <w:p w14:paraId="4C17343F">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r>
        <w:rPr>
          <w:rFonts w:hint="eastAsia" w:asciiTheme="minorEastAsia" w:hAnsiTheme="minorEastAsia" w:eastAsiaTheme="minorEastAsia" w:cstheme="minorEastAsia"/>
          <w:b/>
          <w:bCs/>
          <w:spacing w:val="0"/>
          <w:kern w:val="0"/>
          <w:sz w:val="24"/>
          <w:szCs w:val="24"/>
          <w:lang w:val="en-US" w:eastAsia="zh-CN"/>
        </w:rPr>
        <w:t>(三）系统功能、性能和网络安全需求</w:t>
      </w:r>
    </w:p>
    <w:p w14:paraId="4D4E11BE">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r>
        <w:rPr>
          <w:rFonts w:hint="eastAsia" w:asciiTheme="minorEastAsia" w:hAnsiTheme="minorEastAsia" w:eastAsiaTheme="minorEastAsia" w:cstheme="minorEastAsia"/>
          <w:b/>
          <w:bCs/>
          <w:spacing w:val="0"/>
          <w:kern w:val="0"/>
          <w:sz w:val="24"/>
          <w:szCs w:val="24"/>
          <w:lang w:val="en-US" w:eastAsia="zh-CN"/>
        </w:rPr>
        <w:t>1. 系统功能、性能需求分析</w:t>
      </w:r>
    </w:p>
    <w:p w14:paraId="2B87F57A">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r>
        <w:rPr>
          <w:rFonts w:hint="eastAsia" w:asciiTheme="minorEastAsia" w:hAnsiTheme="minorEastAsia" w:eastAsiaTheme="minorEastAsia" w:cstheme="minorEastAsia"/>
          <w:b/>
          <w:bCs/>
          <w:spacing w:val="0"/>
          <w:kern w:val="0"/>
          <w:sz w:val="24"/>
          <w:szCs w:val="24"/>
          <w:lang w:val="en-US" w:eastAsia="zh-CN"/>
        </w:rPr>
        <w:t>（1）软件能力需求</w:t>
      </w:r>
    </w:p>
    <w:p w14:paraId="40BF6ECF">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系统用户为500用户时，系统应支持不低于50并发访问。简单操作控制在2s以内，复杂查询控制在5s，复合查询小于8s。</w:t>
      </w:r>
    </w:p>
    <w:p w14:paraId="3201995E">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菜单响应，固定内容的页面（即不需加载文件、事项等实时数据）完全打开所需的时间。平均用时小于1秒。</w:t>
      </w:r>
    </w:p>
    <w:p w14:paraId="6FABDA0B">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列表自动刷新、数据前后翻页所需时间平均用时小于1秒。</w:t>
      </w:r>
    </w:p>
    <w:p w14:paraId="27F4A542">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文件表单，点击文件标题后，相应评审表单中信息完。全加载所需时间平均，用时小于2秒。</w:t>
      </w:r>
    </w:p>
    <w:p w14:paraId="6EDACEE8">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打开附件，打开1MB以内的文件所需的平均时间平均用时小于3秒。</w:t>
      </w:r>
    </w:p>
    <w:p w14:paraId="47D1E050">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发送文件，点击“发送”按钮后，系统完成发送工作并将结果反馈给用户所需的时间，最大用时小于2秒。</w:t>
      </w:r>
    </w:p>
    <w:p w14:paraId="47BCFE68">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r>
        <w:rPr>
          <w:rFonts w:hint="eastAsia" w:asciiTheme="minorEastAsia" w:hAnsiTheme="minorEastAsia" w:eastAsiaTheme="minorEastAsia" w:cstheme="minorEastAsia"/>
          <w:b/>
          <w:bCs/>
          <w:spacing w:val="0"/>
          <w:kern w:val="0"/>
          <w:sz w:val="24"/>
          <w:szCs w:val="24"/>
          <w:lang w:val="en-US" w:eastAsia="zh-CN"/>
        </w:rPr>
        <w:t>（2）计算资源需求</w:t>
      </w:r>
    </w:p>
    <w:p w14:paraId="3AB038DD">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本项目建设所需服务器包括应用服务器、数据库服务器、web服务器，其中应用服务器为4C8G，数据库服务器为4C8G+1T内存、web服务器为4C8G。按照数据增速，三年预估所需存储为42G。</w:t>
      </w:r>
    </w:p>
    <w:p w14:paraId="3C7B681B">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备份软件：1套</w:t>
      </w:r>
    </w:p>
    <w:p w14:paraId="09D4F037">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网络设备：根据市政务云网络架构，按需使用</w:t>
      </w:r>
    </w:p>
    <w:p w14:paraId="1F5366A9">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通信线路：根据实际情况分配线路</w:t>
      </w:r>
    </w:p>
    <w:p w14:paraId="54DBFA5B">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系统软件：开发语言采用JAVA、操作系统采用国产操作系统、数据库采用国产数据库、中间件采用国产中间件；</w:t>
      </w:r>
    </w:p>
    <w:p w14:paraId="63505B3D">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安全设备：现有市政务云安全设备，根据系统需求进行配置</w:t>
      </w:r>
    </w:p>
    <w:p w14:paraId="2714A2A7">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r>
        <w:rPr>
          <w:rFonts w:hint="eastAsia" w:asciiTheme="minorEastAsia" w:hAnsiTheme="minorEastAsia" w:eastAsiaTheme="minorEastAsia" w:cstheme="minorEastAsia"/>
          <w:b/>
          <w:bCs/>
          <w:spacing w:val="0"/>
          <w:kern w:val="0"/>
          <w:sz w:val="24"/>
          <w:szCs w:val="24"/>
          <w:lang w:val="en-US" w:eastAsia="zh-CN"/>
        </w:rPr>
        <w:t>2. 网络安全需求分析</w:t>
      </w:r>
    </w:p>
    <w:p w14:paraId="722CEABF">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bookmarkStart w:id="43" w:name="_Toc183882568"/>
      <w:r>
        <w:rPr>
          <w:rFonts w:hint="eastAsia" w:asciiTheme="minorEastAsia" w:hAnsiTheme="minorEastAsia" w:eastAsiaTheme="minorEastAsia" w:cstheme="minorEastAsia"/>
          <w:b/>
          <w:bCs/>
          <w:spacing w:val="0"/>
          <w:kern w:val="0"/>
          <w:sz w:val="24"/>
          <w:szCs w:val="24"/>
          <w:lang w:val="en-US" w:eastAsia="zh-CN"/>
        </w:rPr>
        <w:t>（1）现有信息安全技术防护</w:t>
      </w:r>
      <w:bookmarkEnd w:id="43"/>
    </w:p>
    <w:p w14:paraId="76385C63">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系统依托市政务云平台进行建设，而市电子政务云平台已通过等级保护三级测评备案，具备相应的信息安全监控、应急管理和灾备等能力。因此，等同于上饶市口岸发展中心同样具备了相应的信息安全技术防护能力。</w:t>
      </w:r>
    </w:p>
    <w:p w14:paraId="12B37B51">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bookmarkStart w:id="44" w:name="_Toc183882569"/>
      <w:r>
        <w:rPr>
          <w:rFonts w:hint="eastAsia" w:asciiTheme="minorEastAsia" w:hAnsiTheme="minorEastAsia" w:eastAsiaTheme="minorEastAsia" w:cstheme="minorEastAsia"/>
          <w:b/>
          <w:bCs/>
          <w:spacing w:val="0"/>
          <w:kern w:val="0"/>
          <w:sz w:val="24"/>
          <w:szCs w:val="24"/>
          <w:lang w:val="en-US" w:eastAsia="zh-CN"/>
        </w:rPr>
        <w:t>（2）业务保障安全需求</w:t>
      </w:r>
      <w:bookmarkEnd w:id="44"/>
    </w:p>
    <w:p w14:paraId="74B44460">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r>
        <w:rPr>
          <w:rFonts w:hint="eastAsia" w:asciiTheme="minorEastAsia" w:hAnsiTheme="minorEastAsia" w:eastAsiaTheme="minorEastAsia" w:cstheme="minorEastAsia"/>
          <w:b/>
          <w:bCs/>
          <w:spacing w:val="0"/>
          <w:kern w:val="0"/>
          <w:sz w:val="24"/>
          <w:szCs w:val="24"/>
          <w:lang w:val="en-US" w:eastAsia="zh-CN"/>
        </w:rPr>
        <w:t>1.可用性（业务连续性）</w:t>
      </w:r>
    </w:p>
    <w:p w14:paraId="061FCE75">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系统稳定运行：上饶市政府投资项目评审评估系统应确保7x24小时稳定运行，避免因系统故障或维护而导致业务中断。系统应具备高可靠性和容错性，即使部分硬件或软件出现故障，也能迅速切换至备用系统或恢复运行。</w:t>
      </w:r>
    </w:p>
    <w:p w14:paraId="2B3176B6">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数据备份恢复：系统应定期备份重要数据，并确保备份数据的完整性和可用性。在发生数据丢失或损坏时，能够迅速恢复数据，保证业务连续性。</w:t>
      </w:r>
    </w:p>
    <w:p w14:paraId="0F11EB88">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应急响应机制：建立完善的应急响应机制，包括应急预案、应急演练和应急团队。在发生突发事件时，能够迅速启动应急预案，组织应急团队进行处置，最大限度地减少业务中断时间和损失。</w:t>
      </w:r>
    </w:p>
    <w:p w14:paraId="6348C6BC">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与省政府投资项目评审评估系统的互操作性：确保系统与省政府投资项目评审评估系统之间的互操作性，实现专家数据的无缝交换和共享。在互联的应用系统出现故障时，能够迅速调整业务流程，确保评审评估工作的顺利进行。</w:t>
      </w:r>
    </w:p>
    <w:p w14:paraId="28B285EB">
      <w:pPr>
        <w:spacing w:line="360" w:lineRule="auto"/>
        <w:ind w:firstLine="482"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bCs/>
          <w:spacing w:val="0"/>
          <w:kern w:val="0"/>
          <w:sz w:val="24"/>
          <w:szCs w:val="24"/>
          <w:lang w:val="en-US" w:eastAsia="zh-CN"/>
        </w:rPr>
        <w:t>2.完整性</w:t>
      </w:r>
    </w:p>
    <w:p w14:paraId="4C0A878E">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数据完整性：确保系统中存储和传输的数据的完整性，防止数据被篡改、删除或损坏。采用数据加密、数字签名等技术手段，确保数据的真实性和可靠性。</w:t>
      </w:r>
    </w:p>
    <w:p w14:paraId="2072ABB5">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业务完整性：确保评审评估业务流程的完整性，从项目申报、评审、审批到结果反馈等各个环节都应得到妥善管理和记录。防止因流程中断或错误操作而导致业务不完整。</w:t>
      </w:r>
    </w:p>
    <w:p w14:paraId="7677A6DE">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与省政府投资项目评审评估系统的数据一致性：确保系统与省政府投资项目评审评估系统之间专家数据一致性，避免因数据不一致而导致业务混乱或决策失误。建立数据同步和校验机制，确保数据的准确性和一致性。</w:t>
      </w:r>
    </w:p>
    <w:p w14:paraId="5FB84AA1">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r>
        <w:rPr>
          <w:rFonts w:hint="eastAsia" w:asciiTheme="minorEastAsia" w:hAnsiTheme="minorEastAsia" w:eastAsiaTheme="minorEastAsia" w:cstheme="minorEastAsia"/>
          <w:b/>
          <w:bCs/>
          <w:spacing w:val="0"/>
          <w:kern w:val="0"/>
          <w:sz w:val="24"/>
          <w:szCs w:val="24"/>
          <w:lang w:val="en-US" w:eastAsia="zh-CN"/>
        </w:rPr>
        <w:t>3.保密性</w:t>
      </w:r>
    </w:p>
    <w:p w14:paraId="7918B7CD">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数据加密：对系统中存储和传输的敏感数据进行加密处理，确保数据在传输过程中不被窃取或篡改。采用先进的加密算法和技术手段，确保数据的保密性。</w:t>
      </w:r>
    </w:p>
    <w:p w14:paraId="77A1B8D5">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访问控制：建立严格的访问控制机制，对用户的访问权限进行精细化管理。确保只有经过授权的用户才能访问系统中的敏感数据和功能。</w:t>
      </w:r>
    </w:p>
    <w:p w14:paraId="5DDDA69F">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审计监控：建立审计监控机制，对用户的操作行为进行记录和监控。及时发现并处理异常操作行为，防止数据泄露或滥用。</w:t>
      </w:r>
    </w:p>
    <w:p w14:paraId="4F233112">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bookmarkStart w:id="45" w:name="_Toc183882570"/>
      <w:r>
        <w:rPr>
          <w:rFonts w:hint="eastAsia" w:asciiTheme="minorEastAsia" w:hAnsiTheme="minorEastAsia" w:eastAsiaTheme="minorEastAsia" w:cstheme="minorEastAsia"/>
          <w:b/>
          <w:bCs/>
          <w:spacing w:val="0"/>
          <w:kern w:val="0"/>
          <w:sz w:val="24"/>
          <w:szCs w:val="24"/>
          <w:lang w:val="en-US" w:eastAsia="zh-CN"/>
        </w:rPr>
        <w:t>（3）信息安全合规性要求</w:t>
      </w:r>
      <w:bookmarkEnd w:id="45"/>
    </w:p>
    <w:p w14:paraId="0C0E0CC5">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按照国家、江西省、上饶市以及所属行业颁布的相关法律法规和技术标准对系统的信息安全合规性的要求，上饶市政府投资项目评审评估系统应遵循：</w:t>
      </w:r>
    </w:p>
    <w:p w14:paraId="2A30E72C">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信息安全技术网络安全等级保护定级指南（GA/T 1389-2017），按照指南进行系统定级，级别应为等保二级；</w:t>
      </w:r>
    </w:p>
    <w:p w14:paraId="525F9643">
      <w:pPr>
        <w:spacing w:line="360" w:lineRule="auto"/>
        <w:ind w:firstLine="480" w:firstLineChars="200"/>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同时，系统建设应符合江西省电子政务外网网络接入规范（DB 36/T 1093-2018）、江西省电子政务云平台安全规范（DB 36/T 1099-2018）、江西省电子政务外网安全接入平台技术规范（DB 36/T 979-2017）等地方性信息安全政策及行业性信息安全政策。</w:t>
      </w:r>
    </w:p>
    <w:p w14:paraId="292FC0DE">
      <w:pPr>
        <w:spacing w:line="360" w:lineRule="auto"/>
        <w:ind w:firstLine="482" w:firstLineChars="200"/>
        <w:rPr>
          <w:rFonts w:ascii="宋体" w:hAnsi="宋体" w:eastAsia="宋体" w:cs="宋体"/>
          <w:color w:val="auto"/>
          <w:spacing w:val="-6"/>
          <w:sz w:val="24"/>
          <w:szCs w:val="24"/>
          <w:highlight w:val="none"/>
          <w:lang w:eastAsia="zh-CN"/>
        </w:rPr>
      </w:pPr>
      <w:r>
        <w:rPr>
          <w:rFonts w:hint="eastAsia" w:asciiTheme="minorEastAsia" w:hAnsiTheme="minorEastAsia" w:eastAsiaTheme="minorEastAsia" w:cstheme="minorEastAsia"/>
          <w:b/>
          <w:bCs/>
          <w:spacing w:val="0"/>
          <w:kern w:val="0"/>
          <w:sz w:val="24"/>
          <w:szCs w:val="24"/>
          <w:lang w:val="en-US" w:eastAsia="zh-CN"/>
        </w:rPr>
        <w:t>(四）其他需求：须符合《</w:t>
      </w:r>
      <w:bookmarkStart w:id="46" w:name="_Toc11359"/>
      <w:r>
        <w:rPr>
          <w:rFonts w:hint="eastAsia" w:asciiTheme="minorEastAsia" w:hAnsiTheme="minorEastAsia" w:eastAsiaTheme="minorEastAsia" w:cstheme="minorEastAsia"/>
          <w:b/>
          <w:bCs/>
          <w:spacing w:val="0"/>
          <w:kern w:val="0"/>
          <w:sz w:val="24"/>
          <w:szCs w:val="24"/>
          <w:lang w:val="en-US" w:eastAsia="zh-CN"/>
        </w:rPr>
        <w:t>上饶市投资项目数字评审系统</w:t>
      </w:r>
      <w:bookmarkEnd w:id="46"/>
      <w:r>
        <w:rPr>
          <w:rFonts w:hint="eastAsia" w:asciiTheme="minorEastAsia" w:hAnsiTheme="minorEastAsia" w:eastAsiaTheme="minorEastAsia" w:cstheme="minorEastAsia"/>
          <w:b/>
          <w:bCs/>
          <w:spacing w:val="0"/>
          <w:kern w:val="0"/>
          <w:sz w:val="24"/>
          <w:szCs w:val="24"/>
          <w:lang w:val="en-US" w:eastAsia="zh-CN"/>
        </w:rPr>
        <w:t>建设方案》要求。</w:t>
      </w:r>
    </w:p>
    <w:p w14:paraId="67748220">
      <w:pPr>
        <w:rPr>
          <w:rFonts w:ascii="宋体" w:hAnsi="宋体" w:eastAsia="宋体" w:cs="宋体"/>
          <w:color w:val="auto"/>
          <w:spacing w:val="-2"/>
          <w:sz w:val="24"/>
          <w:szCs w:val="24"/>
          <w:highlight w:val="none"/>
          <w:lang w:eastAsia="zh-CN"/>
        </w:rPr>
      </w:pPr>
      <w:r>
        <w:rPr>
          <w:rFonts w:ascii="宋体" w:hAnsi="宋体" w:eastAsia="宋体" w:cs="宋体"/>
          <w:color w:val="auto"/>
          <w:spacing w:val="-2"/>
          <w:sz w:val="24"/>
          <w:szCs w:val="24"/>
          <w:highlight w:val="none"/>
          <w:lang w:eastAsia="zh-CN"/>
        </w:rPr>
        <w:br w:type="page"/>
      </w:r>
    </w:p>
    <w:p w14:paraId="6ECB9AC5">
      <w:pPr>
        <w:spacing w:line="360" w:lineRule="auto"/>
        <w:ind w:firstLine="482" w:firstLineChars="200"/>
        <w:rPr>
          <w:rFonts w:hint="eastAsia" w:asciiTheme="minorEastAsia" w:hAnsiTheme="minorEastAsia" w:eastAsiaTheme="minorEastAsia" w:cstheme="minorEastAsia"/>
          <w:b/>
          <w:bCs/>
          <w:spacing w:val="0"/>
          <w:kern w:val="0"/>
          <w:sz w:val="24"/>
          <w:szCs w:val="24"/>
          <w:lang w:val="en-US" w:eastAsia="zh-CN"/>
        </w:rPr>
      </w:pPr>
      <w:r>
        <w:rPr>
          <w:rFonts w:hint="eastAsia" w:asciiTheme="minorEastAsia" w:hAnsiTheme="minorEastAsia" w:eastAsiaTheme="minorEastAsia" w:cstheme="minorEastAsia"/>
          <w:b/>
          <w:bCs/>
          <w:spacing w:val="0"/>
          <w:kern w:val="0"/>
          <w:sz w:val="24"/>
          <w:szCs w:val="24"/>
          <w:lang w:val="en-US" w:eastAsia="zh-CN"/>
        </w:rPr>
        <w:t>四、商务要求</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6"/>
        <w:gridCol w:w="1570"/>
        <w:gridCol w:w="4839"/>
        <w:gridCol w:w="1417"/>
      </w:tblGrid>
      <w:tr w14:paraId="67778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696" w:type="dxa"/>
            <w:noWrap w:val="0"/>
            <w:vAlign w:val="center"/>
          </w:tcPr>
          <w:p w14:paraId="7AC0555C">
            <w:pPr>
              <w:keepNext w:val="0"/>
              <w:pageBreakBefore w:val="0"/>
              <w:kinsoku/>
              <w:overflowPunct/>
              <w:topLinePunct w:val="0"/>
              <w:bidi w:val="0"/>
              <w:jc w:val="center"/>
              <w:rPr>
                <w:rFonts w:hint="eastAsia" w:ascii="宋体" w:hAnsi="宋体" w:eastAsia="宋体" w:cs="宋体"/>
                <w:color w:val="000000" w:themeColor="text1"/>
                <w:sz w:val="24"/>
                <w:szCs w:val="24"/>
                <w14:textFill>
                  <w14:solidFill>
                    <w14:schemeClr w14:val="tx1"/>
                  </w14:solidFill>
                </w14:textFill>
              </w:rPr>
            </w:pPr>
            <w:bookmarkStart w:id="47" w:name="_Toc505955294"/>
            <w:r>
              <w:rPr>
                <w:rFonts w:hint="eastAsia" w:ascii="宋体" w:hAnsi="宋体" w:eastAsia="宋体" w:cs="宋体"/>
                <w:color w:val="000000" w:themeColor="text1"/>
                <w:sz w:val="24"/>
                <w:szCs w:val="24"/>
                <w14:textFill>
                  <w14:solidFill>
                    <w14:schemeClr w14:val="tx1"/>
                  </w14:solidFill>
                </w14:textFill>
              </w:rPr>
              <w:t>序号</w:t>
            </w:r>
          </w:p>
        </w:tc>
        <w:tc>
          <w:tcPr>
            <w:tcW w:w="1570" w:type="dxa"/>
            <w:noWrap w:val="0"/>
            <w:vAlign w:val="center"/>
          </w:tcPr>
          <w:p w14:paraId="73A32BA0">
            <w:pPr>
              <w:keepNext w:val="0"/>
              <w:pageBreakBefore w:val="0"/>
              <w:kinsoku/>
              <w:overflowPunct/>
              <w:topLinePunct w:val="0"/>
              <w:bidi w:val="0"/>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条款名称</w:t>
            </w:r>
          </w:p>
        </w:tc>
        <w:tc>
          <w:tcPr>
            <w:tcW w:w="4839" w:type="dxa"/>
            <w:noWrap w:val="0"/>
            <w:vAlign w:val="center"/>
          </w:tcPr>
          <w:p w14:paraId="6C26A1A2">
            <w:pPr>
              <w:keepNext w:val="0"/>
              <w:pageBreakBefore w:val="0"/>
              <w:kinsoku/>
              <w:overflowPunct/>
              <w:topLinePunct w:val="0"/>
              <w:bidi w:val="0"/>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需求说明</w:t>
            </w:r>
          </w:p>
        </w:tc>
        <w:tc>
          <w:tcPr>
            <w:tcW w:w="1417" w:type="dxa"/>
            <w:noWrap w:val="0"/>
            <w:vAlign w:val="center"/>
          </w:tcPr>
          <w:p w14:paraId="53998BD0">
            <w:pPr>
              <w:keepNext w:val="0"/>
              <w:pageBreakBefore w:val="0"/>
              <w:kinsoku/>
              <w:overflowPunct/>
              <w:topLinePunct w:val="0"/>
              <w:bidi w:val="0"/>
              <w:jc w:val="center"/>
              <w:rPr>
                <w:rFonts w:hint="eastAsia" w:ascii="宋体" w:hAnsi="宋体" w:eastAsia="宋体" w:cs="宋体"/>
                <w:sz w:val="24"/>
                <w:szCs w:val="24"/>
              </w:rPr>
            </w:pPr>
            <w:r>
              <w:rPr>
                <w:rFonts w:hint="eastAsia" w:ascii="宋体" w:hAnsi="宋体" w:eastAsia="宋体" w:cs="宋体"/>
                <w:sz w:val="24"/>
                <w:szCs w:val="24"/>
              </w:rPr>
              <w:t>偏离选项</w:t>
            </w:r>
          </w:p>
        </w:tc>
      </w:tr>
      <w:tr w14:paraId="1B9BF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696" w:type="dxa"/>
            <w:noWrap w:val="0"/>
            <w:vAlign w:val="center"/>
          </w:tcPr>
          <w:p w14:paraId="0AEE2203">
            <w:pPr>
              <w:keepNext w:val="0"/>
              <w:pageBreakBefore w:val="0"/>
              <w:kinsoku/>
              <w:overflowPunct/>
              <w:topLinePunct w:val="0"/>
              <w:bidi w:val="0"/>
              <w:jc w:val="center"/>
              <w:rPr>
                <w:rFonts w:hint="eastAsia" w:ascii="宋体" w:hAnsi="宋体" w:eastAsia="宋体" w:cs="宋体"/>
                <w:sz w:val="24"/>
                <w:szCs w:val="24"/>
              </w:rPr>
            </w:pPr>
            <w:r>
              <w:rPr>
                <w:rFonts w:hint="eastAsia" w:ascii="宋体" w:hAnsi="宋体" w:eastAsia="宋体" w:cs="宋体"/>
                <w:sz w:val="24"/>
                <w:szCs w:val="24"/>
              </w:rPr>
              <w:t>1</w:t>
            </w:r>
          </w:p>
        </w:tc>
        <w:tc>
          <w:tcPr>
            <w:tcW w:w="1570" w:type="dxa"/>
            <w:noWrap w:val="0"/>
            <w:vAlign w:val="center"/>
          </w:tcPr>
          <w:p w14:paraId="17832F27">
            <w:pPr>
              <w:keepNext w:val="0"/>
              <w:keepLines w:val="0"/>
              <w:pageBreakBefore w:val="0"/>
              <w:widowControl/>
              <w:kinsoku/>
              <w:wordWrap/>
              <w:overflowPunct/>
              <w:topLinePunct w:val="0"/>
              <w:autoSpaceDE w:val="0"/>
              <w:autoSpaceDN w:val="0"/>
              <w:bidi w:val="0"/>
              <w:adjustRightInd w:val="0"/>
              <w:snapToGrid w:val="0"/>
              <w:jc w:val="center"/>
              <w:textAlignment w:val="baseline"/>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snapToGrid w:val="0"/>
                <w:color w:val="000000"/>
                <w:kern w:val="0"/>
                <w:sz w:val="24"/>
                <w:szCs w:val="24"/>
                <w:highlight w:val="none"/>
                <w:lang w:val="en-US" w:eastAsia="zh-CN" w:bidi="ar"/>
              </w:rPr>
              <w:t>服务要求</w:t>
            </w:r>
          </w:p>
        </w:tc>
        <w:tc>
          <w:tcPr>
            <w:tcW w:w="4839" w:type="dxa"/>
            <w:noWrap w:val="0"/>
            <w:vAlign w:val="center"/>
          </w:tcPr>
          <w:p w14:paraId="00F0B3C7">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1、成交供应商应按采购清单及建设要求向采购人提供服务。</w:t>
            </w:r>
          </w:p>
          <w:p w14:paraId="448882B7">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2、严格遵守采购人的所有的规定、制度，不给采购人造成经济和信誉的损失。</w:t>
            </w:r>
          </w:p>
          <w:p w14:paraId="598589ED">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kern w:val="2"/>
                <w:sz w:val="24"/>
                <w:szCs w:val="24"/>
                <w:highlight w:val="none"/>
                <w:lang w:val="en-US" w:eastAsia="zh-CN" w:bidi="ar-SA"/>
              </w:rPr>
            </w:pPr>
            <w:r>
              <w:rPr>
                <w:rFonts w:hint="eastAsia" w:asciiTheme="minorEastAsia" w:hAnsiTheme="minorEastAsia" w:eastAsiaTheme="minorEastAsia" w:cstheme="minorEastAsia"/>
                <w:b/>
                <w:bCs/>
                <w:spacing w:val="0"/>
                <w:kern w:val="0"/>
                <w:sz w:val="24"/>
                <w:szCs w:val="24"/>
                <w:lang w:val="en-US" w:eastAsia="zh-CN"/>
              </w:rPr>
              <w:t>3、确保系统与省政府投资项目评审评估系统之间的互操作性，实现专家数据的无缝交换和共享（需出具承诺书，格式自拟）。</w:t>
            </w:r>
          </w:p>
        </w:tc>
        <w:tc>
          <w:tcPr>
            <w:tcW w:w="1417" w:type="dxa"/>
            <w:noWrap w:val="0"/>
            <w:vAlign w:val="center"/>
          </w:tcPr>
          <w:p w14:paraId="4A0E9A47">
            <w:pPr>
              <w:keepNext w:val="0"/>
              <w:pageBreakBefore w:val="0"/>
              <w:kinsoku/>
              <w:overflowPunct/>
              <w:topLinePunct w:val="0"/>
              <w:bidi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不可负偏离</w:t>
            </w:r>
          </w:p>
        </w:tc>
      </w:tr>
      <w:tr w14:paraId="16848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696" w:type="dxa"/>
            <w:noWrap w:val="0"/>
            <w:vAlign w:val="center"/>
          </w:tcPr>
          <w:p w14:paraId="54CF6D1A">
            <w:pPr>
              <w:keepNext w:val="0"/>
              <w:pageBreakBefore w:val="0"/>
              <w:kinsoku/>
              <w:overflowPunct/>
              <w:topLinePunct w:val="0"/>
              <w:bidi w:val="0"/>
              <w:jc w:val="center"/>
              <w:rPr>
                <w:rFonts w:hint="eastAsia" w:ascii="宋体" w:hAnsi="宋体" w:eastAsia="宋体" w:cs="宋体"/>
                <w:sz w:val="24"/>
                <w:szCs w:val="24"/>
              </w:rPr>
            </w:pPr>
            <w:r>
              <w:rPr>
                <w:rFonts w:hint="eastAsia" w:ascii="宋体" w:hAnsi="宋体" w:eastAsia="宋体" w:cs="宋体"/>
                <w:sz w:val="24"/>
                <w:szCs w:val="24"/>
              </w:rPr>
              <w:t>2</w:t>
            </w:r>
          </w:p>
        </w:tc>
        <w:tc>
          <w:tcPr>
            <w:tcW w:w="1570" w:type="dxa"/>
            <w:noWrap w:val="0"/>
            <w:vAlign w:val="center"/>
          </w:tcPr>
          <w:p w14:paraId="735D9BE4">
            <w:pPr>
              <w:keepNext w:val="0"/>
              <w:keepLines w:val="0"/>
              <w:pageBreakBefore w:val="0"/>
              <w:widowControl/>
              <w:suppressLineNumbers w:val="0"/>
              <w:kinsoku/>
              <w:wordWrap w:val="0"/>
              <w:overflowPunct/>
              <w:topLinePunct w:val="0"/>
              <w:autoSpaceDE w:val="0"/>
              <w:autoSpaceDN w:val="0"/>
              <w:bidi w:val="0"/>
              <w:adjustRightInd w:val="0"/>
              <w:snapToGrid w:val="0"/>
              <w:spacing w:line="400" w:lineRule="exact"/>
              <w:jc w:val="left"/>
              <w:textAlignment w:val="baseline"/>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snapToGrid w:val="0"/>
                <w:color w:val="000000"/>
                <w:kern w:val="0"/>
                <w:sz w:val="24"/>
                <w:szCs w:val="24"/>
                <w:highlight w:val="none"/>
                <w:lang w:val="en-US" w:eastAsia="zh-CN" w:bidi="ar"/>
              </w:rPr>
              <w:t>服务期限、服务地点和服务工期</w:t>
            </w:r>
          </w:p>
        </w:tc>
        <w:tc>
          <w:tcPr>
            <w:tcW w:w="4839" w:type="dxa"/>
            <w:noWrap w:val="0"/>
            <w:vAlign w:val="center"/>
          </w:tcPr>
          <w:p w14:paraId="6605CBB1">
            <w:pPr>
              <w:spacing w:line="360" w:lineRule="auto"/>
              <w:jc w:val="both"/>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1、服务期限:签订合同后2个月内完成整体项目交付并上线试运行，在试运行满6个月并通过最终验收后提供3年免费运维服务。</w:t>
            </w:r>
          </w:p>
          <w:p w14:paraId="1CAC7557">
            <w:pPr>
              <w:spacing w:line="360" w:lineRule="auto"/>
              <w:jc w:val="both"/>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2、服务地点：</w:t>
            </w:r>
            <w:r>
              <w:rPr>
                <w:rFonts w:hint="eastAsia" w:ascii="宋体" w:hAnsi="宋体" w:eastAsia="宋体" w:cs="宋体"/>
                <w:color w:val="auto"/>
                <w:sz w:val="24"/>
                <w:szCs w:val="24"/>
                <w:highlight w:val="none"/>
                <w:lang w:val="en-US" w:eastAsia="zh-CN"/>
              </w:rPr>
              <w:t>上饶市信州区锦绣路2号广信大厦B栋11楼</w:t>
            </w:r>
          </w:p>
          <w:p w14:paraId="0531C4D0">
            <w:pPr>
              <w:spacing w:line="360" w:lineRule="auto"/>
              <w:jc w:val="both"/>
              <w:rPr>
                <w:rFonts w:hint="eastAsia" w:ascii="宋体" w:hAnsi="宋体" w:eastAsia="宋体" w:cs="宋体"/>
                <w:b w:val="0"/>
                <w:bCs w:val="0"/>
                <w:kern w:val="2"/>
                <w:sz w:val="24"/>
                <w:szCs w:val="24"/>
                <w:highlight w:val="none"/>
                <w:lang w:val="en-US" w:eastAsia="zh-CN" w:bidi="ar-SA"/>
              </w:rPr>
            </w:pPr>
            <w:r>
              <w:rPr>
                <w:rFonts w:hint="eastAsia" w:asciiTheme="minorEastAsia" w:hAnsiTheme="minorEastAsia" w:eastAsiaTheme="minorEastAsia" w:cstheme="minorEastAsia"/>
                <w:b w:val="0"/>
                <w:bCs w:val="0"/>
                <w:spacing w:val="0"/>
                <w:kern w:val="0"/>
                <w:sz w:val="24"/>
                <w:szCs w:val="24"/>
                <w:lang w:val="en-US" w:eastAsia="zh-CN"/>
              </w:rPr>
              <w:t>3、项目工期：签订合同后6个月内完成平台的最终上线。</w:t>
            </w:r>
          </w:p>
        </w:tc>
        <w:tc>
          <w:tcPr>
            <w:tcW w:w="1417" w:type="dxa"/>
            <w:noWrap w:val="0"/>
            <w:vAlign w:val="center"/>
          </w:tcPr>
          <w:p w14:paraId="2DBFBE4D">
            <w:pPr>
              <w:keepNext w:val="0"/>
              <w:pageBreakBefore w:val="0"/>
              <w:kinsoku/>
              <w:overflowPunct/>
              <w:topLinePunct w:val="0"/>
              <w:bidi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不可负偏离</w:t>
            </w:r>
          </w:p>
        </w:tc>
      </w:tr>
      <w:tr w14:paraId="6BFAC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96" w:type="dxa"/>
            <w:noWrap w:val="0"/>
            <w:vAlign w:val="center"/>
          </w:tcPr>
          <w:p w14:paraId="6CBDA858">
            <w:pPr>
              <w:keepNext w:val="0"/>
              <w:pageBreakBefore w:val="0"/>
              <w:kinsoku/>
              <w:overflowPunct/>
              <w:topLinePunct w:val="0"/>
              <w:bidi w:val="0"/>
              <w:jc w:val="center"/>
              <w:rPr>
                <w:rFonts w:hint="eastAsia" w:ascii="宋体" w:hAnsi="宋体" w:eastAsia="宋体" w:cs="宋体"/>
                <w:sz w:val="24"/>
                <w:szCs w:val="24"/>
              </w:rPr>
            </w:pPr>
            <w:r>
              <w:rPr>
                <w:rFonts w:hint="eastAsia" w:ascii="宋体" w:hAnsi="宋体" w:eastAsia="宋体" w:cs="宋体"/>
                <w:sz w:val="24"/>
                <w:szCs w:val="24"/>
              </w:rPr>
              <w:t>3</w:t>
            </w:r>
          </w:p>
        </w:tc>
        <w:tc>
          <w:tcPr>
            <w:tcW w:w="1570" w:type="dxa"/>
            <w:noWrap w:val="0"/>
            <w:vAlign w:val="center"/>
          </w:tcPr>
          <w:p w14:paraId="52BD004F">
            <w:pPr>
              <w:jc w:val="center"/>
              <w:rPr>
                <w:rFonts w:hint="eastAsia" w:ascii="宋体" w:hAnsi="宋体" w:eastAsia="宋体" w:cs="宋体"/>
                <w:b w:val="0"/>
                <w:bCs w:val="0"/>
                <w:color w:val="000000"/>
                <w:kern w:val="2"/>
                <w:sz w:val="24"/>
                <w:szCs w:val="24"/>
                <w:highlight w:val="none"/>
                <w:lang w:val="en-US" w:eastAsia="zh-CN" w:bidi="ar-SA"/>
              </w:rPr>
            </w:pPr>
            <w:r>
              <w:rPr>
                <w:rFonts w:hint="eastAsia" w:ascii="宋体" w:hAnsi="宋体" w:eastAsia="宋体" w:cs="宋体"/>
                <w:b w:val="0"/>
                <w:bCs w:val="0"/>
                <w:snapToGrid w:val="0"/>
                <w:color w:val="000000"/>
                <w:kern w:val="0"/>
                <w:sz w:val="24"/>
                <w:szCs w:val="24"/>
                <w:highlight w:val="none"/>
                <w:lang w:val="en-US" w:eastAsia="zh-CN" w:bidi="ar"/>
              </w:rPr>
              <w:t>付款方式</w:t>
            </w:r>
          </w:p>
        </w:tc>
        <w:tc>
          <w:tcPr>
            <w:tcW w:w="4839" w:type="dxa"/>
            <w:noWrap w:val="0"/>
            <w:vAlign w:val="center"/>
          </w:tcPr>
          <w:p w14:paraId="1AEC1401">
            <w:pPr>
              <w:spacing w:line="360" w:lineRule="auto"/>
              <w:jc w:val="both"/>
              <w:rPr>
                <w:rFonts w:hint="eastAsia" w:ascii="宋体" w:hAnsi="宋体" w:eastAsia="宋体" w:cs="宋体"/>
                <w:b w:val="0"/>
                <w:bCs w:val="0"/>
                <w:kern w:val="2"/>
                <w:sz w:val="24"/>
                <w:szCs w:val="24"/>
                <w:highlight w:val="none"/>
                <w:lang w:val="en-US" w:eastAsia="zh-CN" w:bidi="ar-SA"/>
              </w:rPr>
            </w:pPr>
            <w:r>
              <w:rPr>
                <w:rFonts w:hint="eastAsia" w:asciiTheme="minorEastAsia" w:hAnsiTheme="minorEastAsia" w:eastAsiaTheme="minorEastAsia" w:cstheme="minorEastAsia"/>
                <w:b w:val="0"/>
                <w:bCs w:val="0"/>
                <w:spacing w:val="0"/>
                <w:kern w:val="0"/>
                <w:sz w:val="24"/>
                <w:szCs w:val="24"/>
                <w:lang w:val="en-US" w:eastAsia="zh-CN"/>
              </w:rPr>
              <w:t>本项目合同签订后，付合同款的20%，初验完成后付合同款的40%，试运行后无问题，经等保测试合格后1个月内付合同款的30%，终验合格后10个工作日支付剩余的10%。</w:t>
            </w:r>
          </w:p>
        </w:tc>
        <w:tc>
          <w:tcPr>
            <w:tcW w:w="1417" w:type="dxa"/>
            <w:noWrap w:val="0"/>
            <w:vAlign w:val="center"/>
          </w:tcPr>
          <w:p w14:paraId="54AE1D0A">
            <w:pPr>
              <w:keepNext w:val="0"/>
              <w:pageBreakBefore w:val="0"/>
              <w:kinsoku/>
              <w:overflowPunct/>
              <w:topLinePunct w:val="0"/>
              <w:bidi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不可负偏离</w:t>
            </w:r>
          </w:p>
        </w:tc>
      </w:tr>
      <w:tr w14:paraId="3AC08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96" w:type="dxa"/>
            <w:noWrap w:val="0"/>
            <w:vAlign w:val="center"/>
          </w:tcPr>
          <w:p w14:paraId="45000DD6">
            <w:pPr>
              <w:keepNext w:val="0"/>
              <w:pageBreakBefore w:val="0"/>
              <w:kinsoku/>
              <w:overflowPunct/>
              <w:topLinePunct w:val="0"/>
              <w:bidi w:val="0"/>
              <w:jc w:val="center"/>
              <w:rPr>
                <w:rFonts w:hint="eastAsia" w:ascii="宋体" w:hAnsi="宋体" w:eastAsia="宋体" w:cs="宋体"/>
                <w:sz w:val="24"/>
                <w:szCs w:val="24"/>
              </w:rPr>
            </w:pPr>
            <w:r>
              <w:rPr>
                <w:rFonts w:hint="eastAsia" w:ascii="宋体" w:hAnsi="宋体" w:eastAsia="宋体" w:cs="宋体"/>
                <w:sz w:val="24"/>
                <w:szCs w:val="24"/>
              </w:rPr>
              <w:t>4</w:t>
            </w:r>
          </w:p>
        </w:tc>
        <w:tc>
          <w:tcPr>
            <w:tcW w:w="1570" w:type="dxa"/>
            <w:noWrap w:val="0"/>
            <w:vAlign w:val="center"/>
          </w:tcPr>
          <w:p w14:paraId="1D410F1D">
            <w:pPr>
              <w:jc w:val="center"/>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snapToGrid w:val="0"/>
                <w:color w:val="000000"/>
                <w:kern w:val="0"/>
                <w:sz w:val="24"/>
                <w:szCs w:val="24"/>
                <w:highlight w:val="none"/>
                <w:lang w:val="en-US" w:eastAsia="zh-CN" w:bidi="ar"/>
              </w:rPr>
              <w:t>验收标准</w:t>
            </w:r>
          </w:p>
        </w:tc>
        <w:tc>
          <w:tcPr>
            <w:tcW w:w="4839" w:type="dxa"/>
            <w:noWrap w:val="0"/>
            <w:vAlign w:val="center"/>
          </w:tcPr>
          <w:p w14:paraId="208BED31">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1、验收依据：项目建设方案、采购文件、响应文件、建设系统与省政府投资项目评审评估系统实现畅通对接及国家有关的质量标准规定，均为验收依据。</w:t>
            </w:r>
          </w:p>
          <w:p w14:paraId="48D7B2B2">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2、验收程序：组织专家评审、报批等相关验收程序。</w:t>
            </w:r>
          </w:p>
          <w:p w14:paraId="184180ED">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kern w:val="2"/>
                <w:sz w:val="24"/>
                <w:szCs w:val="24"/>
                <w:highlight w:val="none"/>
                <w:lang w:val="en-US" w:eastAsia="zh-CN" w:bidi="ar-SA"/>
              </w:rPr>
            </w:pPr>
            <w:r>
              <w:rPr>
                <w:rFonts w:hint="eastAsia" w:asciiTheme="minorEastAsia" w:hAnsiTheme="minorEastAsia" w:eastAsiaTheme="minorEastAsia" w:cstheme="minorEastAsia"/>
                <w:b w:val="0"/>
                <w:bCs w:val="0"/>
                <w:spacing w:val="0"/>
                <w:kern w:val="0"/>
                <w:sz w:val="24"/>
                <w:szCs w:val="24"/>
                <w:lang w:val="en-US" w:eastAsia="zh-CN"/>
              </w:rPr>
              <w:t>3、验收标准：试运行至少6个月后通过等保测评以及机构功能、性能、与通过安全可靠测评的软硬件适配性等测评，采购人于10个工作日组织专家终验。</w:t>
            </w:r>
          </w:p>
        </w:tc>
        <w:tc>
          <w:tcPr>
            <w:tcW w:w="1417" w:type="dxa"/>
            <w:noWrap w:val="0"/>
            <w:vAlign w:val="center"/>
          </w:tcPr>
          <w:p w14:paraId="5925846C">
            <w:pPr>
              <w:keepNext w:val="0"/>
              <w:pageBreakBefore w:val="0"/>
              <w:kinsoku/>
              <w:overflowPunct/>
              <w:topLinePunct w:val="0"/>
              <w:bidi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不可负偏离</w:t>
            </w:r>
          </w:p>
        </w:tc>
      </w:tr>
      <w:tr w14:paraId="4C829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96" w:type="dxa"/>
            <w:noWrap w:val="0"/>
            <w:vAlign w:val="center"/>
          </w:tcPr>
          <w:p w14:paraId="40CBC5D9">
            <w:pPr>
              <w:keepNext w:val="0"/>
              <w:pageBreakBefore w:val="0"/>
              <w:kinsoku/>
              <w:overflowPunct/>
              <w:topLinePunct w:val="0"/>
              <w:bidi w:val="0"/>
              <w:jc w:val="center"/>
              <w:rPr>
                <w:rFonts w:hint="eastAsia" w:ascii="宋体" w:hAnsi="宋体" w:eastAsia="宋体" w:cs="宋体"/>
                <w:sz w:val="24"/>
                <w:szCs w:val="24"/>
              </w:rPr>
            </w:pPr>
            <w:r>
              <w:rPr>
                <w:rFonts w:hint="eastAsia" w:ascii="宋体" w:hAnsi="宋体" w:eastAsia="宋体" w:cs="宋体"/>
                <w:sz w:val="24"/>
                <w:szCs w:val="24"/>
              </w:rPr>
              <w:t>5</w:t>
            </w:r>
          </w:p>
        </w:tc>
        <w:tc>
          <w:tcPr>
            <w:tcW w:w="1570" w:type="dxa"/>
            <w:noWrap w:val="0"/>
            <w:vAlign w:val="center"/>
          </w:tcPr>
          <w:p w14:paraId="5FFA51B3">
            <w:pPr>
              <w:jc w:val="center"/>
              <w:rPr>
                <w:rFonts w:hint="eastAsia" w:ascii="宋体" w:hAnsi="宋体" w:eastAsia="宋体" w:cs="宋体"/>
                <w:b w:val="0"/>
                <w:bCs w:val="0"/>
                <w:snapToGrid w:val="0"/>
                <w:color w:val="000000"/>
                <w:kern w:val="0"/>
                <w:sz w:val="24"/>
                <w:szCs w:val="24"/>
                <w:highlight w:val="none"/>
                <w:lang w:val="en-US" w:eastAsia="zh-CN" w:bidi="ar"/>
              </w:rPr>
            </w:pPr>
            <w:r>
              <w:rPr>
                <w:rFonts w:hint="eastAsia" w:ascii="宋体" w:hAnsi="宋体" w:eastAsia="宋体" w:cs="宋体"/>
                <w:b w:val="0"/>
                <w:bCs w:val="0"/>
                <w:snapToGrid w:val="0"/>
                <w:color w:val="000000"/>
                <w:kern w:val="0"/>
                <w:sz w:val="24"/>
                <w:szCs w:val="24"/>
                <w:highlight w:val="none"/>
                <w:lang w:val="en-US" w:eastAsia="zh-CN" w:bidi="ar"/>
              </w:rPr>
              <w:t>培训</w:t>
            </w:r>
          </w:p>
        </w:tc>
        <w:tc>
          <w:tcPr>
            <w:tcW w:w="4839" w:type="dxa"/>
            <w:noWrap w:val="0"/>
            <w:vAlign w:val="center"/>
          </w:tcPr>
          <w:p w14:paraId="55896382">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C00000"/>
                <w:kern w:val="2"/>
                <w:sz w:val="24"/>
                <w:szCs w:val="24"/>
                <w:highlight w:val="yellow"/>
                <w:lang w:val="en-US" w:eastAsia="zh-CN" w:bidi="ar-SA"/>
              </w:rPr>
            </w:pPr>
            <w:r>
              <w:rPr>
                <w:rFonts w:hint="eastAsia" w:asciiTheme="minorEastAsia" w:hAnsiTheme="minorEastAsia" w:eastAsiaTheme="minorEastAsia" w:cstheme="minorEastAsia"/>
                <w:b w:val="0"/>
                <w:bCs w:val="0"/>
                <w:spacing w:val="0"/>
                <w:kern w:val="0"/>
                <w:sz w:val="24"/>
                <w:szCs w:val="24"/>
                <w:lang w:val="en-US" w:eastAsia="zh-CN"/>
              </w:rPr>
              <w:t>成交供应商应提供具体培训方案，组织培训会完成对项目的整体培训，并根据要求开展现场集中培训和单独培训，保障采购人指定人员能够熟练的使用相关业务系统。</w:t>
            </w:r>
          </w:p>
        </w:tc>
        <w:tc>
          <w:tcPr>
            <w:tcW w:w="1417" w:type="dxa"/>
            <w:noWrap w:val="0"/>
            <w:vAlign w:val="center"/>
          </w:tcPr>
          <w:p w14:paraId="5735776C">
            <w:pPr>
              <w:keepNext w:val="0"/>
              <w:pageBreakBefore w:val="0"/>
              <w:kinsoku/>
              <w:overflowPunct/>
              <w:topLinePunct w:val="0"/>
              <w:bidi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不可负偏离</w:t>
            </w:r>
          </w:p>
        </w:tc>
      </w:tr>
      <w:tr w14:paraId="157AF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96" w:type="dxa"/>
            <w:noWrap w:val="0"/>
            <w:vAlign w:val="center"/>
          </w:tcPr>
          <w:p w14:paraId="3EE16303">
            <w:pPr>
              <w:keepNext w:val="0"/>
              <w:pageBreakBefore w:val="0"/>
              <w:kinsoku/>
              <w:overflowPunct/>
              <w:topLinePunct w:val="0"/>
              <w:bidi w:val="0"/>
              <w:jc w:val="center"/>
              <w:rPr>
                <w:rFonts w:hint="eastAsia" w:ascii="宋体" w:hAnsi="宋体" w:eastAsia="宋体" w:cs="宋体"/>
                <w:sz w:val="24"/>
                <w:szCs w:val="24"/>
              </w:rPr>
            </w:pPr>
            <w:r>
              <w:rPr>
                <w:rFonts w:hint="eastAsia" w:ascii="宋体" w:hAnsi="宋体" w:eastAsia="宋体" w:cs="宋体"/>
                <w:sz w:val="24"/>
                <w:szCs w:val="24"/>
              </w:rPr>
              <w:t>6</w:t>
            </w:r>
          </w:p>
        </w:tc>
        <w:tc>
          <w:tcPr>
            <w:tcW w:w="1570" w:type="dxa"/>
            <w:noWrap w:val="0"/>
            <w:vAlign w:val="center"/>
          </w:tcPr>
          <w:p w14:paraId="0E082128">
            <w:pPr>
              <w:jc w:val="center"/>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snapToGrid w:val="0"/>
                <w:color w:val="000000"/>
                <w:kern w:val="0"/>
                <w:sz w:val="24"/>
                <w:szCs w:val="24"/>
                <w:highlight w:val="none"/>
                <w:lang w:val="en-US" w:eastAsia="zh-CN" w:bidi="ar"/>
              </w:rPr>
              <w:t xml:space="preserve">质保及售后服务 </w:t>
            </w:r>
          </w:p>
        </w:tc>
        <w:tc>
          <w:tcPr>
            <w:tcW w:w="4839" w:type="dxa"/>
            <w:noWrap w:val="0"/>
            <w:vAlign w:val="center"/>
          </w:tcPr>
          <w:p w14:paraId="5836FD50">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宋体" w:hAnsi="宋体" w:eastAsia="宋体" w:cs="宋体"/>
                <w:b w:val="0"/>
                <w:bCs w:val="0"/>
                <w:snapToGrid w:val="0"/>
                <w:color w:val="000000"/>
                <w:kern w:val="0"/>
                <w:sz w:val="24"/>
                <w:szCs w:val="24"/>
                <w:lang w:val="en-US" w:eastAsia="zh-CN" w:bidi="ar"/>
              </w:rPr>
              <w:t>自</w:t>
            </w:r>
            <w:r>
              <w:rPr>
                <w:rFonts w:hint="eastAsia" w:asciiTheme="minorEastAsia" w:hAnsiTheme="minorEastAsia" w:eastAsiaTheme="minorEastAsia" w:cstheme="minorEastAsia"/>
                <w:b w:val="0"/>
                <w:bCs w:val="0"/>
                <w:spacing w:val="0"/>
                <w:kern w:val="0"/>
                <w:sz w:val="24"/>
                <w:szCs w:val="24"/>
                <w:lang w:val="en-US" w:eastAsia="zh-CN"/>
              </w:rPr>
              <w:t>验收合格之日起，成交供应商需提供三年的质量保证期（运维期），运维期结束后运维费应符合国家、省、市等有关规定，在质量保证期内成交供应商应提供以下服务：</w:t>
            </w:r>
          </w:p>
          <w:p w14:paraId="050A9AB9">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 xml:space="preserve">1、拥有成熟的运维管理系统，对采购人提供运维技术服务，并对系统运行过程中发现的技术缺陷予以修改。 </w:t>
            </w:r>
          </w:p>
          <w:p w14:paraId="7577FFD4">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 xml:space="preserve">2、热线技术支持服务响应要求 </w:t>
            </w:r>
          </w:p>
          <w:p w14:paraId="25374732">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kern w:val="2"/>
                <w:sz w:val="24"/>
                <w:szCs w:val="24"/>
                <w:highlight w:val="none"/>
                <w:lang w:val="en-US" w:eastAsia="zh-CN" w:bidi="ar-SA"/>
              </w:rPr>
            </w:pPr>
            <w:r>
              <w:rPr>
                <w:rFonts w:hint="eastAsia" w:asciiTheme="minorEastAsia" w:hAnsiTheme="minorEastAsia" w:eastAsiaTheme="minorEastAsia" w:cstheme="minorEastAsia"/>
                <w:b w:val="0"/>
                <w:bCs w:val="0"/>
                <w:spacing w:val="0"/>
                <w:kern w:val="0"/>
                <w:sz w:val="24"/>
                <w:szCs w:val="24"/>
                <w:lang w:val="en-US" w:eastAsia="zh-CN"/>
              </w:rPr>
              <w:t>提供电话、网络等热线技术支持服务（每周7×24小时），在接到采购人或使用方通知后响应时间不多于4小时，到达现场时间不多于12小时。</w:t>
            </w:r>
          </w:p>
        </w:tc>
        <w:tc>
          <w:tcPr>
            <w:tcW w:w="1417" w:type="dxa"/>
            <w:noWrap w:val="0"/>
            <w:vAlign w:val="center"/>
          </w:tcPr>
          <w:p w14:paraId="072B71E2">
            <w:pPr>
              <w:keepNext w:val="0"/>
              <w:pageBreakBefore w:val="0"/>
              <w:kinsoku/>
              <w:overflowPunct/>
              <w:topLinePunct w:val="0"/>
              <w:bidi w:val="0"/>
              <w:spacing w:line="360" w:lineRule="exact"/>
              <w:jc w:val="center"/>
              <w:rPr>
                <w:rFonts w:hint="eastAsia" w:ascii="宋体" w:hAnsi="宋体" w:eastAsia="宋体" w:cs="宋体"/>
                <w:sz w:val="24"/>
                <w:szCs w:val="24"/>
              </w:rPr>
            </w:pPr>
            <w:r>
              <w:rPr>
                <w:rFonts w:hint="eastAsia" w:ascii="宋体" w:hAnsi="宋体" w:eastAsia="宋体" w:cs="宋体"/>
                <w:sz w:val="24"/>
                <w:szCs w:val="24"/>
              </w:rPr>
              <w:t>不可负偏离</w:t>
            </w:r>
          </w:p>
        </w:tc>
      </w:tr>
      <w:tr w14:paraId="43F00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96" w:type="dxa"/>
            <w:noWrap w:val="0"/>
            <w:vAlign w:val="center"/>
          </w:tcPr>
          <w:p w14:paraId="590BA604">
            <w:pPr>
              <w:keepNext w:val="0"/>
              <w:pageBreakBefore w:val="0"/>
              <w:kinsoku/>
              <w:overflowPunct/>
              <w:topLinePunct w:val="0"/>
              <w:bidi w:val="0"/>
              <w:jc w:val="center"/>
              <w:rPr>
                <w:rFonts w:hint="eastAsia" w:ascii="宋体" w:hAnsi="宋体" w:eastAsia="宋体" w:cs="宋体"/>
                <w:sz w:val="24"/>
                <w:szCs w:val="24"/>
              </w:rPr>
            </w:pPr>
            <w:r>
              <w:rPr>
                <w:rFonts w:hint="eastAsia" w:ascii="宋体" w:hAnsi="宋体" w:eastAsia="宋体" w:cs="宋体"/>
                <w:sz w:val="24"/>
                <w:szCs w:val="24"/>
              </w:rPr>
              <w:t>7</w:t>
            </w:r>
          </w:p>
        </w:tc>
        <w:tc>
          <w:tcPr>
            <w:tcW w:w="1570" w:type="dxa"/>
            <w:noWrap w:val="0"/>
            <w:vAlign w:val="center"/>
          </w:tcPr>
          <w:p w14:paraId="0C552ECA">
            <w:pPr>
              <w:jc w:val="center"/>
              <w:rPr>
                <w:rFonts w:hint="eastAsia" w:ascii="宋体" w:hAnsi="宋体" w:eastAsia="宋体" w:cs="宋体"/>
                <w:b w:val="0"/>
                <w:bCs w:val="0"/>
                <w:snapToGrid w:val="0"/>
                <w:color w:val="000000"/>
                <w:kern w:val="0"/>
                <w:sz w:val="24"/>
                <w:szCs w:val="24"/>
                <w:highlight w:val="none"/>
                <w:lang w:val="en-US" w:eastAsia="zh-CN" w:bidi="ar"/>
              </w:rPr>
            </w:pPr>
            <w:r>
              <w:rPr>
                <w:rFonts w:hint="eastAsia" w:ascii="宋体" w:hAnsi="宋体" w:eastAsia="宋体" w:cs="宋体"/>
                <w:b w:val="0"/>
                <w:bCs w:val="0"/>
                <w:snapToGrid w:val="0"/>
                <w:color w:val="000000"/>
                <w:kern w:val="0"/>
                <w:sz w:val="24"/>
                <w:szCs w:val="24"/>
                <w:highlight w:val="none"/>
                <w:lang w:val="en-US" w:eastAsia="zh-CN" w:bidi="ar"/>
              </w:rPr>
              <w:t>其他要求</w:t>
            </w:r>
          </w:p>
        </w:tc>
        <w:tc>
          <w:tcPr>
            <w:tcW w:w="4839" w:type="dxa"/>
            <w:noWrap w:val="0"/>
            <w:vAlign w:val="center"/>
          </w:tcPr>
          <w:p w14:paraId="6A8D3A0B">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1、成交供应商必须将源代码以及配套开发文档（如设计文件、源代码、源代码说明、测试文档、数据资源、数据接口、使用手册、操作手册等）无条件的完整、真实交付给采购人。</w:t>
            </w:r>
          </w:p>
          <w:p w14:paraId="01D31B13">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2、本项目所含成果的所有权归属和使用权归采购人所有。未经采购人书面同意，成交供应商不得在任何时间（合同履行期间及合同结束后）将项目成果（包括阶段性成果及最终成果）以任何形式提供给任何第三方（包括利用项目成果加工生产出其他成果提供给第三方）。</w:t>
            </w:r>
          </w:p>
          <w:p w14:paraId="54BA0823">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snapToGrid w:val="0"/>
                <w:color w:val="000000"/>
                <w:kern w:val="0"/>
                <w:sz w:val="24"/>
                <w:szCs w:val="24"/>
                <w:highlight w:val="yellow"/>
                <w:lang w:val="en-US" w:eastAsia="zh-CN" w:bidi="ar"/>
              </w:rPr>
            </w:pPr>
            <w:r>
              <w:rPr>
                <w:rFonts w:hint="eastAsia" w:asciiTheme="minorEastAsia" w:hAnsiTheme="minorEastAsia" w:eastAsiaTheme="minorEastAsia" w:cstheme="minorEastAsia"/>
                <w:b w:val="0"/>
                <w:bCs w:val="0"/>
                <w:spacing w:val="0"/>
                <w:kern w:val="0"/>
                <w:sz w:val="24"/>
                <w:szCs w:val="24"/>
                <w:lang w:val="en-US" w:eastAsia="zh-CN"/>
              </w:rPr>
              <w:t>3、成交供应商应保证采购人在中华人民共和国使用成交供应商所提供的货物或服务的任何一部分时，免受第三方提出的侵犯其专利权、商标权的起诉；如果任何第三方提出侵权指控，成交供应商承担一切与之有关的责任。</w:t>
            </w:r>
          </w:p>
        </w:tc>
        <w:tc>
          <w:tcPr>
            <w:tcW w:w="1417" w:type="dxa"/>
            <w:noWrap w:val="0"/>
            <w:vAlign w:val="center"/>
          </w:tcPr>
          <w:p w14:paraId="7623A58D">
            <w:pPr>
              <w:keepNext w:val="0"/>
              <w:pageBreakBefore w:val="0"/>
              <w:kinsoku/>
              <w:overflowPunct/>
              <w:topLinePunct w:val="0"/>
              <w:bidi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不可负偏离</w:t>
            </w:r>
          </w:p>
        </w:tc>
      </w:tr>
      <w:tr w14:paraId="54E86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96" w:type="dxa"/>
            <w:noWrap w:val="0"/>
            <w:vAlign w:val="center"/>
          </w:tcPr>
          <w:p w14:paraId="5864D179">
            <w:pPr>
              <w:keepNext w:val="0"/>
              <w:pageBreakBefore w:val="0"/>
              <w:kinsoku/>
              <w:overflowPunct/>
              <w:topLinePunct w:val="0"/>
              <w:bidi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1570" w:type="dxa"/>
            <w:noWrap w:val="0"/>
            <w:vAlign w:val="center"/>
          </w:tcPr>
          <w:p w14:paraId="36421F7A">
            <w:pPr>
              <w:jc w:val="center"/>
              <w:rPr>
                <w:rFonts w:hint="eastAsia" w:ascii="宋体" w:hAnsi="宋体" w:eastAsia="宋体" w:cs="宋体"/>
                <w:b w:val="0"/>
                <w:bCs w:val="0"/>
                <w:snapToGrid w:val="0"/>
                <w:color w:val="000000"/>
                <w:kern w:val="0"/>
                <w:sz w:val="24"/>
                <w:szCs w:val="24"/>
                <w:highlight w:val="none"/>
                <w:lang w:val="en-US" w:eastAsia="zh-CN" w:bidi="ar"/>
              </w:rPr>
            </w:pPr>
            <w:r>
              <w:rPr>
                <w:rFonts w:hint="eastAsia" w:ascii="宋体" w:hAnsi="宋体" w:eastAsia="宋体" w:cs="宋体"/>
                <w:b w:val="0"/>
                <w:bCs w:val="0"/>
                <w:snapToGrid w:val="0"/>
                <w:color w:val="000000"/>
                <w:kern w:val="0"/>
                <w:sz w:val="24"/>
                <w:szCs w:val="24"/>
                <w:highlight w:val="none"/>
                <w:lang w:val="en-US" w:eastAsia="zh-CN" w:bidi="ar"/>
              </w:rPr>
              <w:t>违约责任</w:t>
            </w:r>
          </w:p>
        </w:tc>
        <w:tc>
          <w:tcPr>
            <w:tcW w:w="4839" w:type="dxa"/>
            <w:noWrap w:val="0"/>
            <w:vAlign w:val="center"/>
          </w:tcPr>
          <w:p w14:paraId="248031BE">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1、供应商不能交付上饶市投资项目数字评审系统的,由供应商向采购人支付合同总价10%的违约金。</w:t>
            </w:r>
          </w:p>
          <w:p w14:paraId="6755B36E">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2、供应商所交付的软件或服务技术参数不符合合同规定的,采购人有权拒收。采购人因此拒收的,由供应商向采购人支付合同总价10%的违约金。</w:t>
            </w:r>
          </w:p>
          <w:p w14:paraId="10E7D6F6">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default"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3、供应商不能实现所开发系统与省政府投资项目评审评估系统之间的互操作性的，无法达成专家数据的无缝交换和共享交付的,由供应商向采购人支付合同总价10%的违约金。</w:t>
            </w:r>
          </w:p>
          <w:p w14:paraId="23EA3ACC">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4、在合同约定的交货期限内,供应商逾期未完成供货安装或不合格产品更换的,供应商应向采购人支付违约金,每逾期1天支付合同总价的0.5%/日的滞纳金(最多不超过合同总价的10%),如滞纳金达到最高限额时供应商仍不能完成,采购人有权解除合同,除滞纳金外,由供应商向采购人支付合同总价10%的违约金,因此产生的一切经济损失由供应商全部承担。</w:t>
            </w:r>
          </w:p>
          <w:p w14:paraId="68CBA0E2">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5、供应商未按本合同的规定提供售后服务的,由供应商向采购人支付合同总价10%的违约金。</w:t>
            </w:r>
          </w:p>
          <w:p w14:paraId="1C2E0DE4">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6、供应商不得以任何理由擅自中途停止或终止合同的履行,未经采购人书面同意,不得以任何形式分包、转包本项目,否则,采购人有权解除合同,由供应商向采购人支付合同总价10%的违约金,同时,因此给采购人造成的经济损失由供应商全部承担。</w:t>
            </w:r>
          </w:p>
          <w:p w14:paraId="32820E27">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7、采购人未按合同约定时间节点支付款项，每逾期1天按应付未付金额的0.5%/日支付滞纳金，如滞纳金达到最高限额时采购人仍不能完成支付,采购人有权解除合同。</w:t>
            </w:r>
          </w:p>
          <w:p w14:paraId="20EBD339">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8、采购人无正当理由拖延验收、逾期不出具验收意见，超过约定期限10日的，每逾期1天按合同金额的0.5%/日支付滞纳金(最多不超过合同总价的10%)。</w:t>
            </w:r>
          </w:p>
          <w:p w14:paraId="7D8985E1">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default"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9、采购人无合理依据恶意刁难、推诿签字，影响项目正常推进，每延误1日支付合同总额的0.5%/日违约金(最多不超过合同总价的10%)。</w:t>
            </w:r>
          </w:p>
          <w:p w14:paraId="4423852A">
            <w:pPr>
              <w:keepNext w:val="0"/>
              <w:keepLines w:val="0"/>
              <w:pageBreakBefore w:val="0"/>
              <w:widowControl/>
              <w:kinsoku/>
              <w:wordWrap/>
              <w:overflowPunct/>
              <w:topLinePunct w:val="0"/>
              <w:autoSpaceDE w:val="0"/>
              <w:autoSpaceDN w:val="0"/>
              <w:bidi w:val="0"/>
              <w:adjustRightInd w:val="0"/>
              <w:snapToGrid w:val="0"/>
              <w:spacing w:line="360" w:lineRule="auto"/>
              <w:jc w:val="both"/>
              <w:textAlignment w:val="baseline"/>
              <w:rPr>
                <w:rFonts w:hint="eastAsia" w:asciiTheme="minorEastAsia" w:hAnsiTheme="minorEastAsia" w:eastAsiaTheme="minorEastAsia" w:cstheme="minorEastAsia"/>
                <w:b w:val="0"/>
                <w:bCs w:val="0"/>
                <w:spacing w:val="0"/>
                <w:kern w:val="0"/>
                <w:sz w:val="24"/>
                <w:szCs w:val="24"/>
                <w:lang w:val="en-US" w:eastAsia="zh-CN"/>
              </w:rPr>
            </w:pPr>
            <w:r>
              <w:rPr>
                <w:rFonts w:hint="eastAsia" w:asciiTheme="minorEastAsia" w:hAnsiTheme="minorEastAsia" w:eastAsiaTheme="minorEastAsia" w:cstheme="minorEastAsia"/>
                <w:b w:val="0"/>
                <w:bCs w:val="0"/>
                <w:spacing w:val="0"/>
                <w:kern w:val="0"/>
                <w:sz w:val="24"/>
                <w:szCs w:val="24"/>
                <w:lang w:val="en-US" w:eastAsia="zh-CN"/>
              </w:rPr>
              <w:t>10、合同任何一方不能全面履行职责均属违约,违约造成的一切经</w:t>
            </w:r>
            <w:r>
              <w:rPr>
                <w:rFonts w:hint="eastAsia" w:ascii="宋体" w:hAnsi="宋体" w:eastAsia="宋体" w:cs="宋体"/>
                <w:b w:val="0"/>
                <w:bCs/>
                <w:color w:val="auto"/>
                <w:spacing w:val="0"/>
                <w:kern w:val="2"/>
                <w:position w:val="0"/>
                <w:sz w:val="24"/>
                <w:szCs w:val="24"/>
                <w:lang w:val="en-US" w:eastAsia="zh-CN" w:bidi="ar-SA"/>
              </w:rPr>
              <w:t>济损失和相关法律责任由违约方全部承担。</w:t>
            </w:r>
          </w:p>
        </w:tc>
        <w:tc>
          <w:tcPr>
            <w:tcW w:w="1417" w:type="dxa"/>
            <w:shd w:val="clear" w:color="auto" w:fill="auto"/>
            <w:noWrap w:val="0"/>
            <w:vAlign w:val="center"/>
          </w:tcPr>
          <w:p w14:paraId="1F671886">
            <w:pPr>
              <w:keepNext w:val="0"/>
              <w:pageBreakBefore w:val="0"/>
              <w:kinsoku/>
              <w:overflowPunct/>
              <w:topLinePunct w:val="0"/>
              <w:bidi w:val="0"/>
              <w:spacing w:line="360" w:lineRule="auto"/>
              <w:jc w:val="center"/>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不可负偏离</w:t>
            </w:r>
          </w:p>
        </w:tc>
      </w:tr>
      <w:bookmarkEnd w:id="47"/>
    </w:tbl>
    <w:p w14:paraId="5A714C10"/>
    <w:sectPr>
      <w:footerReference r:id="rId4" w:type="default"/>
      <w:pgSz w:w="11906" w:h="16839"/>
      <w:pgMar w:top="1440" w:right="1800" w:bottom="1440" w:left="1800"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国标宋体">
    <w:altName w:val="宋体"/>
    <w:panose1 w:val="02000500000000000000"/>
    <w:charset w:val="86"/>
    <w:family w:val="auto"/>
    <w:pitch w:val="default"/>
    <w:sig w:usb0="00000000" w:usb1="00000000" w:usb2="00000000" w:usb3="00000000" w:csb0="00040000" w:csb1="00000000"/>
  </w:font>
  <w:font w:name="东文宋体">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D245E5">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575E23">
                          <w:pPr>
                            <w:pStyle w:val="5"/>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38575E23">
                    <w:pPr>
                      <w:pStyle w:val="5"/>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49F0E5">
    <w:pPr>
      <w:pStyle w:val="5"/>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EBBAF5">
                          <w:pPr>
                            <w:pStyle w:val="5"/>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37EBBAF5">
                    <w:pPr>
                      <w:pStyle w:val="5"/>
                    </w:pPr>
                    <w:r>
                      <w:fldChar w:fldCharType="begin"/>
                    </w:r>
                    <w:r>
                      <w:instrText xml:space="preserve"> PAGE  \* MERGEFORMAT </w:instrText>
                    </w:r>
                    <w:r>
                      <w:fldChar w:fldCharType="separate"/>
                    </w:r>
                    <w:r>
                      <w:t>59</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3E6D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Body Text First Indent"/>
    <w:basedOn w:val="3"/>
    <w:qFormat/>
    <w:uiPriority w:val="0"/>
    <w:pPr>
      <w:ind w:firstLine="420" w:firstLineChars="100"/>
    </w:pPr>
  </w:style>
  <w:style w:type="paragraph" w:styleId="5">
    <w:name w:val="footer"/>
    <w:basedOn w:val="1"/>
    <w:qFormat/>
    <w:uiPriority w:val="0"/>
    <w:pPr>
      <w:tabs>
        <w:tab w:val="center" w:pos="4153"/>
        <w:tab w:val="right" w:pos="8306"/>
      </w:tabs>
    </w:pPr>
    <w:rPr>
      <w:sz w:val="18"/>
    </w:r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style>
  <w:style w:type="paragraph" w:customStyle="1" w:styleId="10">
    <w:name w:val="B-表正文"/>
    <w:qFormat/>
    <w:uiPriority w:val="0"/>
    <w:rPr>
      <w:rFonts w:ascii="Times New Roman" w:hAnsi="Times New Roman" w:eastAsia="黑体"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2026-05-20T06:50:35Z</dcterms:created>
  <dc:creator>Administrator</dc:creator>
  <cp:lastModifiedBy>Administrator</cp:lastModifiedBy>
  <dcterms:modified xsi:type="dcterms:W3CDTF">2026-05-20T06:51:04Z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eyJoZGlkIjoiMjljNGY0OWJmNjU5ODA3ODg3ZmJlOTEyMWJjMDBkMWUiLCJ1c2VySWQiOiI3OTIzODA5ODQifQ==</vt:lpwstr>
  </property>
  <property fmtid="{D5CDD505-2E9C-101B-9397-08002B2CF9AE}" pid="4" name="ICV">
    <vt:lpwstr>1746516DFCFA4CE4801C1B4B8D76BB12_12</vt:lpwstr>
  </property>
</Properties>
</file>